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pPr>
        <w:adjustRightInd w:val="0"/>
        <w:snapToGrid w:val="0"/>
        <w:ind w:left="0" w:leftChars="0" w:firstLine="0" w:firstLineChars="0"/>
        <w:jc w:val="center"/>
        <w:outlineLvl w:val="0"/>
        <w:rPr>
          <w:rFonts w:hint="default" w:ascii="Times New Roman" w:hAnsi="Times New Roman" w:eastAsia="方正小标宋_GBK" w:cs="Times New Roman"/>
          <w:bCs/>
          <w:color w:val="000000" w:themeColor="text1"/>
          <w:sz w:val="72"/>
          <w:szCs w:val="72"/>
          <w:highlight w:val="none"/>
          <w14:textFill>
            <w14:solidFill>
              <w14:schemeClr w14:val="tx1"/>
            </w14:solidFill>
          </w14:textFill>
        </w:rPr>
      </w:pPr>
      <w:r>
        <w:rPr>
          <w:rFonts w:hint="default" w:ascii="Times New Roman" w:hAnsi="Times New Roman" w:eastAsia="方正小标宋_GBK" w:cs="Times New Roman"/>
          <w:bCs/>
          <w:color w:val="000000" w:themeColor="text1"/>
          <w:sz w:val="72"/>
          <w:szCs w:val="72"/>
          <w:highlight w:val="none"/>
          <w14:textFill>
            <w14:solidFill>
              <w14:schemeClr w14:val="tx1"/>
            </w14:solidFill>
          </w14:textFill>
        </w:rPr>
        <w:t>建设项目环境影响报告表</w:t>
      </w:r>
    </w:p>
    <w:p>
      <w:pPr>
        <w:adjustRightInd w:val="0"/>
        <w:snapToGrid w:val="0"/>
        <w:spacing w:before="192" w:beforeLines="80"/>
        <w:ind w:left="0" w:leftChars="0" w:firstLine="0" w:firstLineChars="0"/>
        <w:jc w:val="center"/>
        <w:rPr>
          <w:rFonts w:hint="default" w:ascii="Times New Roman" w:hAnsi="Times New Roman" w:eastAsia="楷体_GB2312" w:cs="Times New Roman"/>
          <w:bCs/>
          <w:color w:val="000000" w:themeColor="text1"/>
          <w:sz w:val="48"/>
          <w:szCs w:val="48"/>
          <w:highlight w:val="none"/>
          <w14:textFill>
            <w14:solidFill>
              <w14:schemeClr w14:val="tx1"/>
            </w14:solidFill>
          </w14:textFill>
        </w:rPr>
      </w:pPr>
      <w:r>
        <w:rPr>
          <w:rFonts w:hint="default" w:ascii="Times New Roman" w:hAnsi="Times New Roman" w:eastAsia="楷体_GB2312" w:cs="Times New Roman"/>
          <w:bCs/>
          <w:color w:val="000000" w:themeColor="text1"/>
          <w:sz w:val="48"/>
          <w:szCs w:val="48"/>
          <w:highlight w:val="none"/>
          <w14:textFill>
            <w14:solidFill>
              <w14:schemeClr w14:val="tx1"/>
            </w14:solidFill>
          </w14:textFill>
        </w:rPr>
        <w:t>（污染影响类）</w:t>
      </w:r>
    </w:p>
    <w:p>
      <w:pPr>
        <w:adjustRightInd w:val="0"/>
        <w:snapToGrid w:val="0"/>
        <w:spacing w:line="288" w:lineRule="auto"/>
        <w:jc w:val="center"/>
        <w:outlineLvl w:val="0"/>
        <w:rPr>
          <w:rFonts w:hint="default" w:ascii="Times New Roman" w:hAnsi="Times New Roman" w:eastAsia="华文仿宋" w:cs="Times New Roman"/>
          <w:color w:val="000000" w:themeColor="text1"/>
          <w:kern w:val="44"/>
          <w:sz w:val="44"/>
          <w:szCs w:val="44"/>
          <w:highlight w:val="none"/>
          <w14:textFill>
            <w14:solidFill>
              <w14:schemeClr w14:val="tx1"/>
            </w14:solidFill>
          </w14:textFill>
        </w:rPr>
      </w:pPr>
    </w:p>
    <w:p>
      <w:pPr>
        <w:jc w:val="center"/>
        <w:rPr>
          <w:rFonts w:hint="default" w:ascii="Times New Roman" w:hAnsi="Times New Roman" w:eastAsia="仿宋" w:cs="Times New Roman"/>
          <w:color w:val="000000" w:themeColor="text1"/>
          <w:sz w:val="52"/>
          <w:szCs w:val="52"/>
          <w:highlight w:val="none"/>
          <w14:textFill>
            <w14:solidFill>
              <w14:schemeClr w14:val="tx1"/>
            </w14:solidFill>
          </w14:textFill>
        </w:rPr>
      </w:pPr>
    </w:p>
    <w:p>
      <w:pPr>
        <w:ind w:firstLine="1040"/>
        <w:jc w:val="center"/>
        <w:rPr>
          <w:rFonts w:hint="default" w:ascii="Times New Roman" w:hAnsi="Times New Roman" w:eastAsia="仿宋" w:cs="Times New Roman"/>
          <w:color w:val="000000" w:themeColor="text1"/>
          <w:sz w:val="44"/>
          <w:szCs w:val="44"/>
          <w:highlight w:val="none"/>
          <w14:textFill>
            <w14:solidFill>
              <w14:schemeClr w14:val="tx1"/>
            </w14:solidFill>
          </w14:textFill>
        </w:rPr>
      </w:pPr>
    </w:p>
    <w:p>
      <w:pPr>
        <w:adjustRightInd w:val="0"/>
        <w:snapToGrid w:val="0"/>
        <w:spacing w:line="288" w:lineRule="auto"/>
        <w:ind w:left="0" w:leftChars="0" w:firstLine="0" w:firstLineChars="0"/>
        <w:jc w:val="center"/>
        <w:rPr>
          <w:rFonts w:hint="eastAsia" w:eastAsia="仿宋_GB2312" w:cs="Times New Roman"/>
          <w:b/>
          <w:bCs/>
          <w:color w:val="000000" w:themeColor="text1"/>
          <w:sz w:val="32"/>
          <w:szCs w:val="32"/>
          <w:highlight w:val="none"/>
          <w:u w:val="single"/>
          <w:lang w:val="en-US" w:eastAsia="zh-CN"/>
          <w14:textFill>
            <w14:solidFill>
              <w14:schemeClr w14:val="tx1"/>
            </w14:solidFill>
          </w14:textFill>
        </w:rPr>
      </w:pPr>
      <w:r>
        <w:rPr>
          <w:rFonts w:hint="default" w:ascii="Times New Roman" w:hAnsi="Times New Roman" w:eastAsia="仿宋_GB2312" w:cs="Times New Roman"/>
          <w:b/>
          <w:bCs/>
          <w:color w:val="000000" w:themeColor="text1"/>
          <w:sz w:val="32"/>
          <w:szCs w:val="32"/>
          <w:highlight w:val="none"/>
          <w14:textFill>
            <w14:solidFill>
              <w14:schemeClr w14:val="tx1"/>
            </w14:solidFill>
          </w14:textFill>
        </w:rPr>
        <w:t>项目名称：</w:t>
      </w:r>
      <w:r>
        <w:rPr>
          <w:rFonts w:hint="eastAsia" w:eastAsia="仿宋_GB2312" w:cs="Times New Roman"/>
          <w:b/>
          <w:bCs/>
          <w:color w:val="000000" w:themeColor="text1"/>
          <w:sz w:val="32"/>
          <w:szCs w:val="32"/>
          <w:highlight w:val="none"/>
          <w:u w:val="single"/>
          <w:lang w:val="en-US" w:eastAsia="zh-CN"/>
          <w14:textFill>
            <w14:solidFill>
              <w14:schemeClr w14:val="tx1"/>
            </w14:solidFill>
          </w14:textFill>
        </w:rPr>
        <w:t>鄂尔多斯市汇金达清洁溶剂油有限公司</w:t>
      </w:r>
    </w:p>
    <w:p>
      <w:pPr>
        <w:adjustRightInd w:val="0"/>
        <w:snapToGrid w:val="0"/>
        <w:spacing w:line="288" w:lineRule="auto"/>
        <w:ind w:left="0" w:leftChars="0" w:firstLine="0" w:firstLineChars="0"/>
        <w:jc w:val="center"/>
        <w:rPr>
          <w:rFonts w:hint="default" w:ascii="Times New Roman" w:hAnsi="Times New Roman" w:eastAsia="仿宋_GB2312" w:cs="Times New Roman"/>
          <w:b/>
          <w:bCs/>
          <w:color w:val="000000" w:themeColor="text1"/>
          <w:sz w:val="32"/>
          <w:szCs w:val="32"/>
          <w:highlight w:val="none"/>
          <w:u w:val="single"/>
          <w:lang w:val="en-US" w:eastAsia="zh-CN"/>
          <w14:textFill>
            <w14:solidFill>
              <w14:schemeClr w14:val="tx1"/>
            </w14:solidFill>
          </w14:textFill>
        </w:rPr>
      </w:pPr>
      <w:r>
        <w:rPr>
          <w:rFonts w:hint="eastAsia" w:eastAsia="仿宋_GB2312" w:cs="Times New Roman"/>
          <w:b/>
          <w:bCs/>
          <w:color w:val="000000" w:themeColor="text1"/>
          <w:sz w:val="32"/>
          <w:szCs w:val="32"/>
          <w:highlight w:val="none"/>
          <w:u w:val="single"/>
          <w:lang w:val="en-US" w:eastAsia="zh-CN"/>
          <w14:textFill>
            <w14:solidFill>
              <w14:schemeClr w14:val="tx1"/>
            </w14:solidFill>
          </w14:textFill>
        </w:rPr>
        <w:t>20万吨/年柴油调和项目</w:t>
      </w:r>
    </w:p>
    <w:p>
      <w:pPr>
        <w:adjustRightInd w:val="0"/>
        <w:snapToGrid w:val="0"/>
        <w:spacing w:line="288" w:lineRule="auto"/>
        <w:ind w:left="0" w:leftChars="0" w:firstLine="0" w:firstLineChars="0"/>
        <w:jc w:val="center"/>
        <w:rPr>
          <w:rFonts w:hint="eastAsia" w:ascii="Times New Roman" w:hAnsi="Times New Roman" w:eastAsia="仿宋_GB2312" w:cs="Times New Roman"/>
          <w:b/>
          <w:bCs/>
          <w:color w:val="000000" w:themeColor="text1"/>
          <w:sz w:val="32"/>
          <w:szCs w:val="32"/>
          <w:highlight w:val="none"/>
          <w:u w:val="single"/>
          <w:lang w:eastAsia="zh-CN"/>
          <w14:textFill>
            <w14:solidFill>
              <w14:schemeClr w14:val="tx1"/>
            </w14:solidFill>
          </w14:textFill>
        </w:rPr>
      </w:pPr>
      <w:r>
        <w:rPr>
          <w:rFonts w:hint="default" w:ascii="Times New Roman" w:hAnsi="Times New Roman" w:eastAsia="仿宋_GB2312" w:cs="Times New Roman"/>
          <w:b/>
          <w:bCs/>
          <w:color w:val="000000" w:themeColor="text1"/>
          <w:sz w:val="32"/>
          <w:szCs w:val="32"/>
          <w:highlight w:val="none"/>
          <w14:textFill>
            <w14:solidFill>
              <w14:schemeClr w14:val="tx1"/>
            </w14:solidFill>
          </w14:textFill>
        </w:rPr>
        <w:t>建设单位（盖章）：</w:t>
      </w:r>
      <w:r>
        <w:rPr>
          <w:rFonts w:hint="eastAsia" w:eastAsia="仿宋_GB2312" w:cs="Times New Roman"/>
          <w:b/>
          <w:bCs/>
          <w:color w:val="000000" w:themeColor="text1"/>
          <w:sz w:val="32"/>
          <w:szCs w:val="32"/>
          <w:highlight w:val="none"/>
          <w:u w:val="single"/>
          <w:lang w:val="en-US" w:eastAsia="zh-CN"/>
          <w14:textFill>
            <w14:solidFill>
              <w14:schemeClr w14:val="tx1"/>
            </w14:solidFill>
          </w14:textFill>
        </w:rPr>
        <w:t>鄂尔多斯市汇金达清洁溶剂油有限公司</w:t>
      </w:r>
    </w:p>
    <w:p>
      <w:pPr>
        <w:adjustRightInd w:val="0"/>
        <w:snapToGrid w:val="0"/>
        <w:spacing w:line="288" w:lineRule="auto"/>
        <w:ind w:left="0" w:leftChars="0" w:firstLine="0" w:firstLineChars="0"/>
        <w:jc w:val="center"/>
        <w:rPr>
          <w:rFonts w:hint="eastAsia" w:ascii="Times New Roman" w:hAnsi="Times New Roman" w:eastAsia="仿宋_GB2312" w:cs="Times New Roman"/>
          <w:b/>
          <w:bCs/>
          <w:color w:val="000000" w:themeColor="text1"/>
          <w:sz w:val="32"/>
          <w:szCs w:val="32"/>
          <w:highlight w:val="none"/>
          <w:u w:val="single"/>
          <w:lang w:val="en-US" w:eastAsia="zh-CN"/>
          <w14:textFill>
            <w14:solidFill>
              <w14:schemeClr w14:val="tx1"/>
            </w14:solidFill>
          </w14:textFill>
        </w:rPr>
      </w:pPr>
      <w:r>
        <w:rPr>
          <w:rFonts w:hint="default" w:ascii="Times New Roman" w:hAnsi="Times New Roman" w:eastAsia="仿宋_GB2312" w:cs="Times New Roman"/>
          <w:b/>
          <w:bCs/>
          <w:color w:val="000000" w:themeColor="text1"/>
          <w:sz w:val="32"/>
          <w:szCs w:val="32"/>
          <w:highlight w:val="none"/>
          <w:u w:val="none"/>
          <w:lang w:val="en-US" w:eastAsia="zh-CN"/>
          <w14:textFill>
            <w14:solidFill>
              <w14:schemeClr w14:val="tx1"/>
            </w14:solidFill>
          </w14:textFill>
        </w:rPr>
        <w:t>编制日期：</w:t>
      </w:r>
      <w:r>
        <w:rPr>
          <w:rFonts w:hint="default" w:ascii="Times New Roman" w:hAnsi="Times New Roman" w:eastAsia="仿宋_GB2312" w:cs="Times New Roman"/>
          <w:b/>
          <w:bCs/>
          <w:color w:val="000000" w:themeColor="text1"/>
          <w:sz w:val="32"/>
          <w:szCs w:val="32"/>
          <w:highlight w:val="none"/>
          <w:u w:val="single"/>
          <w:lang w:val="en-US" w:eastAsia="zh-CN"/>
          <w14:textFill>
            <w14:solidFill>
              <w14:schemeClr w14:val="tx1"/>
            </w14:solidFill>
          </w14:textFill>
        </w:rPr>
        <w:t>202</w:t>
      </w:r>
      <w:r>
        <w:rPr>
          <w:rFonts w:hint="eastAsia" w:eastAsia="仿宋_GB2312" w:cs="Times New Roman"/>
          <w:b/>
          <w:bCs/>
          <w:color w:val="000000" w:themeColor="text1"/>
          <w:sz w:val="32"/>
          <w:szCs w:val="32"/>
          <w:highlight w:val="none"/>
          <w:u w:val="single"/>
          <w:lang w:val="en-US" w:eastAsia="zh-CN"/>
          <w14:textFill>
            <w14:solidFill>
              <w14:schemeClr w14:val="tx1"/>
            </w14:solidFill>
          </w14:textFill>
        </w:rPr>
        <w:t>6</w:t>
      </w:r>
      <w:r>
        <w:rPr>
          <w:rFonts w:hint="default" w:ascii="Times New Roman" w:hAnsi="Times New Roman" w:eastAsia="仿宋_GB2312" w:cs="Times New Roman"/>
          <w:b/>
          <w:bCs/>
          <w:color w:val="000000" w:themeColor="text1"/>
          <w:sz w:val="32"/>
          <w:szCs w:val="32"/>
          <w:highlight w:val="none"/>
          <w:u w:val="single"/>
          <w:lang w:val="en-US" w:eastAsia="zh-CN"/>
          <w14:textFill>
            <w14:solidFill>
              <w14:schemeClr w14:val="tx1"/>
            </w14:solidFill>
          </w14:textFill>
        </w:rPr>
        <w:t>年</w:t>
      </w:r>
      <w:r>
        <w:rPr>
          <w:rFonts w:hint="eastAsia" w:eastAsia="仿宋_GB2312" w:cs="Times New Roman"/>
          <w:b/>
          <w:bCs/>
          <w:color w:val="000000" w:themeColor="text1"/>
          <w:sz w:val="32"/>
          <w:szCs w:val="32"/>
          <w:highlight w:val="none"/>
          <w:u w:val="single"/>
          <w:lang w:val="en-US" w:eastAsia="zh-CN"/>
          <w14:textFill>
            <w14:solidFill>
              <w14:schemeClr w14:val="tx1"/>
            </w14:solidFill>
          </w14:textFill>
        </w:rPr>
        <w:t>3</w:t>
      </w:r>
      <w:r>
        <w:rPr>
          <w:rFonts w:hint="default" w:ascii="Times New Roman" w:hAnsi="Times New Roman" w:eastAsia="仿宋_GB2312" w:cs="Times New Roman"/>
          <w:b/>
          <w:bCs/>
          <w:color w:val="000000" w:themeColor="text1"/>
          <w:sz w:val="32"/>
          <w:szCs w:val="32"/>
          <w:highlight w:val="none"/>
          <w:u w:val="single"/>
          <w:lang w:val="en-US" w:eastAsia="zh-CN"/>
          <w14:textFill>
            <w14:solidFill>
              <w14:schemeClr w14:val="tx1"/>
            </w14:solidFill>
          </w14:textFill>
        </w:rPr>
        <w:t>月</w:t>
      </w:r>
    </w:p>
    <w:p>
      <w:pPr>
        <w:adjustRightInd w:val="0"/>
        <w:snapToGrid w:val="0"/>
        <w:spacing w:line="288" w:lineRule="auto"/>
        <w:ind w:firstLine="1040"/>
        <w:jc w:val="center"/>
        <w:rPr>
          <w:rFonts w:hint="default" w:ascii="Times New Roman" w:hAnsi="Times New Roman" w:eastAsia="仿宋_GB2312" w:cs="Times New Roman"/>
          <w:color w:val="000000" w:themeColor="text1"/>
          <w:sz w:val="36"/>
          <w:szCs w:val="36"/>
          <w:highlight w:val="none"/>
          <w:u w:val="single"/>
          <w14:textFill>
            <w14:solidFill>
              <w14:schemeClr w14:val="tx1"/>
            </w14:solidFill>
          </w14:textFill>
        </w:rPr>
      </w:pPr>
      <w:bookmarkStart w:id="0" w:name="_Hlk57884087"/>
    </w:p>
    <w:p>
      <w:pPr>
        <w:pStyle w:val="26"/>
        <w:jc w:val="center"/>
        <w:rPr>
          <w:rFonts w:hint="default" w:ascii="Times New Roman" w:hAnsi="Times New Roman" w:eastAsia="仿宋_GB2312" w:cs="Times New Roman"/>
          <w:color w:val="000000" w:themeColor="text1"/>
          <w:sz w:val="36"/>
          <w:szCs w:val="36"/>
          <w:highlight w:val="none"/>
          <w:u w:val="single"/>
          <w14:textFill>
            <w14:solidFill>
              <w14:schemeClr w14:val="tx1"/>
            </w14:solidFill>
          </w14:textFill>
        </w:rPr>
      </w:pPr>
    </w:p>
    <w:p>
      <w:pPr>
        <w:jc w:val="center"/>
        <w:rPr>
          <w:rFonts w:hint="default"/>
          <w:color w:val="000000" w:themeColor="text1"/>
          <w:highlight w:val="none"/>
          <w14:textFill>
            <w14:solidFill>
              <w14:schemeClr w14:val="tx1"/>
            </w14:solidFill>
          </w14:textFill>
        </w:rPr>
      </w:pPr>
    </w:p>
    <w:p>
      <w:pPr>
        <w:pStyle w:val="35"/>
        <w:rPr>
          <w:rFonts w:hint="default"/>
          <w:color w:val="000000" w:themeColor="text1"/>
          <w:highlight w:val="none"/>
          <w14:textFill>
            <w14:solidFill>
              <w14:schemeClr w14:val="tx1"/>
            </w14:solidFill>
          </w14:textFill>
        </w:rPr>
      </w:pPr>
    </w:p>
    <w:p>
      <w:pPr>
        <w:pStyle w:val="35"/>
        <w:rPr>
          <w:rFonts w:hint="default"/>
          <w:color w:val="000000" w:themeColor="text1"/>
          <w:highlight w:val="none"/>
          <w14:textFill>
            <w14:solidFill>
              <w14:schemeClr w14:val="tx1"/>
            </w14:solidFill>
          </w14:textFill>
        </w:rPr>
      </w:pPr>
    </w:p>
    <w:p>
      <w:pPr>
        <w:pStyle w:val="35"/>
        <w:ind w:left="0" w:leftChars="0" w:firstLine="0" w:firstLineChars="0"/>
        <w:jc w:val="both"/>
        <w:rPr>
          <w:rFonts w:hint="default"/>
          <w:color w:val="000000" w:themeColor="text1"/>
          <w:highlight w:val="none"/>
          <w14:textFill>
            <w14:solidFill>
              <w14:schemeClr w14:val="tx1"/>
            </w14:solidFill>
          </w14:textFill>
        </w:rPr>
      </w:pPr>
    </w:p>
    <w:p>
      <w:pPr>
        <w:pStyle w:val="35"/>
        <w:rPr>
          <w:rFonts w:hint="default"/>
          <w:color w:val="000000" w:themeColor="text1"/>
          <w:highlight w:val="none"/>
          <w14:textFill>
            <w14:solidFill>
              <w14:schemeClr w14:val="tx1"/>
            </w14:solidFill>
          </w14:textFill>
        </w:rPr>
      </w:pPr>
    </w:p>
    <w:p>
      <w:pPr>
        <w:pStyle w:val="35"/>
        <w:rPr>
          <w:rFonts w:hint="default"/>
          <w:color w:val="000000" w:themeColor="text1"/>
          <w:highlight w:val="none"/>
          <w14:textFill>
            <w14:solidFill>
              <w14:schemeClr w14:val="tx1"/>
            </w14:solidFill>
          </w14:textFill>
        </w:rPr>
      </w:pPr>
    </w:p>
    <w:bookmarkEnd w:id="0"/>
    <w:p>
      <w:pPr>
        <w:adjustRightInd w:val="0"/>
        <w:snapToGrid w:val="0"/>
        <w:spacing w:line="288" w:lineRule="auto"/>
        <w:ind w:left="0" w:leftChars="0" w:firstLine="0" w:firstLineChars="0"/>
        <w:jc w:val="center"/>
        <w:rPr>
          <w:rFonts w:hint="default" w:ascii="Times New Roman" w:hAnsi="Times New Roman" w:eastAsia="楷体_GB2312" w:cs="Times New Roman"/>
          <w:color w:val="000000" w:themeColor="text1"/>
          <w:sz w:val="36"/>
          <w:szCs w:val="36"/>
          <w:highlight w:val="none"/>
          <w14:textFill>
            <w14:solidFill>
              <w14:schemeClr w14:val="tx1"/>
            </w14:solidFill>
          </w14:textFill>
        </w:rPr>
      </w:pPr>
      <w:r>
        <w:rPr>
          <w:rFonts w:hint="default" w:ascii="Times New Roman" w:hAnsi="Times New Roman" w:eastAsia="楷体_GB2312" w:cs="Times New Roman"/>
          <w:color w:val="000000" w:themeColor="text1"/>
          <w:sz w:val="36"/>
          <w:szCs w:val="36"/>
          <w:highlight w:val="none"/>
          <w14:textFill>
            <w14:solidFill>
              <w14:schemeClr w14:val="tx1"/>
            </w14:solidFill>
          </w14:textFill>
        </w:rPr>
        <w:t>中华人民共和国生态环境部制</w:t>
      </w:r>
    </w:p>
    <w:p>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r>
        <w:rPr>
          <w:rFonts w:hint="default" w:ascii="Times New Roman" w:hAnsi="Times New Roman" w:eastAsia="仿宋_GB2312" w:cs="Times New Roman"/>
          <w:color w:val="000000" w:themeColor="text1"/>
          <w:sz w:val="36"/>
          <w:szCs w:val="36"/>
          <w:highlight w:val="none"/>
          <w14:textFill>
            <w14:solidFill>
              <w14:schemeClr w14:val="tx1"/>
            </w14:solidFill>
          </w14:textFill>
        </w:rPr>
        <w:br w:type="page"/>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仿宋_GB2312" w:cs="Times New Roman"/>
          <w:color w:val="000000" w:themeColor="text1"/>
          <w:sz w:val="36"/>
          <w:szCs w:val="36"/>
          <w:highlight w:val="none"/>
          <w:lang w:eastAsia="zh-CN"/>
          <w14:textFill>
            <w14:solidFill>
              <w14:schemeClr w14:val="tx1"/>
            </w14:solidFill>
          </w14:textFill>
        </w:rPr>
        <w:sectPr>
          <w:headerReference r:id="rId7" w:type="default"/>
          <w:footerReference r:id="rId8" w:type="default"/>
          <w:footerReference r:id="rId9" w:type="even"/>
          <w:pgSz w:w="11906" w:h="16838"/>
          <w:pgMar w:top="1701" w:right="1134" w:bottom="1701" w:left="1531" w:header="851" w:footer="1077" w:gutter="0"/>
          <w:pgBorders>
            <w:top w:val="none" w:sz="0" w:space="0"/>
            <w:left w:val="none" w:sz="0" w:space="0"/>
            <w:bottom w:val="none" w:sz="0" w:space="0"/>
            <w:right w:val="none" w:sz="0" w:space="0"/>
          </w:pgBorders>
          <w:pgNumType w:fmt="numberInDash" w:start="3"/>
          <w:cols w:space="720" w:num="1"/>
          <w:docGrid w:linePitch="312" w:charSpace="0"/>
        </w:sectPr>
      </w:pPr>
      <w:r>
        <w:rPr>
          <w:rFonts w:hint="eastAsia" w:ascii="Times New Roman" w:hAnsi="Times New Roman" w:eastAsia="仿宋_GB2312" w:cs="Times New Roman"/>
          <w:color w:val="000000" w:themeColor="text1"/>
          <w:sz w:val="36"/>
          <w:szCs w:val="36"/>
          <w:highlight w:val="none"/>
          <w:lang w:eastAsia="zh-CN"/>
          <w14:textFill>
            <w14:solidFill>
              <w14:schemeClr w14:val="tx1"/>
            </w14:solidFill>
          </w14:textFill>
        </w:rPr>
        <w:drawing>
          <wp:inline distT="0" distB="0" distL="114300" distR="114300">
            <wp:extent cx="5865495" cy="8420100"/>
            <wp:effectExtent l="0" t="0" r="1905" b="0"/>
            <wp:docPr id="34" name="图片 34" descr="汇金达资质页预览版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descr="汇金达资质页预览版_01"/>
                    <pic:cNvPicPr>
                      <a:picLocks noChangeAspect="true"/>
                    </pic:cNvPicPr>
                  </pic:nvPicPr>
                  <pic:blipFill>
                    <a:blip r:embed="rId19"/>
                    <a:srcRect b="6765"/>
                    <a:stretch>
                      <a:fillRect/>
                    </a:stretch>
                  </pic:blipFill>
                  <pic:spPr>
                    <a:xfrm>
                      <a:off x="0" y="0"/>
                      <a:ext cx="5865495" cy="8420100"/>
                    </a:xfrm>
                    <a:prstGeom prst="rect">
                      <a:avLst/>
                    </a:prstGeom>
                  </pic:spPr>
                </pic:pic>
              </a:graphicData>
            </a:graphic>
          </wp:inline>
        </w:drawing>
      </w:r>
      <w:r>
        <w:rPr>
          <w:rFonts w:hint="eastAsia" w:ascii="Times New Roman" w:hAnsi="Times New Roman" w:eastAsia="仿宋_GB2312" w:cs="Times New Roman"/>
          <w:color w:val="000000" w:themeColor="text1"/>
          <w:sz w:val="36"/>
          <w:szCs w:val="36"/>
          <w:highlight w:val="none"/>
          <w:lang w:eastAsia="zh-CN"/>
          <w14:textFill>
            <w14:solidFill>
              <w14:schemeClr w14:val="tx1"/>
            </w14:solidFill>
          </w14:textFill>
        </w:rPr>
        <w:drawing>
          <wp:inline distT="0" distB="0" distL="114300" distR="114300">
            <wp:extent cx="8208010" cy="5842000"/>
            <wp:effectExtent l="0" t="0" r="6350" b="2540"/>
            <wp:docPr id="140" name="图片 140" descr="营业执照副本"/>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0" name="图片 140" descr="营业执照副本"/>
                    <pic:cNvPicPr>
                      <a:picLocks noChangeAspect="true"/>
                    </pic:cNvPicPr>
                  </pic:nvPicPr>
                  <pic:blipFill>
                    <a:blip r:embed="rId20"/>
                    <a:stretch>
                      <a:fillRect/>
                    </a:stretch>
                  </pic:blipFill>
                  <pic:spPr>
                    <a:xfrm rot="16200000">
                      <a:off x="0" y="0"/>
                      <a:ext cx="8208010" cy="5842000"/>
                    </a:xfrm>
                    <a:prstGeom prst="rect">
                      <a:avLst/>
                    </a:prstGeom>
                  </pic:spPr>
                </pic:pic>
              </a:graphicData>
            </a:graphic>
          </wp:inline>
        </w:drawing>
      </w:r>
      <w:bookmarkStart w:id="12" w:name="_GoBack"/>
      <w:bookmarkEnd w:id="12"/>
      <w:r>
        <w:drawing>
          <wp:inline distT="0" distB="0" distL="114300" distR="114300">
            <wp:extent cx="5784215" cy="7882890"/>
            <wp:effectExtent l="0" t="0" r="6985" b="3810"/>
            <wp:docPr id="14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2" name="图片 2"/>
                    <pic:cNvPicPr>
                      <a:picLocks noChangeAspect="true"/>
                    </pic:cNvPicPr>
                  </pic:nvPicPr>
                  <pic:blipFill>
                    <a:blip r:embed="rId21"/>
                    <a:stretch>
                      <a:fillRect/>
                    </a:stretch>
                  </pic:blipFill>
                  <pic:spPr>
                    <a:xfrm>
                      <a:off x="0" y="0"/>
                      <a:ext cx="5784215" cy="7882890"/>
                    </a:xfrm>
                    <a:prstGeom prst="rect">
                      <a:avLst/>
                    </a:prstGeom>
                    <a:noFill/>
                    <a:ln>
                      <a:noFill/>
                    </a:ln>
                  </pic:spPr>
                </pic:pic>
              </a:graphicData>
            </a:graphic>
          </wp:inline>
        </w:drawing>
      </w:r>
    </w:p>
    <w:p>
      <w:pPr>
        <w:pStyle w:val="22"/>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一、建设项目基本情况</w:t>
      </w:r>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85"/>
        <w:gridCol w:w="1106"/>
        <w:gridCol w:w="2128"/>
        <w:gridCol w:w="2212"/>
        <w:gridCol w:w="25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建设项目名称</w:t>
            </w:r>
          </w:p>
        </w:tc>
        <w:tc>
          <w:tcPr>
            <w:tcW w:w="6920" w:type="dxa"/>
            <w:gridSpan w:val="3"/>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鄂尔多斯市汇金达清洁溶剂油有限公司20万吨/年柴油调和项目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项目代码</w:t>
            </w:r>
          </w:p>
        </w:tc>
        <w:tc>
          <w:tcPr>
            <w:tcW w:w="6920" w:type="dxa"/>
            <w:gridSpan w:val="3"/>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2507-150627-04-01-873676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建设单位联系人</w:t>
            </w:r>
          </w:p>
        </w:tc>
        <w:tc>
          <w:tcPr>
            <w:tcW w:w="2128"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黑大伟</w:t>
            </w:r>
          </w:p>
        </w:tc>
        <w:tc>
          <w:tcPr>
            <w:tcW w:w="2212"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联系方式</w:t>
            </w:r>
          </w:p>
        </w:tc>
        <w:tc>
          <w:tcPr>
            <w:tcW w:w="2580"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18182482833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建设地点</w:t>
            </w:r>
          </w:p>
        </w:tc>
        <w:tc>
          <w:tcPr>
            <w:tcW w:w="6920" w:type="dxa"/>
            <w:gridSpan w:val="3"/>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内蒙古自治区鄂尔多斯市伊金霍洛旗蒙苏经济开发区圣圆煤化工基地汇金达厂区内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地理坐标</w:t>
            </w:r>
          </w:p>
        </w:tc>
        <w:tc>
          <w:tcPr>
            <w:tcW w:w="6920" w:type="dxa"/>
            <w:gridSpan w:val="3"/>
            <w:noWrap w:val="0"/>
            <w:vAlign w:val="center"/>
          </w:tcPr>
          <w:p>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E110°23′3.72</w:t>
            </w:r>
            <w:r>
              <w:rPr>
                <w:rFonts w:hint="eastAsia" w:cs="Times New Roman"/>
                <w:color w:val="000000" w:themeColor="text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Cs w:val="21"/>
                <w:highlight w:val="none"/>
                <w14:textFill>
                  <w14:solidFill>
                    <w14:schemeClr w14:val="tx1"/>
                  </w14:solidFill>
                </w14:textFill>
              </w:rPr>
              <w:t>″、N39°21′0.43</w:t>
            </w:r>
            <w:r>
              <w:rPr>
                <w:rFonts w:hint="eastAsia" w:cs="Times New Roman"/>
                <w:color w:val="000000" w:themeColor="text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Cs w:val="21"/>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1"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国民经济</w:t>
            </w: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行业类别</w:t>
            </w:r>
          </w:p>
        </w:tc>
        <w:tc>
          <w:tcPr>
            <w:tcW w:w="2128"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C2511原油加工及石油制品制造</w:t>
            </w:r>
          </w:p>
        </w:tc>
        <w:tc>
          <w:tcPr>
            <w:tcW w:w="2212"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bookmarkStart w:id="1" w:name="_Hlk49843745"/>
            <w:r>
              <w:rPr>
                <w:rFonts w:hint="default" w:ascii="Times New Roman" w:hAnsi="Times New Roman" w:cs="Times New Roman"/>
                <w:color w:val="000000" w:themeColor="text1"/>
                <w:szCs w:val="21"/>
                <w:highlight w:val="none"/>
                <w14:textFill>
                  <w14:solidFill>
                    <w14:schemeClr w14:val="tx1"/>
                  </w14:solidFill>
                </w14:textFill>
              </w:rPr>
              <w:t>建设项目</w:t>
            </w: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行业类别</w:t>
            </w:r>
            <w:bookmarkEnd w:id="1"/>
          </w:p>
        </w:tc>
        <w:tc>
          <w:tcPr>
            <w:tcW w:w="2580"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二十二、石油、煤炭及其他燃料加工业</w:t>
            </w:r>
            <w:r>
              <w:rPr>
                <w:rFonts w:hint="eastAsia" w:cs="Times New Roman"/>
                <w:color w:val="000000" w:themeColor="text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精炼石油产品制造251</w:t>
            </w:r>
            <w:r>
              <w:rPr>
                <w:rFonts w:hint="eastAsia" w:cs="Times New Roman"/>
                <w:color w:val="000000" w:themeColor="text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单纯物理分离、物理提纯、混合、分装的（不产生废水或挥发性有机物的除外）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建设性质</w:t>
            </w:r>
          </w:p>
        </w:tc>
        <w:tc>
          <w:tcPr>
            <w:tcW w:w="2128" w:type="dxa"/>
            <w:noWrap w:val="0"/>
            <w:vAlign w:val="center"/>
          </w:tcPr>
          <w:p>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新建（迁建）</w:t>
            </w:r>
          </w:p>
          <w:p>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cs="Times New Roman"/>
                <w:color w:val="FF0000"/>
                <w:szCs w:val="21"/>
                <w:highlight w:val="none"/>
              </w:rPr>
            </w:pPr>
            <w:r>
              <w:rPr>
                <w:rFonts w:hint="eastAsia" w:cs="Times New Roman"/>
                <w:color w:val="FF0000"/>
                <w:szCs w:val="21"/>
                <w:highlight w:val="none"/>
                <w:lang w:eastAsia="zh-CN"/>
              </w:rPr>
              <w:t>☑</w:t>
            </w:r>
            <w:r>
              <w:rPr>
                <w:rFonts w:hint="default" w:ascii="Times New Roman" w:hAnsi="Times New Roman" w:cs="Times New Roman"/>
                <w:color w:val="FF0000"/>
                <w:szCs w:val="21"/>
                <w:highlight w:val="none"/>
              </w:rPr>
              <w:t>改建</w:t>
            </w:r>
          </w:p>
          <w:p>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扩建</w:t>
            </w:r>
          </w:p>
          <w:p>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技术改造</w:t>
            </w:r>
            <w:r>
              <w:commentReference w:id="0"/>
            </w:r>
          </w:p>
        </w:tc>
        <w:tc>
          <w:tcPr>
            <w:tcW w:w="2212"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建设项目</w:t>
            </w: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申报情形</w:t>
            </w:r>
          </w:p>
        </w:tc>
        <w:tc>
          <w:tcPr>
            <w:tcW w:w="2580" w:type="dxa"/>
            <w:noWrap w:val="0"/>
            <w:vAlign w:val="center"/>
          </w:tcPr>
          <w:p>
            <w:pPr>
              <w:keepNext w:val="0"/>
              <w:keepLines w:val="0"/>
              <w:pageBreakBefore w:val="0"/>
              <w:widowControl w:val="0"/>
              <w:kinsoku/>
              <w:wordWrap/>
              <w:overflowPunct/>
              <w:topLinePunct w:val="0"/>
              <w:bidi w:val="0"/>
              <w:spacing w:line="240" w:lineRule="auto"/>
              <w:ind w:firstLine="0" w:firstLineChars="0"/>
              <w:jc w:val="left"/>
              <w:textAlignment w:val="auto"/>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首次申报项目</w:t>
            </w:r>
          </w:p>
          <w:p>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不予批准后再次申报项目</w:t>
            </w:r>
          </w:p>
          <w:p>
            <w:pPr>
              <w:keepNext w:val="0"/>
              <w:keepLines w:val="0"/>
              <w:pageBreakBefore w:val="0"/>
              <w:widowControl w:val="0"/>
              <w:kinsoku/>
              <w:wordWrap/>
              <w:overflowPunct/>
              <w:topLinePunct w:val="0"/>
              <w:bidi w:val="0"/>
              <w:spacing w:line="240" w:lineRule="auto"/>
              <w:ind w:firstLine="0" w:firstLineChars="0"/>
              <w:jc w:val="left"/>
              <w:textAlignment w:val="auto"/>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超五年重新审核项目</w:t>
            </w:r>
          </w:p>
          <w:p>
            <w:pPr>
              <w:keepNext w:val="0"/>
              <w:keepLines w:val="0"/>
              <w:pageBreakBefore w:val="0"/>
              <w:widowControl w:val="0"/>
              <w:kinsoku/>
              <w:wordWrap/>
              <w:overflowPunct/>
              <w:topLinePunct w:val="0"/>
              <w:bidi w:val="0"/>
              <w:spacing w:line="240" w:lineRule="auto"/>
              <w:ind w:firstLine="0" w:firstLineChars="0"/>
              <w:jc w:val="left"/>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项目审批（核准/</w:t>
            </w: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备案）部门（选填）</w:t>
            </w:r>
          </w:p>
        </w:tc>
        <w:tc>
          <w:tcPr>
            <w:tcW w:w="2128"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2212"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项目审批（核准/</w:t>
            </w: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备案）文号（选填）</w:t>
            </w:r>
          </w:p>
        </w:tc>
        <w:tc>
          <w:tcPr>
            <w:tcW w:w="2580"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3"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总投资（万元）</w:t>
            </w:r>
          </w:p>
        </w:tc>
        <w:tc>
          <w:tcPr>
            <w:tcW w:w="2128"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8000</w:t>
            </w:r>
          </w:p>
        </w:tc>
        <w:tc>
          <w:tcPr>
            <w:tcW w:w="2212" w:type="dxa"/>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环保投资（万元）</w:t>
            </w:r>
          </w:p>
        </w:tc>
        <w:tc>
          <w:tcPr>
            <w:tcW w:w="2580"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189.2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环保投资占比（%）</w:t>
            </w:r>
          </w:p>
        </w:tc>
        <w:tc>
          <w:tcPr>
            <w:tcW w:w="2128"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2.37</w:t>
            </w:r>
          </w:p>
        </w:tc>
        <w:tc>
          <w:tcPr>
            <w:tcW w:w="2212" w:type="dxa"/>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施工工期</w:t>
            </w:r>
          </w:p>
        </w:tc>
        <w:tc>
          <w:tcPr>
            <w:tcW w:w="2580"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2</w:t>
            </w:r>
            <w:r>
              <w:rPr>
                <w:rFonts w:hint="eastAsia" w:ascii="Times New Roman" w:hAnsi="Times New Roman" w:cs="Times New Roman"/>
                <w:color w:val="000000" w:themeColor="text1"/>
                <w:szCs w:val="21"/>
                <w:highlight w:val="none"/>
                <w:lang w:val="en-US" w:eastAsia="zh-CN"/>
                <w14:textFill>
                  <w14:solidFill>
                    <w14:schemeClr w14:val="tx1"/>
                  </w14:solidFill>
                </w14:textFill>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91" w:type="dxa"/>
            <w:gridSpan w:val="2"/>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是否开工建设</w:t>
            </w:r>
          </w:p>
        </w:tc>
        <w:tc>
          <w:tcPr>
            <w:tcW w:w="2128"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否</w:t>
            </w:r>
          </w:p>
          <w:p>
            <w:pPr>
              <w:keepNext w:val="0"/>
              <w:keepLines w:val="0"/>
              <w:pageBreakBefore w:val="0"/>
              <w:widowControl w:val="0"/>
              <w:kinsoku/>
              <w:wordWrap/>
              <w:overflowPunct/>
              <w:topLinePunct w:val="0"/>
              <w:bidi w:val="0"/>
              <w:adjustRightInd w:val="0"/>
              <w:snapToGrid w:val="0"/>
              <w:spacing w:line="240" w:lineRule="auto"/>
              <w:ind w:firstLine="0" w:firstLineChars="0"/>
              <w:textAlignment w:val="auto"/>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是：</w:t>
            </w:r>
          </w:p>
        </w:tc>
        <w:tc>
          <w:tcPr>
            <w:tcW w:w="2212" w:type="dxa"/>
            <w:noWrap w:val="0"/>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6"/>
                <w:szCs w:val="21"/>
                <w:highlight w:val="none"/>
                <w14:textFill>
                  <w14:solidFill>
                    <w14:schemeClr w14:val="tx1"/>
                  </w14:solidFill>
                </w14:textFill>
              </w:rPr>
              <w:t>用地面积（</w:t>
            </w:r>
            <w:r>
              <w:rPr>
                <w:rFonts w:hint="eastAsia" w:cs="Times New Roman"/>
                <w:color w:val="000000" w:themeColor="text1"/>
                <w:spacing w:val="-6"/>
                <w:szCs w:val="21"/>
                <w:highlight w:val="none"/>
                <w:lang w:eastAsia="zh-CN"/>
                <w14:textFill>
                  <w14:solidFill>
                    <w14:schemeClr w14:val="tx1"/>
                  </w14:solidFill>
                </w14:textFill>
              </w:rPr>
              <w:t>㎡</w:t>
            </w:r>
            <w:r>
              <w:rPr>
                <w:rFonts w:hint="default" w:ascii="Times New Roman" w:hAnsi="Times New Roman" w:cs="Times New Roman"/>
                <w:color w:val="000000" w:themeColor="text1"/>
                <w:spacing w:val="-6"/>
                <w:szCs w:val="21"/>
                <w:highlight w:val="none"/>
                <w14:textFill>
                  <w14:solidFill>
                    <w14:schemeClr w14:val="tx1"/>
                  </w14:solidFill>
                </w14:textFill>
              </w:rPr>
              <w:t>）</w:t>
            </w:r>
          </w:p>
        </w:tc>
        <w:tc>
          <w:tcPr>
            <w:tcW w:w="2580" w:type="dxa"/>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16666.5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9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专项评价设置情况</w:t>
            </w:r>
          </w:p>
        </w:tc>
        <w:tc>
          <w:tcPr>
            <w:tcW w:w="6920" w:type="dxa"/>
            <w:gridSpan w:val="3"/>
            <w:noWrap w:val="0"/>
            <w:vAlign w:val="center"/>
          </w:tcPr>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根据建设项目环境影响报告表编制技术指南（污染影响类），本项目需开展风险专项评价。</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t>表1-1项目专项评价设置情况判定表</w:t>
            </w:r>
          </w:p>
          <w:tbl>
            <w:tblPr>
              <w:tblStyle w:val="28"/>
              <w:tblW w:w="68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
              <w:gridCol w:w="2765"/>
              <w:gridCol w:w="2152"/>
              <w:gridCol w:w="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93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专项评价的类别</w:t>
                  </w:r>
                </w:p>
              </w:tc>
              <w:tc>
                <w:tcPr>
                  <w:tcW w:w="27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设置原则</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本项目</w:t>
                  </w:r>
                </w:p>
              </w:tc>
              <w:tc>
                <w:tcPr>
                  <w:tcW w:w="952" w:type="dxa"/>
                  <w:tcBorders>
                    <w:tl2br w:val="nil"/>
                    <w:tr2bl w:val="nil"/>
                  </w:tcBorders>
                  <w:noWrap w:val="0"/>
                  <w:vAlign w:val="center"/>
                </w:tcPr>
                <w:p>
                  <w:pPr>
                    <w:pStyle w:val="93"/>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是否设置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93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大气</w:t>
                  </w:r>
                </w:p>
              </w:tc>
              <w:tc>
                <w:tcPr>
                  <w:tcW w:w="27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排放废气含有毒有害污染物、二噁英、苯并[a]芘、氰化物、氯气且厂界外500米范围内有环境空气保护目标的建设项目。</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本项目废气</w:t>
                  </w:r>
                  <w:r>
                    <w:rPr>
                      <w:rFonts w:hint="eastAsia" w:cs="Times New Roman"/>
                      <w:color w:val="000000" w:themeColor="text1"/>
                      <w:kern w:val="0"/>
                      <w:sz w:val="21"/>
                      <w:szCs w:val="21"/>
                      <w:highlight w:val="none"/>
                      <w:lang w:val="en-US" w:eastAsia="zh-CN"/>
                      <w14:textFill>
                        <w14:solidFill>
                          <w14:schemeClr w14:val="tx1"/>
                        </w14:solidFill>
                      </w14:textFill>
                    </w:rPr>
                    <w:t>主要为非甲烷总烃，</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不涉及《有毒有害大气污染物名录》的污染物，不排放二噁英、苯并[a]芘、氰化物、氯气</w:t>
                  </w:r>
                  <w:r>
                    <w:rPr>
                      <w:rFonts w:hint="eastAsia" w:cs="Times New Roman"/>
                      <w:color w:val="000000" w:themeColor="text1"/>
                      <w:kern w:val="0"/>
                      <w:sz w:val="21"/>
                      <w:szCs w:val="21"/>
                      <w:highlight w:val="none"/>
                      <w:lang w:val="en-US" w:eastAsia="zh-CN"/>
                      <w14:textFill>
                        <w14:solidFill>
                          <w14:schemeClr w14:val="tx1"/>
                        </w14:solidFill>
                      </w14:textFill>
                    </w:rPr>
                    <w:t>且厂界外500米范围内无环境空气保护目标。</w:t>
                  </w:r>
                </w:p>
              </w:tc>
              <w:tc>
                <w:tcPr>
                  <w:tcW w:w="952" w:type="dxa"/>
                  <w:tcBorders>
                    <w:tl2br w:val="nil"/>
                    <w:tr2bl w:val="nil"/>
                  </w:tcBorders>
                  <w:noWrap w:val="0"/>
                  <w:vAlign w:val="center"/>
                </w:tcPr>
                <w:p>
                  <w:pPr>
                    <w:pStyle w:val="93"/>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3" w:hRule="atLeast"/>
                <w:jc w:val="center"/>
              </w:trPr>
              <w:tc>
                <w:tcPr>
                  <w:tcW w:w="93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地表水</w:t>
                  </w:r>
                </w:p>
              </w:tc>
              <w:tc>
                <w:tcPr>
                  <w:tcW w:w="27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新增工业废水直排建设项目（槽罐车外送污水处理厂的除外）；新增废水直排的污水集中处理厂。</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w:t>
                  </w:r>
                  <w:r>
                    <w:rPr>
                      <w:rFonts w:hint="eastAsia" w:cs="Times New Roman"/>
                      <w:color w:val="000000" w:themeColor="text1"/>
                      <w:kern w:val="0"/>
                      <w:sz w:val="21"/>
                      <w:szCs w:val="21"/>
                      <w:highlight w:val="none"/>
                      <w:lang w:val="en-US" w:eastAsia="zh-CN"/>
                      <w14:textFill>
                        <w14:solidFill>
                          <w14:schemeClr w14:val="tx1"/>
                        </w14:solidFill>
                      </w14:textFill>
                    </w:rPr>
                    <w:t>废水经污水处理站处理后</w:t>
                  </w:r>
                  <w:r>
                    <w:rPr>
                      <w:rFonts w:hint="eastAsia"/>
                      <w:color w:val="000000" w:themeColor="text1"/>
                      <w:sz w:val="21"/>
                      <w:szCs w:val="21"/>
                      <w:highlight w:val="none"/>
                      <w:u w:val="none"/>
                      <w:lang w:val="en-US" w:eastAsia="zh-CN"/>
                      <w14:textFill>
                        <w14:solidFill>
                          <w14:schemeClr w14:val="tx1"/>
                        </w14:solidFill>
                      </w14:textFill>
                    </w:rPr>
                    <w:t>排至鄂尔多斯市泰鑫煤炭有限公司洗煤综合利用，不直接排放</w:t>
                  </w:r>
                </w:p>
              </w:tc>
              <w:tc>
                <w:tcPr>
                  <w:tcW w:w="952" w:type="dxa"/>
                  <w:tcBorders>
                    <w:tl2br w:val="nil"/>
                    <w:tr2bl w:val="nil"/>
                  </w:tcBorders>
                  <w:noWrap w:val="0"/>
                  <w:vAlign w:val="center"/>
                </w:tcPr>
                <w:p>
                  <w:pPr>
                    <w:pStyle w:val="93"/>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93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环境风险</w:t>
                  </w:r>
                </w:p>
              </w:tc>
              <w:tc>
                <w:tcPr>
                  <w:tcW w:w="27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有毒有害和易燃易爆危险物质存储量超过临界量的建设项目。</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本项目有毒有害和易燃易爆危险物质</w:t>
                  </w:r>
                  <w:r>
                    <w:rPr>
                      <w:rFonts w:hint="eastAsia" w:cs="Times New Roman"/>
                      <w:color w:val="000000" w:themeColor="text1"/>
                      <w:kern w:val="0"/>
                      <w:sz w:val="21"/>
                      <w:szCs w:val="21"/>
                      <w:highlight w:val="none"/>
                      <w:lang w:val="en-US" w:eastAsia="zh-CN"/>
                      <w14:textFill>
                        <w14:solidFill>
                          <w14:schemeClr w14:val="tx1"/>
                        </w14:solidFill>
                      </w14:textFill>
                    </w:rPr>
                    <w:t>为油类物质，</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存储量</w:t>
                  </w:r>
                  <w:r>
                    <w:rPr>
                      <w:rFonts w:hint="eastAsia" w:cs="Times New Roman"/>
                      <w:color w:val="000000" w:themeColor="text1"/>
                      <w:kern w:val="0"/>
                      <w:sz w:val="21"/>
                      <w:szCs w:val="21"/>
                      <w:highlight w:val="none"/>
                      <w:lang w:val="en-US" w:eastAsia="zh-CN"/>
                      <w14:textFill>
                        <w14:solidFill>
                          <w14:schemeClr w14:val="tx1"/>
                        </w14:solidFill>
                      </w14:textFill>
                    </w:rPr>
                    <w:t>为14955.75t，</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超过临界量</w:t>
                  </w:r>
                  <w:r>
                    <w:rPr>
                      <w:rFonts w:hint="eastAsia" w:cs="Times New Roman"/>
                      <w:color w:val="000000" w:themeColor="text1"/>
                      <w:kern w:val="0"/>
                      <w:sz w:val="21"/>
                      <w:szCs w:val="21"/>
                      <w:highlight w:val="none"/>
                      <w:lang w:val="en-US" w:eastAsia="zh-CN"/>
                      <w14:textFill>
                        <w14:solidFill>
                          <w14:schemeClr w14:val="tx1"/>
                        </w14:solidFill>
                      </w14:textFill>
                    </w:rPr>
                    <w:t>2500t</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，因此本项目须设置环境风险专项评价。</w:t>
                  </w:r>
                </w:p>
              </w:tc>
              <w:tc>
                <w:tcPr>
                  <w:tcW w:w="952" w:type="dxa"/>
                  <w:tcBorders>
                    <w:tl2br w:val="nil"/>
                    <w:tr2bl w:val="nil"/>
                  </w:tcBorders>
                  <w:noWrap w:val="0"/>
                  <w:vAlign w:val="center"/>
                </w:tcPr>
                <w:p>
                  <w:pPr>
                    <w:pStyle w:val="93"/>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1" w:hRule="atLeast"/>
                <w:jc w:val="center"/>
              </w:trPr>
              <w:tc>
                <w:tcPr>
                  <w:tcW w:w="93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生态</w:t>
                  </w:r>
                </w:p>
              </w:tc>
              <w:tc>
                <w:tcPr>
                  <w:tcW w:w="27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取水口下游500米范围内有重要水生生物的自然产卵场、索饵场、越冬场和洄游通道的新增河道取水的污染类建设项目。</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w:t>
                  </w:r>
                  <w:r>
                    <w:rPr>
                      <w:rFonts w:hint="eastAsia" w:cs="Times New Roman"/>
                      <w:color w:val="000000" w:themeColor="text1"/>
                      <w:kern w:val="0"/>
                      <w:sz w:val="21"/>
                      <w:szCs w:val="21"/>
                      <w:highlight w:val="none"/>
                      <w:lang w:val="en-US" w:eastAsia="zh-CN"/>
                      <w14:textFill>
                        <w14:solidFill>
                          <w14:schemeClr w14:val="tx1"/>
                        </w14:solidFill>
                      </w14:textFill>
                    </w:rPr>
                    <w:t>用水来自园区供水管网，</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不涉及</w:t>
                  </w:r>
                  <w:r>
                    <w:rPr>
                      <w:rFonts w:hint="eastAsia" w:cs="Times New Roman"/>
                      <w:color w:val="000000" w:themeColor="text1"/>
                      <w:kern w:val="0"/>
                      <w:sz w:val="21"/>
                      <w:szCs w:val="21"/>
                      <w:highlight w:val="none"/>
                      <w:lang w:val="en-US" w:eastAsia="zh-CN"/>
                      <w14:textFill>
                        <w14:solidFill>
                          <w14:schemeClr w14:val="tx1"/>
                        </w14:solidFill>
                      </w14:textFill>
                    </w:rPr>
                    <w:t>河道取水</w:t>
                  </w:r>
                </w:p>
              </w:tc>
              <w:tc>
                <w:tcPr>
                  <w:tcW w:w="952" w:type="dxa"/>
                  <w:tcBorders>
                    <w:tl2br w:val="nil"/>
                    <w:tr2bl w:val="nil"/>
                  </w:tcBorders>
                  <w:noWrap w:val="0"/>
                  <w:vAlign w:val="center"/>
                </w:tcPr>
                <w:p>
                  <w:pPr>
                    <w:pStyle w:val="93"/>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93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海洋</w:t>
                  </w:r>
                </w:p>
              </w:tc>
              <w:tc>
                <w:tcPr>
                  <w:tcW w:w="276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直接向海排放污染物的海洋工程建设项目。</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本项目不涉及</w:t>
                  </w:r>
                </w:p>
              </w:tc>
              <w:tc>
                <w:tcPr>
                  <w:tcW w:w="952" w:type="dxa"/>
                  <w:tcBorders>
                    <w:tl2br w:val="nil"/>
                    <w:tr2bl w:val="nil"/>
                  </w:tcBorders>
                  <w:noWrap w:val="0"/>
                  <w:vAlign w:val="center"/>
                </w:tcPr>
                <w:p>
                  <w:pPr>
                    <w:pStyle w:val="93"/>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否</w:t>
                  </w:r>
                </w:p>
              </w:tc>
            </w:tr>
          </w:tbl>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9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规划情况</w:t>
            </w:r>
          </w:p>
        </w:tc>
        <w:tc>
          <w:tcPr>
            <w:tcW w:w="69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t>2022年12月，鄂尔多斯蒙苏经济开发区管委会委托苏州中资工程咨询有限公司编制了《内蒙古鄂尔多斯蒙苏经济开发区产业发展规划（2023-2035年）》。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2024</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年</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6</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月</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18</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日，鄂尔多斯蒙苏经济开发区获得《鄂尔多斯市人民政府关于蒙苏经济开发区产业发展规划（</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2023-2035</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年）的批复》（鄂府发</w:t>
            </w:r>
            <w:r>
              <w:rPr>
                <w:rFonts w:hint="eastAsia"/>
                <w:color w:val="000000" w:themeColor="text1"/>
                <w:highlight w:val="none"/>
                <w:lang w:val="en-US" w:eastAsia="zh-CN"/>
                <w14:textFill>
                  <w14:solidFill>
                    <w14:schemeClr w14:val="tx1"/>
                  </w14:solidFill>
                </w14:textFill>
              </w:rPr>
              <w:t>〔2024〕</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43</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号）：鄂尔多斯蒙苏经济开发区主导产业为能源化工、装备制造、物流及相关延伸产业。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eastAsia="宋体"/>
                <w:color w:val="000000" w:themeColor="text1"/>
                <w:kern w:val="0"/>
                <w:sz w:val="24"/>
                <w:highlight w:val="none"/>
                <w:lang w:eastAsia="zh-CN"/>
                <w14:textFill>
                  <w14:solidFill>
                    <w14:schemeClr w14:val="tx1"/>
                  </w14:solidFill>
                </w14:textFill>
              </w:rPr>
            </w:pPr>
            <w:r>
              <w:rPr>
                <w:rFonts w:hint="eastAsia" w:eastAsia="宋体"/>
                <w:color w:val="000000" w:themeColor="text1"/>
                <w:kern w:val="0"/>
                <w:sz w:val="24"/>
                <w:highlight w:val="none"/>
                <w:lang w:eastAsia="zh-CN"/>
                <w14:textFill>
                  <w14:solidFill>
                    <w14:schemeClr w14:val="tx1"/>
                  </w14:solidFill>
                </w14:textFill>
              </w:rPr>
              <w:t>2023年4月，鄂尔多斯蒙苏经济开发区管委会委托城市科学规划设计研究院有限公司编制《鄂尔多斯蒙苏经济开发区国土空间总体规划（2021-2035年）》。</w:t>
            </w:r>
          </w:p>
          <w:p>
            <w:pPr>
              <w:bidi w:val="0"/>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2024</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年</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月</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日，内蒙古自治区工业和信息化厅发布《关于印发实施内蒙古自治区工业园区审核公告目录的通知》（内工信发</w:t>
            </w:r>
            <w:r>
              <w:rPr>
                <w:rFonts w:hint="eastAsia"/>
                <w:color w:val="000000" w:themeColor="text1"/>
                <w:highlight w:val="none"/>
                <w:lang w:val="en-US" w:eastAsia="zh-CN"/>
                <w14:textFill>
                  <w14:solidFill>
                    <w14:schemeClr w14:val="tx1"/>
                  </w14:solidFill>
                </w14:textFill>
              </w:rPr>
              <w:t>〔2024〕</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87</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号），鄂尔多斯蒙苏经济开发区园区级别为一类，分为鄂尔多斯零碳产业园、圣圆煤化工产业园、伊金霍洛物流园三个区块。</w:t>
            </w:r>
          </w:p>
          <w:p>
            <w:pPr>
              <w:bidi w:val="0"/>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圣圆煤化工产业园属于蒙苏经济开发区“一区三园”总体格局中的一园，包括汇能煤化工产业片区和乌兰木伦产业片区，其中汇能煤化工产业片区以发展煤炭分质利用项目并拓展下游现代煤化工产业为基础，并发展精细化工、新材料，推进大宗固废综合利用、煤化工产品循环利用。乌兰木伦产业片区发展煤电一体化、煤制油及下游产业、煤炭分质分级利用、循环经济等产业。</w:t>
            </w:r>
          </w:p>
          <w:p>
            <w:pPr>
              <w:bidi w:val="0"/>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其中，汇能煤化工产业片区规划园区功能结构为：一带、两区、三园。</w:t>
            </w:r>
          </w:p>
          <w:p>
            <w:pPr>
              <w:bidi w:val="0"/>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一带：规划以汇能西线为联动汇能煤化工产业片区南区和北区的产业联动发展带。</w:t>
            </w:r>
          </w:p>
          <w:p>
            <w:pPr>
              <w:bidi w:val="0"/>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两区：用于发展化工产业的2个化工集中区，精细化工和化工新材料、煤化工集中区、现代煤化工集中区。</w:t>
            </w:r>
          </w:p>
          <w:p>
            <w:pPr>
              <w:bidi w:val="0"/>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精细化工和化工新材料、煤化工集中区：主要发展煤化工低碳化发展产业，招引精细化工产业和新材料产业。</w:t>
            </w:r>
          </w:p>
          <w:p>
            <w:pPr>
              <w:bidi w:val="0"/>
              <w:rPr>
                <w:rFonts w:hint="eastAsia"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现代煤化工集中区：主要发展煤基油气、低阶煤分级分质高效综合利用项目，二氧化碳捕集利用，废物综合利用循环产业。</w:t>
            </w:r>
            <w:r>
              <w:rPr>
                <w:rFonts w:hint="eastAsia" w:cs="Times New Roman"/>
                <w:color w:val="000000" w:themeColor="text1"/>
                <w:kern w:val="0"/>
                <w:sz w:val="24"/>
                <w:highlight w:val="none"/>
                <w:lang w:val="en-US" w:eastAsia="zh-CN"/>
                <w14:textFill>
                  <w14:solidFill>
                    <w14:schemeClr w14:val="tx1"/>
                  </w14:solidFill>
                </w14:textFill>
              </w:rPr>
              <w:t xml:space="preserve">   </w:t>
            </w:r>
          </w:p>
          <w:p>
            <w:pPr>
              <w:bidi w:val="0"/>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三园：用于布局非化工产业的3个产业园，煤炭深加工和新型建材产业园、能源电力产业园和循环经济产业园。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19" w:hRule="atLeast"/>
          <w:jc w:val="center"/>
        </w:trPr>
        <w:tc>
          <w:tcPr>
            <w:tcW w:w="1891" w:type="dxa"/>
            <w:gridSpan w:val="2"/>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规划环境影响</w:t>
            </w: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评价情况</w:t>
            </w:r>
          </w:p>
        </w:tc>
        <w:tc>
          <w:tcPr>
            <w:tcW w:w="6920" w:type="dxa"/>
            <w:gridSpan w:val="3"/>
            <w:noWrap w:val="0"/>
            <w:vAlign w:val="center"/>
          </w:tcPr>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文件名称：《鄂尔多斯蒙苏经济开发区国土空间总体规划(2021-2035年)-圣圆煤化工产业园环境影响报告书》</w:t>
            </w:r>
          </w:p>
          <w:p>
            <w:pPr>
              <w:bidi w:val="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审查机关：</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内蒙古自治区生态环境厅</w:t>
            </w:r>
          </w:p>
          <w:p>
            <w:pPr>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审批文件名称：《关于鄂尔多斯蒙苏经济开发区国土空间总体规划(2021-2035年)-圣圆煤化工产业园环境影响报告书的审查意见》</w:t>
            </w:r>
          </w:p>
          <w:p>
            <w:pPr>
              <w:bidi w:val="0"/>
              <w:rPr>
                <w:rFonts w:hint="default"/>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审批文号：</w:t>
            </w:r>
            <w:r>
              <w:rPr>
                <w:rFonts w:hint="eastAsia" w:ascii="Times New Roman" w:hAnsi="Times New Roman" w:eastAsia="宋体" w:cs="Times New Roman"/>
                <w:b w:val="0"/>
                <w:bCs w:val="0"/>
                <w:color w:val="000000" w:themeColor="text1"/>
                <w:sz w:val="24"/>
                <w:highlight w:val="none"/>
                <w:lang w:val="en-US" w:eastAsia="zh-CN"/>
                <w14:textFill>
                  <w14:solidFill>
                    <w14:schemeClr w14:val="tx1"/>
                  </w14:solidFill>
                </w14:textFill>
              </w:rPr>
              <w:t>内环审[2024]92号文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9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规划及规划环境影响评价符合性分析</w:t>
            </w:r>
          </w:p>
        </w:tc>
        <w:tc>
          <w:tcPr>
            <w:tcW w:w="6920" w:type="dxa"/>
            <w:gridSpan w:val="3"/>
            <w:noWrap w:val="0"/>
            <w:vAlign w:val="center"/>
          </w:tcPr>
          <w:p>
            <w:pPr>
              <w:bidi w:val="0"/>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根据《内蒙古鄂尔多斯蒙苏经济开发区产业发展规划（2023-2035年）》，</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项目选址位于蒙苏经济开发区圣圆煤化工产业园汇能煤化工产业片区的现代煤化工集中区</w:t>
            </w:r>
            <w:r>
              <w:rPr>
                <w:rFonts w:hint="eastAsia" w:cs="Times New Roman"/>
                <w:color w:val="000000" w:themeColor="text1"/>
                <w:kern w:val="0"/>
                <w:sz w:val="24"/>
                <w:highlight w:val="none"/>
                <w:lang w:val="en-US" w:eastAsia="zh-CN"/>
                <w14:textFill>
                  <w14:solidFill>
                    <w14:schemeClr w14:val="tx1"/>
                  </w14:solidFill>
                </w14:textFill>
              </w:rPr>
              <w:t>板块</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，主导产业为能源化工</w:t>
            </w:r>
            <w:r>
              <w:rPr>
                <w:rFonts w:hint="eastAsia" w:cs="Times New Roman"/>
                <w:color w:val="000000" w:themeColor="text1"/>
                <w:kern w:val="0"/>
                <w:sz w:val="24"/>
                <w:highlight w:val="none"/>
                <w:lang w:val="en-US" w:eastAsia="zh-CN"/>
                <w14:textFill>
                  <w14:solidFill>
                    <w14:schemeClr w14:val="tx1"/>
                  </w14:solidFill>
                </w14:textFill>
              </w:rPr>
              <w:t>，本项目</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属于原油加工及石油制品制造，</w:t>
            </w:r>
            <w:commentRangeStart w:id="1"/>
            <w:r>
              <w:rPr>
                <w:rFonts w:hint="eastAsia" w:cs="Times New Roman"/>
                <w:color w:val="000000" w:themeColor="text1"/>
                <w:kern w:val="0"/>
                <w:sz w:val="24"/>
                <w:highlight w:val="yellow"/>
                <w:lang w:val="en-US" w:eastAsia="zh-CN"/>
                <w14:textFill>
                  <w14:solidFill>
                    <w14:schemeClr w14:val="tx1"/>
                  </w14:solidFill>
                </w14:textFill>
              </w:rPr>
              <w:t>根据附</w:t>
            </w:r>
            <w:r>
              <w:rPr>
                <w:rFonts w:hint="eastAsia" w:cs="Times New Roman"/>
                <w:color w:val="FF0000"/>
                <w:kern w:val="0"/>
                <w:sz w:val="24"/>
                <w:highlight w:val="yellow"/>
                <w:lang w:val="en-US" w:eastAsia="zh-CN"/>
              </w:rPr>
              <w:t>图7，</w:t>
            </w:r>
            <w:commentRangeEnd w:id="1"/>
            <w:r>
              <w:commentReference w:id="1"/>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占地为永久工业用地，符合园区产业定位及用地规划</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w:t>
            </w:r>
          </w:p>
          <w:p>
            <w:pPr>
              <w:bidi w:val="0"/>
              <w:rPr>
                <w:rFonts w:hint="eastAsia" w:cs="Times New Roman"/>
                <w:b/>
                <w:bCs/>
                <w:color w:val="000000" w:themeColor="text1"/>
                <w:kern w:val="0"/>
                <w:szCs w:val="21"/>
                <w:highlight w:val="none"/>
                <w:lang w:val="en-US" w:eastAsia="zh-CN"/>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（1）</w:t>
            </w:r>
            <w:r>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t>与规划环评审查意见符合性</w:t>
            </w:r>
          </w:p>
          <w:p>
            <w:pPr>
              <w:bidi w:val="0"/>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Cs w:val="21"/>
                <w:highlight w:val="none"/>
                <w:lang w:val="en-US" w:eastAsia="zh-CN"/>
                <w14:textFill>
                  <w14:solidFill>
                    <w14:schemeClr w14:val="tx1"/>
                  </w14:solidFill>
                </w14:textFill>
              </w:rPr>
              <w:t>本项目与规划环评审查意见符合性分析见下表</w:t>
            </w:r>
            <w:r>
              <w:rPr>
                <w:rFonts w:hint="eastAsia" w:cs="Times New Roman"/>
                <w:b w:val="0"/>
                <w:bCs w:val="0"/>
                <w:color w:val="000000" w:themeColor="text1"/>
                <w:kern w:val="0"/>
                <w:szCs w:val="21"/>
                <w:highlight w:val="none"/>
                <w:lang w:val="en-US" w:eastAsia="zh-CN"/>
                <w14:textFill>
                  <w14:solidFill>
                    <w14:schemeClr w14:val="tx1"/>
                  </w14:solidFill>
                </w14:textFill>
              </w:rPr>
              <w:t>。</w:t>
            </w:r>
          </w:p>
          <w:p>
            <w:pPr>
              <w:bidi w:val="0"/>
              <w:ind w:left="0" w:leftChars="0" w:firstLine="0" w:firstLineChars="0"/>
              <w:jc w:val="center"/>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t>表1-2本项目与规划环评审查意见符合性分析表</w:t>
            </w:r>
          </w:p>
          <w:tbl>
            <w:tblPr>
              <w:tblStyle w:val="28"/>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3660"/>
              <w:gridCol w:w="1798"/>
              <w:gridCol w:w="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3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序号</w:t>
                  </w:r>
                </w:p>
              </w:tc>
              <w:tc>
                <w:tcPr>
                  <w:tcW w:w="27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规划环评审查意见情况</w:t>
                  </w:r>
                </w:p>
              </w:tc>
              <w:tc>
                <w:tcPr>
                  <w:tcW w:w="1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本项目情况</w:t>
                  </w:r>
                </w:p>
              </w:tc>
              <w:tc>
                <w:tcPr>
                  <w:tcW w:w="5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3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w:t>
                  </w:r>
                </w:p>
              </w:tc>
              <w:tc>
                <w:tcPr>
                  <w:tcW w:w="27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坚持生态优先、绿色发展理念，加强规划引领。园区总体规划应做好与自治区、鄂尔多斯市国土空间总体规划及生态环境分区管控的协调衔接，并要与</w:t>
                  </w:r>
                  <w:r>
                    <w:rPr>
                      <w:rFonts w:hint="eastAsia" w:cs="Times New Roman"/>
                      <w:color w:val="000000" w:themeColor="text1"/>
                      <w:kern w:val="0"/>
                      <w:sz w:val="21"/>
                      <w:szCs w:val="21"/>
                      <w:highlight w:val="none"/>
                      <w:lang w:val="en-US" w:eastAsia="zh-CN"/>
                      <w14:textFill>
                        <w14:solidFill>
                          <w14:schemeClr w14:val="tx1"/>
                        </w14:solidFill>
                      </w14:textFill>
                    </w:rPr>
                    <w:t>当地其他</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专项规划相协调。按照《内蒙古自治区人民政府关于促进工业园区高质量发展的若干意见》(内政发〔2019</w:t>
                  </w:r>
                  <w:r>
                    <w:rPr>
                      <w:rFonts w:hint="eastAsia"/>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21号)《内蒙古自治区人民政府办公厅关于进一步加强全区自治区级及以上工业园区环境保护工作的通知》(内政办发〔201</w:t>
                  </w:r>
                  <w:r>
                    <w:rPr>
                      <w:rFonts w:hint="eastAsia" w:cs="Times New Roman"/>
                      <w:color w:val="000000" w:themeColor="text1"/>
                      <w:kern w:val="0"/>
                      <w:sz w:val="21"/>
                      <w:szCs w:val="21"/>
                      <w:highlight w:val="none"/>
                      <w:lang w:val="en-US" w:eastAsia="zh-CN"/>
                      <w14:textFill>
                        <w14:solidFill>
                          <w14:schemeClr w14:val="tx1"/>
                        </w14:solidFill>
                      </w14:textFill>
                    </w:rPr>
                    <w:t>8</w:t>
                  </w:r>
                  <w:r>
                    <w:rPr>
                      <w:rFonts w:hint="eastAsia"/>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88号)及自治区、鄂尔多斯市国民经济和社会发展第十四个五年规划以及2035年远景目标纲要等要求，指导园区建设。</w:t>
                  </w:r>
                </w:p>
              </w:tc>
              <w:tc>
                <w:tcPr>
                  <w:tcW w:w="1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本项目为</w:t>
                  </w:r>
                  <w:r>
                    <w:rPr>
                      <w:rFonts w:hint="eastAsia" w:cs="Times New Roman"/>
                      <w:color w:val="000000" w:themeColor="text1"/>
                      <w:kern w:val="0"/>
                      <w:sz w:val="21"/>
                      <w:szCs w:val="21"/>
                      <w:highlight w:val="none"/>
                      <w:lang w:val="en-US" w:eastAsia="zh-CN"/>
                      <w14:textFill>
                        <w14:solidFill>
                          <w14:schemeClr w14:val="tx1"/>
                        </w14:solidFill>
                      </w14:textFill>
                    </w:rPr>
                    <w:t>原油加工及石油制品制造</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项目，位于</w:t>
                  </w:r>
                  <w:r>
                    <w:rPr>
                      <w:rFonts w:hint="eastAsia" w:cs="Times New Roman"/>
                      <w:color w:val="000000" w:themeColor="text1"/>
                      <w:kern w:val="0"/>
                      <w:sz w:val="21"/>
                      <w:szCs w:val="21"/>
                      <w:highlight w:val="none"/>
                      <w:lang w:val="en-US" w:eastAsia="zh-CN"/>
                      <w14:textFill>
                        <w14:solidFill>
                          <w14:schemeClr w14:val="tx1"/>
                        </w14:solidFill>
                      </w14:textFill>
                    </w:rPr>
                    <w:t>内蒙古自治区鄂尔多斯市伊金霍洛旗蒙苏经济开发区圣圆煤化工基地汇金达厂区内</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，项目建设符合《内蒙古鄂尔多斯蒙苏经济开发区产业发展规划（2023-2035年）》及《鄂尔多斯蒙苏经济开发区国土空间总体规划（2021-2035年）》。</w:t>
                  </w:r>
                </w:p>
              </w:tc>
              <w:tc>
                <w:tcPr>
                  <w:tcW w:w="5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6" w:hRule="atLeast"/>
              </w:trPr>
              <w:tc>
                <w:tcPr>
                  <w:tcW w:w="3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w:t>
                  </w:r>
                </w:p>
              </w:tc>
              <w:tc>
                <w:tcPr>
                  <w:tcW w:w="27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严格生态环境准入，推动高质量发展，园区应结合区域资源禀赋、生态敏感特征、生态功能保护、自治区及鄂尔多斯市碳达峰目标约束等要求，坚持循环经济和能源高效利用理念，严格落实《内蒙古自治区工业园区审核公告目录》、产业政策</w:t>
                  </w:r>
                  <w:r>
                    <w:rPr>
                      <w:rFonts w:hint="eastAsia" w:cs="Times New Roman"/>
                      <w:color w:val="000000" w:themeColor="text1"/>
                      <w:kern w:val="0"/>
                      <w:sz w:val="21"/>
                      <w:szCs w:val="21"/>
                      <w:highlight w:val="none"/>
                      <w:lang w:val="en-US" w:eastAsia="zh-CN"/>
                      <w14:textFill>
                        <w14:solidFill>
                          <w14:schemeClr w14:val="tx1"/>
                        </w14:solidFill>
                      </w14:textFill>
                    </w:rPr>
                    <w:t>、生态环境准入清单等要求及《报告书》推荐产业发展方案，不得新引进污染物排放量大、环境风险高的非主导产业项目。结合区域环境质量目标管理要求，统筹做好产业发展和生态环境保护工作，全面执行国家、自治区“两高”项目准入相关规定，合理规划能源化工相关产业发展规模和建设时序，重点延伸下游产业链条，落实“四水四定”及土地集约利用等要求，实现绿色发展、循环发展、低碳发展</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p>
              </w:tc>
              <w:tc>
                <w:tcPr>
                  <w:tcW w:w="1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本项目为</w:t>
                  </w:r>
                  <w:r>
                    <w:rPr>
                      <w:rFonts w:hint="eastAsia" w:cs="Times New Roman"/>
                      <w:color w:val="000000" w:themeColor="text1"/>
                      <w:kern w:val="0"/>
                      <w:sz w:val="21"/>
                      <w:szCs w:val="21"/>
                      <w:highlight w:val="none"/>
                      <w:lang w:val="en-US" w:eastAsia="zh-CN"/>
                      <w14:textFill>
                        <w14:solidFill>
                          <w14:schemeClr w14:val="tx1"/>
                        </w14:solidFill>
                      </w14:textFill>
                    </w:rPr>
                    <w:t>原油加工及石油制品制造</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项目，位于</w:t>
                  </w:r>
                  <w:r>
                    <w:rPr>
                      <w:rFonts w:hint="eastAsia" w:cs="Times New Roman"/>
                      <w:color w:val="000000" w:themeColor="text1"/>
                      <w:kern w:val="0"/>
                      <w:sz w:val="21"/>
                      <w:szCs w:val="21"/>
                      <w:highlight w:val="none"/>
                      <w:lang w:val="en-US" w:eastAsia="zh-CN"/>
                      <w14:textFill>
                        <w14:solidFill>
                          <w14:schemeClr w14:val="tx1"/>
                        </w14:solidFill>
                      </w14:textFill>
                    </w:rPr>
                    <w:t>内蒙古自治区鄂尔多斯市伊金霍洛旗蒙苏经济开发区圣圆煤化工基地汇金达厂区内</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，项目不属于煤化工、金属冶炼等污染物排放量大、环境风险高的非主导产业项目。</w:t>
                  </w:r>
                </w:p>
              </w:tc>
              <w:tc>
                <w:tcPr>
                  <w:tcW w:w="5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3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w:t>
                  </w:r>
                </w:p>
              </w:tc>
              <w:tc>
                <w:tcPr>
                  <w:tcW w:w="27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严格空间管控，优化产业布局。按照相关要求做好规划控制和防护带建设，园区与居民区、地表水体等环境敏感区之间应设置足够距离的隔离带并合理优化邻近区域产业布局，确保园区产业发展与生态环境、人居环境相协调。配合伊金霍洛旗人民政府及其有关部门做好园区及周边区域的国土空间规划和优化调整，发现不符合管控要求的行为，应及时向伊金霍洛旗人民政府报告。</w:t>
                  </w:r>
                  <w:commentRangeStart w:id="2"/>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加强土壤污染重点企业监管，开展腾退企业遗留场地的土壤环境调查和风险评估，合理确定土地利用方式。</w:t>
                  </w:r>
                  <w:commentRangeEnd w:id="2"/>
                  <w:r>
                    <w:commentReference w:id="2"/>
                  </w:r>
                </w:p>
              </w:tc>
              <w:tc>
                <w:tcPr>
                  <w:tcW w:w="1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项目位于园区内，附近没有常住居民居住，且本项目符合园区产业布局。</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FF0000"/>
                      <w:kern w:val="0"/>
                      <w:sz w:val="21"/>
                      <w:szCs w:val="21"/>
                      <w:highlight w:val="none"/>
                      <w:lang w:val="en-US" w:eastAsia="zh-CN"/>
                    </w:rPr>
                    <w:t>建设单位针对周围污染地下水进行治理中，经过定期检测，周围地下水质量逐渐向好。根据土壤详调结论，污染地块用地类型为二类建设用地，土壤超标仅2个点位地面10m以下超标，地下水不作为饮用水源，地面存在硬化，初步判断地块内污染对厂区内工作人员的健康风险较小，建议在恢复生产时制定好相关的制度，保障人员健康。建议后续结合企业土壤和地下水自行监测工作，合理设计自行监测点位、指标及频次，以监测污染扩散情况，当污染扩散不可控时及时采取或补充管控措施。</w:t>
                  </w:r>
                </w:p>
              </w:tc>
              <w:tc>
                <w:tcPr>
                  <w:tcW w:w="5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6" w:hRule="atLeast"/>
              </w:trPr>
              <w:tc>
                <w:tcPr>
                  <w:tcW w:w="3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w:t>
                  </w:r>
                </w:p>
              </w:tc>
              <w:tc>
                <w:tcPr>
                  <w:tcW w:w="27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严守环境质量底线，强化污染物排放总量管控。根据国家、自治区和鄂尔多斯市关于大气、水、土壤、挥发性有机物污染防治相关要求，落实与区域环境空气质量改善目标相匹配的区域削减措施，强化主要污染物总量管控，推动重点行业实施大气污染物治理措施升级改造，持续减少主要污染物、挥发性有机物等有组织和无组织排放量，保障区域环境质量改善。</w:t>
                  </w:r>
                </w:p>
              </w:tc>
              <w:tc>
                <w:tcPr>
                  <w:tcW w:w="1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w:t>
                  </w:r>
                  <w:r>
                    <w:rPr>
                      <w:rFonts w:hint="eastAsia" w:cs="Times New Roman"/>
                      <w:color w:val="000000" w:themeColor="text1"/>
                      <w:kern w:val="0"/>
                      <w:sz w:val="21"/>
                      <w:szCs w:val="21"/>
                      <w:highlight w:val="none"/>
                      <w:lang w:val="en-US" w:eastAsia="zh-CN"/>
                      <w14:textFill>
                        <w14:solidFill>
                          <w14:schemeClr w14:val="tx1"/>
                        </w14:solidFill>
                      </w14:textFill>
                    </w:rPr>
                    <w:t>产生的废气经处理后，对周围环境影响较小。</w:t>
                  </w:r>
                </w:p>
              </w:tc>
              <w:tc>
                <w:tcPr>
                  <w:tcW w:w="5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3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w:t>
                  </w:r>
                </w:p>
              </w:tc>
              <w:tc>
                <w:tcPr>
                  <w:tcW w:w="27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加强环境基础设施建设，推进污染集中治理。强化企业生产废水预处理，化工企业应建设规范的雨水收集系统，实现化工废水专业化集中处理及专管或明管输送。统筹制定园区废水处理和综合利用总体方案并做好落实，推动园区生产废水、初期雨水、非正常状况事故废水等全部利用。加快完成晾晒池改园区事故水池相关工作。因地制宜利用余热余压或清洁能源实现集中供热、供汽，原则上不再新增企业自备燃煤锅炉。组织企业开展大宗工业固废资源化利用科学研究、技术开发和先进技术推广，切实提高综合利用水平，暂时无法综合利用的须规范贮存、处置强化企业危险废物鉴别主体责任，对园区各类危废实施严格监管和严密监控，实现全过程安全妥善处置。园区煤炭等大宗货物中长距离运输原则上采用铁路方式，短距离运输优先采用封闭式皮带廊道、管道或新能源车。</w:t>
                  </w:r>
                </w:p>
              </w:tc>
              <w:tc>
                <w:tcPr>
                  <w:tcW w:w="1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本项目生活污水直接排入市政污水管网处理</w:t>
                  </w:r>
                  <w:r>
                    <w:commentReference w:id="3"/>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commentRangeStart w:id="4"/>
                  <w:r>
                    <w:rPr>
                      <w:rFonts w:hint="eastAsia" w:ascii="Times New Roman" w:hAnsi="Times New Roman" w:eastAsia="宋体" w:cs="Times New Roman"/>
                      <w:color w:val="FF0000"/>
                      <w:kern w:val="0"/>
                      <w:sz w:val="21"/>
                      <w:szCs w:val="21"/>
                      <w:highlight w:val="none"/>
                      <w:lang w:val="en-US" w:eastAsia="zh-CN"/>
                    </w:rPr>
                    <w:t>生产废水经污水处理站处理后排至鄂尔多斯市泰鑫煤炭有限公司洗煤综合利用</w:t>
                  </w:r>
                  <w:commentRangeEnd w:id="4"/>
                  <w:r>
                    <w:rPr>
                      <w:color w:val="FF0000"/>
                    </w:rPr>
                    <w:commentReference w:id="4"/>
                  </w:r>
                  <w:r>
                    <w:rPr>
                      <w:rFonts w:hint="eastAsia" w:ascii="Times New Roman" w:hAnsi="Times New Roman" w:eastAsia="宋体" w:cs="Times New Roman"/>
                      <w:color w:val="FF0000"/>
                      <w:kern w:val="0"/>
                      <w:sz w:val="21"/>
                      <w:szCs w:val="21"/>
                      <w:highlight w:val="none"/>
                      <w:lang w:val="en-US" w:eastAsia="zh-CN"/>
                    </w:rPr>
                    <w:t>；</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本项目生活办公区供暖采用</w:t>
                  </w:r>
                  <w:r>
                    <w:rPr>
                      <w:rFonts w:hint="eastAsia" w:cs="Times New Roman"/>
                      <w:color w:val="000000" w:themeColor="text1"/>
                      <w:kern w:val="0"/>
                      <w:sz w:val="21"/>
                      <w:szCs w:val="21"/>
                      <w:highlight w:val="none"/>
                      <w:lang w:val="en-US" w:eastAsia="zh-CN"/>
                      <w14:textFill>
                        <w14:solidFill>
                          <w14:schemeClr w14:val="tx1"/>
                        </w14:solidFill>
                      </w14:textFill>
                    </w:rPr>
                    <w:t>市政集中供暖，无新建燃煤锅炉</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；本项目危废集中收集后暂存于</w:t>
                  </w:r>
                  <w:r>
                    <w:rPr>
                      <w:rFonts w:hint="eastAsia" w:cs="Times New Roman"/>
                      <w:color w:val="000000" w:themeColor="text1"/>
                      <w:kern w:val="0"/>
                      <w:sz w:val="21"/>
                      <w:szCs w:val="21"/>
                      <w:highlight w:val="none"/>
                      <w:lang w:val="en-US" w:eastAsia="zh-CN"/>
                      <w14:textFill>
                        <w14:solidFill>
                          <w14:schemeClr w14:val="tx1"/>
                        </w14:solidFill>
                      </w14:textFill>
                    </w:rPr>
                    <w:t>危险废物暂存库</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w:t>
                  </w:r>
                  <w:r>
                    <w:rPr>
                      <w:rFonts w:hint="eastAsia" w:cs="Times New Roman"/>
                      <w:color w:val="000000" w:themeColor="text1"/>
                      <w:kern w:val="0"/>
                      <w:sz w:val="21"/>
                      <w:szCs w:val="21"/>
                      <w:highlight w:val="none"/>
                      <w:lang w:val="en-US" w:eastAsia="zh-CN"/>
                      <w14:textFill>
                        <w14:solidFill>
                          <w14:schemeClr w14:val="tx1"/>
                        </w14:solidFill>
                      </w14:textFill>
                    </w:rPr>
                    <w:t>定期</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委托有资质单位进行处置</w:t>
                  </w: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5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3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6</w:t>
                  </w:r>
                </w:p>
              </w:tc>
              <w:tc>
                <w:tcPr>
                  <w:tcW w:w="27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强化源头防控，有效防范环境污染和事故风险。按照国家、自治区化工园区建设和管理相关要求，切实强化园区突发环境事件应急处置能力建设，建立完善的环境风险防控和应急监测体系,强化应急演练和应急物资储备,不断提升应急响应能力，保障区域环境安全。入园企业按要求设置事故水池，并与园区事故水池联通形成综合调控系统，确保任何情况下园区事故废水不进入外环境。加强有毒有害大气污染物、水污染物环境治理，落实新污染物管控措施,按要求开展化工园区地下水环境质量状况详细调查及溯源分析，实施防泄漏、防渗漏、防流失等地下水污染防控。</w:t>
                  </w:r>
                </w:p>
              </w:tc>
              <w:tc>
                <w:tcPr>
                  <w:tcW w:w="1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Times New Roman"/>
                      <w:color w:val="FF0000"/>
                      <w:kern w:val="0"/>
                      <w:sz w:val="21"/>
                      <w:szCs w:val="21"/>
                      <w:highlight w:val="none"/>
                      <w:lang w:val="en-US" w:eastAsia="zh-CN"/>
                    </w:rPr>
                  </w:pPr>
                  <w:r>
                    <w:rPr>
                      <w:rFonts w:hint="eastAsia" w:cs="Times New Roman"/>
                      <w:color w:val="000000" w:themeColor="text1"/>
                      <w:kern w:val="0"/>
                      <w:sz w:val="21"/>
                      <w:szCs w:val="21"/>
                      <w:highlight w:val="none"/>
                      <w:lang w:val="en-US" w:eastAsia="zh-CN"/>
                      <w14:textFill>
                        <w14:solidFill>
                          <w14:schemeClr w14:val="tx1"/>
                        </w14:solidFill>
                      </w14:textFill>
                    </w:rPr>
                    <w:t>针对场地目前存在的</w:t>
                  </w:r>
                  <w:r>
                    <w:rPr>
                      <w:rFonts w:hint="eastAsia" w:cs="Times New Roman"/>
                      <w:color w:val="FF0000"/>
                      <w:kern w:val="0"/>
                      <w:sz w:val="21"/>
                      <w:szCs w:val="21"/>
                      <w:highlight w:val="none"/>
                      <w:lang w:val="en-US" w:eastAsia="zh-CN"/>
                    </w:rPr>
                    <w:t>原有项目污染，企业积极进行污染治理，确保地下水、土壤环境质量逐渐向好。</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Times New Roman"/>
                      <w:color w:val="FF0000"/>
                      <w:kern w:val="0"/>
                      <w:sz w:val="21"/>
                      <w:szCs w:val="21"/>
                      <w:highlight w:val="none"/>
                      <w:lang w:val="en-US" w:eastAsia="zh-CN"/>
                    </w:rPr>
                  </w:pPr>
                  <w:r>
                    <w:rPr>
                      <w:rFonts w:hint="eastAsia" w:cs="Times New Roman"/>
                      <w:color w:val="FF0000"/>
                      <w:kern w:val="0"/>
                      <w:sz w:val="21"/>
                      <w:szCs w:val="21"/>
                      <w:highlight w:val="none"/>
                      <w:lang w:val="en-US" w:eastAsia="zh-CN"/>
                    </w:rPr>
                    <w:t>本项目依托现有场地内事故水池，经论证符合项目需求，并与园区形成联动，确保事故状态下事故废水不会进入外环境。</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企业加强日常风险预防管理。</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制定突发环境应急预案，</w:t>
                  </w:r>
                  <w:r>
                    <w:rPr>
                      <w:rFonts w:hint="eastAsia" w:cs="Times New Roman"/>
                      <w:color w:val="000000" w:themeColor="text1"/>
                      <w:kern w:val="0"/>
                      <w:sz w:val="21"/>
                      <w:szCs w:val="21"/>
                      <w:highlight w:val="none"/>
                      <w:lang w:val="en-US" w:eastAsia="zh-CN"/>
                      <w14:textFill>
                        <w14:solidFill>
                          <w14:schemeClr w14:val="tx1"/>
                        </w14:solidFill>
                      </w14:textFill>
                    </w:rPr>
                    <w:t>强化源头防控，有效防范环境污染</w:t>
                  </w:r>
                  <w:r>
                    <w:commentReference w:id="5"/>
                  </w:r>
                  <w:r>
                    <w:rPr>
                      <w:rFonts w:hint="eastAsia" w:cs="Times New Roman"/>
                      <w:color w:val="000000" w:themeColor="text1"/>
                      <w:kern w:val="0"/>
                      <w:sz w:val="21"/>
                      <w:szCs w:val="21"/>
                      <w:highlight w:val="none"/>
                      <w:lang w:val="en-US" w:eastAsia="zh-CN"/>
                      <w14:textFill>
                        <w14:solidFill>
                          <w14:schemeClr w14:val="tx1"/>
                        </w14:solidFill>
                      </w14:textFill>
                    </w:rPr>
                    <w:t>和事故风险。</w:t>
                  </w:r>
                </w:p>
              </w:tc>
              <w:tc>
                <w:tcPr>
                  <w:tcW w:w="5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3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7</w:t>
                  </w:r>
                </w:p>
              </w:tc>
              <w:tc>
                <w:tcPr>
                  <w:tcW w:w="27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加强环境监管及日常环境质量监测。园区应建立完善的环境监测计划，开展包括常规污染物、特征污染物、挥发性有机物等在内的环境空气、地下水、土壤、生态系统等环境质量监测工作，实现长期监测与有效监控。重点企业排污口要设置在线监测系统并与生态环境部门联网</w:t>
                  </w:r>
                </w:p>
              </w:tc>
              <w:tc>
                <w:tcPr>
                  <w:tcW w:w="1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本项目按要求制定相关</w:t>
                  </w:r>
                  <w:r>
                    <w:rPr>
                      <w:rFonts w:hint="eastAsia" w:cs="Times New Roman"/>
                      <w:color w:val="000000" w:themeColor="text1"/>
                      <w:kern w:val="0"/>
                      <w:sz w:val="21"/>
                      <w:szCs w:val="21"/>
                      <w:highlight w:val="none"/>
                      <w:lang w:val="en-US" w:eastAsia="zh-CN"/>
                      <w14:textFill>
                        <w14:solidFill>
                          <w14:schemeClr w14:val="tx1"/>
                        </w14:solidFill>
                      </w14:textFill>
                    </w:rPr>
                    <w:t>污染源</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监测计划。</w:t>
                  </w:r>
                </w:p>
              </w:tc>
              <w:tc>
                <w:tcPr>
                  <w:tcW w:w="5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3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8</w:t>
                  </w:r>
                </w:p>
              </w:tc>
              <w:tc>
                <w:tcPr>
                  <w:tcW w:w="27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总体规划实施对环境产生重大影响时，应当及时组织环境影响的跟踪评价。对规划所包含的建设项目，在开展环境影响评价时，应重点分析污染防治措施和环境风险防控措施的可行性、可靠性，规划协调性分析、环境现状等工作内容可适当简化。</w:t>
                  </w:r>
                </w:p>
              </w:tc>
              <w:tc>
                <w:tcPr>
                  <w:tcW w:w="1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本项目不涉及</w:t>
                  </w: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5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符合</w:t>
                  </w:r>
                </w:p>
              </w:tc>
            </w:tr>
          </w:tbl>
          <w:p>
            <w:pPr>
              <w:bidi w:val="0"/>
            </w:pP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综上所述，本项目建设符合《鄂尔多斯蒙苏经济开发区国土空间总体规划（2021-2035年）圣圆煤化工产业园环境影响报告书》的审查意见</w:t>
            </w:r>
            <w:r>
              <w:rPr>
                <w:rFonts w:hint="eastAsia" w:cs="Times New Roman"/>
                <w:color w:val="000000" w:themeColor="text1"/>
                <w:kern w:val="0"/>
                <w:szCs w:val="21"/>
                <w:highlight w:val="none"/>
                <w:lang w:val="en-US" w:eastAsia="zh-CN"/>
                <w14:textFill>
                  <w14:solidFill>
                    <w14:schemeClr w14:val="tx1"/>
                  </w14:solidFill>
                </w14:textFill>
              </w:rPr>
              <w:t>要求</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w:t>
            </w:r>
            <w:r>
              <w:commentReference w:id="6"/>
            </w:r>
          </w:p>
          <w:p>
            <w:pPr>
              <w:bidi w:val="0"/>
              <w:rPr>
                <w:rFonts w:hint="default" w:cs="Times New Roman"/>
                <w:color w:val="FF0000"/>
                <w:kern w:val="0"/>
                <w:szCs w:val="21"/>
                <w:highlight w:val="none"/>
                <w:lang w:val="en-US" w:eastAsia="zh-CN"/>
              </w:rPr>
            </w:pPr>
            <w:r>
              <w:rPr>
                <w:rFonts w:hint="eastAsia" w:cs="Times New Roman"/>
                <w:b/>
                <w:bCs/>
                <w:color w:val="FF0000"/>
                <w:kern w:val="0"/>
                <w:szCs w:val="21"/>
                <w:highlight w:val="none"/>
                <w:lang w:val="en-US" w:eastAsia="zh-CN"/>
              </w:rPr>
              <w:t>（2）园区准入要求</w:t>
            </w:r>
          </w:p>
          <w:p>
            <w:pPr>
              <w:adjustRightInd w:val="0"/>
              <w:snapToGrid w:val="0"/>
              <w:spacing w:line="360" w:lineRule="auto"/>
              <w:ind w:firstLine="480" w:firstLineChars="200"/>
              <w:rPr>
                <w:rFonts w:ascii="Times New Roman" w:hAnsi="Times New Roman" w:cs="Times New Roman"/>
                <w:color w:val="FF0000"/>
                <w:sz w:val="24"/>
                <w:szCs w:val="24"/>
              </w:rPr>
            </w:pPr>
            <w:r>
              <w:rPr>
                <w:rFonts w:ascii="Times New Roman" w:hAnsi="Times New Roman" w:cs="Times New Roman"/>
                <w:color w:val="FF0000"/>
                <w:sz w:val="24"/>
                <w:szCs w:val="24"/>
              </w:rPr>
              <w:t>禁止不符合园区产业定位及规划环评等要求的项目入园；</w:t>
            </w:r>
            <w:r>
              <w:rPr>
                <w:rFonts w:hint="eastAsia" w:ascii="Times New Roman" w:hAnsi="Times New Roman" w:cs="Times New Roman"/>
                <w:color w:val="FF0000"/>
                <w:sz w:val="24"/>
                <w:szCs w:val="24"/>
              </w:rPr>
              <w:t>优先支持绿色低碳型、资源节约型、环境友好型先进制造业产业项目，严禁落地国家产业结构调整目录及相关法规政策文件明确的限制类、淘汰类工艺、装备、产品与项目。</w:t>
            </w:r>
          </w:p>
          <w:p>
            <w:pPr>
              <w:bidi w:val="0"/>
              <w:rPr>
                <w:rFonts w:hint="eastAsia" w:cs="Times New Roman"/>
                <w:color w:val="FF0000"/>
                <w:kern w:val="0"/>
                <w:szCs w:val="21"/>
                <w:highlight w:val="none"/>
                <w:lang w:val="en-US" w:eastAsia="zh-CN"/>
              </w:rPr>
            </w:pPr>
            <w:r>
              <w:rPr>
                <w:rFonts w:ascii="Times New Roman" w:hAnsi="Times New Roman" w:cs="Times New Roman"/>
                <w:color w:val="FF0000"/>
                <w:sz w:val="24"/>
                <w:szCs w:val="24"/>
              </w:rPr>
              <w:t>圣圆产业园规划范围内的化工集中区按照产业布局引入项目。汇能南区规划产业类型包括煤制天然气、氢能。汇能东区规划产业类型包括兰炭焦炉气深加工、焦油深加工、氢能。乌兰木伦片区的鑫瑞化工集中区（乌兰木伦中区）规划产业类型包括兰炭、焦油深加工；神华化工集中区（乌兰木伦东区）规划产业类型包括煤制油及深加工、化工新材料、电子化学品、精细化工、氢能。</w:t>
            </w:r>
          </w:p>
          <w:p>
            <w:pPr>
              <w:bidi w:val="0"/>
              <w:rPr>
                <w:rFonts w:hint="eastAsia" w:cs="Times New Roman"/>
                <w:color w:val="FF0000"/>
                <w:kern w:val="0"/>
                <w:szCs w:val="21"/>
                <w:highlight w:val="none"/>
                <w:lang w:val="en-US" w:eastAsia="zh-CN"/>
              </w:rPr>
            </w:pPr>
            <w:r>
              <w:rPr>
                <w:rFonts w:hint="eastAsia" w:cs="Times New Roman"/>
                <w:color w:val="FF0000"/>
                <w:kern w:val="0"/>
                <w:szCs w:val="21"/>
                <w:highlight w:val="none"/>
                <w:lang w:val="en-US" w:eastAsia="zh-CN"/>
              </w:rPr>
              <w:t>汇能片区禁止建设涉及铅、汞、铬、镉、砷五种重点控制的重金属产生和排放的项目。</w:t>
            </w:r>
          </w:p>
          <w:p>
            <w:pPr>
              <w:bidi w:val="0"/>
              <w:rPr>
                <w:rFonts w:hint="eastAsia" w:cs="Times New Roman"/>
                <w:color w:val="FF0000"/>
                <w:kern w:val="0"/>
                <w:szCs w:val="21"/>
                <w:highlight w:val="none"/>
                <w:lang w:val="en-US" w:eastAsia="zh-CN"/>
              </w:rPr>
            </w:pPr>
            <w:r>
              <w:rPr>
                <w:rFonts w:hint="eastAsia" w:cs="Times New Roman"/>
                <w:color w:val="FF0000"/>
                <w:kern w:val="0"/>
                <w:szCs w:val="21"/>
                <w:highlight w:val="none"/>
                <w:lang w:val="en-US" w:eastAsia="zh-CN"/>
              </w:rPr>
              <w:t>引进需水量小且具有高效节水工艺的项目，水资源利用效率必须达到《行业用水定额》先进等级或同行业先进用水水平。</w:t>
            </w:r>
          </w:p>
          <w:p>
            <w:pPr>
              <w:bidi w:val="0"/>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FF0000"/>
                <w:kern w:val="0"/>
                <w:szCs w:val="21"/>
                <w:highlight w:val="none"/>
                <w:lang w:val="en-US" w:eastAsia="zh-CN"/>
              </w:rPr>
              <w:t>本项目属于</w:t>
            </w:r>
            <w:r>
              <w:rPr>
                <w:rFonts w:hint="eastAsia" w:ascii="Times New Roman" w:hAnsi="Times New Roman" w:eastAsia="宋体" w:cs="Times New Roman"/>
                <w:color w:val="FF0000"/>
                <w:kern w:val="0"/>
                <w:sz w:val="24"/>
                <w:highlight w:val="none"/>
                <w:lang w:val="en-US" w:eastAsia="zh-CN"/>
              </w:rPr>
              <w:t>原油加工及石油制品制造，</w:t>
            </w:r>
            <w:r>
              <w:rPr>
                <w:rFonts w:hint="eastAsia" w:cs="Times New Roman"/>
                <w:color w:val="FF0000"/>
                <w:kern w:val="0"/>
                <w:sz w:val="24"/>
                <w:highlight w:val="none"/>
                <w:lang w:val="en-US" w:eastAsia="zh-CN"/>
              </w:rPr>
              <w:t>结合鄂尔多斯蒙苏经济开发区管理委员会出具的入园准入协议（附件4），本项目符合园区准入要求。本项目</w:t>
            </w:r>
            <w:r>
              <w:rPr>
                <w:rFonts w:hint="eastAsia" w:cs="Times New Roman"/>
                <w:color w:val="FF0000"/>
                <w:kern w:val="0"/>
                <w:szCs w:val="21"/>
                <w:highlight w:val="none"/>
                <w:lang w:val="en-US" w:eastAsia="zh-CN"/>
              </w:rPr>
              <w:t>不涉及五种重点控制的重金属产生和排放，耗水量较小，符合园区准入要求。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6" w:hRule="atLeast"/>
          <w:jc w:val="center"/>
        </w:trPr>
        <w:tc>
          <w:tcPr>
            <w:tcW w:w="785"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其他符合性分析</w:t>
            </w:r>
          </w:p>
        </w:tc>
        <w:tc>
          <w:tcPr>
            <w:tcW w:w="8026" w:type="dxa"/>
            <w:gridSpan w:val="4"/>
            <w:noWrap w:val="0"/>
            <w:vAlign w:val="center"/>
          </w:tcPr>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一、</w:t>
            </w:r>
            <w:r>
              <w:rPr>
                <w:rFonts w:hint="default"/>
                <w:b/>
                <w:bCs/>
                <w:color w:val="000000" w:themeColor="text1"/>
                <w:highlight w:val="none"/>
                <w:lang w:val="en-US" w:eastAsia="zh-CN"/>
                <w14:textFill>
                  <w14:solidFill>
                    <w14:schemeClr w14:val="tx1"/>
                  </w14:solidFill>
                </w14:textFill>
              </w:rPr>
              <w:t>产业政策的符合性</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本项目为</w:t>
            </w:r>
            <w:r>
              <w:rPr>
                <w:rFonts w:hint="eastAsia"/>
                <w:color w:val="000000" w:themeColor="text1"/>
                <w:highlight w:val="none"/>
                <w:lang w:val="en-US" w:eastAsia="zh-CN"/>
                <w14:textFill>
                  <w14:solidFill>
                    <w14:schemeClr w14:val="tx1"/>
                  </w14:solidFill>
                </w14:textFill>
              </w:rPr>
              <w:t>原油加工及石油制品制造</w:t>
            </w:r>
            <w:r>
              <w:rPr>
                <w:rFonts w:hint="default"/>
                <w:color w:val="000000" w:themeColor="text1"/>
                <w:highlight w:val="none"/>
                <w:lang w:val="en-US" w:eastAsia="zh-CN"/>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位于内蒙古自治区鄂尔多斯市伊金霍洛旗蒙苏经济开发区圣圆煤化工基地汇金达厂区内，本</w:t>
            </w:r>
            <w:r>
              <w:rPr>
                <w:rFonts w:hint="default"/>
                <w:color w:val="000000" w:themeColor="text1"/>
                <w:highlight w:val="none"/>
                <w:lang w:val="en-US" w:eastAsia="zh-CN"/>
                <w14:textFill>
                  <w14:solidFill>
                    <w14:schemeClr w14:val="tx1"/>
                  </w14:solidFill>
                </w14:textFill>
              </w:rPr>
              <w:t>项目不属于《产业结构调整指导目录（2024年本）》中鼓励类、限制类和淘汰类项目，</w:t>
            </w:r>
            <w:r>
              <w:rPr>
                <w:rFonts w:hint="eastAsia"/>
                <w:color w:val="000000" w:themeColor="text1"/>
                <w:highlight w:val="none"/>
                <w:lang w:val="en-US" w:eastAsia="zh-CN"/>
                <w14:textFill>
                  <w14:solidFill>
                    <w14:schemeClr w14:val="tx1"/>
                  </w14:solidFill>
                </w14:textFill>
              </w:rPr>
              <w:t>项目已于2025年7月24日在伊金霍洛旗发展改革和科学技术局进行了备案，项目代码为：2507-150627-04-01-873676</w:t>
            </w:r>
            <w:r>
              <w:rPr>
                <w:rFonts w:hint="default"/>
                <w:color w:val="000000" w:themeColor="text1"/>
                <w:highlight w:val="none"/>
                <w:lang w:val="en-US" w:eastAsia="zh-CN"/>
                <w14:textFill>
                  <w14:solidFill>
                    <w14:schemeClr w14:val="tx1"/>
                  </w14:solidFill>
                </w14:textFill>
              </w:rPr>
              <w:t>，符合国家产业政策。</w:t>
            </w:r>
          </w:p>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二、生态环境分区管控</w:t>
            </w:r>
            <w:r>
              <w:rPr>
                <w:rFonts w:hint="default"/>
                <w:b/>
                <w:bCs/>
                <w:color w:val="000000" w:themeColor="text1"/>
                <w:highlight w:val="none"/>
                <w:lang w:val="en-US" w:eastAsia="zh-CN"/>
                <w14:textFill>
                  <w14:solidFill>
                    <w14:schemeClr w14:val="tx1"/>
                  </w14:solidFill>
                </w14:textFill>
              </w:rPr>
              <w:t>符合性分析</w:t>
            </w:r>
          </w:p>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w:t>
            </w:r>
            <w:r>
              <w:rPr>
                <w:rFonts w:hint="default"/>
                <w:b/>
                <w:bCs/>
                <w:color w:val="000000" w:themeColor="text1"/>
                <w:highlight w:val="none"/>
                <w:lang w:val="en-US" w:eastAsia="zh-CN"/>
                <w14:textFill>
                  <w14:solidFill>
                    <w14:schemeClr w14:val="tx1"/>
                  </w14:solidFill>
                </w14:textFill>
              </w:rPr>
              <w:t>生态保护红线</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根据《鄂尔多斯市生态环境分区管控动态更新成果（2023年版）》的通知（2024年8月6日），全市按优先保护、重点管控、一般管控三大类划分171个环境管控单元。</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A优先保护单元：共76个，面积占比为64.35%，优先保护单元以生态环境保护优先为原则，依法禁止或限制大规模、高强度的工业开发和城镇建设，确保生态环境功能不降低。</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B重点管控单元：共86个，面积占比为28.1%，重点管控单元应不断提升资源利用效率，有针对性地加强污染物排放控制和环境风险防控，解决生态环境质量不达标、生态环境风险高等问题。</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C一般管控单元：共9个，面积占比为7.56%，除优先保护单元、重点管控单元之外为一般管控单元。</w:t>
            </w:r>
          </w:p>
          <w:p>
            <w:pPr>
              <w:bidi w:val="0"/>
              <w:rPr>
                <w:rFonts w:hint="default"/>
                <w:b/>
                <w:bCs/>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该区域主要落实生态环境保护基本要求。本项目建设地点位于</w:t>
            </w:r>
            <w:r>
              <w:rPr>
                <w:rFonts w:hint="eastAsia"/>
                <w:color w:val="000000" w:themeColor="text1"/>
                <w:highlight w:val="none"/>
                <w:lang w:val="en-US" w:eastAsia="zh-CN"/>
                <w14:textFill>
                  <w14:solidFill>
                    <w14:schemeClr w14:val="tx1"/>
                  </w14:solidFill>
                </w14:textFill>
              </w:rPr>
              <w:t>内蒙古自治区鄂尔多斯市伊金霍洛旗蒙苏经济开发区圣圆煤化工基地汇金达厂区内</w:t>
            </w:r>
            <w:r>
              <w:rPr>
                <w:rFonts w:hint="default"/>
                <w:color w:val="000000" w:themeColor="text1"/>
                <w:highlight w:val="none"/>
                <w:lang w:val="en-US" w:eastAsia="zh-CN"/>
                <w14:textFill>
                  <w14:solidFill>
                    <w14:schemeClr w14:val="tx1"/>
                  </w14:solidFill>
                </w14:textFill>
              </w:rPr>
              <w:t>，对照鄂尔多斯市生态环境管控分区图，本项目</w:t>
            </w:r>
            <w:r>
              <w:rPr>
                <w:rFonts w:hint="eastAsia"/>
                <w:color w:val="000000" w:themeColor="text1"/>
                <w:highlight w:val="none"/>
                <w:lang w:val="en-US" w:eastAsia="zh-CN"/>
                <w14:textFill>
                  <w14:solidFill>
                    <w14:schemeClr w14:val="tx1"/>
                  </w14:solidFill>
                </w14:textFill>
              </w:rPr>
              <w:t>位于</w:t>
            </w:r>
            <w:r>
              <w:rPr>
                <w:rFonts w:hint="default"/>
                <w:color w:val="000000" w:themeColor="text1"/>
                <w:highlight w:val="none"/>
                <w:lang w:val="en-US" w:eastAsia="zh-CN"/>
                <w14:textFill>
                  <w14:solidFill>
                    <w14:schemeClr w14:val="tx1"/>
                  </w14:solidFill>
                </w14:textFill>
              </w:rPr>
              <w:t>重点管控单元。</w:t>
            </w:r>
            <w:r>
              <w:rPr>
                <w:rFonts w:hint="eastAsia"/>
                <w:color w:val="000000" w:themeColor="text1"/>
                <w:highlight w:val="none"/>
                <w:lang w:val="en-US" w:eastAsia="zh-CN"/>
                <w14:textFill>
                  <w14:solidFill>
                    <w14:schemeClr w14:val="tx1"/>
                  </w14:solidFill>
                </w14:textFill>
              </w:rPr>
              <w:t>本项目</w:t>
            </w:r>
            <w:r>
              <w:rPr>
                <w:rFonts w:hint="default"/>
                <w:color w:val="000000" w:themeColor="text1"/>
                <w:highlight w:val="none"/>
                <w:lang w:val="en-US" w:eastAsia="zh-CN"/>
                <w14:textFill>
                  <w14:solidFill>
                    <w14:schemeClr w14:val="tx1"/>
                  </w14:solidFill>
                </w14:textFill>
              </w:rPr>
              <w:t>不涉及国家公园、自然保护区、风景名胜区、世界遗产、重要生境和集中式饮用水水源地及特殊地下水资源保护区等重要生态保护地，不在生态保护红线以内，符合生态保护红线要求。</w:t>
            </w:r>
          </w:p>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w:t>
            </w:r>
            <w:r>
              <w:rPr>
                <w:rFonts w:hint="default"/>
                <w:b/>
                <w:bCs/>
                <w:color w:val="000000" w:themeColor="text1"/>
                <w:highlight w:val="none"/>
                <w:lang w:val="en-US" w:eastAsia="zh-CN"/>
                <w14:textFill>
                  <w14:solidFill>
                    <w14:schemeClr w14:val="tx1"/>
                  </w14:solidFill>
                </w14:textFill>
              </w:rPr>
              <w:t>资源利用上线</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本项目运营期</w:t>
            </w:r>
            <w:r>
              <w:rPr>
                <w:rFonts w:hint="eastAsia"/>
                <w:color w:val="000000" w:themeColor="text1"/>
                <w:highlight w:val="none"/>
                <w:lang w:val="en-US" w:eastAsia="zh-CN"/>
                <w14:textFill>
                  <w14:solidFill>
                    <w14:schemeClr w14:val="tx1"/>
                  </w14:solidFill>
                </w14:textFill>
              </w:rPr>
              <w:t>生活用水由市政供水系统提供</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无生产用水，</w:t>
            </w:r>
            <w:r>
              <w:rPr>
                <w:rFonts w:hint="default"/>
                <w:color w:val="000000" w:themeColor="text1"/>
                <w:highlight w:val="none"/>
                <w:lang w:val="en-US" w:eastAsia="zh-CN"/>
                <w14:textFill>
                  <w14:solidFill>
                    <w14:schemeClr w14:val="tx1"/>
                  </w14:solidFill>
                </w14:textFill>
              </w:rPr>
              <w:t>生产</w:t>
            </w:r>
            <w:r>
              <w:rPr>
                <w:rFonts w:hint="eastAsia"/>
                <w:color w:val="000000" w:themeColor="text1"/>
                <w:highlight w:val="none"/>
                <w:lang w:val="en-US" w:eastAsia="zh-CN"/>
                <w14:textFill>
                  <w14:solidFill>
                    <w14:schemeClr w14:val="tx1"/>
                  </w14:solidFill>
                </w14:textFill>
              </w:rPr>
              <w:t>用电由园区供电系统进行统一</w:t>
            </w:r>
            <w:r>
              <w:rPr>
                <w:rFonts w:hint="default"/>
                <w:color w:val="000000" w:themeColor="text1"/>
                <w:highlight w:val="none"/>
                <w:lang w:val="en-US" w:eastAsia="zh-CN"/>
                <w14:textFill>
                  <w14:solidFill>
                    <w14:schemeClr w14:val="tx1"/>
                  </w14:solidFill>
                </w14:textFill>
              </w:rPr>
              <w:t>供电，消耗资源远低于区域资源利用总量。因此，项目资源利用满足要求。</w:t>
            </w:r>
          </w:p>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3、</w:t>
            </w:r>
            <w:r>
              <w:rPr>
                <w:rFonts w:hint="default"/>
                <w:b/>
                <w:bCs/>
                <w:color w:val="000000" w:themeColor="text1"/>
                <w:highlight w:val="none"/>
                <w:lang w:val="en-US" w:eastAsia="zh-CN"/>
                <w14:textFill>
                  <w14:solidFill>
                    <w14:schemeClr w14:val="tx1"/>
                  </w14:solidFill>
                </w14:textFill>
              </w:rPr>
              <w:t>环境质量底线</w:t>
            </w:r>
          </w:p>
          <w:p>
            <w:pPr>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本项目大气环境质量目标执行《环境空气质量标准》（GB3095-2012）二级标准。根据2025年5月29日内蒙古自治区生态环境厅发布的《2024年内蒙古自治区生态环境状况公报》，202</w:t>
            </w:r>
            <w:r>
              <w:rPr>
                <w:rFonts w:hint="eastAsia"/>
                <w:color w:val="000000" w:themeColor="text1"/>
                <w:highlight w:val="none"/>
                <w:lang w:val="en-US" w:eastAsia="zh-CN"/>
                <w14:textFill>
                  <w14:solidFill>
                    <w14:schemeClr w14:val="tx1"/>
                  </w14:solidFill>
                </w14:textFill>
              </w:rPr>
              <w:t>4</w:t>
            </w:r>
            <w:r>
              <w:rPr>
                <w:rFonts w:hint="default"/>
                <w:color w:val="000000" w:themeColor="text1"/>
                <w:highlight w:val="none"/>
                <w:lang w:val="en-US" w:eastAsia="zh-CN"/>
                <w14:textFill>
                  <w14:solidFill>
                    <w14:schemeClr w14:val="tx1"/>
                  </w14:solidFill>
                </w14:textFill>
              </w:rPr>
              <w:t>年鄂尔多斯市为达标区，项目评价区域环境空气基本项目中SO</w:t>
            </w:r>
            <w:r>
              <w:rPr>
                <w:rFonts w:hint="default"/>
                <w:color w:val="000000" w:themeColor="text1"/>
                <w:highlight w:val="none"/>
                <w:vertAlign w:val="sub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、NO</w:t>
            </w:r>
            <w:r>
              <w:rPr>
                <w:rFonts w:hint="default"/>
                <w:color w:val="000000" w:themeColor="text1"/>
                <w:highlight w:val="none"/>
                <w:vertAlign w:val="sub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、PM</w:t>
            </w:r>
            <w:r>
              <w:rPr>
                <w:rFonts w:hint="default"/>
                <w:color w:val="000000" w:themeColor="text1"/>
                <w:highlight w:val="none"/>
                <w:vertAlign w:val="subscript"/>
                <w:lang w:val="en-US" w:eastAsia="zh-CN"/>
                <w14:textFill>
                  <w14:solidFill>
                    <w14:schemeClr w14:val="tx1"/>
                  </w14:solidFill>
                </w14:textFill>
              </w:rPr>
              <w:t>10</w:t>
            </w:r>
            <w:r>
              <w:rPr>
                <w:rFonts w:hint="default"/>
                <w:color w:val="000000" w:themeColor="text1"/>
                <w:highlight w:val="none"/>
                <w:lang w:val="en-US" w:eastAsia="zh-CN"/>
                <w14:textFill>
                  <w14:solidFill>
                    <w14:schemeClr w14:val="tx1"/>
                  </w14:solidFill>
                </w14:textFill>
              </w:rPr>
              <w:t>、P</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bscript"/>
                <w:lang w:val="en-US" w:eastAsia="zh-CN"/>
                <w14:textFill>
                  <w14:solidFill>
                    <w14:schemeClr w14:val="tx1"/>
                  </w14:solidFill>
                </w14:textFill>
              </w:rPr>
              <w:t>2.5</w:t>
            </w:r>
            <w:r>
              <w:rPr>
                <w:rFonts w:hint="default"/>
                <w:color w:val="000000" w:themeColor="text1"/>
                <w:highlight w:val="none"/>
                <w:lang w:val="en-US" w:eastAsia="zh-CN"/>
                <w14:textFill>
                  <w14:solidFill>
                    <w14:schemeClr w14:val="tx1"/>
                  </w14:solidFill>
                </w14:textFill>
              </w:rPr>
              <w:t>、O</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、CO长期浓度均可达标，符合《环境空气质量标准》（GB3095-2012）二级标准</w:t>
            </w:r>
            <w:r>
              <w:rPr>
                <w:rFonts w:hint="eastAsia"/>
                <w:color w:val="000000" w:themeColor="text1"/>
                <w:highlight w:val="none"/>
                <w:lang w:val="en-US" w:eastAsia="zh-CN"/>
                <w14:textFill>
                  <w14:solidFill>
                    <w14:schemeClr w14:val="tx1"/>
                  </w14:solidFill>
                </w14:textFill>
              </w:rPr>
              <w:t>。</w:t>
            </w:r>
            <w:r>
              <w:rPr>
                <w:rFonts w:hint="eastAsia"/>
                <w:color w:val="000000" w:themeColor="text1"/>
                <w:lang w:eastAsia="zh-CN"/>
                <w14:textFill>
                  <w14:solidFill>
                    <w14:schemeClr w14:val="tx1"/>
                  </w14:solidFill>
                </w14:textFill>
              </w:rPr>
              <w:t>根据环境空气质量现状监测结果，</w:t>
            </w:r>
            <w:r>
              <w:rPr>
                <w:rFonts w:hint="eastAsia"/>
                <w:color w:val="000000" w:themeColor="text1"/>
                <w:highlight w:val="none"/>
                <w:lang w:val="en-US" w:eastAsia="zh-CN"/>
                <w14:textFill>
                  <w14:solidFill>
                    <w14:schemeClr w14:val="tx1"/>
                  </w14:solidFill>
                </w14:textFill>
              </w:rPr>
              <w:t>项目厂址下风向非甲烷总烃1h浓度平均值满足《大气污染物综合排放标准详解》（国家环境保护局科技标准司）标准限值，项目区域大气环境质量良好。</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w:t>
            </w:r>
            <w:r>
              <w:rPr>
                <w:rFonts w:hint="default" w:ascii="Times New Roman" w:hAnsi="Times New Roman" w:eastAsia="宋体" w:cs="Times New Roman"/>
                <w:color w:val="000000" w:themeColor="text1"/>
                <w:highlight w:val="none"/>
                <w:lang w:val="en-US" w:eastAsia="zh-CN"/>
                <w14:textFill>
                  <w14:solidFill>
                    <w14:schemeClr w14:val="tx1"/>
                  </w14:solidFill>
                </w14:textFill>
              </w:rPr>
              <w:t>项目生活污水</w:t>
            </w:r>
            <w:r>
              <w:rPr>
                <w:rFonts w:hint="eastAsia" w:cs="Times New Roman"/>
                <w:color w:val="000000" w:themeColor="text1"/>
                <w:highlight w:val="none"/>
                <w:lang w:val="en-US" w:eastAsia="zh-CN"/>
                <w14:textFill>
                  <w14:solidFill>
                    <w14:schemeClr w14:val="tx1"/>
                  </w14:solidFill>
                </w14:textFill>
              </w:rPr>
              <w:t>经化粪池处理后，与</w:t>
            </w:r>
            <w:r>
              <w:rPr>
                <w:rFonts w:hint="eastAsia" w:ascii="Times New Roman" w:hAnsi="Times New Roman" w:eastAsia="宋体" w:cs="Times New Roman"/>
                <w:color w:val="000000" w:themeColor="text1"/>
                <w:highlight w:val="none"/>
                <w:lang w:val="en-US" w:eastAsia="zh-CN"/>
                <w14:textFill>
                  <w14:solidFill>
                    <w14:schemeClr w14:val="tx1"/>
                  </w14:solidFill>
                </w14:textFill>
              </w:rPr>
              <w:t>生产废水</w:t>
            </w:r>
            <w:r>
              <w:rPr>
                <w:rFonts w:hint="eastAsia" w:cs="Times New Roman"/>
                <w:color w:val="000000" w:themeColor="text1"/>
                <w:highlight w:val="none"/>
                <w:lang w:val="en-US" w:eastAsia="zh-CN"/>
                <w14:textFill>
                  <w14:solidFill>
                    <w14:schemeClr w14:val="tx1"/>
                  </w14:solidFill>
                </w14:textFill>
              </w:rPr>
              <w:t>经厂区污水处理站处理后，排至鄂尔多斯市泰鑫煤炭有限公司用于洗煤</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本项目运营后会产生一定的污染物，但在采取相应的污染防治措施后，各类污染物的排放一般不会对周边环境造成不良影响，即不会改变区域环境功能区质量要求，能维持环境功能区质量现状。</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综上，本工程的实施符合环境质量底线的要求。</w:t>
            </w:r>
          </w:p>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w:t>
            </w:r>
            <w:r>
              <w:rPr>
                <w:rFonts w:hint="default"/>
                <w:b/>
                <w:bCs/>
                <w:color w:val="000000" w:themeColor="text1"/>
                <w:highlight w:val="none"/>
                <w:lang w:val="en-US" w:eastAsia="zh-CN"/>
                <w14:textFill>
                  <w14:solidFill>
                    <w14:schemeClr w14:val="tx1"/>
                  </w14:solidFill>
                </w14:textFill>
              </w:rPr>
              <w:t>生态环境准入清单</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w:t>
            </w:r>
            <w:bookmarkStart w:id="2" w:name="_Toc143185517"/>
            <w:bookmarkStart w:id="3" w:name="_Toc144984188"/>
            <w:r>
              <w:rPr>
                <w:rFonts w:hint="default"/>
                <w:color w:val="000000" w:themeColor="text1"/>
                <w:highlight w:val="none"/>
                <w:lang w:val="en-US" w:eastAsia="zh-CN"/>
                <w14:textFill>
                  <w14:solidFill>
                    <w14:schemeClr w14:val="tx1"/>
                  </w14:solidFill>
                </w14:textFill>
              </w:rPr>
              <w:t>鄂尔多斯市生态环境管控准入清单</w:t>
            </w:r>
            <w:bookmarkEnd w:id="2"/>
            <w:bookmarkEnd w:id="3"/>
            <w:r>
              <w:rPr>
                <w:rFonts w:hint="default"/>
                <w:color w:val="000000" w:themeColor="text1"/>
                <w:highlight w:val="none"/>
                <w:lang w:val="en-US" w:eastAsia="zh-CN"/>
                <w14:textFill>
                  <w14:solidFill>
                    <w14:schemeClr w14:val="tx1"/>
                  </w14:solidFill>
                </w14:textFill>
              </w:rPr>
              <w:t>》（2023年），本项目位于</w:t>
            </w:r>
            <w:r>
              <w:rPr>
                <w:rFonts w:hint="eastAsia"/>
                <w:color w:val="000000" w:themeColor="text1"/>
                <w:highlight w:val="none"/>
                <w:lang w:val="en-US" w:eastAsia="zh-CN"/>
                <w14:textFill>
                  <w14:solidFill>
                    <w14:schemeClr w14:val="tx1"/>
                  </w14:solidFill>
                </w14:textFill>
              </w:rPr>
              <w:t>内蒙古自治区鄂尔多斯市伊金霍洛旗蒙苏经济开发区圣圆煤化工基地汇金达厂区内内建设</w:t>
            </w:r>
            <w:r>
              <w:rPr>
                <w:rFonts w:hint="default"/>
                <w:color w:val="000000" w:themeColor="text1"/>
                <w:highlight w:val="none"/>
                <w:lang w:val="en-US" w:eastAsia="zh-CN"/>
                <w14:textFill>
                  <w14:solidFill>
                    <w14:schemeClr w14:val="tx1"/>
                  </w14:solidFill>
                </w14:textFill>
              </w:rPr>
              <w:t>，属于蒙苏经济开发区，为重点管控单元，管控单位编码ZH15062720001，管控单元相关符合性分析见下表，项目与环境管控单元位置关系图</w:t>
            </w:r>
            <w:r>
              <w:rPr>
                <w:rFonts w:hint="eastAsia"/>
                <w:color w:val="000000" w:themeColor="text1"/>
                <w:lang w:val="en-US" w:eastAsia="zh-CN"/>
                <w14:textFill>
                  <w14:solidFill>
                    <w14:schemeClr w14:val="tx1"/>
                  </w14:solidFill>
                </w14:textFill>
              </w:rPr>
              <w:t>详见附图4，“三线一单”平台查询结果见图1-1</w:t>
            </w:r>
            <w:r>
              <w:rPr>
                <w:rFonts w:hint="default"/>
                <w:color w:val="000000" w:themeColor="text1"/>
                <w:highlight w:val="none"/>
                <w:lang w:val="en-US" w:eastAsia="zh-CN"/>
                <w14:textFill>
                  <w14:solidFill>
                    <w14:schemeClr w14:val="tx1"/>
                  </w14:solidFill>
                </w14:textFill>
              </w:rPr>
              <w:t>。</w:t>
            </w:r>
          </w:p>
          <w:p>
            <w:pPr>
              <w:bidi w:val="0"/>
              <w:ind w:left="0" w:leftChars="0" w:firstLine="0" w:firstLineChars="0"/>
              <w:jc w:val="center"/>
              <w:rPr>
                <w:rFonts w:hint="default"/>
                <w:b/>
                <w:bCs/>
                <w:color w:val="000000" w:themeColor="text1"/>
                <w:highlight w:val="none"/>
                <w:lang w:val="en-US" w:eastAsia="zh-CN"/>
                <w14:textFill>
                  <w14:solidFill>
                    <w14:schemeClr w14:val="tx1"/>
                  </w14:solidFill>
                </w14:textFill>
              </w:rPr>
            </w:pPr>
            <w:r>
              <w:rPr>
                <w:rFonts w:hint="default"/>
                <w:b/>
                <w:bCs/>
                <w:color w:val="000000" w:themeColor="text1"/>
                <w:sz w:val="21"/>
                <w:szCs w:val="21"/>
                <w:highlight w:val="none"/>
                <w:lang w:val="en-US" w:eastAsia="zh-CN"/>
                <w14:textFill>
                  <w14:solidFill>
                    <w14:schemeClr w14:val="tx1"/>
                  </w14:solidFill>
                </w14:textFill>
              </w:rPr>
              <w:t>表1-</w:t>
            </w:r>
            <w:r>
              <w:rPr>
                <w:rFonts w:hint="eastAsia"/>
                <w:b/>
                <w:bCs/>
                <w:color w:val="000000" w:themeColor="text1"/>
                <w:sz w:val="21"/>
                <w:szCs w:val="21"/>
                <w:highlight w:val="none"/>
                <w:lang w:val="en-US" w:eastAsia="zh-CN"/>
                <w14:textFill>
                  <w14:solidFill>
                    <w14:schemeClr w14:val="tx1"/>
                  </w14:solidFill>
                </w14:textFill>
              </w:rPr>
              <w:t>3</w:t>
            </w:r>
            <w:r>
              <w:rPr>
                <w:rFonts w:hint="default"/>
                <w:b/>
                <w:bCs/>
                <w:color w:val="000000" w:themeColor="text1"/>
                <w:sz w:val="21"/>
                <w:szCs w:val="21"/>
                <w:highlight w:val="none"/>
                <w:lang w:val="en-US" w:eastAsia="zh-CN"/>
                <w14:textFill>
                  <w14:solidFill>
                    <w14:schemeClr w14:val="tx1"/>
                  </w14:solidFill>
                </w14:textFill>
              </w:rPr>
              <w:t>本项目与生态环境准入清单符合性分析一览表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7"/>
              <w:gridCol w:w="3400"/>
              <w:gridCol w:w="2668"/>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27" w:type="dxa"/>
                  <w:gridSpan w:val="2"/>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管控要求</w:t>
                  </w:r>
                </w:p>
              </w:tc>
              <w:tc>
                <w:tcPr>
                  <w:tcW w:w="2668"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本项目</w:t>
                  </w:r>
                  <w:r>
                    <w:commentReference w:id="7"/>
                  </w:r>
                </w:p>
              </w:tc>
              <w:tc>
                <w:tcPr>
                  <w:tcW w:w="88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7"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空间布局约束</w:t>
                  </w:r>
                </w:p>
              </w:tc>
              <w:tc>
                <w:tcPr>
                  <w:tcW w:w="3400"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1.禁止不符合园区产业定位及规划环评等要求的项目入园；国家明令淘汰的落后产能和不符合国家产业政策的项目，禁止向工业园区转移。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汇能工业项目区：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sz w:val="21"/>
                      <w:szCs w:val="21"/>
                      <w:highlight w:val="none"/>
                      <w14:textFill>
                        <w14:solidFill>
                          <w14:schemeClr w14:val="tx1"/>
                        </w14:solidFill>
                      </w14:textFill>
                    </w:rPr>
                  </w:pPr>
                  <w:commentRangeStart w:id="8"/>
                  <w:r>
                    <w:rPr>
                      <w:rFonts w:hint="eastAsia"/>
                      <w:color w:val="000000" w:themeColor="text1"/>
                      <w:sz w:val="21"/>
                      <w:szCs w:val="21"/>
                      <w:highlight w:val="none"/>
                      <w14:textFill>
                        <w14:solidFill>
                          <w14:schemeClr w14:val="tx1"/>
                        </w14:solidFill>
                      </w14:textFill>
                    </w:rPr>
                    <w:t>1.禁止建设涉及铅、汞、铬、镉、砷五种重点控制的重金属产生和排放的项目；</w:t>
                  </w:r>
                  <w:commentRangeEnd w:id="8"/>
                  <w:r>
                    <w:commentReference w:id="8"/>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2.引进达到清洁生产一级水平或国内国际先进水平、资源利用效率达到国内先进水平、污染排放少的项目。落实各类废渣和工业副产品的循环综合利用。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3.园区与居民、地表水体、文物保护等环境敏感区之间应设置合理的防护隔离区，工业区和居住区间绿化隔离带不小于500m</w:t>
                  </w:r>
                  <w:r>
                    <w:rPr>
                      <w:color w:val="000000" w:themeColor="text1"/>
                      <w:sz w:val="21"/>
                      <w:szCs w:val="21"/>
                      <w:highlight w:val="none"/>
                      <w14:textFill>
                        <w14:solidFill>
                          <w14:schemeClr w14:val="tx1"/>
                        </w14:solidFill>
                      </w14:textFill>
                    </w:rPr>
                    <w:t>。</w:t>
                  </w:r>
                </w:p>
              </w:tc>
              <w:tc>
                <w:tcPr>
                  <w:tcW w:w="2668" w:type="dxa"/>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firstLine="0" w:firstLineChars="0"/>
                    <w:jc w:val="both"/>
                    <w:textAlignment w:val="auto"/>
                    <w:rPr>
                      <w:rFonts w:hint="default" w:ascii="Times New Roman" w:hAnsi="Times New Roman" w:eastAsia="宋体" w:cs="Times New Roman"/>
                      <w:color w:val="FF0000"/>
                      <w:spacing w:val="0"/>
                      <w:sz w:val="21"/>
                      <w:szCs w:val="21"/>
                      <w:lang w:val="en-US" w:eastAsia="zh-CN"/>
                    </w:rPr>
                  </w:pPr>
                  <w:r>
                    <w:rPr>
                      <w:rFonts w:hint="eastAsia" w:cs="Times New Roman"/>
                      <w:color w:val="FF0000"/>
                      <w:spacing w:val="0"/>
                      <w:sz w:val="21"/>
                      <w:szCs w:val="21"/>
                      <w:lang w:val="en-US" w:eastAsia="zh-CN"/>
                    </w:rPr>
                    <w:t>1.</w:t>
                  </w:r>
                  <w:r>
                    <w:rPr>
                      <w:rFonts w:hint="default" w:ascii="Times New Roman" w:hAnsi="Times New Roman" w:eastAsia="宋体" w:cs="Times New Roman"/>
                      <w:color w:val="FF0000"/>
                      <w:spacing w:val="0"/>
                      <w:sz w:val="21"/>
                      <w:szCs w:val="21"/>
                      <w:lang w:val="en-US" w:eastAsia="zh-CN"/>
                    </w:rPr>
                    <w:t>项目选址位于</w:t>
                  </w:r>
                  <w:r>
                    <w:rPr>
                      <w:rFonts w:hint="eastAsia" w:ascii="Times New Roman" w:hAnsi="Times New Roman" w:eastAsia="宋体" w:cs="Times New Roman"/>
                      <w:color w:val="FF0000"/>
                      <w:spacing w:val="0"/>
                      <w:sz w:val="21"/>
                      <w:szCs w:val="21"/>
                      <w:lang w:val="en-US" w:eastAsia="zh-CN"/>
                    </w:rPr>
                    <w:t>蒙苏经济开发区圣圆煤化工产业园汇能煤化工产业片区</w:t>
                  </w:r>
                  <w:r>
                    <w:rPr>
                      <w:rFonts w:hint="default" w:ascii="Times New Roman" w:hAnsi="Times New Roman" w:eastAsia="宋体" w:cs="Times New Roman"/>
                      <w:color w:val="FF0000"/>
                      <w:spacing w:val="0"/>
                      <w:sz w:val="21"/>
                      <w:szCs w:val="21"/>
                      <w:lang w:val="en-US" w:eastAsia="zh-CN"/>
                    </w:rPr>
                    <w:t>，</w:t>
                  </w:r>
                  <w:r>
                    <w:rPr>
                      <w:color w:val="FF0000"/>
                    </w:rPr>
                    <w:commentReference w:id="9"/>
                  </w:r>
                  <w:r>
                    <w:rPr>
                      <w:rFonts w:hint="default" w:ascii="Times New Roman" w:hAnsi="Times New Roman" w:eastAsia="宋体" w:cs="Times New Roman"/>
                      <w:color w:val="FF0000"/>
                      <w:spacing w:val="0"/>
                      <w:sz w:val="21"/>
                      <w:szCs w:val="21"/>
                      <w:lang w:val="en-US" w:eastAsia="zh-CN"/>
                    </w:rPr>
                    <w:t>属于原油加工及石油制品制造，符合园区产业定位</w:t>
                  </w:r>
                  <w:r>
                    <w:rPr>
                      <w:rFonts w:hint="default" w:ascii="Times New Roman" w:hAnsi="Times New Roman" w:eastAsia="宋体" w:cs="Times New Roman"/>
                      <w:caps w:val="0"/>
                      <w:smallCaps w:val="0"/>
                      <w:color w:val="FF0000"/>
                      <w:spacing w:val="0"/>
                      <w:kern w:val="0"/>
                      <w:sz w:val="21"/>
                      <w:szCs w:val="21"/>
                      <w:highlight w:val="none"/>
                      <w:lang w:val="en-US" w:eastAsia="zh-CN" w:bidi="ar"/>
                    </w:rPr>
                    <w:t>及规划环评要求</w:t>
                  </w:r>
                  <w:r>
                    <w:rPr>
                      <w:rFonts w:hint="default" w:ascii="Times New Roman" w:hAnsi="Times New Roman" w:eastAsia="宋体" w:cs="Times New Roman"/>
                      <w:color w:val="FF0000"/>
                      <w:spacing w:val="0"/>
                      <w:sz w:val="21"/>
                      <w:szCs w:val="21"/>
                      <w:lang w:val="en-US" w:eastAsia="zh-CN"/>
                    </w:rPr>
                    <w:t>，占地为永久工业用地</w:t>
                  </w:r>
                  <w:r>
                    <w:rPr>
                      <w:rFonts w:hint="eastAsia" w:ascii="Times New Roman" w:hAnsi="Times New Roman" w:eastAsia="宋体" w:cs="Times New Roman"/>
                      <w:color w:val="FF0000"/>
                      <w:spacing w:val="0"/>
                      <w:sz w:val="21"/>
                      <w:szCs w:val="21"/>
                      <w:lang w:val="en-US" w:eastAsia="zh-CN"/>
                    </w:rPr>
                    <w:t>。项目</w:t>
                  </w:r>
                  <w:r>
                    <w:rPr>
                      <w:rFonts w:hint="default" w:ascii="Times New Roman" w:hAnsi="Times New Roman" w:eastAsia="宋体" w:cs="Times New Roman"/>
                      <w:color w:val="FF0000"/>
                      <w:spacing w:val="0"/>
                      <w:sz w:val="21"/>
                      <w:szCs w:val="21"/>
                      <w:lang w:val="en-US" w:eastAsia="zh-CN"/>
                    </w:rPr>
                    <w:t>符合</w:t>
                  </w:r>
                  <w:r>
                    <w:rPr>
                      <w:rFonts w:hint="eastAsia" w:ascii="Times New Roman" w:hAnsi="Times New Roman" w:eastAsia="宋体" w:cs="Times New Roman"/>
                      <w:color w:val="FF0000"/>
                      <w:spacing w:val="0"/>
                      <w:sz w:val="21"/>
                      <w:szCs w:val="21"/>
                      <w:lang w:val="en-US" w:eastAsia="zh-CN"/>
                    </w:rPr>
                    <w:t>国</w:t>
                  </w:r>
                  <w:r>
                    <w:rPr>
                      <w:rFonts w:hint="default" w:ascii="Times New Roman" w:hAnsi="Times New Roman" w:eastAsia="宋体" w:cs="Times New Roman"/>
                      <w:color w:val="FF0000"/>
                      <w:spacing w:val="0"/>
                      <w:sz w:val="21"/>
                      <w:szCs w:val="21"/>
                      <w:lang w:val="en-US" w:eastAsia="zh-CN"/>
                    </w:rPr>
                    <w:t>家及</w:t>
                  </w:r>
                  <w:r>
                    <w:rPr>
                      <w:rFonts w:hint="eastAsia" w:ascii="Times New Roman" w:hAnsi="Times New Roman" w:eastAsia="宋体" w:cs="Times New Roman"/>
                      <w:color w:val="FF0000"/>
                      <w:spacing w:val="0"/>
                      <w:sz w:val="21"/>
                      <w:szCs w:val="21"/>
                      <w:lang w:val="en-US" w:eastAsia="zh-CN"/>
                    </w:rPr>
                    <w:t>地方</w:t>
                  </w:r>
                  <w:r>
                    <w:rPr>
                      <w:rFonts w:hint="default" w:ascii="Times New Roman" w:hAnsi="Times New Roman" w:eastAsia="宋体" w:cs="Times New Roman"/>
                      <w:color w:val="FF0000"/>
                      <w:spacing w:val="0"/>
                      <w:sz w:val="21"/>
                      <w:szCs w:val="21"/>
                      <w:lang w:val="en-US" w:eastAsia="zh-CN"/>
                    </w:rPr>
                    <w:t>产业政策，</w:t>
                  </w:r>
                  <w:r>
                    <w:rPr>
                      <w:rFonts w:hint="eastAsia" w:ascii="Times New Roman" w:hAnsi="Times New Roman" w:eastAsia="宋体" w:cs="Times New Roman"/>
                      <w:color w:val="FF0000"/>
                      <w:spacing w:val="0"/>
                      <w:sz w:val="21"/>
                      <w:szCs w:val="21"/>
                      <w:lang w:val="en-US" w:eastAsia="zh-CN"/>
                    </w:rPr>
                    <w:t>不属于</w:t>
                  </w:r>
                  <w:r>
                    <w:rPr>
                      <w:rFonts w:hint="default" w:ascii="Times New Roman" w:hAnsi="Times New Roman" w:eastAsia="宋体" w:cs="Times New Roman"/>
                      <w:caps w:val="0"/>
                      <w:smallCaps w:val="0"/>
                      <w:color w:val="FF0000"/>
                      <w:spacing w:val="0"/>
                      <w:kern w:val="0"/>
                      <w:sz w:val="21"/>
                      <w:szCs w:val="21"/>
                      <w:highlight w:val="none"/>
                      <w:lang w:val="en-US" w:eastAsia="zh-CN" w:bidi="ar"/>
                    </w:rPr>
                    <w:t>国家明令淘汰的落后产能和不符合国家产业政策的项目</w:t>
                  </w:r>
                  <w:r>
                    <w:rPr>
                      <w:rFonts w:hint="default" w:ascii="Times New Roman" w:hAnsi="Times New Roman" w:eastAsia="宋体" w:cs="Times New Roman"/>
                      <w:color w:val="FF0000"/>
                      <w:spacing w:val="0"/>
                      <w:sz w:val="21"/>
                      <w:szCs w:val="21"/>
                      <w:lang w:val="en-US" w:eastAsia="zh-CN"/>
                    </w:rPr>
                    <w:t>。</w:t>
                  </w:r>
                </w:p>
                <w:p>
                  <w:pPr>
                    <w:keepNext w:val="0"/>
                    <w:keepLines w:val="0"/>
                    <w:pageBreakBefore w:val="0"/>
                    <w:widowControl/>
                    <w:kinsoku/>
                    <w:wordWrap/>
                    <w:overflowPunct/>
                    <w:topLinePunct w:val="0"/>
                    <w:autoSpaceDE/>
                    <w:autoSpaceDN/>
                    <w:bidi w:val="0"/>
                    <w:adjustRightInd/>
                    <w:snapToGrid/>
                    <w:spacing w:line="360" w:lineRule="exact"/>
                    <w:ind w:left="0" w:leftChars="0" w:firstLine="0" w:firstLineChars="0"/>
                    <w:jc w:val="both"/>
                    <w:textAlignment w:val="auto"/>
                    <w:rPr>
                      <w:rFonts w:hint="default" w:ascii="Times New Roman" w:hAnsi="Times New Roman" w:eastAsia="宋体" w:cs="Times New Roman"/>
                      <w:color w:val="FF0000"/>
                      <w:spacing w:val="0"/>
                      <w:sz w:val="21"/>
                      <w:szCs w:val="21"/>
                      <w:lang w:val="en-US" w:eastAsia="zh-CN"/>
                    </w:rPr>
                  </w:pPr>
                  <w:r>
                    <w:rPr>
                      <w:rFonts w:hint="eastAsia" w:cs="Times New Roman"/>
                      <w:color w:val="FF0000"/>
                      <w:spacing w:val="0"/>
                      <w:sz w:val="21"/>
                      <w:szCs w:val="21"/>
                      <w:lang w:val="en-US" w:eastAsia="zh-CN"/>
                    </w:rPr>
                    <w:t>汇能片区：</w:t>
                  </w:r>
                </w:p>
                <w:p>
                  <w:pPr>
                    <w:keepNext w:val="0"/>
                    <w:keepLines w:val="0"/>
                    <w:pageBreakBefore w:val="0"/>
                    <w:widowControl/>
                    <w:numPr>
                      <w:ilvl w:val="0"/>
                      <w:numId w:val="2"/>
                    </w:numPr>
                    <w:kinsoku/>
                    <w:wordWrap/>
                    <w:overflowPunct/>
                    <w:topLinePunct w:val="0"/>
                    <w:autoSpaceDE/>
                    <w:autoSpaceDN/>
                    <w:bidi w:val="0"/>
                    <w:adjustRightInd/>
                    <w:snapToGrid/>
                    <w:spacing w:line="360" w:lineRule="exact"/>
                    <w:ind w:left="0" w:leftChars="0" w:firstLine="0" w:firstLineChars="0"/>
                    <w:jc w:val="both"/>
                    <w:textAlignment w:val="auto"/>
                    <w:rPr>
                      <w:rFonts w:hint="eastAsia" w:cs="Times New Roman"/>
                      <w:caps w:val="0"/>
                      <w:smallCaps w:val="0"/>
                      <w:color w:val="FF0000"/>
                      <w:spacing w:val="0"/>
                      <w:kern w:val="0"/>
                      <w:sz w:val="21"/>
                      <w:szCs w:val="21"/>
                      <w:highlight w:val="none"/>
                      <w:lang w:val="en-US" w:eastAsia="zh-CN" w:bidi="ar"/>
                    </w:rPr>
                  </w:pPr>
                  <w:r>
                    <w:rPr>
                      <w:rFonts w:hint="eastAsia" w:ascii="Times New Roman" w:hAnsi="Times New Roman" w:eastAsia="宋体" w:cs="Times New Roman"/>
                      <w:color w:val="FF0000"/>
                      <w:spacing w:val="0"/>
                      <w:sz w:val="21"/>
                      <w:szCs w:val="21"/>
                      <w:lang w:val="en-US" w:eastAsia="zh-CN"/>
                    </w:rPr>
                    <w:t>项目不涉及</w:t>
                  </w:r>
                  <w:r>
                    <w:rPr>
                      <w:rFonts w:hint="default" w:ascii="Times New Roman" w:hAnsi="Times New Roman" w:eastAsia="宋体" w:cs="Times New Roman"/>
                      <w:caps w:val="0"/>
                      <w:smallCaps w:val="0"/>
                      <w:color w:val="FF0000"/>
                      <w:spacing w:val="0"/>
                      <w:kern w:val="0"/>
                      <w:sz w:val="21"/>
                      <w:szCs w:val="21"/>
                      <w:highlight w:val="none"/>
                      <w:lang w:val="en-US" w:eastAsia="zh-CN" w:bidi="ar"/>
                    </w:rPr>
                    <w:t>重点控制的重金属产生和排放</w:t>
                  </w:r>
                  <w:r>
                    <w:rPr>
                      <w:rFonts w:hint="eastAsia" w:cs="Times New Roman"/>
                      <w:caps w:val="0"/>
                      <w:smallCaps w:val="0"/>
                      <w:color w:val="FF0000"/>
                      <w:spacing w:val="0"/>
                      <w:kern w:val="0"/>
                      <w:sz w:val="21"/>
                      <w:szCs w:val="21"/>
                      <w:highlight w:val="none"/>
                      <w:lang w:val="en-US" w:eastAsia="zh-CN" w:bidi="ar"/>
                    </w:rPr>
                    <w:t>。</w:t>
                  </w:r>
                </w:p>
                <w:p>
                  <w:pPr>
                    <w:keepNext w:val="0"/>
                    <w:keepLines w:val="0"/>
                    <w:pageBreakBefore w:val="0"/>
                    <w:widowControl/>
                    <w:numPr>
                      <w:ilvl w:val="0"/>
                      <w:numId w:val="2"/>
                    </w:numPr>
                    <w:kinsoku/>
                    <w:wordWrap/>
                    <w:overflowPunct/>
                    <w:topLinePunct w:val="0"/>
                    <w:autoSpaceDE/>
                    <w:autoSpaceDN/>
                    <w:bidi w:val="0"/>
                    <w:adjustRightInd/>
                    <w:snapToGrid/>
                    <w:spacing w:line="360" w:lineRule="exact"/>
                    <w:ind w:left="0" w:leftChars="0" w:firstLine="0" w:firstLineChars="0"/>
                    <w:jc w:val="both"/>
                    <w:textAlignment w:val="auto"/>
                    <w:rPr>
                      <w:color w:val="FF0000"/>
                      <w:sz w:val="21"/>
                      <w:szCs w:val="21"/>
                      <w:highlight w:val="none"/>
                    </w:rPr>
                  </w:pPr>
                  <w:r>
                    <w:rPr>
                      <w:rFonts w:hint="eastAsia" w:ascii="Times New Roman" w:hAnsi="Times New Roman" w:eastAsia="宋体" w:cs="Times New Roman"/>
                      <w:caps w:val="0"/>
                      <w:smallCaps w:val="0"/>
                      <w:color w:val="FF0000"/>
                      <w:spacing w:val="0"/>
                      <w:kern w:val="0"/>
                      <w:sz w:val="21"/>
                      <w:szCs w:val="21"/>
                      <w:highlight w:val="none"/>
                      <w:lang w:val="en-US" w:eastAsia="zh-CN" w:bidi="ar"/>
                    </w:rPr>
                    <w:t>本项目所属行业未发布清洁上产标准，本项目用水主要生活用水、地面清洗用水，用水由市政自来水提供。用水</w:t>
                  </w:r>
                  <w:r>
                    <w:rPr>
                      <w:rFonts w:hint="eastAsia" w:cs="Times New Roman"/>
                      <w:caps w:val="0"/>
                      <w:smallCaps w:val="0"/>
                      <w:color w:val="FF0000"/>
                      <w:spacing w:val="0"/>
                      <w:kern w:val="0"/>
                      <w:sz w:val="21"/>
                      <w:szCs w:val="21"/>
                      <w:highlight w:val="none"/>
                      <w:lang w:val="en-US" w:eastAsia="zh-CN" w:bidi="ar"/>
                    </w:rPr>
                    <w:t>、电、蒸汽</w:t>
                  </w:r>
                  <w:r>
                    <w:rPr>
                      <w:rFonts w:hint="eastAsia" w:ascii="Times New Roman" w:hAnsi="Times New Roman" w:eastAsia="宋体" w:cs="Times New Roman"/>
                      <w:caps w:val="0"/>
                      <w:smallCaps w:val="0"/>
                      <w:color w:val="FF0000"/>
                      <w:spacing w:val="0"/>
                      <w:kern w:val="0"/>
                      <w:sz w:val="21"/>
                      <w:szCs w:val="21"/>
                      <w:highlight w:val="none"/>
                      <w:lang w:val="en-US" w:eastAsia="zh-CN" w:bidi="ar"/>
                    </w:rPr>
                    <w:t>量较少</w:t>
                  </w:r>
                  <w:commentRangeStart w:id="10"/>
                  <w:r>
                    <w:rPr>
                      <w:rFonts w:hint="default" w:ascii="Times New Roman" w:hAnsi="Times New Roman" w:eastAsia="宋体" w:cs="Times New Roman"/>
                      <w:color w:val="FF0000"/>
                      <w:spacing w:val="0"/>
                      <w:sz w:val="21"/>
                      <w:szCs w:val="21"/>
                    </w:rPr>
                    <w:t>，</w:t>
                  </w:r>
                  <w:r>
                    <w:rPr>
                      <w:rFonts w:hint="eastAsia" w:cs="Times New Roman"/>
                      <w:color w:val="FF0000"/>
                      <w:spacing w:val="0"/>
                      <w:sz w:val="21"/>
                      <w:szCs w:val="21"/>
                      <w:lang w:val="en-US" w:eastAsia="zh-CN"/>
                    </w:rPr>
                    <w:t>固体废物委托资质单位处置，</w:t>
                  </w:r>
                  <w:r>
                    <w:rPr>
                      <w:rFonts w:hint="default" w:ascii="Times New Roman" w:hAnsi="Times New Roman" w:eastAsia="宋体" w:cs="Times New Roman"/>
                      <w:color w:val="FF0000"/>
                      <w:spacing w:val="0"/>
                      <w:sz w:val="21"/>
                      <w:szCs w:val="21"/>
                    </w:rPr>
                    <w:t>符合循环经济要求</w:t>
                  </w:r>
                  <w:r>
                    <w:rPr>
                      <w:rFonts w:hint="eastAsia" w:ascii="Times New Roman" w:hAnsi="Times New Roman" w:eastAsia="宋体" w:cs="Times New Roman"/>
                      <w:color w:val="FF0000"/>
                      <w:spacing w:val="0"/>
                      <w:sz w:val="21"/>
                      <w:szCs w:val="21"/>
                      <w:lang w:eastAsia="zh-CN"/>
                    </w:rPr>
                    <w:t>。</w:t>
                  </w:r>
                </w:p>
                <w:commentRangeEnd w:id="10"/>
                <w:p>
                  <w:pPr>
                    <w:keepNext w:val="0"/>
                    <w:keepLines w:val="0"/>
                    <w:pageBreakBefore w:val="0"/>
                    <w:widowControl/>
                    <w:numPr>
                      <w:ilvl w:val="0"/>
                      <w:numId w:val="2"/>
                    </w:numPr>
                    <w:kinsoku/>
                    <w:wordWrap/>
                    <w:overflowPunct/>
                    <w:topLinePunct w:val="0"/>
                    <w:autoSpaceDE/>
                    <w:autoSpaceDN/>
                    <w:bidi w:val="0"/>
                    <w:adjustRightInd/>
                    <w:snapToGrid/>
                    <w:spacing w:line="360" w:lineRule="exact"/>
                    <w:ind w:left="0" w:leftChars="0" w:firstLine="0" w:firstLineChars="0"/>
                    <w:jc w:val="both"/>
                    <w:textAlignment w:val="auto"/>
                    <w:rPr>
                      <w:color w:val="FF0000"/>
                      <w:sz w:val="21"/>
                      <w:szCs w:val="21"/>
                      <w:highlight w:val="none"/>
                    </w:rPr>
                  </w:pPr>
                  <w:r>
                    <w:rPr>
                      <w:color w:val="FF0000"/>
                    </w:rPr>
                    <w:commentReference w:id="10"/>
                  </w:r>
                  <w:r>
                    <w:rPr>
                      <w:rFonts w:hint="eastAsia" w:ascii="Times New Roman" w:hAnsi="Times New Roman" w:eastAsia="宋体" w:cs="Times New Roman"/>
                      <w:color w:val="FF0000"/>
                      <w:spacing w:val="0"/>
                      <w:sz w:val="21"/>
                      <w:szCs w:val="21"/>
                      <w:lang w:val="en-US" w:eastAsia="zh-CN"/>
                    </w:rPr>
                    <w:t>项目</w:t>
                  </w:r>
                  <w:r>
                    <w:rPr>
                      <w:rFonts w:hint="default" w:ascii="Times New Roman" w:hAnsi="Times New Roman" w:eastAsia="宋体" w:cs="Times New Roman"/>
                      <w:b w:val="0"/>
                      <w:bCs w:val="0"/>
                      <w:color w:val="FF0000"/>
                      <w:sz w:val="21"/>
                      <w:szCs w:val="21"/>
                    </w:rPr>
                    <w:t>500</w:t>
                  </w:r>
                  <w:r>
                    <w:rPr>
                      <w:rFonts w:hint="eastAsia" w:ascii="Times New Roman" w:hAnsi="Times New Roman" w:eastAsia="宋体" w:cs="Times New Roman"/>
                      <w:b w:val="0"/>
                      <w:bCs w:val="0"/>
                      <w:color w:val="FF0000"/>
                      <w:sz w:val="21"/>
                      <w:szCs w:val="21"/>
                      <w:lang w:val="en-US" w:eastAsia="zh-CN"/>
                    </w:rPr>
                    <w:t>m范围内不涉及居住区。</w:t>
                  </w:r>
                </w:p>
              </w:tc>
              <w:tc>
                <w:tcPr>
                  <w:tcW w:w="88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7"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污染物排放管控</w:t>
                  </w:r>
                </w:p>
              </w:tc>
              <w:tc>
                <w:tcPr>
                  <w:tcW w:w="3400"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1.按“清污分流”、“雨污分流”、“污污分流”原则，污水应收尽收，全部回用或作为景观用水不外排。</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w:t>
                  </w:r>
                  <w:r>
                    <w:rPr>
                      <w:rFonts w:hint="eastAsia"/>
                      <w:color w:val="000000" w:themeColor="text1"/>
                      <w:sz w:val="21"/>
                      <w:szCs w:val="21"/>
                      <w:highlight w:val="none"/>
                      <w14:textFill>
                        <w14:solidFill>
                          <w14:schemeClr w14:val="tx1"/>
                        </w14:solidFill>
                      </w14:textFill>
                    </w:rPr>
                    <w:t>推进高含盐水“零排放”，稳定运行高盐水深度处理和分盐结晶设施，完善配套设施、优化工艺技术，确保高盐水全部结晶处理，严禁排入晾晒池。加快现有晾晒池取缔或转变功能，禁止新建晾晒池、蒸发塘</w:t>
                  </w:r>
                  <w:r>
                    <w:rPr>
                      <w:color w:val="000000" w:themeColor="text1"/>
                      <w:sz w:val="21"/>
                      <w:szCs w:val="21"/>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3.涉VOCs项目应使用低（无）VOCs含量的原辅材料，安装废气收集、高效治理设施。</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4.园区实施集中供热，禁止企业自建燃煤锅炉，燃煤发电机组执行大气污染物超低排放限值。</w:t>
                  </w:r>
                </w:p>
              </w:tc>
              <w:tc>
                <w:tcPr>
                  <w:tcW w:w="2668" w:type="dxa"/>
                  <w:noWrap w:val="0"/>
                  <w:tcMar>
                    <w:left w:w="28" w:type="dxa"/>
                    <w:right w:w="28" w:type="dxa"/>
                  </w:tcMar>
                  <w:vAlign w:val="center"/>
                </w:tcPr>
                <w:p>
                  <w:pPr>
                    <w:ind w:left="0" w:leftChars="0" w:firstLine="0" w:firstLineChars="0"/>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1.</w:t>
                  </w:r>
                  <w:r>
                    <w:rPr>
                      <w:rFonts w:hint="default" w:ascii="Times New Roman" w:hAnsi="Times New Roman" w:eastAsia="宋体" w:cs="Times New Roman"/>
                      <w:color w:val="FF0000"/>
                      <w:sz w:val="21"/>
                      <w:szCs w:val="21"/>
                      <w:highlight w:val="none"/>
                    </w:rPr>
                    <w:t>项目</w:t>
                  </w:r>
                  <w:r>
                    <w:rPr>
                      <w:rFonts w:hint="eastAsia" w:ascii="Times New Roman" w:hAnsi="Times New Roman" w:eastAsia="宋体" w:cs="Times New Roman"/>
                      <w:color w:val="FF0000"/>
                      <w:sz w:val="21"/>
                      <w:szCs w:val="21"/>
                      <w:highlight w:val="none"/>
                      <w:lang w:val="en-US" w:eastAsia="zh-CN"/>
                    </w:rPr>
                    <w:t>厂区雨污分流，</w:t>
                  </w:r>
                  <w:r>
                    <w:rPr>
                      <w:color w:val="FF0000"/>
                    </w:rPr>
                    <w:commentReference w:id="11"/>
                  </w:r>
                  <w:r>
                    <w:rPr>
                      <w:rFonts w:hint="eastAsia" w:ascii="Times New Roman" w:hAnsi="Times New Roman" w:eastAsia="宋体" w:cs="Times New Roman"/>
                      <w:color w:val="FF0000"/>
                      <w:sz w:val="21"/>
                      <w:szCs w:val="21"/>
                      <w:highlight w:val="none"/>
                      <w:lang w:val="en-US" w:eastAsia="zh-CN"/>
                    </w:rPr>
                    <w:t>雨水进入园区雨水管网，生活污水经化粪池处理后，与生产废水经厂区污水处理站</w:t>
                  </w:r>
                  <w:r>
                    <w:rPr>
                      <w:rFonts w:hint="eastAsia"/>
                      <w:color w:val="FF0000"/>
                      <w:sz w:val="21"/>
                      <w:szCs w:val="21"/>
                      <w:lang w:val="en-US" w:eastAsia="zh-CN"/>
                    </w:rPr>
                    <w:t>处理达标后</w:t>
                  </w:r>
                  <w:r>
                    <w:rPr>
                      <w:rFonts w:hint="eastAsia" w:ascii="Times New Roman" w:hAnsi="Times New Roman" w:eastAsia="宋体" w:cs="Times New Roman"/>
                      <w:color w:val="FF0000"/>
                      <w:sz w:val="21"/>
                      <w:szCs w:val="21"/>
                      <w:highlight w:val="none"/>
                      <w:lang w:val="en-US" w:eastAsia="zh-CN"/>
                    </w:rPr>
                    <w:t>用于鄂尔多斯市泰鑫煤炭有限公司洗煤用水。</w:t>
                  </w:r>
                </w:p>
                <w:p>
                  <w:pPr>
                    <w:ind w:left="0" w:leftChars="0" w:firstLine="0" w:firstLineChars="0"/>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2.项目不涉及高含盐废水。</w:t>
                  </w:r>
                </w:p>
                <w:p>
                  <w:pPr>
                    <w:ind w:left="0" w:leftChars="0" w:firstLine="0" w:firstLineChars="0"/>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3.</w:t>
                  </w:r>
                  <w:r>
                    <w:rPr>
                      <w:rFonts w:hint="default" w:ascii="Times New Roman" w:hAnsi="Times New Roman" w:eastAsia="宋体" w:cs="Times New Roman"/>
                      <w:bCs/>
                      <w:color w:val="FF0000"/>
                      <w:sz w:val="21"/>
                      <w:szCs w:val="21"/>
                      <w:highlight w:val="none"/>
                    </w:rPr>
                    <w:t>项目采取设备密闭、加强管理，以减少VOC</w:t>
                  </w:r>
                  <w:r>
                    <w:rPr>
                      <w:rFonts w:hint="default" w:ascii="Times New Roman" w:hAnsi="Times New Roman" w:eastAsia="宋体" w:cs="Times New Roman"/>
                      <w:bCs/>
                      <w:color w:val="FF0000"/>
                      <w:sz w:val="21"/>
                      <w:szCs w:val="21"/>
                      <w:highlight w:val="none"/>
                      <w:vertAlign w:val="subscript"/>
                    </w:rPr>
                    <w:t>S</w:t>
                  </w:r>
                  <w:r>
                    <w:rPr>
                      <w:rFonts w:hint="default" w:ascii="Times New Roman" w:hAnsi="Times New Roman" w:eastAsia="宋体" w:cs="Times New Roman"/>
                      <w:bCs/>
                      <w:color w:val="FF0000"/>
                      <w:sz w:val="21"/>
                      <w:szCs w:val="21"/>
                      <w:highlight w:val="none"/>
                    </w:rPr>
                    <w:t>无组织排放</w:t>
                  </w:r>
                  <w:r>
                    <w:rPr>
                      <w:rFonts w:hint="default" w:ascii="Times New Roman" w:hAnsi="Times New Roman" w:eastAsia="宋体" w:cs="Times New Roman"/>
                      <w:bCs/>
                      <w:color w:val="FF0000"/>
                      <w:sz w:val="21"/>
                      <w:szCs w:val="21"/>
                      <w:highlight w:val="none"/>
                      <w:lang w:eastAsia="zh-CN"/>
                    </w:rPr>
                    <w:t>。</w:t>
                  </w:r>
                  <w:r>
                    <w:rPr>
                      <w:rFonts w:hint="eastAsia" w:ascii="Times New Roman" w:hAnsi="Times New Roman" w:eastAsia="宋体" w:cs="Times New Roman"/>
                      <w:color w:val="FF0000"/>
                      <w:sz w:val="21"/>
                      <w:szCs w:val="21"/>
                      <w:highlight w:val="none"/>
                      <w:lang w:val="en-US" w:eastAsia="zh-CN"/>
                    </w:rPr>
                    <w:t>项目建设有机废气处理设施</w:t>
                  </w:r>
                  <w:commentRangeStart w:id="12"/>
                  <w:r>
                    <w:rPr>
                      <w:rFonts w:hint="eastAsia" w:ascii="Times New Roman" w:hAnsi="Times New Roman" w:eastAsia="宋体" w:cs="Times New Roman"/>
                      <w:color w:val="FF0000"/>
                      <w:sz w:val="21"/>
                      <w:szCs w:val="21"/>
                      <w:highlight w:val="none"/>
                      <w:lang w:val="en-US" w:eastAsia="zh-CN"/>
                    </w:rPr>
                    <w:t>，采用吸</w:t>
                  </w:r>
                  <w:r>
                    <w:rPr>
                      <w:rFonts w:hint="eastAsia" w:cs="Times New Roman"/>
                      <w:color w:val="FF0000"/>
                      <w:sz w:val="21"/>
                      <w:szCs w:val="21"/>
                      <w:highlight w:val="none"/>
                      <w:lang w:val="en-US" w:eastAsia="zh-CN"/>
                    </w:rPr>
                    <w:t>/</w:t>
                  </w:r>
                  <w:r>
                    <w:rPr>
                      <w:rFonts w:hint="eastAsia" w:ascii="Times New Roman" w:hAnsi="Times New Roman" w:eastAsia="宋体" w:cs="Times New Roman"/>
                      <w:color w:val="FF0000"/>
                      <w:sz w:val="21"/>
                      <w:szCs w:val="21"/>
                      <w:highlight w:val="none"/>
                      <w:lang w:val="en-US" w:eastAsia="zh-CN"/>
                    </w:rPr>
                    <w:t>脱附-冷凝工艺</w:t>
                  </w:r>
                  <w:commentRangeEnd w:id="12"/>
                  <w:r>
                    <w:rPr>
                      <w:color w:val="FF0000"/>
                    </w:rPr>
                    <w:commentReference w:id="12"/>
                  </w:r>
                  <w:r>
                    <w:rPr>
                      <w:rFonts w:hint="eastAsia" w:ascii="Times New Roman" w:hAnsi="Times New Roman" w:eastAsia="宋体" w:cs="Times New Roman"/>
                      <w:color w:val="FF0000"/>
                      <w:sz w:val="21"/>
                      <w:szCs w:val="21"/>
                      <w:highlight w:val="none"/>
                      <w:lang w:val="en-US" w:eastAsia="zh-CN"/>
                    </w:rPr>
                    <w:t>，</w:t>
                  </w:r>
                  <w:r>
                    <w:rPr>
                      <w:rFonts w:hint="eastAsia" w:cs="Times New Roman"/>
                      <w:color w:val="FF0000"/>
                      <w:sz w:val="21"/>
                      <w:szCs w:val="21"/>
                      <w:highlight w:val="none"/>
                      <w:lang w:val="en-US" w:eastAsia="zh-CN"/>
                    </w:rPr>
                    <w:t>治理效率约96%，符合</w:t>
                  </w:r>
                  <w:r>
                    <w:rPr>
                      <w:rFonts w:hint="default" w:ascii="Times New Roman" w:hAnsi="Times New Roman" w:eastAsia="宋体" w:cs="Times New Roman"/>
                      <w:color w:val="FF0000"/>
                      <w:sz w:val="21"/>
                      <w:szCs w:val="21"/>
                      <w:highlight w:val="none"/>
                    </w:rPr>
                    <w:t>《</w:t>
                  </w:r>
                  <w:r>
                    <w:rPr>
                      <w:rFonts w:hint="eastAsia" w:cs="Times New Roman"/>
                      <w:color w:val="FF0000"/>
                      <w:sz w:val="21"/>
                      <w:szCs w:val="21"/>
                      <w:highlight w:val="none"/>
                      <w:lang w:eastAsia="zh-CN"/>
                    </w:rPr>
                    <w:t>石油炼制工业</w:t>
                  </w:r>
                  <w:r>
                    <w:rPr>
                      <w:rFonts w:hint="default" w:ascii="Times New Roman" w:hAnsi="Times New Roman" w:eastAsia="宋体" w:cs="Times New Roman"/>
                      <w:color w:val="FF0000"/>
                      <w:sz w:val="21"/>
                      <w:szCs w:val="21"/>
                      <w:highlight w:val="none"/>
                    </w:rPr>
                    <w:t>污染物排放标准》（GB</w:t>
                  </w:r>
                  <w:r>
                    <w:rPr>
                      <w:rFonts w:hint="eastAsia" w:cs="Times New Roman"/>
                      <w:color w:val="FF0000"/>
                      <w:sz w:val="21"/>
                      <w:szCs w:val="21"/>
                      <w:highlight w:val="none"/>
                      <w:lang w:eastAsia="zh-CN"/>
                    </w:rPr>
                    <w:t>31570</w:t>
                  </w:r>
                  <w:r>
                    <w:rPr>
                      <w:rFonts w:hint="default" w:ascii="Times New Roman" w:hAnsi="Times New Roman" w:eastAsia="宋体" w:cs="Times New Roman"/>
                      <w:color w:val="FF0000"/>
                      <w:sz w:val="21"/>
                      <w:szCs w:val="21"/>
                      <w:highlight w:val="none"/>
                    </w:rPr>
                    <w:t>-2015）</w:t>
                  </w:r>
                  <w:r>
                    <w:rPr>
                      <w:rFonts w:hint="default" w:ascii="Times New Roman" w:hAnsi="Times New Roman" w:eastAsia="宋体" w:cs="Times New Roman"/>
                      <w:color w:val="FF0000"/>
                      <w:sz w:val="21"/>
                      <w:szCs w:val="21"/>
                      <w:highlight w:val="none"/>
                      <w:lang w:val="en-US" w:eastAsia="zh-CN"/>
                    </w:rPr>
                    <w:t>及其修改单</w:t>
                  </w:r>
                  <w:r>
                    <w:rPr>
                      <w:rFonts w:hint="default" w:ascii="Times New Roman" w:hAnsi="Times New Roman" w:eastAsia="宋体" w:cs="Times New Roman"/>
                      <w:color w:val="FF0000"/>
                      <w:sz w:val="21"/>
                      <w:szCs w:val="21"/>
                      <w:highlight w:val="none"/>
                    </w:rPr>
                    <w:t>表</w:t>
                  </w:r>
                  <w:r>
                    <w:rPr>
                      <w:rFonts w:hint="eastAsia" w:cs="Times New Roman"/>
                      <w:color w:val="FF0000"/>
                      <w:sz w:val="21"/>
                      <w:szCs w:val="21"/>
                      <w:highlight w:val="none"/>
                      <w:lang w:val="en-US" w:eastAsia="zh-CN"/>
                    </w:rPr>
                    <w:t>3中的</w:t>
                  </w:r>
                  <w:r>
                    <w:rPr>
                      <w:rFonts w:hint="default" w:ascii="Times New Roman" w:hAnsi="Times New Roman" w:eastAsia="宋体" w:cs="Times New Roman"/>
                      <w:color w:val="FF0000"/>
                      <w:sz w:val="21"/>
                      <w:szCs w:val="21"/>
                      <w:highlight w:val="none"/>
                    </w:rPr>
                    <w:t>最低去除率</w:t>
                  </w:r>
                  <w:r>
                    <w:rPr>
                      <w:rFonts w:hint="eastAsia"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9</w:t>
                  </w:r>
                  <w:r>
                    <w:rPr>
                      <w:rFonts w:hint="eastAsia" w:ascii="Times New Roman" w:hAnsi="Times New Roman" w:eastAsia="宋体" w:cs="Times New Roman"/>
                      <w:color w:val="FF0000"/>
                      <w:sz w:val="21"/>
                      <w:szCs w:val="21"/>
                      <w:highlight w:val="none"/>
                      <w:lang w:val="en-US" w:eastAsia="zh-CN"/>
                    </w:rPr>
                    <w:t>5</w:t>
                  </w:r>
                  <w:r>
                    <w:rPr>
                      <w:rFonts w:hint="default" w:ascii="Times New Roman" w:hAnsi="Times New Roman" w:eastAsia="宋体" w:cs="Times New Roman"/>
                      <w:color w:val="FF0000"/>
                      <w:sz w:val="21"/>
                      <w:szCs w:val="21"/>
                      <w:highlight w:val="none"/>
                    </w:rPr>
                    <w:t>%</w:t>
                  </w:r>
                  <w:r>
                    <w:rPr>
                      <w:rFonts w:hint="eastAsia" w:cs="Times New Roman"/>
                      <w:color w:val="FF0000"/>
                      <w:sz w:val="21"/>
                      <w:szCs w:val="21"/>
                      <w:highlight w:val="none"/>
                      <w:lang w:val="en-US" w:eastAsia="zh-CN"/>
                    </w:rPr>
                    <w:t>的要求，属于高效治理措施，</w:t>
                  </w:r>
                  <w:r>
                    <w:rPr>
                      <w:rFonts w:hint="eastAsia" w:ascii="Times New Roman" w:hAnsi="Times New Roman" w:eastAsia="宋体" w:cs="Times New Roman"/>
                      <w:color w:val="FF0000"/>
                      <w:sz w:val="21"/>
                      <w:szCs w:val="21"/>
                      <w:highlight w:val="none"/>
                      <w:lang w:val="en-US" w:eastAsia="zh-CN"/>
                    </w:rPr>
                    <w:t>做到达标排放。</w:t>
                  </w:r>
                </w:p>
                <w:p>
                  <w:pPr>
                    <w:ind w:left="0" w:leftChars="0" w:firstLine="0" w:firstLineChars="0"/>
                    <w:rPr>
                      <w:color w:val="FF0000"/>
                      <w:sz w:val="21"/>
                      <w:szCs w:val="21"/>
                      <w:highlight w:val="none"/>
                    </w:rPr>
                  </w:pPr>
                  <w:r>
                    <w:rPr>
                      <w:rFonts w:hint="eastAsia" w:cs="Times New Roman"/>
                      <w:color w:val="FF0000"/>
                      <w:sz w:val="21"/>
                      <w:szCs w:val="21"/>
                      <w:highlight w:val="none"/>
                      <w:lang w:val="en-US" w:eastAsia="zh-CN"/>
                    </w:rPr>
                    <w:t>4.</w:t>
                  </w:r>
                  <w:r>
                    <w:rPr>
                      <w:rFonts w:hint="eastAsia" w:ascii="Times New Roman" w:hAnsi="Times New Roman" w:eastAsia="宋体" w:cs="Times New Roman"/>
                      <w:color w:val="FF0000"/>
                      <w:sz w:val="21"/>
                      <w:szCs w:val="21"/>
                      <w:highlight w:val="none"/>
                      <w:lang w:val="en-US" w:eastAsia="zh-CN"/>
                    </w:rPr>
                    <w:t>项目不涉及燃煤锅炉。</w:t>
                  </w:r>
                </w:p>
              </w:tc>
              <w:tc>
                <w:tcPr>
                  <w:tcW w:w="88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7"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环境风险管控</w:t>
                  </w:r>
                </w:p>
              </w:tc>
              <w:tc>
                <w:tcPr>
                  <w:tcW w:w="3400"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1.完善区域环境风险防范机制，有效防范环境风险。建立和不断完善环境风险</w:t>
                  </w:r>
                  <w:r>
                    <w:rPr>
                      <w:rFonts w:hint="eastAsia"/>
                      <w:color w:val="000000" w:themeColor="text1"/>
                      <w:sz w:val="21"/>
                      <w:szCs w:val="21"/>
                      <w:highlight w:val="none"/>
                      <w:lang w:eastAsia="zh-CN"/>
                      <w14:textFill>
                        <w14:solidFill>
                          <w14:schemeClr w14:val="tx1"/>
                        </w14:solidFill>
                      </w14:textFill>
                    </w:rPr>
                    <w:t>防范</w:t>
                  </w:r>
                  <w:r>
                    <w:rPr>
                      <w:rFonts w:hint="eastAsia"/>
                      <w:color w:val="000000" w:themeColor="text1"/>
                      <w:sz w:val="21"/>
                      <w:szCs w:val="21"/>
                      <w:highlight w:val="none"/>
                      <w14:textFill>
                        <w14:solidFill>
                          <w14:schemeClr w14:val="tx1"/>
                        </w14:solidFill>
                      </w14:textFill>
                    </w:rPr>
                    <w:t>机制和应急体系，构建有效的区域环境风险联防联控机制，最大限度降低环境风险</w:t>
                  </w:r>
                  <w:r>
                    <w:rPr>
                      <w:rFonts w:hint="eastAsia"/>
                      <w:color w:val="000000" w:themeColor="text1"/>
                      <w:sz w:val="21"/>
                      <w:szCs w:val="21"/>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2.园区煤化工企业推进高盐水晾晒池风险防控和监管，消除水环境风险隐患。加强高盐水晾晒池风险隐患排查，消除溃坝、溢流风险，确保晾晒池安全运行。</w:t>
                  </w:r>
                </w:p>
              </w:tc>
              <w:tc>
                <w:tcPr>
                  <w:tcW w:w="2668" w:type="dxa"/>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firstLine="0" w:firstLineChars="0"/>
                    <w:jc w:val="both"/>
                    <w:textAlignment w:val="auto"/>
                    <w:rPr>
                      <w:rFonts w:hint="default" w:ascii="Times New Roman" w:hAnsi="Times New Roman" w:eastAsia="宋体" w:cs="Times New Roman"/>
                      <w:caps w:val="0"/>
                      <w:smallCaps w:val="0"/>
                      <w:color w:val="FF0000"/>
                      <w:spacing w:val="0"/>
                      <w:w w:val="100"/>
                      <w:position w:val="0"/>
                      <w:sz w:val="21"/>
                      <w:szCs w:val="21"/>
                      <w:highlight w:val="none"/>
                      <w:vertAlign w:val="baseline"/>
                      <w:lang w:val="en-US" w:eastAsia="zh-CN" w:bidi="ar-SA"/>
                    </w:rPr>
                  </w:pPr>
                  <w:r>
                    <w:rPr>
                      <w:rFonts w:hint="eastAsia" w:cs="Times New Roman"/>
                      <w:caps w:val="0"/>
                      <w:smallCaps w:val="0"/>
                      <w:color w:val="FF0000"/>
                      <w:spacing w:val="0"/>
                      <w:w w:val="100"/>
                      <w:position w:val="0"/>
                      <w:sz w:val="21"/>
                      <w:szCs w:val="21"/>
                      <w:highlight w:val="none"/>
                      <w:vertAlign w:val="baseline"/>
                      <w:lang w:val="en-US" w:eastAsia="zh-CN" w:bidi="ar-SA"/>
                    </w:rPr>
                    <w:t>1.</w:t>
                  </w:r>
                  <w:r>
                    <w:rPr>
                      <w:rFonts w:hint="default" w:ascii="Times New Roman" w:hAnsi="Times New Roman" w:eastAsia="宋体" w:cs="Times New Roman"/>
                      <w:caps w:val="0"/>
                      <w:smallCaps w:val="0"/>
                      <w:color w:val="FF0000"/>
                      <w:spacing w:val="0"/>
                      <w:w w:val="100"/>
                      <w:position w:val="0"/>
                      <w:sz w:val="21"/>
                      <w:szCs w:val="21"/>
                      <w:highlight w:val="none"/>
                      <w:vertAlign w:val="baseline"/>
                      <w:lang w:val="en-US" w:eastAsia="zh-CN" w:bidi="ar-SA"/>
                    </w:rPr>
                    <w:t>项目从建设、生产、贮存等各方面</w:t>
                  </w:r>
                  <w:r>
                    <w:rPr>
                      <w:color w:val="FF0000"/>
                    </w:rPr>
                    <w:commentReference w:id="13"/>
                  </w:r>
                  <w:r>
                    <w:rPr>
                      <w:rFonts w:hint="default" w:ascii="Times New Roman" w:hAnsi="Times New Roman" w:eastAsia="宋体" w:cs="Times New Roman"/>
                      <w:caps w:val="0"/>
                      <w:smallCaps w:val="0"/>
                      <w:color w:val="FF0000"/>
                      <w:spacing w:val="0"/>
                      <w:w w:val="100"/>
                      <w:position w:val="0"/>
                      <w:sz w:val="21"/>
                      <w:szCs w:val="21"/>
                      <w:highlight w:val="none"/>
                      <w:vertAlign w:val="baseline"/>
                      <w:lang w:val="en-US" w:eastAsia="zh-CN" w:bidi="ar-SA"/>
                    </w:rPr>
                    <w:t>积极采取</w:t>
                  </w:r>
                  <w:r>
                    <w:rPr>
                      <w:rFonts w:hint="eastAsia" w:ascii="Times New Roman" w:hAnsi="Times New Roman" w:eastAsia="宋体" w:cs="Times New Roman"/>
                      <w:caps w:val="0"/>
                      <w:smallCaps w:val="0"/>
                      <w:color w:val="FF0000"/>
                      <w:spacing w:val="0"/>
                      <w:w w:val="100"/>
                      <w:position w:val="0"/>
                      <w:sz w:val="21"/>
                      <w:szCs w:val="21"/>
                      <w:highlight w:val="none"/>
                      <w:vertAlign w:val="baseline"/>
                      <w:lang w:val="en-US" w:eastAsia="zh-CN" w:bidi="ar-SA"/>
                    </w:rPr>
                    <w:t>风险</w:t>
                  </w:r>
                  <w:r>
                    <w:rPr>
                      <w:rFonts w:hint="default" w:ascii="Times New Roman" w:hAnsi="Times New Roman" w:eastAsia="宋体" w:cs="Times New Roman"/>
                      <w:caps w:val="0"/>
                      <w:smallCaps w:val="0"/>
                      <w:color w:val="FF0000"/>
                      <w:spacing w:val="0"/>
                      <w:w w:val="100"/>
                      <w:position w:val="0"/>
                      <w:sz w:val="21"/>
                      <w:szCs w:val="21"/>
                      <w:highlight w:val="none"/>
                      <w:vertAlign w:val="baseline"/>
                      <w:lang w:val="en-US" w:eastAsia="zh-CN" w:bidi="ar-SA"/>
                    </w:rPr>
                    <w:t>防护措施，制定突发环境事件应急预案，做好与园区环境风险防控体系的衔接与分级响应措施。</w:t>
                  </w:r>
                </w:p>
                <w:p>
                  <w:pPr>
                    <w:keepNext w:val="0"/>
                    <w:keepLines w:val="0"/>
                    <w:pageBreakBefore w:val="0"/>
                    <w:widowControl/>
                    <w:kinsoku/>
                    <w:wordWrap/>
                    <w:overflowPunct/>
                    <w:topLinePunct w:val="0"/>
                    <w:autoSpaceDE/>
                    <w:autoSpaceDN/>
                    <w:bidi w:val="0"/>
                    <w:adjustRightInd/>
                    <w:snapToGrid/>
                    <w:spacing w:line="360" w:lineRule="exact"/>
                    <w:ind w:left="0" w:leftChars="0" w:firstLine="0" w:firstLineChars="0"/>
                    <w:jc w:val="both"/>
                    <w:textAlignment w:val="auto"/>
                    <w:rPr>
                      <w:rFonts w:hint="default" w:eastAsia="宋体"/>
                      <w:color w:val="FF0000"/>
                      <w:sz w:val="21"/>
                      <w:szCs w:val="21"/>
                      <w:highlight w:val="none"/>
                      <w:lang w:val="en-US" w:eastAsia="zh-CN"/>
                    </w:rPr>
                  </w:pPr>
                  <w:r>
                    <w:rPr>
                      <w:rFonts w:hint="eastAsia" w:cs="Times New Roman"/>
                      <w:caps w:val="0"/>
                      <w:smallCaps w:val="0"/>
                      <w:color w:val="FF0000"/>
                      <w:spacing w:val="0"/>
                      <w:w w:val="100"/>
                      <w:position w:val="0"/>
                      <w:sz w:val="21"/>
                      <w:szCs w:val="21"/>
                      <w:highlight w:val="none"/>
                      <w:vertAlign w:val="baseline"/>
                      <w:lang w:val="en-US" w:eastAsia="zh-CN" w:bidi="ar-SA"/>
                    </w:rPr>
                    <w:t>2.本项目不涉及高盐废水。</w:t>
                  </w:r>
                </w:p>
              </w:tc>
              <w:tc>
                <w:tcPr>
                  <w:tcW w:w="88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7"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资源利用效率要求</w:t>
                  </w:r>
                </w:p>
              </w:tc>
              <w:tc>
                <w:tcPr>
                  <w:tcW w:w="3400"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1.严格“以水定产业、以水定规模”，做好节水工作，按分质供水原则，合理进行水资源分配，优先使用疏干水、污水处理厂中水。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2.严控地下水超采。新建、改建、扩建的高耗水工业项目，禁止擅自使用地下水。食品、制药等项目取用地下水，须经有管理权限的水行政主管部门批准。</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w:t>
                  </w:r>
                  <w:r>
                    <w:rPr>
                      <w:rFonts w:hint="eastAsia"/>
                      <w:color w:val="000000" w:themeColor="text1"/>
                      <w:sz w:val="21"/>
                      <w:szCs w:val="21"/>
                      <w:highlight w:val="none"/>
                      <w14:textFill>
                        <w14:solidFill>
                          <w14:schemeClr w14:val="tx1"/>
                        </w14:solidFill>
                      </w14:textFill>
                    </w:rPr>
                    <w:t>实施园区可再</w:t>
                  </w:r>
                  <w:r>
                    <w:rPr>
                      <w:rFonts w:hint="eastAsia"/>
                      <w:color w:val="000000" w:themeColor="text1"/>
                      <w:sz w:val="21"/>
                      <w:szCs w:val="21"/>
                      <w:highlight w:val="none"/>
                      <w:lang w:val="en-US" w:eastAsia="zh-CN"/>
                      <w14:textFill>
                        <w14:solidFill>
                          <w14:schemeClr w14:val="tx1"/>
                        </w14:solidFill>
                      </w14:textFill>
                    </w:rPr>
                    <w:t>生</w:t>
                  </w:r>
                  <w:r>
                    <w:rPr>
                      <w:rFonts w:hint="eastAsia"/>
                      <w:color w:val="000000" w:themeColor="text1"/>
                      <w:sz w:val="21"/>
                      <w:szCs w:val="21"/>
                      <w:highlight w:val="none"/>
                      <w14:textFill>
                        <w14:solidFill>
                          <w14:schemeClr w14:val="tx1"/>
                        </w14:solidFill>
                      </w14:textFill>
                    </w:rPr>
                    <w:t>能源替代行动，推动园区企业采用新能源供能方式进行电能替代，打造低碳、零碳示范园区。</w:t>
                  </w:r>
                </w:p>
              </w:tc>
              <w:tc>
                <w:tcPr>
                  <w:tcW w:w="2668" w:type="dxa"/>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360" w:lineRule="exact"/>
                    <w:ind w:left="0" w:leftChars="0" w:firstLine="0" w:firstLineChars="0"/>
                    <w:jc w:val="both"/>
                    <w:textAlignment w:val="auto"/>
                    <w:rPr>
                      <w:rFonts w:hint="default" w:ascii="Times New Roman" w:hAnsi="Times New Roman" w:eastAsia="宋体" w:cs="Times New Roman"/>
                      <w:b w:val="0"/>
                      <w:bCs w:val="0"/>
                      <w:color w:val="FF0000"/>
                      <w:sz w:val="21"/>
                      <w:szCs w:val="21"/>
                    </w:rPr>
                  </w:pPr>
                  <w:r>
                    <w:rPr>
                      <w:rFonts w:hint="eastAsia" w:cs="Times New Roman"/>
                      <w:b w:val="0"/>
                      <w:bCs w:val="0"/>
                      <w:caps w:val="0"/>
                      <w:smallCaps w:val="0"/>
                      <w:color w:val="FF0000"/>
                      <w:spacing w:val="0"/>
                      <w:w w:val="100"/>
                      <w:position w:val="0"/>
                      <w:sz w:val="21"/>
                      <w:szCs w:val="21"/>
                      <w:highlight w:val="none"/>
                      <w:vertAlign w:val="baseline"/>
                      <w:lang w:val="en-US" w:eastAsia="zh-CN"/>
                    </w:rPr>
                    <w:t>1.</w:t>
                  </w:r>
                  <w:r>
                    <w:rPr>
                      <w:rFonts w:hint="default" w:ascii="Times New Roman" w:hAnsi="Times New Roman" w:eastAsia="宋体" w:cs="Times New Roman"/>
                      <w:b w:val="0"/>
                      <w:bCs w:val="0"/>
                      <w:caps w:val="0"/>
                      <w:smallCaps w:val="0"/>
                      <w:color w:val="FF0000"/>
                      <w:spacing w:val="0"/>
                      <w:w w:val="100"/>
                      <w:position w:val="0"/>
                      <w:sz w:val="21"/>
                      <w:szCs w:val="21"/>
                      <w:highlight w:val="none"/>
                      <w:vertAlign w:val="baseline"/>
                      <w:lang w:val="en-US" w:eastAsia="zh-CN"/>
                    </w:rPr>
                    <w:t>项目</w:t>
                  </w:r>
                  <w:r>
                    <w:rPr>
                      <w:rFonts w:hint="eastAsia" w:ascii="Times New Roman" w:hAnsi="Times New Roman" w:eastAsia="宋体" w:cs="Times New Roman"/>
                      <w:b w:val="0"/>
                      <w:bCs w:val="0"/>
                      <w:caps w:val="0"/>
                      <w:smallCaps w:val="0"/>
                      <w:color w:val="FF0000"/>
                      <w:spacing w:val="0"/>
                      <w:w w:val="100"/>
                      <w:position w:val="0"/>
                      <w:sz w:val="21"/>
                      <w:szCs w:val="21"/>
                      <w:highlight w:val="none"/>
                      <w:vertAlign w:val="baseline"/>
                      <w:lang w:val="en-US" w:eastAsia="zh-CN"/>
                    </w:rPr>
                    <w:t>不属于</w:t>
                  </w:r>
                  <w:r>
                    <w:rPr>
                      <w:rFonts w:hint="default" w:ascii="Times New Roman" w:hAnsi="Times New Roman" w:eastAsia="宋体" w:cs="Times New Roman"/>
                      <w:b w:val="0"/>
                      <w:bCs w:val="0"/>
                      <w:color w:val="FF0000"/>
                      <w:sz w:val="21"/>
                      <w:szCs w:val="21"/>
                    </w:rPr>
                    <w:t>高耗水工业项目</w:t>
                  </w:r>
                  <w:r>
                    <w:rPr>
                      <w:rFonts w:hint="eastAsia" w:ascii="Times New Roman" w:hAnsi="Times New Roman" w:eastAsia="宋体" w:cs="Times New Roman"/>
                      <w:b w:val="0"/>
                      <w:bCs w:val="0"/>
                      <w:color w:val="FF0000"/>
                      <w:sz w:val="21"/>
                      <w:szCs w:val="21"/>
                      <w:lang w:eastAsia="zh-CN"/>
                    </w:rPr>
                    <w:t>，</w:t>
                  </w:r>
                  <w:r>
                    <w:rPr>
                      <w:rFonts w:hint="eastAsia" w:ascii="Times New Roman" w:hAnsi="Times New Roman" w:eastAsia="宋体" w:cs="Times New Roman"/>
                      <w:b w:val="0"/>
                      <w:bCs w:val="0"/>
                      <w:color w:val="FF0000"/>
                      <w:sz w:val="21"/>
                      <w:szCs w:val="21"/>
                      <w:lang w:val="en-US" w:eastAsia="zh-CN"/>
                    </w:rPr>
                    <w:t>不采用地下水资源</w:t>
                  </w:r>
                  <w:r>
                    <w:rPr>
                      <w:rFonts w:hint="default" w:ascii="Times New Roman" w:hAnsi="Times New Roman" w:eastAsia="宋体" w:cs="Times New Roman"/>
                      <w:b w:val="0"/>
                      <w:bCs w:val="0"/>
                      <w:caps w:val="0"/>
                      <w:smallCaps w:val="0"/>
                      <w:color w:val="FF0000"/>
                      <w:spacing w:val="0"/>
                      <w:w w:val="100"/>
                      <w:position w:val="0"/>
                      <w:sz w:val="21"/>
                      <w:szCs w:val="21"/>
                      <w:highlight w:val="none"/>
                      <w:vertAlign w:val="baseline"/>
                      <w:lang w:val="en-US" w:eastAsia="zh-CN"/>
                    </w:rPr>
                    <w:t>。</w:t>
                  </w:r>
                  <w:r>
                    <w:rPr>
                      <w:rFonts w:hint="eastAsia" w:ascii="Times New Roman" w:hAnsi="Times New Roman" w:eastAsia="宋体" w:cs="Times New Roman"/>
                      <w:b w:val="0"/>
                      <w:bCs w:val="0"/>
                      <w:caps w:val="0"/>
                      <w:smallCaps w:val="0"/>
                      <w:color w:val="FF0000"/>
                      <w:spacing w:val="0"/>
                      <w:w w:val="100"/>
                      <w:position w:val="0"/>
                      <w:sz w:val="21"/>
                      <w:szCs w:val="21"/>
                      <w:highlight w:val="none"/>
                      <w:vertAlign w:val="baseline"/>
                      <w:lang w:val="en-US" w:eastAsia="zh-CN"/>
                    </w:rPr>
                    <w:t>全厂</w:t>
                  </w:r>
                  <w:r>
                    <w:rPr>
                      <w:rFonts w:hint="default" w:ascii="Times New Roman" w:hAnsi="Times New Roman" w:eastAsia="宋体" w:cs="Times New Roman"/>
                      <w:b w:val="0"/>
                      <w:bCs w:val="0"/>
                      <w:color w:val="FF0000"/>
                      <w:sz w:val="21"/>
                      <w:szCs w:val="21"/>
                    </w:rPr>
                    <w:t>按分质供</w:t>
                  </w:r>
                  <w:r>
                    <w:rPr>
                      <w:color w:val="FF0000"/>
                    </w:rPr>
                    <w:commentReference w:id="14"/>
                  </w:r>
                  <w:r>
                    <w:rPr>
                      <w:rFonts w:hint="default" w:ascii="Times New Roman" w:hAnsi="Times New Roman" w:eastAsia="宋体" w:cs="Times New Roman"/>
                      <w:b w:val="0"/>
                      <w:bCs w:val="0"/>
                      <w:color w:val="FF0000"/>
                      <w:sz w:val="21"/>
                      <w:szCs w:val="21"/>
                    </w:rPr>
                    <w:t>水原则，合理进行水资源分配，</w:t>
                  </w:r>
                  <w:r>
                    <w:rPr>
                      <w:rFonts w:hint="eastAsia" w:ascii="Times New Roman" w:hAnsi="Times New Roman" w:eastAsia="宋体" w:cs="Times New Roman"/>
                      <w:b w:val="0"/>
                      <w:bCs w:val="0"/>
                      <w:color w:val="FF0000"/>
                      <w:sz w:val="21"/>
                      <w:szCs w:val="21"/>
                      <w:lang w:val="en-US" w:eastAsia="zh-CN"/>
                    </w:rPr>
                    <w:t>循环冷却水系统</w:t>
                  </w:r>
                  <w:r>
                    <w:rPr>
                      <w:rFonts w:hint="default" w:ascii="Times New Roman" w:hAnsi="Times New Roman" w:eastAsia="宋体" w:cs="Times New Roman"/>
                      <w:b w:val="0"/>
                      <w:bCs w:val="0"/>
                      <w:color w:val="FF0000"/>
                      <w:sz w:val="21"/>
                      <w:szCs w:val="21"/>
                    </w:rPr>
                    <w:t>优先使用</w:t>
                  </w:r>
                  <w:r>
                    <w:rPr>
                      <w:rFonts w:hint="eastAsia" w:ascii="Times New Roman" w:hAnsi="Times New Roman" w:eastAsia="宋体" w:cs="Times New Roman"/>
                      <w:b w:val="0"/>
                      <w:bCs w:val="0"/>
                      <w:color w:val="FF0000"/>
                      <w:sz w:val="21"/>
                      <w:szCs w:val="21"/>
                      <w:lang w:val="en-US" w:eastAsia="zh-CN"/>
                    </w:rPr>
                    <w:t>厂区</w:t>
                  </w:r>
                  <w:r>
                    <w:rPr>
                      <w:rFonts w:hint="default" w:ascii="Times New Roman" w:hAnsi="Times New Roman" w:eastAsia="宋体" w:cs="Times New Roman"/>
                      <w:b w:val="0"/>
                      <w:bCs w:val="0"/>
                      <w:color w:val="FF0000"/>
                      <w:sz w:val="21"/>
                      <w:szCs w:val="21"/>
                    </w:rPr>
                    <w:t>污水处理厂</w:t>
                  </w:r>
                  <w:r>
                    <w:rPr>
                      <w:rFonts w:hint="eastAsia" w:ascii="Times New Roman" w:hAnsi="Times New Roman" w:eastAsia="宋体" w:cs="Times New Roman"/>
                      <w:b w:val="0"/>
                      <w:bCs w:val="0"/>
                      <w:color w:val="FF0000"/>
                      <w:sz w:val="21"/>
                      <w:szCs w:val="21"/>
                      <w:lang w:val="en-US" w:eastAsia="zh-CN"/>
                    </w:rPr>
                    <w:t>出</w:t>
                  </w:r>
                  <w:r>
                    <w:rPr>
                      <w:rFonts w:hint="default" w:ascii="Times New Roman" w:hAnsi="Times New Roman" w:eastAsia="宋体" w:cs="Times New Roman"/>
                      <w:b w:val="0"/>
                      <w:bCs w:val="0"/>
                      <w:color w:val="FF0000"/>
                      <w:sz w:val="21"/>
                      <w:szCs w:val="21"/>
                    </w:rPr>
                    <w:t>水。</w:t>
                  </w:r>
                </w:p>
                <w:p>
                  <w:pPr>
                    <w:keepNext w:val="0"/>
                    <w:keepLines w:val="0"/>
                    <w:pageBreakBefore w:val="0"/>
                    <w:widowControl/>
                    <w:kinsoku/>
                    <w:wordWrap/>
                    <w:overflowPunct/>
                    <w:topLinePunct w:val="0"/>
                    <w:autoSpaceDE/>
                    <w:autoSpaceDN/>
                    <w:bidi w:val="0"/>
                    <w:adjustRightInd/>
                    <w:snapToGrid/>
                    <w:spacing w:line="360" w:lineRule="exact"/>
                    <w:ind w:left="0" w:leftChars="0" w:firstLine="0" w:firstLineChars="0"/>
                    <w:jc w:val="both"/>
                    <w:textAlignment w:val="auto"/>
                    <w:rPr>
                      <w:rFonts w:hint="eastAsia" w:cs="Times New Roman"/>
                      <w:b w:val="0"/>
                      <w:bCs w:val="0"/>
                      <w:color w:val="FF0000"/>
                      <w:sz w:val="21"/>
                      <w:szCs w:val="21"/>
                      <w:lang w:val="en-US" w:eastAsia="zh-CN"/>
                    </w:rPr>
                  </w:pPr>
                  <w:r>
                    <w:rPr>
                      <w:rFonts w:hint="eastAsia" w:cs="Times New Roman"/>
                      <w:b w:val="0"/>
                      <w:bCs w:val="0"/>
                      <w:color w:val="FF0000"/>
                      <w:sz w:val="21"/>
                      <w:szCs w:val="21"/>
                      <w:lang w:val="en-US" w:eastAsia="zh-CN"/>
                    </w:rPr>
                    <w:t>2.本项目不涉及地下水开采。</w:t>
                  </w:r>
                </w:p>
                <w:p>
                  <w:pPr>
                    <w:keepNext w:val="0"/>
                    <w:keepLines w:val="0"/>
                    <w:pageBreakBefore w:val="0"/>
                    <w:widowControl/>
                    <w:kinsoku/>
                    <w:wordWrap/>
                    <w:overflowPunct/>
                    <w:topLinePunct w:val="0"/>
                    <w:autoSpaceDE/>
                    <w:autoSpaceDN/>
                    <w:bidi w:val="0"/>
                    <w:adjustRightInd/>
                    <w:snapToGrid/>
                    <w:spacing w:line="360" w:lineRule="exact"/>
                    <w:ind w:left="0" w:leftChars="0" w:firstLine="0" w:firstLineChars="0"/>
                    <w:jc w:val="both"/>
                    <w:textAlignment w:val="auto"/>
                    <w:rPr>
                      <w:rFonts w:hint="default" w:cs="Times New Roman"/>
                      <w:b w:val="0"/>
                      <w:bCs w:val="0"/>
                      <w:color w:val="FF0000"/>
                      <w:sz w:val="21"/>
                      <w:szCs w:val="21"/>
                      <w:lang w:val="en-US" w:eastAsia="zh-CN"/>
                    </w:rPr>
                  </w:pPr>
                  <w:r>
                    <w:rPr>
                      <w:rFonts w:hint="eastAsia" w:cs="Times New Roman"/>
                      <w:b w:val="0"/>
                      <w:bCs w:val="0"/>
                      <w:color w:val="FF0000"/>
                      <w:sz w:val="21"/>
                      <w:szCs w:val="21"/>
                      <w:lang w:val="en-US" w:eastAsia="zh-CN"/>
                    </w:rPr>
                    <w:t>3.本项目耗电较少，暂不需新能源替代。</w:t>
                  </w:r>
                </w:p>
              </w:tc>
              <w:tc>
                <w:tcPr>
                  <w:tcW w:w="884"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符合</w:t>
                  </w:r>
                </w:p>
              </w:tc>
            </w:tr>
          </w:tbl>
          <w:p>
            <w:pPr>
              <w:bidi w:val="0"/>
              <w:ind w:left="0" w:leftChars="0" w:firstLine="0" w:firstLineChars="0"/>
              <w:jc w:val="center"/>
              <w:rPr>
                <w:rFonts w:hint="default"/>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caps w:val="0"/>
                <w:smallCaps w:val="0"/>
                <w:color w:val="000000" w:themeColor="text1"/>
                <w:spacing w:val="0"/>
                <w:w w:val="100"/>
                <w:position w:val="0"/>
                <w:sz w:val="24"/>
                <w:szCs w:val="24"/>
                <w:lang w:val="en-US" w:eastAsia="zh-CN"/>
                <w14:textFill>
                  <w14:solidFill>
                    <w14:schemeClr w14:val="tx1"/>
                  </w14:solidFill>
                </w14:textFill>
              </w:rPr>
              <w:drawing>
                <wp:anchor distT="0" distB="0" distL="114300" distR="114300" simplePos="0" relativeHeight="251663360" behindDoc="0" locked="0" layoutInCell="1" allowOverlap="1">
                  <wp:simplePos x="0" y="0"/>
                  <wp:positionH relativeFrom="column">
                    <wp:posOffset>113030</wp:posOffset>
                  </wp:positionH>
                  <wp:positionV relativeFrom="paragraph">
                    <wp:posOffset>175895</wp:posOffset>
                  </wp:positionV>
                  <wp:extent cx="4852670" cy="2776220"/>
                  <wp:effectExtent l="9525" t="9525" r="14605" b="14605"/>
                  <wp:wrapTopAndBottom/>
                  <wp:docPr id="1" name="图片 2" descr="微信截图_202505091542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2" descr="微信截图_20250509154228"/>
                          <pic:cNvPicPr>
                            <a:picLocks noChangeAspect="true"/>
                          </pic:cNvPicPr>
                        </pic:nvPicPr>
                        <pic:blipFill>
                          <a:blip r:embed="rId22"/>
                          <a:stretch>
                            <a:fillRect/>
                          </a:stretch>
                        </pic:blipFill>
                        <pic:spPr>
                          <a:xfrm>
                            <a:off x="0" y="0"/>
                            <a:ext cx="4852670" cy="277622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b/>
                <w:bCs/>
                <w:color w:val="000000" w:themeColor="text1"/>
                <w:highlight w:val="none"/>
                <w:lang w:val="en-US" w:eastAsia="zh-CN"/>
                <w14:textFill>
                  <w14:solidFill>
                    <w14:schemeClr w14:val="tx1"/>
                  </w14:solidFill>
                </w14:textFill>
              </w:rPr>
              <w:t>图1-1“三线一单”查询结果</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综上所述，本项目符合“生态环境分区管控要求。</w:t>
            </w:r>
          </w:p>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四、与《重点行业挥发性有机物综合治理方案》符合性分析</w:t>
            </w:r>
          </w:p>
          <w:p>
            <w:pPr>
              <w:bidi w:val="0"/>
              <w:ind w:left="0" w:leftChars="0" w:firstLine="0" w:firstLineChars="0"/>
              <w:jc w:val="center"/>
              <w:rPr>
                <w:rFonts w:hint="default"/>
                <w:b w:val="0"/>
                <w:bCs w:val="0"/>
                <w:color w:val="000000" w:themeColor="text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表1-4 与《重点行业挥发性有机物综合治理方案》</w:t>
            </w:r>
            <w:r>
              <w:rPr>
                <w:rFonts w:hint="eastAsia" w:ascii="Times New Roman" w:hAnsi="Times New Roman" w:cs="Times New Roman"/>
                <w:b/>
                <w:bCs/>
                <w:color w:val="000000" w:themeColor="text1"/>
                <w:spacing w:val="7"/>
                <w:sz w:val="21"/>
                <w:szCs w:val="21"/>
                <w:lang w:val="en-US" w:eastAsia="zh-CN"/>
                <w14:textFill>
                  <w14:solidFill>
                    <w14:schemeClr w14:val="tx1"/>
                  </w14:solidFill>
                </w14:textFill>
              </w:rPr>
              <w:t>符合性分析一览表</w:t>
            </w:r>
          </w:p>
          <w:tbl>
            <w:tblPr>
              <w:tblStyle w:val="28"/>
              <w:tblW w:w="78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6"/>
              <w:gridCol w:w="3082"/>
              <w:gridCol w:w="1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6"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要求</w:t>
                  </w:r>
                </w:p>
              </w:tc>
              <w:tc>
                <w:tcPr>
                  <w:tcW w:w="3082"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本项目情况</w:t>
                  </w:r>
                </w:p>
              </w:tc>
              <w:tc>
                <w:tcPr>
                  <w:tcW w:w="1212"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000000" w:themeColor="text1"/>
                      <w:sz w:val="21"/>
                      <w:szCs w:val="21"/>
                      <w:highlight w:val="none"/>
                      <w:vertAlign w:val="baseline"/>
                      <w:lang w:val="en-US" w:eastAsia="zh-CN"/>
                      <w14:textFill>
                        <w14:solidFill>
                          <w14:schemeClr w14:val="tx1"/>
                        </w14:solidFill>
                      </w14:textFill>
                    </w:rPr>
                  </w:pPr>
                  <w:r>
                    <w:rPr>
                      <w:rFonts w:hint="eastAsia"/>
                      <w:b/>
                      <w:bCs/>
                      <w:color w:val="000000" w:themeColor="text1"/>
                      <w:sz w:val="21"/>
                      <w:szCs w:val="21"/>
                      <w:highlight w:val="none"/>
                      <w:vertAlign w:val="baseline"/>
                      <w:lang w:val="en-US" w:eastAsia="zh-CN"/>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6" w:type="dxa"/>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鼓励企业采用多种技术的组合工艺，提高VOCs治理效率。低浓度、大风量废气，宜采用活性炭吸附等浓缩技术，提高VOCs浓度后净化处理；高浓度废气，优先进行溶剂回收，难以回收的，宜采用高温焚烧、催化燃烧等技术。油气（溶剂）回收宜采用冷凝+吸附、吸附+吸收、膜分离+吸附等技术。有条件的工业园区和产业集群等，推广集中喷涂、溶剂集中回收等，加强资源共享，提高VOCs治理效率。</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2、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308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both"/>
                    <w:textAlignment w:val="auto"/>
                    <w:rPr>
                      <w:rFonts w:hint="eastAsia" w:ascii="Times New Roman" w:hAnsi="Times New Roman" w:eastAsia="宋体" w:cs="Times New Roman"/>
                      <w:color w:val="FF0000"/>
                      <w:spacing w:val="0"/>
                      <w:sz w:val="21"/>
                      <w:szCs w:val="21"/>
                      <w:highlight w:val="none"/>
                      <w:lang w:val="en-US" w:eastAsia="zh-CN"/>
                    </w:rPr>
                  </w:pPr>
                  <w:r>
                    <w:rPr>
                      <w:rFonts w:hint="eastAsia" w:cs="Times New Roman"/>
                      <w:color w:val="FF0000"/>
                      <w:spacing w:val="0"/>
                      <w:sz w:val="21"/>
                      <w:szCs w:val="21"/>
                      <w:highlight w:val="none"/>
                      <w:lang w:val="en-US" w:eastAsia="zh-CN"/>
                    </w:rPr>
                    <w:t>1.</w:t>
                  </w:r>
                  <w:r>
                    <w:rPr>
                      <w:rFonts w:hint="eastAsia" w:ascii="Times New Roman" w:hAnsi="Times New Roman" w:eastAsia="宋体" w:cs="Times New Roman"/>
                      <w:color w:val="FF0000"/>
                      <w:spacing w:val="0"/>
                      <w:sz w:val="21"/>
                      <w:szCs w:val="21"/>
                      <w:highlight w:val="none"/>
                      <w:lang w:val="en-US" w:eastAsia="zh-CN"/>
                    </w:rPr>
                    <w:t>项目VOCs治理设施采用活性炭吸附/脱附回收技术，提高VOCs治理效率。</w:t>
                  </w:r>
                </w:p>
                <w:p>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both"/>
                    <w:textAlignment w:val="auto"/>
                    <w:rPr>
                      <w:rFonts w:hint="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color w:val="FF0000"/>
                      <w:spacing w:val="0"/>
                      <w:sz w:val="21"/>
                      <w:szCs w:val="21"/>
                      <w:highlight w:val="none"/>
                      <w:lang w:val="en-US" w:eastAsia="zh-CN"/>
                    </w:rPr>
                    <w:t>2.</w:t>
                  </w:r>
                  <w:r>
                    <w:rPr>
                      <w:rFonts w:hint="eastAsia" w:ascii="Times New Roman" w:hAnsi="Times New Roman" w:eastAsia="宋体" w:cs="Times New Roman"/>
                      <w:color w:val="FF0000"/>
                      <w:spacing w:val="0"/>
                      <w:sz w:val="21"/>
                      <w:szCs w:val="21"/>
                      <w:highlight w:val="none"/>
                      <w:lang w:val="en-US" w:eastAsia="zh-CN"/>
                    </w:rPr>
                    <w:t>为减少无组织排放量，确保做好</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设备的密闭性，对管道、阀门和法兰接口采用不易泄漏的配件，对易损部件及时更新，杜绝生产设备、管道、阀门的跑冒滴漏。根据物料性质，选用相应储罐类型和适合的储存温度，设置挥发性废气处理装置。采取以上措施后，有效地控制挥发性污染物的排放</w:t>
                  </w:r>
                  <w:r>
                    <w:commentReference w:id="15"/>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w:t>
                  </w:r>
                </w:p>
              </w:tc>
              <w:tc>
                <w:tcPr>
                  <w:tcW w:w="12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000000" w:themeColor="text1"/>
                      <w:sz w:val="21"/>
                      <w:szCs w:val="21"/>
                      <w:highlight w:val="none"/>
                      <w:vertAlign w:val="baseline"/>
                      <w:lang w:val="en-US" w:eastAsia="zh-CN"/>
                      <w14:textFill>
                        <w14:solidFill>
                          <w14:schemeClr w14:val="tx1"/>
                        </w14:solidFill>
                      </w14:textFill>
                    </w:rPr>
                  </w:pPr>
                  <w:r>
                    <w:rPr>
                      <w:rFonts w:hint="eastAsia"/>
                      <w:b w:val="0"/>
                      <w:bCs w:val="0"/>
                      <w:color w:val="000000" w:themeColor="text1"/>
                      <w:sz w:val="21"/>
                      <w:szCs w:val="21"/>
                      <w:highlight w:val="none"/>
                      <w:vertAlign w:val="baseline"/>
                      <w:lang w:val="en-US" w:eastAsia="zh-CN"/>
                      <w14:textFill>
                        <w14:solidFill>
                          <w14:schemeClr w14:val="tx1"/>
                        </w14:solidFill>
                      </w14:textFill>
                    </w:rPr>
                    <w:t>符合</w:t>
                  </w:r>
                </w:p>
              </w:tc>
            </w:tr>
          </w:tbl>
          <w:p>
            <w:pPr>
              <w:bidi w:val="0"/>
              <w:rPr>
                <w:rFonts w:hint="eastAsia"/>
                <w:b/>
                <w:bCs/>
                <w:color w:val="FF0000"/>
                <w:lang w:val="en-US" w:eastAsia="zh-CN"/>
              </w:rPr>
            </w:pPr>
            <w:r>
              <w:commentReference w:id="16"/>
            </w:r>
            <w:r>
              <w:rPr>
                <w:rFonts w:hint="eastAsia"/>
                <w:b/>
                <w:bCs/>
                <w:color w:val="FF0000"/>
                <w:lang w:val="en-US" w:eastAsia="zh-CN"/>
              </w:rPr>
              <w:t>五</w:t>
            </w:r>
            <w:r>
              <w:rPr>
                <w:rFonts w:hint="eastAsia"/>
                <w:color w:val="FF0000"/>
                <w:lang w:val="en-US" w:eastAsia="zh-CN"/>
              </w:rPr>
              <w:t>、</w:t>
            </w:r>
            <w:r>
              <w:rPr>
                <w:rFonts w:hint="eastAsia"/>
                <w:b/>
                <w:bCs/>
                <w:color w:val="FF0000"/>
                <w:lang w:val="en-US" w:eastAsia="zh-CN"/>
              </w:rPr>
              <w:t>与《挥发性有机物（VOCs）污染防治技术政策》（国家环保部发布公告 2013年 第31号）的符合性分析</w:t>
            </w:r>
          </w:p>
          <w:p>
            <w:pPr>
              <w:bidi w:val="0"/>
              <w:jc w:val="center"/>
              <w:rPr>
                <w:rFonts w:hint="default"/>
                <w:b/>
                <w:bCs/>
                <w:color w:val="FF0000"/>
                <w:lang w:val="en-US" w:eastAsia="zh-CN"/>
              </w:rPr>
            </w:pPr>
            <w:r>
              <w:rPr>
                <w:rFonts w:hint="eastAsia"/>
                <w:b/>
                <w:bCs/>
                <w:color w:val="FF0000"/>
                <w:sz w:val="21"/>
                <w:szCs w:val="21"/>
                <w:lang w:val="en-US" w:eastAsia="zh-CN"/>
              </w:rPr>
              <w:t>表1-5 与《挥发性有机物（VOCs）污染防治技术政策》符合性分析一览表</w:t>
            </w:r>
          </w:p>
          <w:tbl>
            <w:tblPr>
              <w:tblStyle w:val="28"/>
              <w:tblW w:w="78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05"/>
              <w:gridCol w:w="3335"/>
              <w:gridCol w:w="1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5"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FF0000"/>
                      <w:sz w:val="21"/>
                      <w:szCs w:val="21"/>
                      <w:highlight w:val="none"/>
                      <w:vertAlign w:val="baseline"/>
                      <w:lang w:val="en-US" w:eastAsia="zh-CN"/>
                    </w:rPr>
                  </w:pPr>
                  <w:r>
                    <w:rPr>
                      <w:rFonts w:hint="eastAsia"/>
                      <w:b/>
                      <w:bCs/>
                      <w:color w:val="FF0000"/>
                      <w:sz w:val="21"/>
                      <w:szCs w:val="21"/>
                      <w:highlight w:val="none"/>
                      <w:vertAlign w:val="baseline"/>
                      <w:lang w:val="en-US" w:eastAsia="zh-CN"/>
                    </w:rPr>
                    <w:t>要求</w:t>
                  </w:r>
                </w:p>
              </w:tc>
              <w:tc>
                <w:tcPr>
                  <w:tcW w:w="3335"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FF0000"/>
                      <w:sz w:val="21"/>
                      <w:szCs w:val="21"/>
                      <w:highlight w:val="none"/>
                      <w:vertAlign w:val="baseline"/>
                      <w:lang w:val="en-US" w:eastAsia="zh-CN"/>
                    </w:rPr>
                  </w:pPr>
                  <w:r>
                    <w:rPr>
                      <w:rFonts w:hint="eastAsia"/>
                      <w:b/>
                      <w:bCs/>
                      <w:color w:val="FF0000"/>
                      <w:sz w:val="21"/>
                      <w:szCs w:val="21"/>
                      <w:highlight w:val="none"/>
                      <w:vertAlign w:val="baseline"/>
                      <w:lang w:val="en-US" w:eastAsia="zh-CN"/>
                    </w:rPr>
                    <w:t>本项目情况</w:t>
                  </w:r>
                </w:p>
              </w:tc>
              <w:tc>
                <w:tcPr>
                  <w:tcW w:w="1070"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FF0000"/>
                      <w:sz w:val="21"/>
                      <w:szCs w:val="21"/>
                      <w:highlight w:val="none"/>
                      <w:vertAlign w:val="baseline"/>
                      <w:lang w:val="en-US" w:eastAsia="zh-CN"/>
                    </w:rPr>
                  </w:pPr>
                  <w:r>
                    <w:rPr>
                      <w:rFonts w:hint="eastAsia"/>
                      <w:b/>
                      <w:bCs/>
                      <w:color w:val="FF0000"/>
                      <w:sz w:val="21"/>
                      <w:szCs w:val="21"/>
                      <w:highlight w:val="none"/>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5" w:type="dxa"/>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二、源头和过程控制</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六）在石油炼制与石油化工行业，鼓励采用先进的清洁生产技术，提高原油的转化和利用效率。对于设备与管线组件、工艺排气、废气燃烧塔（火炬）、废水处理等过程产生的含VOCs废气污染防治技术措施包括：</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1.对泵、压缩机、阀门、法兰等易发生泄漏的设备与管线组件，制定泄漏检测与修复（LDAR）计划，定期检测、及时修复，防止或减少跑、冒、滴、漏现象；</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2.对生产装置排放的含VOCs工艺排气宜优先回收利用，不能（或不能完全）回收利用的经处理后达标排放；应急情况下的泄放气可导入燃烧塔（火炬），经过充分燃烧后排放；</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3.废水收集和处理过程产生的含VOCs废气经收集处理后达标排放。</w:t>
                  </w:r>
                </w:p>
              </w:tc>
              <w:tc>
                <w:tcPr>
                  <w:tcW w:w="333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1.本项目对泵、阀门、法兰等易发生泄漏的设备与管线组件制定泄漏检测与修复（LDAR）计划，定期检测、及时修复，防止或减少跑、冒、滴、漏现象。</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2.本项目针对产生的油气进行吸/脱附-冷凝回收，并确保废气达标排放。</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3.本项目生产废水主要为装置区地面清洗废水，经污水处理站处理，无含VOCs废气产生。</w:t>
                  </w:r>
                </w:p>
              </w:tc>
              <w:tc>
                <w:tcPr>
                  <w:tcW w:w="10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5"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三、末端治理与综合利用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（十二）在工业生产过程中鼓励VOCs的回收利用，并优先鼓励在生产系统内回用。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（十三）对于含高浓度VOCs的废气，宜优先采用冷凝回收、吸附回收技术进行回收利用，并辅助以其他治理技术实现达标排放。</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（十四）对于含中等浓度VOCs的废气，可采用吸附技术回收有机溶剂，或采用催化燃烧和热力焚烧技术净化后达标排放。当采用催化燃烧和热力焚烧技术进行净化时，应进行余热回收利用。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十五）对于含低浓度VOCs的废气，有回收价值时可采用吸附技术、吸收技术对有机溶剂回收后达标排放；不宜回收时，可采用吸附浓缩燃烧技术、生物技术、吸收技术、等离子体技术或紫外光高级氧化技术等净化后达标排放。</w:t>
                  </w:r>
                </w:p>
              </w:tc>
              <w:tc>
                <w:tcPr>
                  <w:tcW w:w="333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本项目针对产生的油气进行脱附-冷凝回收，并确保废气达标排放。</w:t>
                  </w:r>
                </w:p>
              </w:tc>
              <w:tc>
                <w:tcPr>
                  <w:tcW w:w="10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05"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五、运行与监测</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（二十五）鼓励企业自行开展VOCs监测，并及时主动向当地环保行政主管部门报送监测结果。</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（二十六）企业应建立健全VOCs治理设施的运行维护规程和台帐等日常管理制度，并根据工艺要求定期对各类设备、电气、自控仪表等进行检修维护，确保设施的稳定运行。</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（二十七）当采用吸附回收（浓缩）、催化燃烧、热力焚烧、等离子体等方法进行末端治理时，应编制本单位事故火灾、爆炸等应急救援预案，配备应急救援人员和器材，并开展应急演练。</w:t>
                  </w:r>
                </w:p>
              </w:tc>
              <w:tc>
                <w:tcPr>
                  <w:tcW w:w="333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本项目制定自行监测计划，投产后将按照自行监测计划进行VOCs监测，并及时向环保部门报送。</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企业制定日常管理制度，制定台账，对环保设施进行记录、维护，确保其稳定运行。</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本项目制定应急预案，配备救援人员及消防器材，针对火灾爆炸等事故进行定期演练。</w:t>
                  </w:r>
                </w:p>
              </w:tc>
              <w:tc>
                <w:tcPr>
                  <w:tcW w:w="10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符合</w:t>
                  </w:r>
                </w:p>
              </w:tc>
            </w:tr>
          </w:tbl>
          <w:p>
            <w:pPr>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六、与《挥发性有机物无组织排放控制标准》（GB 37822-2019）符合性分析</w:t>
            </w:r>
          </w:p>
          <w:p>
            <w:pPr>
              <w:bidi w:val="0"/>
              <w:jc w:val="center"/>
              <w:rPr>
                <w:rFonts w:hint="default"/>
                <w:b w:val="0"/>
                <w:bCs w:val="0"/>
                <w:color w:val="000000" w:themeColor="text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表1-6 与GB 37822-2019</w:t>
            </w:r>
            <w:r>
              <w:rPr>
                <w:rFonts w:hint="eastAsia" w:ascii="Times New Roman" w:hAnsi="Times New Roman" w:cs="Times New Roman"/>
                <w:b/>
                <w:bCs/>
                <w:color w:val="000000" w:themeColor="text1"/>
                <w:spacing w:val="7"/>
                <w:sz w:val="21"/>
                <w:szCs w:val="21"/>
                <w:lang w:val="en-US" w:eastAsia="zh-CN"/>
                <w14:textFill>
                  <w14:solidFill>
                    <w14:schemeClr w14:val="tx1"/>
                  </w14:solidFill>
                </w14:textFill>
              </w:rPr>
              <w:t>符合性分析一览表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7"/>
              <w:gridCol w:w="635"/>
              <w:gridCol w:w="3521"/>
              <w:gridCol w:w="2497"/>
              <w:gridCol w:w="5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089" w:type="dxa"/>
                  <w:gridSpan w:val="2"/>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无组织排放源</w:t>
                  </w:r>
                </w:p>
              </w:tc>
              <w:tc>
                <w:tcPr>
                  <w:tcW w:w="6068"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GB37822-2019要求</w:t>
                  </w:r>
                </w:p>
              </w:tc>
              <w:tc>
                <w:tcPr>
                  <w:tcW w:w="4302"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本项目</w:t>
                  </w:r>
                  <w:r>
                    <w:rPr>
                      <w:rFonts w:hint="default" w:ascii="Times New Roman" w:hAnsi="Times New Roman" w:eastAsia="宋体" w:cs="Times New Roman"/>
                      <w:b/>
                      <w:bCs/>
                      <w:color w:val="000000" w:themeColor="text1"/>
                      <w:sz w:val="21"/>
                      <w:szCs w:val="21"/>
                      <w14:textFill>
                        <w14:solidFill>
                          <w14:schemeClr w14:val="tx1"/>
                        </w14:solidFill>
                      </w14:textFill>
                    </w:rPr>
                    <w:t>情况</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符合</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95" w:type="dxa"/>
                  <w:vMerge w:val="restart"/>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VOCs物料储存无组织排放控制要求</w:t>
                  </w:r>
                </w:p>
              </w:tc>
              <w:tc>
                <w:tcPr>
                  <w:tcW w:w="1094" w:type="dxa"/>
                  <w:vMerge w:val="restart"/>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基本</w:t>
                  </w:r>
                </w:p>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要求</w:t>
                  </w:r>
                </w:p>
              </w:tc>
              <w:tc>
                <w:tcPr>
                  <w:tcW w:w="60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VOCs物料应储存于密闭的容器、包装袋、储罐、储库、料仓中</w:t>
                  </w:r>
                  <w:r>
                    <w:rPr>
                      <w:rFonts w:hint="eastAsia" w:ascii="Times New Roman" w:hAnsi="Times New Roman" w:cs="Times New Roman"/>
                      <w:color w:val="000000" w:themeColor="text1"/>
                      <w:sz w:val="21"/>
                      <w:szCs w:val="21"/>
                      <w:lang w:eastAsia="zh-CN"/>
                      <w14:textFill>
                        <w14:solidFill>
                          <w14:schemeClr w14:val="tx1"/>
                        </w14:solidFill>
                      </w14:textFill>
                    </w:rPr>
                    <w:t>。</w:t>
                  </w:r>
                </w:p>
              </w:tc>
              <w:tc>
                <w:tcPr>
                  <w:tcW w:w="43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w:t>
                  </w:r>
                  <w:r>
                    <w:rPr>
                      <w:rFonts w:hint="default" w:ascii="Times New Roman" w:hAnsi="Times New Roman" w:eastAsia="宋体" w:cs="Times New Roman"/>
                      <w:color w:val="000000" w:themeColor="text1"/>
                      <w:sz w:val="21"/>
                      <w:szCs w:val="21"/>
                      <w:highlight w:val="none"/>
                      <w14:textFill>
                        <w14:solidFill>
                          <w14:schemeClr w14:val="tx1"/>
                        </w14:solidFill>
                      </w14:textFill>
                    </w:rPr>
                    <w:t>含VOCs</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物料均存储于</w:t>
                  </w:r>
                  <w:r>
                    <w:rPr>
                      <w:rFonts w:hint="default" w:ascii="Times New Roman" w:hAnsi="Times New Roman" w:cs="Times New Roman"/>
                      <w:color w:val="000000" w:themeColor="text1"/>
                      <w:sz w:val="21"/>
                      <w:szCs w:val="21"/>
                      <w:lang w:val="en-US" w:eastAsia="zh-CN"/>
                      <w14:textFill>
                        <w14:solidFill>
                          <w14:schemeClr w14:val="tx1"/>
                        </w14:solidFill>
                      </w14:textFill>
                    </w:rPr>
                    <w:t>密闭</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储罐内</w:t>
                  </w:r>
                  <w:r>
                    <w:rPr>
                      <w:rFonts w:hint="eastAsia" w:ascii="Times New Roman" w:hAnsi="Times New Roman" w:cs="Times New Roman"/>
                      <w:color w:val="000000" w:themeColor="text1"/>
                      <w:sz w:val="21"/>
                      <w:szCs w:val="21"/>
                      <w:lang w:val="en-US" w:eastAsia="zh-CN"/>
                      <w14:textFill>
                        <w14:solidFill>
                          <w14:schemeClr w14:val="tx1"/>
                        </w14:solidFill>
                      </w14:textFill>
                    </w:rPr>
                    <w:t>。</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95" w:type="dxa"/>
                  <w:vMerge w:val="continue"/>
                  <w:tcBorders>
                    <w:tl2br w:val="nil"/>
                    <w:tr2bl w:val="nil"/>
                  </w:tcBorders>
                  <w:noWrap w:val="0"/>
                  <w:vAlign w:val="center"/>
                </w:tcPr>
                <w:p>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94" w:type="dxa"/>
                  <w:vMerge w:val="continue"/>
                  <w:tcBorders>
                    <w:tl2br w:val="nil"/>
                    <w:tr2bl w:val="nil"/>
                  </w:tcBorders>
                  <w:noWrap w:val="0"/>
                  <w:vAlign w:val="center"/>
                </w:tcPr>
                <w:p>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0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VOCs物料储罐应密封良好，其中挥发性有机液体储罐应符合5.2条规定。</w:t>
                  </w:r>
                </w:p>
              </w:tc>
              <w:tc>
                <w:tcPr>
                  <w:tcW w:w="43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各原料储罐均密封良好</w:t>
                  </w:r>
                  <w:r>
                    <w:rPr>
                      <w:rFonts w:hint="default" w:ascii="Times New Roman" w:hAnsi="Times New Roman" w:eastAsia="宋体" w:cs="Times New Roman"/>
                      <w:color w:val="000000" w:themeColor="text1"/>
                      <w:sz w:val="21"/>
                      <w:szCs w:val="21"/>
                      <w:lang w:eastAsia="zh-CN"/>
                      <w14:textFill>
                        <w14:solidFill>
                          <w14:schemeClr w14:val="tx1"/>
                        </w14:solidFill>
                      </w14:textFill>
                    </w:rPr>
                    <w:t>，设置有泄漏报警系统</w:t>
                  </w:r>
                  <w:r>
                    <w:rPr>
                      <w:rFonts w:hint="eastAsia" w:ascii="Times New Roman" w:hAnsi="Times New Roman" w:cs="Times New Roman"/>
                      <w:color w:val="000000" w:themeColor="text1"/>
                      <w:sz w:val="21"/>
                      <w:szCs w:val="21"/>
                      <w:lang w:eastAsia="zh-CN"/>
                      <w14:textFill>
                        <w14:solidFill>
                          <w14:schemeClr w14:val="tx1"/>
                        </w14:solidFill>
                      </w14:textFill>
                    </w:rPr>
                    <w:t>。</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95" w:type="dxa"/>
                  <w:vMerge w:val="continue"/>
                  <w:tcBorders>
                    <w:tl2br w:val="nil"/>
                    <w:tr2bl w:val="nil"/>
                  </w:tcBorders>
                  <w:noWrap w:val="0"/>
                  <w:vAlign w:val="center"/>
                </w:tcPr>
                <w:p>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94" w:type="dxa"/>
                  <w:vMerge w:val="restart"/>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挥发性有机液体储罐</w:t>
                  </w:r>
                </w:p>
              </w:tc>
              <w:tc>
                <w:tcPr>
                  <w:tcW w:w="60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装载方式：挥发性有机液体采用底部装载方式，若采用顶部浸没式装载，出料管口距离槽（罐）底部高度应小于200mm</w:t>
                  </w:r>
                </w:p>
              </w:tc>
              <w:tc>
                <w:tcPr>
                  <w:tcW w:w="4302" w:type="dxa"/>
                  <w:vMerge w:val="restar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firstLine="0" w:firstLineChars="0"/>
                    <w:jc w:val="center"/>
                    <w:textAlignment w:val="auto"/>
                    <w:outlineLvl w:val="9"/>
                    <w:rPr>
                      <w:rFonts w:hint="eastAsia"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物料均用底部装载方式，</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油品</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采用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内浮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顶罐存储，</w:t>
                  </w:r>
                  <w:r>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t>常压储罐，设置有呼吸阀</w:t>
                  </w:r>
                  <w:r>
                    <w:rPr>
                      <w:rFonts w:hint="eastAsia"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t>、氮封。</w:t>
                  </w:r>
                  <w:r>
                    <w:rPr>
                      <w:rFonts w:hint="eastAsia"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本项目储罐常温常压储存，温度约20℃，蒸气压均</w:t>
                  </w:r>
                  <w:r>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2"/>
                      <w:sz w:val="21"/>
                      <w:szCs w:val="21"/>
                      <w:highlight w:val="none"/>
                      <w:lang w:val="en-US" w:eastAsia="zh-CN"/>
                      <w14:textFill>
                        <w14:solidFill>
                          <w14:schemeClr w14:val="tx1"/>
                        </w14:solidFill>
                      </w14:textFill>
                    </w:rPr>
                    <w:t>0.1</w:t>
                  </w:r>
                  <w: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t>kPa</w:t>
                  </w:r>
                  <w:r>
                    <w:rPr>
                      <w:rFonts w:hint="eastAsia"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firstLine="0" w:firstLineChars="0"/>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t>不属于“</w:t>
                  </w:r>
                  <w:r>
                    <w:rPr>
                      <w:rFonts w:hint="default" w:ascii="Times New Roman" w:hAnsi="Times New Roman" w:eastAsia="宋体" w:cs="Times New Roman"/>
                      <w:color w:val="000000" w:themeColor="text1"/>
                      <w:sz w:val="21"/>
                      <w:szCs w:val="21"/>
                      <w:highlight w:val="none"/>
                      <w14:textFill>
                        <w14:solidFill>
                          <w14:schemeClr w14:val="tx1"/>
                        </w14:solidFill>
                      </w14:textFill>
                    </w:rPr>
                    <w:t>储存真实蒸气压≥27.6kPa但＜76.6kPa</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和</w:t>
                  </w:r>
                  <w:r>
                    <w:rPr>
                      <w:rFonts w:hint="default" w:ascii="Times New Roman" w:hAnsi="Times New Roman" w:eastAsia="宋体" w:cs="Times New Roman"/>
                      <w:color w:val="000000" w:themeColor="text1"/>
                      <w:sz w:val="21"/>
                      <w:szCs w:val="21"/>
                      <w:highlight w:val="none"/>
                      <w14:textFill>
                        <w14:solidFill>
                          <w14:schemeClr w14:val="tx1"/>
                        </w14:solidFill>
                      </w14:textFill>
                    </w:rPr>
                    <w:t>储存真实蒸气压≥5.2kPa但＜27.6kPa</w:t>
                  </w:r>
                  <w:r>
                    <w:rPr>
                      <w:rFonts w:hint="eastAsia"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t>”条件，储罐大呼吸废气经管道收集后由油气回收处理装置处理，小呼吸废气无组织排放。</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12" w:hRule="atLeast"/>
                <w:jc w:val="center"/>
              </w:trPr>
              <w:tc>
                <w:tcPr>
                  <w:tcW w:w="995" w:type="dxa"/>
                  <w:vMerge w:val="continue"/>
                  <w:tcBorders>
                    <w:tl2br w:val="nil"/>
                    <w:tr2bl w:val="nil"/>
                  </w:tcBorders>
                  <w:noWrap w:val="0"/>
                  <w:vAlign w:val="center"/>
                </w:tcPr>
                <w:p>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94" w:type="dxa"/>
                  <w:vMerge w:val="continue"/>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0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储存真实蒸气压≥76.6kPa且储罐容积≥75m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的挥发性有机液体储罐，应采用低压罐、压力罐或其他等效措施。</w:t>
                  </w:r>
                </w:p>
              </w:tc>
              <w:tc>
                <w:tcPr>
                  <w:tcW w:w="430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95" w:type="dxa"/>
                  <w:vMerge w:val="continue"/>
                  <w:tcBorders>
                    <w:tl2br w:val="nil"/>
                    <w:tr2bl w:val="nil"/>
                  </w:tcBorders>
                  <w:noWrap w:val="0"/>
                  <w:vAlign w:val="center"/>
                </w:tcPr>
                <w:p>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94" w:type="dxa"/>
                  <w:vMerge w:val="continue"/>
                  <w:tcBorders>
                    <w:tl2br w:val="nil"/>
                    <w:tr2bl w:val="nil"/>
                  </w:tcBorders>
                  <w:noWrap w:val="0"/>
                  <w:vAlign w:val="center"/>
                </w:tcPr>
                <w:p>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0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储存真实蒸气压≥27.6kPa但＜76.6kPa且储罐容积≥75m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的挥发性有机液体储罐，以及储存真实蒸气压≥5.2kPa但＜27.6kPa且储罐容积≥150m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的挥发性有机液体储罐，应符合下列规定之一：</w:t>
                  </w:r>
                </w:p>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采用浮顶罐。对于内浮顶罐，浮顶与罐壁之间应采用浸液式密封、机械式鞋形密封等高效密封方式；对于外浮顶罐，浮顶与罐壁之间应采用双重密封，且一次密封应采用浸液式密封、机械式鞋形密封等高效密封方式。</w:t>
                  </w:r>
                </w:p>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b）采用固定顶罐，排放的废气应收集处理并满足相关行业排放标准的要求（无行业排放标准的应满足GB16297的要求），或者处理效率不低于90%。</w:t>
                  </w:r>
                </w:p>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c）采用气相平衡系统。</w:t>
                  </w:r>
                </w:p>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d）采取其他等效措施。</w:t>
                  </w:r>
                </w:p>
              </w:tc>
              <w:tc>
                <w:tcPr>
                  <w:tcW w:w="430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12" w:hRule="atLeast"/>
                <w:jc w:val="center"/>
              </w:trPr>
              <w:tc>
                <w:tcPr>
                  <w:tcW w:w="995" w:type="dxa"/>
                  <w:vMerge w:val="restart"/>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VOCs物料转移和输送无组织排放控制要求</w:t>
                  </w:r>
                </w:p>
              </w:tc>
              <w:tc>
                <w:tcPr>
                  <w:tcW w:w="1094"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基本要求</w:t>
                  </w:r>
                </w:p>
              </w:tc>
              <w:tc>
                <w:tcPr>
                  <w:tcW w:w="60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液态VOCs物料应采用密闭管道输送。采用非管道输送方式转移液态VOCs物料时，应采用密闭容器、罐车。</w:t>
                  </w:r>
                </w:p>
              </w:tc>
              <w:tc>
                <w:tcPr>
                  <w:tcW w:w="43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液态物料罐车拉运，采用密闭管道输送罐区</w:t>
                  </w:r>
                  <w:r>
                    <w:rPr>
                      <w:rFonts w:hint="eastAsia" w:ascii="Times New Roman" w:hAnsi="Times New Roman" w:cs="Times New Roman"/>
                      <w:color w:val="000000" w:themeColor="text1"/>
                      <w:sz w:val="21"/>
                      <w:szCs w:val="21"/>
                      <w:lang w:val="en-US" w:eastAsia="zh-CN"/>
                      <w14:textFill>
                        <w14:solidFill>
                          <w14:schemeClr w14:val="tx1"/>
                        </w14:solidFill>
                      </w14:textFill>
                    </w:rPr>
                    <w:t>。</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95" w:type="dxa"/>
                  <w:vMerge w:val="continue"/>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94"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挥发有机液体装载</w:t>
                  </w:r>
                </w:p>
              </w:tc>
              <w:tc>
                <w:tcPr>
                  <w:tcW w:w="60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挥发性有机液体应采用底部装载方式，若采用顶部浸没式装载，出料管口距离槽(罐)底部高度应小于200mm。</w:t>
                  </w:r>
                </w:p>
              </w:tc>
              <w:tc>
                <w:tcPr>
                  <w:tcW w:w="43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项目采用底部式装车方式。</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95" w:type="dxa"/>
                  <w:vMerge w:val="restart"/>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工艺过程VOCs无组织排放控制要求</w:t>
                  </w:r>
                </w:p>
              </w:tc>
              <w:tc>
                <w:tcPr>
                  <w:tcW w:w="1094"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涉VOCs物料的化工生产过程</w:t>
                  </w:r>
                </w:p>
              </w:tc>
              <w:tc>
                <w:tcPr>
                  <w:tcW w:w="6068"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液态VOCs物料应采用密闭管道输送方式或采用高位槽（罐）、桶泵等给料方式密闭投加。无法密闭投加的，应在密闭空间内操作，或进行局部气体收集，废气应排至VOCs废气收集处理系统。</w:t>
                  </w:r>
                </w:p>
              </w:tc>
              <w:tc>
                <w:tcPr>
                  <w:tcW w:w="43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项目液体物料均存储于储罐内，采用密闭管道输送至</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罐车拉运外卖</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95" w:type="dxa"/>
                  <w:vMerge w:val="continue"/>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94"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分离精制</w:t>
                  </w:r>
                </w:p>
              </w:tc>
              <w:tc>
                <w:tcPr>
                  <w:tcW w:w="6068"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a)离心、过滤单元操作应采用密闭式离心机、压滤机等设备，离心、过滤废气应排至VOCs废气收集处理系统。未采用密闭设备的，应在密闭空间内操作，或进行局部气体收集，废气应排至VOCs废气收集处理系统。</w:t>
                  </w:r>
                </w:p>
              </w:tc>
              <w:tc>
                <w:tcPr>
                  <w:tcW w:w="43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本项目油品不涉及</w:t>
                  </w:r>
                  <w:r>
                    <w:rPr>
                      <w:rFonts w:hint="eastAsia" w:cs="Times New Roman"/>
                      <w:color w:val="000000" w:themeColor="text1"/>
                      <w:sz w:val="21"/>
                      <w:szCs w:val="21"/>
                      <w:lang w:val="en-US" w:eastAsia="zh-CN"/>
                      <w14:textFill>
                        <w14:solidFill>
                          <w14:schemeClr w14:val="tx1"/>
                        </w14:solidFill>
                      </w14:textFill>
                    </w:rPr>
                    <w:t>离心、</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过滤工序。</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089" w:type="dxa"/>
                  <w:gridSpan w:val="2"/>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设备与管线组件VOCs泄漏控制要求</w:t>
                  </w:r>
                </w:p>
              </w:tc>
              <w:tc>
                <w:tcPr>
                  <w:tcW w:w="6068"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企业中载有气态VOCs物料、液态VOCs物料的设备与管线组件的密封点≥2000个，应开展泄漏检测与修复工作。设备与管线组件包括：</w:t>
                  </w:r>
                </w:p>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a）泵；b）压缩机；c）搅拌器（机）；d）阀门；e）开口阀或开口管线；f）法兰及其他连接件；g）泄压设备；h）取样连接系统；i）其他密封设备。</w:t>
                  </w:r>
                </w:p>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出现下列情况之一，则认定发生了泄漏：</w:t>
                  </w:r>
                </w:p>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a）密封点存在渗液、滴液等可见的泄漏现象；</w:t>
                  </w:r>
                </w:p>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b）设备与管线组件密封点的VOCs泄漏检测值超过表1规定的泄漏认定浓度。</w:t>
                  </w:r>
                </w:p>
              </w:tc>
              <w:tc>
                <w:tcPr>
                  <w:tcW w:w="43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w:t>
                  </w:r>
                  <w:r>
                    <w:rPr>
                      <w:rFonts w:hint="eastAsia" w:ascii="Times New Roman" w:hAnsi="Times New Roman" w:cs="Times New Roman"/>
                      <w:color w:val="000000" w:themeColor="text1"/>
                      <w:sz w:val="21"/>
                      <w:szCs w:val="21"/>
                      <w:lang w:val="en-US" w:eastAsia="zh-CN"/>
                      <w14:textFill>
                        <w14:solidFill>
                          <w14:schemeClr w14:val="tx1"/>
                        </w14:solidFill>
                      </w14:textFill>
                    </w:rPr>
                    <w:t>投产后严格按照要求开展</w:t>
                  </w:r>
                  <w:r>
                    <w:rPr>
                      <w:rFonts w:hint="default" w:ascii="Times New Roman" w:hAnsi="Times New Roman" w:eastAsia="宋体" w:cs="Times New Roman"/>
                      <w:color w:val="000000" w:themeColor="text1"/>
                      <w:sz w:val="21"/>
                      <w:szCs w:val="21"/>
                      <w14:textFill>
                        <w14:solidFill>
                          <w14:schemeClr w14:val="tx1"/>
                        </w14:solidFill>
                      </w14:textFill>
                    </w:rPr>
                    <w:t>泄漏检测与修复工作</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95" w:type="dxa"/>
                  <w:vMerge w:val="restart"/>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敞开液面VOCs无组织排放控制要求</w:t>
                  </w:r>
                </w:p>
              </w:tc>
              <w:tc>
                <w:tcPr>
                  <w:tcW w:w="1094" w:type="dxa"/>
                  <w:vMerge w:val="restart"/>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废水液面控制要求</w:t>
                  </w:r>
                </w:p>
              </w:tc>
              <w:tc>
                <w:tcPr>
                  <w:tcW w:w="606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废水集输系统：对于工艺过程排放的含VOCs废水，集输系统应符合下列规定之一：</w:t>
                  </w:r>
                </w:p>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a）采用密闭管道输送，接入口和排出口采取与环境空气隔离的措施；</w:t>
                  </w:r>
                </w:p>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b）采用沟渠输送，若敞开液面上方100mm处VOCs检测浓度≥200mmol/mol，应加盖密闭，接入口和排出口采取与环境空气隔离的措施。</w:t>
                  </w:r>
                </w:p>
              </w:tc>
              <w:tc>
                <w:tcPr>
                  <w:tcW w:w="43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工艺过程不产生</w:t>
                  </w:r>
                  <w:r>
                    <w:rPr>
                      <w:rFonts w:hint="default" w:ascii="Times New Roman" w:hAnsi="Times New Roman" w:eastAsia="宋体" w:cs="Times New Roman"/>
                      <w:color w:val="000000" w:themeColor="text1"/>
                      <w:sz w:val="21"/>
                      <w:szCs w:val="21"/>
                      <w14:textFill>
                        <w14:solidFill>
                          <w14:schemeClr w14:val="tx1"/>
                        </w14:solidFill>
                      </w14:textFill>
                    </w:rPr>
                    <w:t>含VOCs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工艺</w:t>
                  </w:r>
                  <w:r>
                    <w:rPr>
                      <w:rFonts w:hint="default" w:ascii="Times New Roman" w:hAnsi="Times New Roman" w:eastAsia="宋体" w:cs="Times New Roman"/>
                      <w:color w:val="000000" w:themeColor="text1"/>
                      <w:sz w:val="21"/>
                      <w:szCs w:val="21"/>
                      <w14:textFill>
                        <w14:solidFill>
                          <w14:schemeClr w14:val="tx1"/>
                        </w14:solidFill>
                      </w14:textFill>
                    </w:rPr>
                    <w:t>废水</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95" w:type="dxa"/>
                  <w:vMerge w:val="continue"/>
                  <w:tcBorders>
                    <w:tl2br w:val="nil"/>
                    <w:tr2bl w:val="nil"/>
                  </w:tcBorders>
                  <w:noWrap w:val="0"/>
                  <w:vAlign w:val="center"/>
                </w:tcPr>
                <w:p>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94" w:type="dxa"/>
                  <w:vMerge w:val="continue"/>
                  <w:tcBorders>
                    <w:tl2br w:val="nil"/>
                    <w:tr2bl w:val="nil"/>
                  </w:tcBorders>
                  <w:noWrap w:val="0"/>
                  <w:vAlign w:val="center"/>
                </w:tcPr>
                <w:p>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068"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废水储存、处理设施：含VOCs废水储存和处理设施敞开液面上方100mm处VOCs检测浓度≥200mmol/mol，应符合下列规定之一：a）采用浮动顶盖；</w:t>
                  </w:r>
                </w:p>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b）采用固定顶盖，收集废气至VOCs废气收集处理系统；</w:t>
                  </w:r>
                </w:p>
                <w:p>
                  <w:pPr>
                    <w:keepNext w:val="0"/>
                    <w:keepLines w:val="0"/>
                    <w:pageBreakBefore w:val="0"/>
                    <w:widowControl w:val="0"/>
                    <w:kinsoku/>
                    <w:wordWrap/>
                    <w:overflowPunct/>
                    <w:topLinePunct w:val="0"/>
                    <w:bidi w:val="0"/>
                    <w:adjustRightInd w:val="0"/>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c）其他等效措施。</w:t>
                  </w:r>
                </w:p>
              </w:tc>
              <w:tc>
                <w:tcPr>
                  <w:tcW w:w="43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投产后，主要生产废水为罐区地面清洗水，主要污染物为COD、SS，不产生</w:t>
                  </w:r>
                  <w:r>
                    <w:rPr>
                      <w:rFonts w:hint="default" w:ascii="Times New Roman" w:hAnsi="Times New Roman" w:eastAsia="宋体" w:cs="Times New Roman"/>
                      <w:color w:val="000000" w:themeColor="text1"/>
                      <w:sz w:val="21"/>
                      <w:szCs w:val="21"/>
                      <w14:textFill>
                        <w14:solidFill>
                          <w14:schemeClr w14:val="tx1"/>
                        </w14:solidFill>
                      </w14:textFill>
                    </w:rPr>
                    <w:t>含VOCs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工艺</w:t>
                  </w:r>
                  <w:r>
                    <w:rPr>
                      <w:rFonts w:hint="default" w:ascii="Times New Roman" w:hAnsi="Times New Roman" w:eastAsia="宋体" w:cs="Times New Roman"/>
                      <w:color w:val="000000" w:themeColor="text1"/>
                      <w:sz w:val="21"/>
                      <w:szCs w:val="21"/>
                      <w14:textFill>
                        <w14:solidFill>
                          <w14:schemeClr w14:val="tx1"/>
                        </w14:solidFill>
                      </w14:textFill>
                    </w:rPr>
                    <w:t>废水</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c>
                <w:tcPr>
                  <w:tcW w:w="947" w:type="dxa"/>
                  <w:tcBorders>
                    <w:tl2br w:val="nil"/>
                    <w:tr2bl w:val="nil"/>
                  </w:tcBorders>
                  <w:noWrap w:val="0"/>
                  <w:vAlign w:val="center"/>
                </w:tcPr>
                <w:p>
                  <w:pPr>
                    <w:keepNext w:val="0"/>
                    <w:keepLines w:val="0"/>
                    <w:pageBreakBefore w:val="0"/>
                    <w:kinsoku/>
                    <w:wordWrap/>
                    <w:overflowPunct/>
                    <w:topLinePunct w:val="0"/>
                    <w:bidi w:val="0"/>
                    <w:adjustRightInd w:val="0"/>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w:t>
                  </w:r>
                </w:p>
              </w:tc>
            </w:tr>
          </w:tbl>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七、</w:t>
            </w:r>
            <w:commentRangeStart w:id="17"/>
            <w:r>
              <w:rPr>
                <w:rFonts w:hint="eastAsia"/>
                <w:b/>
                <w:bCs/>
                <w:color w:val="000000" w:themeColor="text1"/>
                <w:highlight w:val="none"/>
                <w:lang w:val="en-US" w:eastAsia="zh-CN"/>
                <w14:textFill>
                  <w14:solidFill>
                    <w14:schemeClr w14:val="tx1"/>
                  </w14:solidFill>
                </w14:textFill>
              </w:rPr>
              <w:t>与</w:t>
            </w:r>
            <w:r>
              <w:rPr>
                <w:rFonts w:hint="eastAsia" w:ascii="Times New Roman" w:hAnsi="Times New Roman" w:eastAsia="宋体" w:cs="Times New Roman"/>
                <w:b/>
                <w:bCs/>
                <w:color w:val="000000" w:themeColor="text1"/>
                <w:spacing w:val="7"/>
                <w:sz w:val="24"/>
                <w:szCs w:val="24"/>
                <w:lang w:val="en-US" w:eastAsia="zh-CN"/>
                <w14:textFill>
                  <w14:solidFill>
                    <w14:schemeClr w14:val="tx1"/>
                  </w14:solidFill>
                </w14:textFill>
              </w:rPr>
              <w:t>《内蒙古自治区人民政府办公厅关于加强工程建设文物保护前置审查工作的通知》（内政办发〔2024〕40号）</w:t>
            </w:r>
            <w:r>
              <w:rPr>
                <w:rFonts w:hint="eastAsia" w:ascii="Times New Roman" w:hAnsi="Times New Roman" w:cs="Times New Roman"/>
                <w:b/>
                <w:bCs/>
                <w:color w:val="000000" w:themeColor="text1"/>
                <w:spacing w:val="7"/>
                <w:sz w:val="24"/>
                <w:szCs w:val="24"/>
                <w:lang w:val="en-US" w:eastAsia="zh-CN"/>
                <w14:textFill>
                  <w14:solidFill>
                    <w14:schemeClr w14:val="tx1"/>
                  </w14:solidFill>
                </w14:textFill>
              </w:rPr>
              <w:t>的符合性分析</w:t>
            </w:r>
          </w:p>
          <w:p>
            <w:pPr>
              <w:bidi w:val="0"/>
              <w:jc w:val="center"/>
              <w:rPr>
                <w:rFonts w:hint="default"/>
                <w:b w:val="0"/>
                <w:bCs w:val="0"/>
                <w:color w:val="000000" w:themeColor="text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表1-7 与</w:t>
            </w:r>
            <w:r>
              <w:rPr>
                <w:rFonts w:hint="eastAsia" w:ascii="Times New Roman" w:hAnsi="Times New Roman" w:eastAsia="宋体" w:cs="Times New Roman"/>
                <w:b/>
                <w:bCs/>
                <w:color w:val="000000" w:themeColor="text1"/>
                <w:spacing w:val="7"/>
                <w:sz w:val="21"/>
                <w:szCs w:val="21"/>
                <w:lang w:val="en-US" w:eastAsia="zh-CN"/>
                <w14:textFill>
                  <w14:solidFill>
                    <w14:schemeClr w14:val="tx1"/>
                  </w14:solidFill>
                </w14:textFill>
              </w:rPr>
              <w:t>内政办发〔2024〕40号</w:t>
            </w:r>
            <w:r>
              <w:rPr>
                <w:rFonts w:hint="eastAsia" w:ascii="Times New Roman" w:hAnsi="Times New Roman" w:cs="Times New Roman"/>
                <w:b/>
                <w:bCs/>
                <w:color w:val="000000" w:themeColor="text1"/>
                <w:spacing w:val="7"/>
                <w:sz w:val="21"/>
                <w:szCs w:val="21"/>
                <w:lang w:val="en-US" w:eastAsia="zh-CN"/>
                <w14:textFill>
                  <w14:solidFill>
                    <w14:schemeClr w14:val="tx1"/>
                  </w14:solidFill>
                </w14:textFill>
              </w:rPr>
              <w:t>符合性分析一览表</w:t>
            </w:r>
            <w:commentRangeEnd w:id="17"/>
            <w:r>
              <w:commentReference w:id="17"/>
            </w:r>
          </w:p>
          <w:tbl>
            <w:tblPr>
              <w:tblStyle w:val="28"/>
              <w:tblW w:w="78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6"/>
              <w:gridCol w:w="3082"/>
              <w:gridCol w:w="1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6"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FF0000"/>
                      <w:sz w:val="21"/>
                      <w:szCs w:val="21"/>
                      <w:highlight w:val="none"/>
                      <w:vertAlign w:val="baseline"/>
                      <w:lang w:val="en-US" w:eastAsia="zh-CN"/>
                    </w:rPr>
                  </w:pPr>
                  <w:r>
                    <w:rPr>
                      <w:rFonts w:hint="eastAsia"/>
                      <w:b/>
                      <w:bCs/>
                      <w:color w:val="FF0000"/>
                      <w:sz w:val="21"/>
                      <w:szCs w:val="21"/>
                      <w:highlight w:val="none"/>
                      <w:vertAlign w:val="baseline"/>
                      <w:lang w:val="en-US" w:eastAsia="zh-CN"/>
                    </w:rPr>
                    <w:t>要求</w:t>
                  </w:r>
                </w:p>
              </w:tc>
              <w:tc>
                <w:tcPr>
                  <w:tcW w:w="3082"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FF0000"/>
                      <w:sz w:val="21"/>
                      <w:szCs w:val="21"/>
                      <w:highlight w:val="none"/>
                      <w:vertAlign w:val="baseline"/>
                      <w:lang w:val="en-US" w:eastAsia="zh-CN"/>
                    </w:rPr>
                  </w:pPr>
                  <w:r>
                    <w:rPr>
                      <w:rFonts w:hint="eastAsia"/>
                      <w:b/>
                      <w:bCs/>
                      <w:color w:val="FF0000"/>
                      <w:sz w:val="21"/>
                      <w:szCs w:val="21"/>
                      <w:highlight w:val="none"/>
                      <w:vertAlign w:val="baseline"/>
                      <w:lang w:val="en-US" w:eastAsia="zh-CN"/>
                    </w:rPr>
                    <w:t>本项目情况</w:t>
                  </w:r>
                </w:p>
              </w:tc>
              <w:tc>
                <w:tcPr>
                  <w:tcW w:w="1212"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bCs/>
                      <w:color w:val="FF0000"/>
                      <w:sz w:val="21"/>
                      <w:szCs w:val="21"/>
                      <w:highlight w:val="none"/>
                      <w:vertAlign w:val="baseline"/>
                      <w:lang w:val="en-US" w:eastAsia="zh-CN"/>
                    </w:rPr>
                  </w:pPr>
                  <w:r>
                    <w:rPr>
                      <w:rFonts w:hint="eastAsia"/>
                      <w:b/>
                      <w:bCs/>
                      <w:color w:val="FF0000"/>
                      <w:sz w:val="21"/>
                      <w:szCs w:val="21"/>
                      <w:highlight w:val="none"/>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6" w:type="dxa"/>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一、落实前置审批要求。旗县级以上地方人民政府指导负责工程建设行政审批部门建立包括文物行政部门在内的相关部门联办机制。各级相关业务主管部门要认真梳理各类行政审批事项，负责项目立项、用地选址的行政审批部门，应在项目预审阶段主动征求同级文物部门的意见；负责大型基本建设项目开工许可的行政审批部门，应将文物行政部门文物保护许可列入前置审查要件。</w:t>
                  </w:r>
                </w:p>
              </w:tc>
              <w:tc>
                <w:tcPr>
                  <w:tcW w:w="30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本项目地块已经过文物审查，根据伊金霍洛旗文物局出具的关于废矿物油综合利用及调和油项目范围有关文物事宜的报告（伊文物报[2025]28号），本项目地块不涉及文物，详见附件9。</w:t>
                  </w:r>
                </w:p>
              </w:tc>
              <w:tc>
                <w:tcPr>
                  <w:tcW w:w="12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val="0"/>
                      <w:color w:val="FF0000"/>
                      <w:sz w:val="21"/>
                      <w:szCs w:val="21"/>
                      <w:highlight w:val="none"/>
                      <w:vertAlign w:val="baseline"/>
                      <w:lang w:val="en-US" w:eastAsia="zh-CN"/>
                    </w:rPr>
                  </w:pPr>
                  <w:r>
                    <w:rPr>
                      <w:rFonts w:hint="eastAsia"/>
                      <w:b w:val="0"/>
                      <w:bCs w:val="0"/>
                      <w:color w:val="FF0000"/>
                      <w:sz w:val="21"/>
                      <w:szCs w:val="21"/>
                      <w:highlight w:val="none"/>
                      <w:vertAlign w:val="baseline"/>
                      <w:lang w:val="en-US" w:eastAsia="zh-CN"/>
                    </w:rPr>
                    <w:t>符合</w:t>
                  </w:r>
                </w:p>
              </w:tc>
            </w:tr>
          </w:tbl>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八、</w:t>
            </w:r>
            <w:r>
              <w:rPr>
                <w:rFonts w:hint="default"/>
                <w:b/>
                <w:bCs/>
                <w:color w:val="000000" w:themeColor="text1"/>
                <w:highlight w:val="none"/>
                <w:lang w:val="en-US" w:eastAsia="zh-CN"/>
                <w14:textFill>
                  <w14:solidFill>
                    <w14:schemeClr w14:val="tx1"/>
                  </w14:solidFill>
                </w14:textFill>
              </w:rPr>
              <w:t>选址合理性分析</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项目位于</w:t>
            </w:r>
            <w:r>
              <w:rPr>
                <w:rFonts w:hint="eastAsia"/>
                <w:color w:val="000000" w:themeColor="text1"/>
                <w:highlight w:val="none"/>
                <w:lang w:val="en-US" w:eastAsia="zh-CN"/>
                <w14:textFill>
                  <w14:solidFill>
                    <w14:schemeClr w14:val="tx1"/>
                  </w14:solidFill>
                </w14:textFill>
              </w:rPr>
              <w:t>内蒙古自治区鄂尔多斯市伊金霍洛旗蒙苏经济开发区圣圆煤化工基地汇金达厂区内</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且</w:t>
            </w:r>
            <w:r>
              <w:rPr>
                <w:rFonts w:hint="default"/>
                <w:color w:val="000000" w:themeColor="text1"/>
                <w:highlight w:val="none"/>
                <w:lang w:val="en-US" w:eastAsia="zh-CN"/>
                <w14:textFill>
                  <w14:solidFill>
                    <w14:schemeClr w14:val="tx1"/>
                  </w14:solidFill>
                </w14:textFill>
              </w:rPr>
              <w:t>项目周边交通便利，基础设施完善，项目所在区域不在溶洞区或易遭受洪水、滑坡、泥石流、潮汐等影响的地区，项目评价范围内无自然保护区、文物保护单位、水源保护区等环境敏感区域</w:t>
            </w:r>
            <w:r>
              <w:rPr>
                <w:rFonts w:hint="eastAsia"/>
                <w:color w:val="000000" w:themeColor="text1"/>
                <w:highlight w:val="none"/>
                <w:lang w:val="en-US" w:eastAsia="zh-CN"/>
                <w14:textFill>
                  <w14:solidFill>
                    <w14:schemeClr w14:val="tx1"/>
                  </w14:solidFill>
                </w14:textFill>
              </w:rPr>
              <w:t>，文物审查函见附件8</w:t>
            </w:r>
            <w:r>
              <w:rPr>
                <w:rFonts w:hint="default"/>
                <w:color w:val="000000" w:themeColor="text1"/>
                <w:highlight w:val="none"/>
                <w:lang w:val="en-US" w:eastAsia="zh-CN"/>
                <w14:textFill>
                  <w14:solidFill>
                    <w14:schemeClr w14:val="tx1"/>
                  </w14:solidFill>
                </w14:textFill>
              </w:rPr>
              <w:t>；根据建设项目产排污分析，项目对区域环境影响较小</w:t>
            </w:r>
            <w:r>
              <w:rPr>
                <w:rFonts w:hint="eastAsia"/>
                <w:color w:val="000000" w:themeColor="text1"/>
                <w:highlight w:val="none"/>
                <w:lang w:val="en-US" w:eastAsia="zh-CN"/>
                <w14:textFill>
                  <w14:solidFill>
                    <w14:schemeClr w14:val="tx1"/>
                  </w14:solidFill>
                </w14:textFill>
              </w:rPr>
              <w:t>。</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另根据鄂尔多斯蒙苏经济开发区管理委员会出具的入园准入协议（附件4）</w:t>
            </w:r>
            <w:r>
              <w:rPr>
                <w:rFonts w:hint="default"/>
                <w:color w:val="000000" w:themeColor="text1"/>
                <w:highlight w:val="none"/>
                <w:lang w:val="en-US" w:eastAsia="zh-CN"/>
                <w14:textFill>
                  <w14:solidFill>
                    <w14:schemeClr w14:val="tx1"/>
                  </w14:solidFill>
                </w14:textFill>
              </w:rPr>
              <w:t>，项目选址合理</w:t>
            </w:r>
            <w:r>
              <w:rPr>
                <w:rFonts w:hint="eastAsia"/>
                <w:color w:val="000000" w:themeColor="text1"/>
                <w:highlight w:val="none"/>
                <w:lang w:val="en-US" w:eastAsia="zh-CN"/>
                <w14:textFill>
                  <w14:solidFill>
                    <w14:schemeClr w14:val="tx1"/>
                  </w14:solidFill>
                </w14:textFill>
              </w:rPr>
              <w:t>。</w:t>
            </w:r>
          </w:p>
        </w:tc>
      </w:tr>
    </w:tbl>
    <w:p>
      <w:pPr>
        <w:spacing w:line="360" w:lineRule="auto"/>
        <w:outlineLvl w:val="0"/>
        <w:rPr>
          <w:rFonts w:hint="default" w:ascii="Times New Roman" w:hAnsi="Times New Roman" w:eastAsia="黑体" w:cs="Times New Roman"/>
          <w:color w:val="000000" w:themeColor="text1"/>
          <w:sz w:val="30"/>
          <w:highlight w:val="none"/>
          <w14:textFill>
            <w14:solidFill>
              <w14:schemeClr w14:val="tx1"/>
            </w14:solidFill>
          </w14:textFill>
        </w:rPr>
        <w:sectPr>
          <w:headerReference r:id="rId10" w:type="default"/>
          <w:footerReference r:id="rId11" w:type="default"/>
          <w:pgSz w:w="11906" w:h="16838"/>
          <w:pgMar w:top="1134" w:right="1531" w:bottom="1134" w:left="1531" w:header="850" w:footer="850" w:gutter="0"/>
          <w:pgBorders>
            <w:top w:val="none" w:sz="0" w:space="0"/>
            <w:left w:val="none" w:sz="0" w:space="0"/>
            <w:bottom w:val="none" w:sz="0" w:space="0"/>
            <w:right w:val="none" w:sz="0" w:space="0"/>
          </w:pgBorders>
          <w:pgNumType w:fmt="numberInDash" w:start="1"/>
          <w:cols w:space="720" w:num="1"/>
          <w:docGrid w:linePitch="312" w:charSpace="0"/>
        </w:sectPr>
      </w:pPr>
    </w:p>
    <w:p>
      <w:pPr>
        <w:pStyle w:val="22"/>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二、建设项目工程分析</w:t>
      </w:r>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3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823" w:type="dxa"/>
            <w:noWrap w:val="0"/>
            <w:vAlign w:val="center"/>
          </w:tcPr>
          <w:p>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建设内容</w:t>
            </w:r>
          </w:p>
        </w:tc>
        <w:tc>
          <w:tcPr>
            <w:tcW w:w="8399" w:type="dxa"/>
            <w:noWrap w:val="0"/>
            <w:vAlign w:val="top"/>
          </w:tcPr>
          <w:p>
            <w:pPr>
              <w:adjustRightInd w:val="0"/>
              <w:snapToGrid w:val="0"/>
              <w:jc w:val="both"/>
              <w:rPr>
                <w:rFonts w:hint="default" w:cs="Times New Roman"/>
                <w:b/>
                <w:bCs w:val="0"/>
                <w:color w:val="000000" w:themeColor="text1"/>
                <w:szCs w:val="21"/>
                <w:highlight w:val="none"/>
                <w:lang w:val="en-US" w:eastAsia="zh-CN"/>
                <w14:textFill>
                  <w14:solidFill>
                    <w14:schemeClr w14:val="tx1"/>
                  </w14:solidFill>
                </w14:textFill>
              </w:rPr>
            </w:pPr>
            <w:r>
              <w:rPr>
                <w:rFonts w:hint="eastAsia" w:cs="Times New Roman"/>
                <w:b/>
                <w:bCs w:val="0"/>
                <w:color w:val="000000" w:themeColor="text1"/>
                <w:szCs w:val="21"/>
                <w:highlight w:val="none"/>
                <w:lang w:val="en-US" w:eastAsia="zh-CN"/>
                <w14:textFill>
                  <w14:solidFill>
                    <w14:schemeClr w14:val="tx1"/>
                  </w14:solidFill>
                </w14:textFill>
              </w:rPr>
              <w:t>一、项目由来</w:t>
            </w:r>
          </w:p>
          <w:p>
            <w:pPr>
              <w:bidi w:val="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鄂尔多斯市汇金达清洁溶剂油有限公司成立于2010年05月12日，注册地位于内蒙古自治区鄂尔多斯市伊金霍洛旗圣圆煤化工基地汇金达公司，法定代表人为李慧兵。经营范围包括许可经营项目：无 一般经营项目：粗白油（不含危险化学品）、馏分油、溶剂油、重油、石化产品、中油、沥青、焦炭、煤焦油、燃料油、煤化工产品、二甲苯、混合苯、混合芳烃、甲苯、石油醚、正庚烷、重芳烃、正己烷生产销售；废焦油渣（HW11）：收集、贮存、利用。</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鄂尔多斯市汇金达清洁溶剂油有限公司原有项目包括特种环保溶剂油项目、30万吨/年芳烃抽提项目。</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特种环保溶剂油项目于2013年5月24日取得原鄂尔多斯市环境保护局环评批复（鄂环评字[2013]193号），该项目建成后在2013年至2014年1月进行了断续生产，2014年1月因常压车间发生煤焦油换热器爆炸引发轻油罐和沥青罐泄漏事故后停产，装置区于2014年拆除。</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万吨/年芳烃抽提项目于2015年4月7日取得原鄂尔多斯市环境保护局环评批复（鄂环评字[2015]156号），详见附件5。取得批复后建设了芳烃抽提装置（仅建设了框架）、罐区（混合芳烃缓冲罐、二甲苯产品罐、馏分罐、重组分罐、预留罐等）、污水处理站、事故水池、消防泵房、油气回收装置区等区域，在建设过程中，因市场原因，停止建设，项目一直未运行，芳烃抽提装置框架后期已拆除，其余储罐、公辅设施保留至今。</w:t>
            </w:r>
            <w:r>
              <w:commentReference w:id="18"/>
            </w:r>
          </w:p>
          <w:p>
            <w:pPr>
              <w:bidi w:val="0"/>
              <w:rPr>
                <w:rFonts w:hint="default" w:eastAsia="宋体"/>
                <w:b w:val="0"/>
                <w:bCs w:val="0"/>
                <w:color w:val="FF0000"/>
                <w:highlight w:val="none"/>
                <w:lang w:val="en-US" w:eastAsia="zh-CN"/>
              </w:rPr>
            </w:pPr>
            <w:r>
              <w:rPr>
                <w:rFonts w:hint="eastAsia"/>
                <w:color w:val="FF0000"/>
                <w:highlight w:val="none"/>
                <w:lang w:val="en-US" w:eastAsia="zh-CN"/>
              </w:rPr>
              <w:t>以上项目均不再建设，不再组织验收</w:t>
            </w:r>
            <w:r>
              <w:rPr>
                <w:rFonts w:hint="eastAsia"/>
                <w:color w:val="FF0000"/>
                <w:lang w:val="en-US" w:eastAsia="zh-CN"/>
              </w:rPr>
              <w:t>。</w:t>
            </w:r>
          </w:p>
          <w:p>
            <w:pPr>
              <w:bidi w:val="0"/>
              <w:rPr>
                <w:rFonts w:hint="default" w:eastAsia="宋体"/>
                <w:b w:val="0"/>
                <w:bCs w:val="0"/>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次项目利用“30万吨/年芳烃抽提项目”现有设施进行改建，建设20万吨/年柴油调和生产线及相关配套设施，采用物理调和工艺，调和后的油品达到成品柴油标准，工艺不涉及化学反应，不涉及危废处置和利用。本项目利旧其储罐、辅助设施（卸车区、事故水池、初期雨水池、消防泵房等）</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环保设施</w:t>
            </w:r>
            <w:commentRangeStart w:id="19"/>
            <w:r>
              <w:rPr>
                <w:rFonts w:hint="eastAsia"/>
                <w:color w:val="000000" w:themeColor="text1"/>
                <w:lang w:val="en-US" w:eastAsia="zh-CN"/>
                <w14:textFill>
                  <w14:solidFill>
                    <w14:schemeClr w14:val="tx1"/>
                  </w14:solidFill>
                </w14:textFill>
              </w:rPr>
              <w:t>（1座100m³/d污水处理站）、</w:t>
            </w:r>
            <w:commentRangeEnd w:id="19"/>
            <w:r>
              <w:commentReference w:id="19"/>
            </w:r>
            <w:r>
              <w:rPr>
                <w:rFonts w:hint="eastAsia"/>
                <w:color w:val="000000" w:themeColor="text1"/>
                <w:lang w:val="en-US" w:eastAsia="zh-CN"/>
                <w14:textFill>
                  <w14:solidFill>
                    <w14:schemeClr w14:val="tx1"/>
                  </w14:solidFill>
                </w14:textFill>
              </w:rPr>
              <w:t>油气回收装置</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其中污水处理站目前用于处理汇金达溶剂油公司环境事故造成污染的地下水，地下水经泵抽取后进入污水处理站处理，处理后的地下水用于附近选煤厂洗煤。</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中华人民共和国环境保护法》、《中华人民共和国环境影响评价法》和《建设项目环境保护管理条例》等有关法律、法规的要求，该项目需开展环境影响评价工作。对照《建设项目环境影响评价分类管理名录》（2021年版）（部令2020年第16号），本项目属于其中的“二十二、石油、煤炭及其他燃料加工业 25”“42、精炼石油产品制造 251 单纯物理分离、物理提纯、混合、分装的（不产生废水或挥发性有机物的除外）”，应编制环境影响报告表。为此，鄂尔多斯市汇金达清洁溶剂油有限公司委托我公司承担该项目的环境影响评价工作。接受委托后，我公司立即组织人员对项目现场进行实地踏勘，通过全面深入调查、监测、分析编制完成该项目环境影响报告表。</w:t>
            </w:r>
          </w:p>
          <w:p>
            <w:pPr>
              <w:adjustRightInd w:val="0"/>
              <w:snapToGrid w:val="0"/>
              <w:jc w:val="both"/>
              <w:rPr>
                <w:rFonts w:hint="eastAsia" w:cs="Times New Roman"/>
                <w:b/>
                <w:bCs w:val="0"/>
                <w:color w:val="000000" w:themeColor="text1"/>
                <w:szCs w:val="21"/>
                <w:highlight w:val="none"/>
                <w:lang w:val="en-US" w:eastAsia="zh-CN"/>
                <w14:textFill>
                  <w14:solidFill>
                    <w14:schemeClr w14:val="tx1"/>
                  </w14:solidFill>
                </w14:textFill>
              </w:rPr>
            </w:pPr>
            <w:r>
              <w:rPr>
                <w:rFonts w:hint="eastAsia" w:cs="Times New Roman"/>
                <w:b/>
                <w:bCs w:val="0"/>
                <w:color w:val="000000" w:themeColor="text1"/>
                <w:szCs w:val="21"/>
                <w:highlight w:val="none"/>
                <w:lang w:val="en-US" w:eastAsia="zh-CN"/>
                <w14:textFill>
                  <w14:solidFill>
                    <w14:schemeClr w14:val="tx1"/>
                  </w14:solidFill>
                </w14:textFill>
              </w:rPr>
              <w:t>二、项目概况</w:t>
            </w:r>
          </w:p>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1、本项目建设基本情况</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项目名称：</w:t>
            </w:r>
            <w:r>
              <w:rPr>
                <w:rFonts w:hint="eastAsia" w:cs="Times New Roman"/>
                <w:color w:val="000000" w:themeColor="text1"/>
                <w:szCs w:val="21"/>
                <w:highlight w:val="none"/>
                <w:lang w:val="en-US" w:eastAsia="zh-CN"/>
                <w14:textFill>
                  <w14:solidFill>
                    <w14:schemeClr w14:val="tx1"/>
                  </w14:solidFill>
                </w14:textFill>
              </w:rPr>
              <w:t>鄂尔多斯市汇金达清洁溶剂油有限公司20万吨/年柴油调和项目</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建设单位：</w:t>
            </w:r>
            <w:r>
              <w:rPr>
                <w:rFonts w:hint="eastAsia" w:cs="Times New Roman"/>
                <w:color w:val="000000" w:themeColor="text1"/>
                <w:szCs w:val="21"/>
                <w:highlight w:val="none"/>
                <w:lang w:val="en-US" w:eastAsia="zh-CN"/>
                <w14:textFill>
                  <w14:solidFill>
                    <w14:schemeClr w14:val="tx1"/>
                  </w14:solidFill>
                </w14:textFill>
              </w:rPr>
              <w:t>鄂尔多斯市汇金达清洁溶剂油有限公司</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建设地点：</w:t>
            </w:r>
            <w:r>
              <w:rPr>
                <w:rFonts w:hint="eastAsia" w:cs="Times New Roman"/>
                <w:color w:val="000000" w:themeColor="text1"/>
                <w:szCs w:val="21"/>
                <w:highlight w:val="none"/>
                <w:lang w:val="en-US" w:eastAsia="zh-CN"/>
                <w14:textFill>
                  <w14:solidFill>
                    <w14:schemeClr w14:val="tx1"/>
                  </w14:solidFill>
                </w14:textFill>
              </w:rPr>
              <w:t>内蒙古自治区鄂尔多斯市伊金霍洛旗蒙苏经济开发区圣圆煤化工基地汇金达厂区内</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建设性质：改建</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生产规模：</w:t>
            </w:r>
            <w:r>
              <w:rPr>
                <w:rFonts w:hint="eastAsia" w:cs="Times New Roman"/>
                <w:color w:val="000000" w:themeColor="text1"/>
                <w:szCs w:val="21"/>
                <w:highlight w:val="none"/>
                <w:lang w:val="en-US" w:eastAsia="zh-CN"/>
                <w14:textFill>
                  <w14:solidFill>
                    <w14:schemeClr w14:val="tx1"/>
                  </w14:solidFill>
                </w14:textFill>
              </w:rPr>
              <w:t>年调和20万吨柴油</w:t>
            </w:r>
          </w:p>
          <w:p>
            <w:pPr>
              <w:bidi w:val="0"/>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项目投资：本项目总投资为</w:t>
            </w:r>
            <w:r>
              <w:rPr>
                <w:rFonts w:hint="eastAsia" w:cs="Times New Roman"/>
                <w:color w:val="000000" w:themeColor="text1"/>
                <w:szCs w:val="21"/>
                <w:highlight w:val="none"/>
                <w:lang w:val="en-US" w:eastAsia="zh-CN"/>
                <w14:textFill>
                  <w14:solidFill>
                    <w14:schemeClr w14:val="tx1"/>
                  </w14:solidFill>
                </w14:textFill>
              </w:rPr>
              <w:t>8</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000万元，其中环保投资</w:t>
            </w:r>
            <w:r>
              <w:rPr>
                <w:rFonts w:hint="eastAsia" w:cs="Times New Roman"/>
                <w:color w:val="000000" w:themeColor="text1"/>
                <w:szCs w:val="21"/>
                <w:highlight w:val="none"/>
                <w:lang w:val="en-US" w:eastAsia="zh-CN"/>
                <w14:textFill>
                  <w14:solidFill>
                    <w14:schemeClr w14:val="tx1"/>
                  </w14:solidFill>
                </w14:textFill>
              </w:rPr>
              <w:t>189.2</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万元，占总投资的</w:t>
            </w:r>
            <w:r>
              <w:rPr>
                <w:rFonts w:hint="eastAsia" w:cs="Times New Roman"/>
                <w:color w:val="000000" w:themeColor="text1"/>
                <w:szCs w:val="21"/>
                <w:highlight w:val="none"/>
                <w:lang w:val="en-US" w:eastAsia="zh-CN"/>
                <w14:textFill>
                  <w14:solidFill>
                    <w14:schemeClr w14:val="tx1"/>
                  </w14:solidFill>
                </w14:textFill>
              </w:rPr>
              <w:t>2.37</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建设周期：本项目建设周期为2个月</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建设内容：对“30万吨/年芳烃抽提项目”现有设施进行改建。利用厂区现有部分生产设备设施，具体为厂区原有罐区（含储罐）、卸车区、消防泵房、事故水池、初期雨水池、污水处理站、油气回收装置等，进行柴油调和，新建危废库，可达年调和</w:t>
            </w:r>
            <w:r>
              <w:rPr>
                <w:rFonts w:hint="eastAsia" w:cs="Times New Roman"/>
                <w:color w:val="000000" w:themeColor="text1"/>
                <w:szCs w:val="21"/>
                <w:highlight w:val="none"/>
                <w:lang w:val="en-US" w:eastAsia="zh-CN"/>
                <w14:textFill>
                  <w14:solidFill>
                    <w14:schemeClr w14:val="tx1"/>
                  </w14:solidFill>
                </w14:textFill>
              </w:rPr>
              <w:t>20万吨柴油的能力。</w:t>
            </w:r>
          </w:p>
          <w:p>
            <w:pPr>
              <w:bidi w:val="0"/>
              <w:rPr>
                <w:rFonts w:hint="default"/>
                <w:color w:val="FF0000"/>
                <w:highlight w:val="none"/>
                <w:lang w:val="en-US" w:eastAsia="zh-CN"/>
              </w:rPr>
            </w:pPr>
            <w:r>
              <w:rPr>
                <w:rFonts w:hint="eastAsia"/>
                <w:color w:val="FF0000"/>
                <w:highlight w:val="none"/>
                <w:lang w:val="en-US" w:eastAsia="zh-CN"/>
              </w:rPr>
              <w:t>改建前项目实际建设与环评对比情况如下表。</w:t>
            </w:r>
          </w:p>
          <w:p>
            <w:pPr>
              <w:bidi w:val="0"/>
              <w:jc w:val="center"/>
              <w:rPr>
                <w:rFonts w:hint="default"/>
                <w:color w:val="FF0000"/>
                <w:highlight w:val="none"/>
                <w:lang w:val="en-US" w:eastAsia="zh-CN"/>
              </w:rPr>
            </w:pPr>
            <w:r>
              <w:rPr>
                <w:rFonts w:hint="eastAsia"/>
                <w:b/>
                <w:bCs/>
                <w:color w:val="FF0000"/>
                <w:sz w:val="21"/>
                <w:szCs w:val="21"/>
                <w:highlight w:val="none"/>
                <w:lang w:val="en-US" w:eastAsia="zh-CN"/>
              </w:rPr>
              <w:t>表2-1 改建前现有工程情况一览表</w:t>
            </w:r>
          </w:p>
          <w:tbl>
            <w:tblPr>
              <w:tblStyle w:val="27"/>
              <w:tblW w:w="8278" w:type="dxa"/>
              <w:jc w:val="center"/>
              <w:tblLayout w:type="fixed"/>
              <w:tblCellMar>
                <w:top w:w="0" w:type="dxa"/>
                <w:left w:w="108" w:type="dxa"/>
                <w:bottom w:w="0" w:type="dxa"/>
                <w:right w:w="108" w:type="dxa"/>
              </w:tblCellMar>
            </w:tblPr>
            <w:tblGrid>
              <w:gridCol w:w="703"/>
              <w:gridCol w:w="468"/>
              <w:gridCol w:w="4"/>
              <w:gridCol w:w="736"/>
              <w:gridCol w:w="3227"/>
              <w:gridCol w:w="3140"/>
            </w:tblGrid>
            <w:tr>
              <w:tblPrEx>
                <w:tblCellMar>
                  <w:top w:w="0" w:type="dxa"/>
                  <w:left w:w="108" w:type="dxa"/>
                  <w:bottom w:w="0" w:type="dxa"/>
                  <w:right w:w="108" w:type="dxa"/>
                </w:tblCellMar>
              </w:tblPrEx>
              <w:trPr>
                <w:trHeight w:val="385" w:hRule="atLeast"/>
                <w:jc w:val="center"/>
              </w:trPr>
              <w:tc>
                <w:tcPr>
                  <w:tcW w:w="4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rFonts w:hint="eastAsia"/>
                      <w:color w:val="FF0000"/>
                      <w:sz w:val="21"/>
                      <w:szCs w:val="21"/>
                      <w:lang w:bidi="ar"/>
                    </w:rPr>
                    <w:t>工程类别</w:t>
                  </w:r>
                </w:p>
              </w:tc>
              <w:tc>
                <w:tcPr>
                  <w:tcW w:w="72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项目名称</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rFonts w:hint="eastAsia"/>
                      <w:color w:val="FF0000"/>
                      <w:sz w:val="21"/>
                      <w:szCs w:val="21"/>
                      <w:lang w:bidi="ar"/>
                    </w:rPr>
                    <w:t>原环评</w:t>
                  </w:r>
                  <w:r>
                    <w:rPr>
                      <w:rStyle w:val="108"/>
                      <w:color w:val="FF0000"/>
                      <w:sz w:val="21"/>
                      <w:szCs w:val="21"/>
                      <w:lang w:bidi="ar"/>
                    </w:rPr>
                    <w:t>建设内容及规模</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color w:val="FF0000"/>
                      <w:sz w:val="21"/>
                      <w:szCs w:val="21"/>
                      <w:lang w:bidi="ar"/>
                    </w:rPr>
                    <w:t>实际建设内容</w:t>
                  </w:r>
                </w:p>
              </w:tc>
            </w:tr>
            <w:tr>
              <w:tblPrEx>
                <w:tblCellMar>
                  <w:top w:w="0" w:type="dxa"/>
                  <w:left w:w="108" w:type="dxa"/>
                  <w:bottom w:w="0" w:type="dxa"/>
                  <w:right w:w="108" w:type="dxa"/>
                </w:tblCellMar>
              </w:tblPrEx>
              <w:trPr>
                <w:trHeight w:val="1370" w:hRule="atLeast"/>
                <w:jc w:val="center"/>
              </w:trPr>
              <w:tc>
                <w:tcPr>
                  <w:tcW w:w="4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主体工程</w:t>
                  </w:r>
                  <w:r>
                    <w:rPr>
                      <w:rFonts w:ascii="宋体" w:hAnsi="宋体" w:eastAsia="宋体" w:cs="宋体"/>
                      <w:color w:val="FF0000"/>
                      <w:kern w:val="0"/>
                      <w:sz w:val="21"/>
                      <w:szCs w:val="21"/>
                      <w:lang w:bidi="ar"/>
                    </w:rPr>
                    <w:t xml:space="preserve"> </w:t>
                  </w:r>
                </w:p>
              </w:tc>
              <w:tc>
                <w:tcPr>
                  <w:tcW w:w="72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抽提装置</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bookmarkStart w:id="4" w:name="OLE_LINK144"/>
                  <w:r>
                    <w:rPr>
                      <w:rStyle w:val="108"/>
                      <w:color w:val="FF0000"/>
                      <w:sz w:val="21"/>
                      <w:szCs w:val="21"/>
                      <w:lang w:bidi="ar"/>
                    </w:rPr>
                    <w:t>新建抽提装置一套，占地面积80×41m,公称规模30×10</w:t>
                  </w:r>
                  <w:r>
                    <w:rPr>
                      <w:rStyle w:val="109"/>
                      <w:rFonts w:eastAsia="宋体"/>
                      <w:color w:val="FF0000"/>
                      <w:sz w:val="21"/>
                      <w:szCs w:val="21"/>
                      <w:lang w:bidi="ar"/>
                    </w:rPr>
                    <w:t>⁴</w:t>
                  </w:r>
                  <w:r>
                    <w:rPr>
                      <w:rStyle w:val="108"/>
                      <w:color w:val="FF0000"/>
                      <w:sz w:val="21"/>
                      <w:szCs w:val="21"/>
                      <w:lang w:bidi="ar"/>
                    </w:rPr>
                    <w:t>t/a。主设备包括脱C8塔、脱C8塔回流罐、C9+馏分白土塔、脱C9塔、脱C9塔回流罐、水汽提塔、溶剂再生塔、抽提塔、抽余油水洗塔、汽提塔、汽提塔顶罐、回收塔、回收塔回流罐、混合芳烃白士塔、苯塔、苯塔回流罐、甲苯塔、甲苯塔回流罐、甲苯塔、二甲苯塔回流罐。</w:t>
                  </w:r>
                  <w:bookmarkEnd w:id="4"/>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color w:val="FF0000"/>
                      <w:sz w:val="21"/>
                      <w:szCs w:val="21"/>
                      <w:lang w:bidi="ar"/>
                    </w:rPr>
                    <w:t>新建抽提装置一套，占地面积80×41m,公称规模30×10</w:t>
                  </w:r>
                  <w:r>
                    <w:rPr>
                      <w:rStyle w:val="109"/>
                      <w:rFonts w:eastAsia="宋体"/>
                      <w:color w:val="FF0000"/>
                      <w:sz w:val="21"/>
                      <w:szCs w:val="21"/>
                      <w:lang w:bidi="ar"/>
                    </w:rPr>
                    <w:t>⁴</w:t>
                  </w:r>
                  <w:r>
                    <w:rPr>
                      <w:rStyle w:val="108"/>
                      <w:color w:val="FF0000"/>
                      <w:sz w:val="21"/>
                      <w:szCs w:val="21"/>
                      <w:lang w:bidi="ar"/>
                    </w:rPr>
                    <w:t>t/a，安装部分设备包括脱C8塔、脱C9塔、溶剂再生塔、抽提塔、抽余油水洗塔、汽提塔、甲苯塔。</w:t>
                  </w:r>
                  <w:r>
                    <w:rPr>
                      <w:rStyle w:val="108"/>
                      <w:rFonts w:hint="eastAsia"/>
                      <w:color w:val="FF0000"/>
                      <w:sz w:val="21"/>
                      <w:szCs w:val="21"/>
                      <w:lang w:val="en-US" w:eastAsia="zh-CN" w:bidi="ar"/>
                    </w:rPr>
                    <w:t>其余未建设</w:t>
                  </w:r>
                </w:p>
              </w:tc>
            </w:tr>
            <w:tr>
              <w:tblPrEx>
                <w:tblCellMar>
                  <w:top w:w="0" w:type="dxa"/>
                  <w:left w:w="108" w:type="dxa"/>
                  <w:bottom w:w="0" w:type="dxa"/>
                  <w:right w:w="108" w:type="dxa"/>
                </w:tblCellMar>
              </w:tblPrEx>
              <w:trPr>
                <w:trHeight w:val="1000" w:hRule="atLeast"/>
                <w:jc w:val="center"/>
              </w:trPr>
              <w:tc>
                <w:tcPr>
                  <w:tcW w:w="424"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color w:val="FF0000"/>
                      <w:sz w:val="21"/>
                      <w:szCs w:val="21"/>
                    </w:rPr>
                  </w:pPr>
                  <w:r>
                    <w:rPr>
                      <w:rStyle w:val="108"/>
                      <w:color w:val="FF0000"/>
                      <w:sz w:val="21"/>
                      <w:szCs w:val="21"/>
                      <w:lang w:bidi="ar"/>
                    </w:rPr>
                    <w:t>公用工程</w:t>
                  </w:r>
                </w:p>
              </w:tc>
              <w:tc>
                <w:tcPr>
                  <w:tcW w:w="72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给排水</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生产、生活用水来自园区供水管网，工业园区将给水管线引至厂区边界，管线口径为DN150</w:t>
                  </w:r>
                  <w:r>
                    <w:rPr>
                      <w:rStyle w:val="108"/>
                      <w:rFonts w:hint="eastAsia"/>
                      <w:color w:val="FF0000"/>
                      <w:sz w:val="21"/>
                      <w:szCs w:val="21"/>
                      <w:lang w:bidi="ar"/>
                    </w:rPr>
                    <w:t>。</w:t>
                  </w:r>
                  <w:r>
                    <w:rPr>
                      <w:rStyle w:val="108"/>
                      <w:color w:val="FF0000"/>
                      <w:sz w:val="21"/>
                      <w:szCs w:val="21"/>
                      <w:lang w:bidi="ar"/>
                    </w:rPr>
                    <w:t>厂内排水划分为生产废水系统、生活污水排水系统、清净废水排水系统、雨水排水系统、事故水排水系统。</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default" w:eastAsia="宋体"/>
                      <w:color w:val="FF0000"/>
                      <w:sz w:val="21"/>
                      <w:szCs w:val="21"/>
                      <w:lang w:val="en-US" w:eastAsia="zh-CN"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1030" w:hRule="atLeast"/>
                <w:jc w:val="center"/>
              </w:trPr>
              <w:tc>
                <w:tcPr>
                  <w:tcW w:w="424"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72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动力车间</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新建动力车间一座，占地面积6914m²;新建1台75t/h循环流化床锅炉；配套建设卸、储运煤系统；灰、渣仓、除盐水站等</w:t>
                  </w:r>
                  <w:r>
                    <w:rPr>
                      <w:rStyle w:val="108"/>
                      <w:rFonts w:hint="eastAsia"/>
                      <w:color w:val="FF0000"/>
                      <w:sz w:val="21"/>
                      <w:szCs w:val="21"/>
                      <w:lang w:bidi="ar"/>
                    </w:rPr>
                    <w:t>。</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color w:val="FF0000"/>
                      <w:sz w:val="21"/>
                      <w:szCs w:val="21"/>
                      <w:lang w:bidi="ar"/>
                    </w:rPr>
                    <w:t>未建</w:t>
                  </w:r>
                </w:p>
              </w:tc>
            </w:tr>
            <w:tr>
              <w:tblPrEx>
                <w:tblCellMar>
                  <w:top w:w="0" w:type="dxa"/>
                  <w:left w:w="108" w:type="dxa"/>
                  <w:bottom w:w="0" w:type="dxa"/>
                  <w:right w:w="108" w:type="dxa"/>
                </w:tblCellMar>
              </w:tblPrEx>
              <w:trPr>
                <w:trHeight w:val="36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color w:val="FF0000"/>
                      <w:sz w:val="21"/>
                      <w:szCs w:val="21"/>
                    </w:rPr>
                  </w:pPr>
                </w:p>
              </w:tc>
              <w:tc>
                <w:tcPr>
                  <w:tcW w:w="72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通风/空调</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配电室及控制室设置风冷式全空调系统。</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50" w:hRule="atLeast"/>
                <w:jc w:val="center"/>
              </w:trPr>
              <w:tc>
                <w:tcPr>
                  <w:tcW w:w="424" w:type="pct"/>
                  <w:vMerge w:val="continue"/>
                  <w:tcBorders>
                    <w:left w:val="single" w:color="000000" w:sz="4" w:space="0"/>
                    <w:bottom w:val="single" w:color="000000" w:sz="4" w:space="0"/>
                    <w:right w:val="single" w:color="000000" w:sz="4" w:space="0"/>
                  </w:tcBorders>
                  <w:shd w:val="clear" w:color="auto" w:fill="auto"/>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color w:val="FF0000"/>
                      <w:sz w:val="21"/>
                      <w:szCs w:val="21"/>
                    </w:rPr>
                  </w:pPr>
                </w:p>
              </w:tc>
              <w:tc>
                <w:tcPr>
                  <w:tcW w:w="72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供电</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电源引自新庙110kV变电所10kV母线段，厂区设3个变配电所</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60" w:hRule="atLeast"/>
                <w:jc w:val="center"/>
              </w:trPr>
              <w:tc>
                <w:tcPr>
                  <w:tcW w:w="424"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Fonts w:hint="eastAsia" w:ascii="宋体" w:hAnsi="宋体" w:eastAsia="宋体" w:cs="宋体"/>
                      <w:color w:val="FF0000"/>
                      <w:sz w:val="21"/>
                      <w:szCs w:val="21"/>
                    </w:rPr>
                    <w:t>辅助工程</w:t>
                  </w:r>
                </w:p>
              </w:tc>
              <w:tc>
                <w:tcPr>
                  <w:tcW w:w="282"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color w:val="FF0000"/>
                      <w:sz w:val="21"/>
                      <w:szCs w:val="21"/>
                    </w:rPr>
                  </w:pPr>
                  <w:r>
                    <w:rPr>
                      <w:rFonts w:hint="eastAsia" w:ascii="宋体" w:hAnsi="宋体" w:eastAsia="宋体" w:cs="宋体"/>
                      <w:color w:val="FF0000"/>
                      <w:sz w:val="21"/>
                      <w:szCs w:val="21"/>
                    </w:rPr>
                    <w:t>罐区</w:t>
                  </w: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原料罐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新建1台10000m³内浮顶罐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6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282"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抽余油罐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新建1台2000m³、1台1000m³内浮顶罐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7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282"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苯产品罐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新建2台2000m³内浮顶罐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7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282"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抽提进料缓冲罐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新建1台1000m³内浮顶罐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7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282"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溶剂罐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新建2台500m³内浮顶罐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7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282"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混合芳烃缓冲罐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新建1台2000m³内浮顶罐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4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282"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馏分罐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新建1台2000m³内浮顶罐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35"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282"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重馏分罐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Style w:val="108"/>
                      <w:color w:val="FF0000"/>
                      <w:sz w:val="21"/>
                      <w:szCs w:val="21"/>
                      <w:lang w:bidi="ar"/>
                    </w:rPr>
                    <w:t>新建1台2000m³内浮顶罐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305"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Arial" w:hAnsi="Arial" w:cs="Arial"/>
                      <w:color w:val="FF0000"/>
                      <w:sz w:val="21"/>
                      <w:szCs w:val="21"/>
                    </w:rPr>
                  </w:pPr>
                </w:p>
              </w:tc>
              <w:tc>
                <w:tcPr>
                  <w:tcW w:w="282"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color w:val="FF0000"/>
                      <w:sz w:val="21"/>
                      <w:szCs w:val="21"/>
                      <w:lang w:bidi="ar"/>
                    </w:rPr>
                    <w:t>二甲苯产品罐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color w:val="FF0000"/>
                      <w:sz w:val="21"/>
                      <w:szCs w:val="21"/>
                      <w:lang w:bidi="ar"/>
                    </w:rPr>
                    <w:t>新建1台2000m³内浮顶罐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9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29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Arial" w:hAnsi="Arial" w:cs="Arial"/>
                      <w:color w:val="FF0000"/>
                      <w:sz w:val="21"/>
                      <w:szCs w:val="21"/>
                    </w:rPr>
                  </w:pPr>
                </w:p>
              </w:tc>
              <w:tc>
                <w:tcPr>
                  <w:tcW w:w="282"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color w:val="FF0000"/>
                      <w:sz w:val="21"/>
                      <w:szCs w:val="21"/>
                      <w:lang w:bidi="ar"/>
                    </w:rPr>
                    <w:t>甲苯产品罐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color w:val="FF0000"/>
                      <w:sz w:val="21"/>
                      <w:szCs w:val="21"/>
                      <w:lang w:bidi="ar"/>
                    </w:rPr>
                    <w:t>新建2台3000m³内浮顶罐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98"/>
                      <w:color w:val="FF0000"/>
                      <w:sz w:val="21"/>
                      <w:szCs w:val="21"/>
                      <w:lang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860" w:hRule="atLeast"/>
                <w:jc w:val="center"/>
              </w:trPr>
              <w:tc>
                <w:tcPr>
                  <w:tcW w:w="424"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72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color w:val="FF0000"/>
                      <w:sz w:val="21"/>
                      <w:szCs w:val="21"/>
                      <w:lang w:bidi="ar"/>
                    </w:rPr>
                    <w:t>地面火炬系统</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color w:val="FF0000"/>
                      <w:sz w:val="21"/>
                      <w:szCs w:val="21"/>
                      <w:lang w:bidi="ar"/>
                    </w:rPr>
                  </w:pPr>
                  <w:r>
                    <w:rPr>
                      <w:rStyle w:val="108"/>
                      <w:color w:val="FF0000"/>
                      <w:sz w:val="21"/>
                      <w:szCs w:val="21"/>
                      <w:lang w:bidi="ar"/>
                    </w:rPr>
                    <w:t>最大处理能力75t/h,火炬燃烧塔直径10m、高30m,设置防风消音墙，火炬系统共60台燃烧器</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98"/>
                      <w:color w:val="FF0000"/>
                      <w:sz w:val="21"/>
                      <w:szCs w:val="21"/>
                      <w:lang w:bidi="ar"/>
                    </w:rPr>
                  </w:pPr>
                  <w:r>
                    <w:rPr>
                      <w:rStyle w:val="108"/>
                      <w:rFonts w:hint="eastAsia" w:eastAsia="宋体"/>
                      <w:color w:val="FF0000"/>
                      <w:sz w:val="21"/>
                      <w:szCs w:val="21"/>
                      <w:lang w:val="en-US" w:eastAsia="zh-CN" w:bidi="ar"/>
                    </w:rPr>
                    <w:t>未建</w:t>
                  </w:r>
                </w:p>
              </w:tc>
            </w:tr>
            <w:tr>
              <w:tblPrEx>
                <w:tblCellMar>
                  <w:top w:w="0" w:type="dxa"/>
                  <w:left w:w="108" w:type="dxa"/>
                  <w:bottom w:w="0" w:type="dxa"/>
                  <w:right w:w="108" w:type="dxa"/>
                </w:tblCellMar>
              </w:tblPrEx>
              <w:trPr>
                <w:trHeight w:val="920" w:hRule="atLeast"/>
                <w:jc w:val="center"/>
              </w:trPr>
              <w:tc>
                <w:tcPr>
                  <w:tcW w:w="424"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72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制氮装置</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新建1套空分装置，制氮方式采用变压吸附法，设计方案为一套1000Nm³/h纯氮空分装置</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未建</w:t>
                  </w:r>
                </w:p>
              </w:tc>
            </w:tr>
            <w:tr>
              <w:tblPrEx>
                <w:tblCellMar>
                  <w:top w:w="0" w:type="dxa"/>
                  <w:left w:w="108" w:type="dxa"/>
                  <w:bottom w:w="0" w:type="dxa"/>
                  <w:right w:w="108" w:type="dxa"/>
                </w:tblCellMar>
              </w:tblPrEx>
              <w:trPr>
                <w:trHeight w:val="1310" w:hRule="atLeast"/>
                <w:jc w:val="center"/>
              </w:trPr>
              <w:tc>
                <w:tcPr>
                  <w:tcW w:w="424"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r>
                    <w:rPr>
                      <w:rFonts w:hint="eastAsia" w:ascii="宋体" w:hAnsi="宋体" w:eastAsia="宋体" w:cs="宋体"/>
                      <w:color w:val="FF0000"/>
                      <w:kern w:val="0"/>
                      <w:sz w:val="21"/>
                      <w:szCs w:val="21"/>
                      <w:lang w:bidi="ar"/>
                    </w:rPr>
                    <w:t>环保工程</w:t>
                  </w:r>
                </w:p>
              </w:tc>
              <w:tc>
                <w:tcPr>
                  <w:tcW w:w="28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废水</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冲洗水、生活污水</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依托特种环保溶剂油项目污水处理站处理。</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与环评一致</w:t>
                  </w:r>
                </w:p>
              </w:tc>
            </w:tr>
            <w:tr>
              <w:tblPrEx>
                <w:tblCellMar>
                  <w:top w:w="0" w:type="dxa"/>
                  <w:left w:w="108" w:type="dxa"/>
                  <w:bottom w:w="0" w:type="dxa"/>
                  <w:right w:w="108" w:type="dxa"/>
                </w:tblCellMar>
              </w:tblPrEx>
              <w:trPr>
                <w:trHeight w:val="990" w:hRule="atLeast"/>
                <w:jc w:val="center"/>
              </w:trPr>
              <w:tc>
                <w:tcPr>
                  <w:tcW w:w="424"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2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废气</w:t>
                  </w: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工艺不凝气</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排地面火炬系统燃烧处理。</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未建</w:t>
                  </w:r>
                </w:p>
              </w:tc>
            </w:tr>
            <w:tr>
              <w:tblPrEx>
                <w:tblCellMar>
                  <w:top w:w="0" w:type="dxa"/>
                  <w:left w:w="108" w:type="dxa"/>
                  <w:bottom w:w="0" w:type="dxa"/>
                  <w:right w:w="108" w:type="dxa"/>
                </w:tblCellMar>
              </w:tblPrEx>
              <w:trPr>
                <w:trHeight w:val="990" w:hRule="atLeast"/>
                <w:jc w:val="center"/>
              </w:trPr>
              <w:tc>
                <w:tcPr>
                  <w:tcW w:w="424"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282"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default" w:eastAsia="宋体"/>
                      <w:color w:val="FF0000"/>
                      <w:sz w:val="21"/>
                      <w:szCs w:val="21"/>
                      <w:lang w:val="en-US" w:eastAsia="zh-CN" w:bidi="ar"/>
                    </w:rPr>
                  </w:pPr>
                  <w:r>
                    <w:rPr>
                      <w:rStyle w:val="108"/>
                      <w:rFonts w:hint="eastAsia"/>
                      <w:color w:val="FF0000"/>
                      <w:sz w:val="21"/>
                      <w:szCs w:val="21"/>
                      <w:lang w:val="en-US" w:eastAsia="zh-CN" w:bidi="ar"/>
                    </w:rPr>
                    <w:t>储罐呼吸废气</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default" w:eastAsia="宋体"/>
                      <w:color w:val="FF0000"/>
                      <w:sz w:val="21"/>
                      <w:szCs w:val="21"/>
                      <w:lang w:val="en-US" w:eastAsia="zh-CN" w:bidi="ar"/>
                    </w:rPr>
                  </w:pPr>
                  <w:r>
                    <w:rPr>
                      <w:rStyle w:val="108"/>
                      <w:rFonts w:hint="eastAsia"/>
                      <w:color w:val="FF0000"/>
                      <w:sz w:val="21"/>
                      <w:szCs w:val="21"/>
                      <w:lang w:val="en-US" w:eastAsia="zh-CN" w:bidi="ar"/>
                    </w:rPr>
                    <w:t>/</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Fonts w:hint="eastAsia"/>
                      <w:color w:val="FF0000"/>
                      <w:sz w:val="21"/>
                      <w:szCs w:val="21"/>
                      <w:highlight w:val="none"/>
                      <w:lang w:val="en-US" w:eastAsia="zh-CN"/>
                    </w:rPr>
                    <w:t>建设1套油气回收装置（吸/脱附+冷凝回收），处理后的储罐呼吸废气经一根15米排气筒排放。实际未运行。</w:t>
                  </w:r>
                </w:p>
              </w:tc>
            </w:tr>
            <w:tr>
              <w:tblPrEx>
                <w:tblCellMar>
                  <w:top w:w="0" w:type="dxa"/>
                  <w:left w:w="108" w:type="dxa"/>
                  <w:bottom w:w="0" w:type="dxa"/>
                  <w:right w:w="108" w:type="dxa"/>
                </w:tblCellMar>
              </w:tblPrEx>
              <w:trPr>
                <w:trHeight w:val="670" w:hRule="atLeast"/>
                <w:jc w:val="center"/>
              </w:trPr>
              <w:tc>
                <w:tcPr>
                  <w:tcW w:w="424"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2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锅炉烟气</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SNCR烟气脱硝系统+布袋除尘器+石灰-石膏法烟气湿式脱硫系统。</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未建</w:t>
                  </w:r>
                </w:p>
              </w:tc>
            </w:tr>
            <w:tr>
              <w:tblPrEx>
                <w:tblCellMar>
                  <w:top w:w="0" w:type="dxa"/>
                  <w:left w:w="108" w:type="dxa"/>
                  <w:bottom w:w="0" w:type="dxa"/>
                  <w:right w:w="108" w:type="dxa"/>
                </w:tblCellMar>
              </w:tblPrEx>
              <w:trPr>
                <w:trHeight w:val="700" w:hRule="atLeast"/>
                <w:jc w:val="center"/>
              </w:trPr>
              <w:tc>
                <w:tcPr>
                  <w:tcW w:w="424"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2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煤储运</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在卸煤、喂煤、碎煤、储煤过程中均采用脉冲布袋收尘器收尘。</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未建</w:t>
                  </w:r>
                </w:p>
              </w:tc>
            </w:tr>
            <w:tr>
              <w:tblPrEx>
                <w:tblCellMar>
                  <w:top w:w="0" w:type="dxa"/>
                  <w:left w:w="108" w:type="dxa"/>
                  <w:bottom w:w="0" w:type="dxa"/>
                  <w:right w:w="108" w:type="dxa"/>
                </w:tblCellMar>
              </w:tblPrEx>
              <w:trPr>
                <w:trHeight w:val="34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color w:val="FF0000"/>
                      <w:sz w:val="21"/>
                      <w:szCs w:val="21"/>
                    </w:rPr>
                  </w:pPr>
                </w:p>
              </w:tc>
              <w:tc>
                <w:tcPr>
                  <w:tcW w:w="2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固废</w:t>
                  </w: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灰库</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新建1座灰库；单座灰库直径4m,容积200m³,可容纳40h灰量；</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未建</w:t>
                  </w:r>
                </w:p>
              </w:tc>
            </w:tr>
            <w:tr>
              <w:tblPrEx>
                <w:tblCellMar>
                  <w:top w:w="0" w:type="dxa"/>
                  <w:left w:w="108" w:type="dxa"/>
                  <w:bottom w:w="0" w:type="dxa"/>
                  <w:right w:w="108" w:type="dxa"/>
                </w:tblCellMar>
              </w:tblPrEx>
              <w:trPr>
                <w:trHeight w:val="280" w:hRule="atLeast"/>
                <w:jc w:val="center"/>
              </w:trPr>
              <w:tc>
                <w:tcPr>
                  <w:tcW w:w="424" w:type="pct"/>
                  <w:vMerge w:val="continue"/>
                  <w:tcBorders>
                    <w:left w:val="single" w:color="000000" w:sz="4" w:space="0"/>
                    <w:right w:val="single" w:color="000000" w:sz="4" w:space="0"/>
                  </w:tcBorders>
                  <w:shd w:val="clear" w:color="auto" w:fill="auto"/>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color w:val="FF0000"/>
                      <w:sz w:val="21"/>
                      <w:szCs w:val="21"/>
                    </w:rPr>
                  </w:pPr>
                </w:p>
              </w:tc>
              <w:tc>
                <w:tcPr>
                  <w:tcW w:w="2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渣仓</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新建1座渣仓；单座灰库直径4m,容积200m³,可容纳50h底渣量；</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未建</w:t>
                  </w:r>
                </w:p>
              </w:tc>
            </w:tr>
            <w:tr>
              <w:tblPrEx>
                <w:tblCellMar>
                  <w:top w:w="0" w:type="dxa"/>
                  <w:left w:w="108" w:type="dxa"/>
                  <w:bottom w:w="0" w:type="dxa"/>
                  <w:right w:w="108" w:type="dxa"/>
                </w:tblCellMar>
              </w:tblPrEx>
              <w:trPr>
                <w:trHeight w:val="610" w:hRule="atLeast"/>
                <w:jc w:val="center"/>
              </w:trPr>
              <w:tc>
                <w:tcPr>
                  <w:tcW w:w="424"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2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脱硫渣仓</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新建1座脱硫废渣储库，容积150m³,可容纳7d脱硫废渣量；</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未建</w:t>
                  </w:r>
                </w:p>
              </w:tc>
            </w:tr>
            <w:tr>
              <w:tblPrEx>
                <w:tblCellMar>
                  <w:top w:w="0" w:type="dxa"/>
                  <w:left w:w="108" w:type="dxa"/>
                  <w:bottom w:w="0" w:type="dxa"/>
                  <w:right w:w="108" w:type="dxa"/>
                </w:tblCellMar>
              </w:tblPrEx>
              <w:trPr>
                <w:trHeight w:val="720" w:hRule="atLeast"/>
                <w:jc w:val="center"/>
              </w:trPr>
              <w:tc>
                <w:tcPr>
                  <w:tcW w:w="424"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color w:val="FF0000"/>
                      <w:sz w:val="21"/>
                      <w:szCs w:val="21"/>
                    </w:rPr>
                  </w:pPr>
                </w:p>
              </w:tc>
              <w:tc>
                <w:tcPr>
                  <w:tcW w:w="2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eastAsia="宋体" w:cs="宋体"/>
                      <w:color w:val="FF0000"/>
                      <w:sz w:val="21"/>
                      <w:szCs w:val="21"/>
                    </w:rPr>
                  </w:pPr>
                </w:p>
              </w:tc>
              <w:tc>
                <w:tcPr>
                  <w:tcW w:w="4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危废暂存库</w:t>
                  </w:r>
                </w:p>
              </w:tc>
              <w:tc>
                <w:tcPr>
                  <w:tcW w:w="19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依托特种环保溶剂油项目20m²,最大暂存量为</w:t>
                  </w:r>
                  <w:r>
                    <w:rPr>
                      <w:rStyle w:val="108"/>
                      <w:rFonts w:hint="eastAsia"/>
                      <w:color w:val="FF0000"/>
                      <w:sz w:val="21"/>
                      <w:szCs w:val="21"/>
                      <w:lang w:val="en-US" w:eastAsia="zh-CN" w:bidi="ar"/>
                    </w:rPr>
                    <w:t>1</w:t>
                  </w:r>
                  <w:r>
                    <w:rPr>
                      <w:rStyle w:val="108"/>
                      <w:rFonts w:hint="eastAsia" w:eastAsia="宋体"/>
                      <w:color w:val="FF0000"/>
                      <w:sz w:val="21"/>
                      <w:szCs w:val="21"/>
                      <w:lang w:val="en-US" w:eastAsia="zh-CN" w:bidi="ar"/>
                    </w:rPr>
                    <w:t>0t的危废临时存放库。</w:t>
                  </w:r>
                </w:p>
              </w:tc>
              <w:tc>
                <w:tcPr>
                  <w:tcW w:w="18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default" w:eastAsia="宋体"/>
                      <w:color w:val="FF0000"/>
                      <w:sz w:val="21"/>
                      <w:szCs w:val="21"/>
                      <w:lang w:val="en-US" w:eastAsia="zh-CN" w:bidi="ar"/>
                    </w:rPr>
                  </w:pPr>
                  <w:r>
                    <w:rPr>
                      <w:rStyle w:val="108"/>
                      <w:rFonts w:hint="eastAsia"/>
                      <w:color w:val="FF0000"/>
                      <w:sz w:val="21"/>
                      <w:szCs w:val="21"/>
                      <w:lang w:val="en-US" w:eastAsia="zh-CN" w:bidi="ar"/>
                    </w:rPr>
                    <w:t>危废库实际面积34㎡。</w:t>
                  </w:r>
                </w:p>
              </w:tc>
            </w:tr>
            <w:tr>
              <w:tblPrEx>
                <w:tblCellMar>
                  <w:top w:w="0" w:type="dxa"/>
                  <w:left w:w="108" w:type="dxa"/>
                  <w:bottom w:w="0" w:type="dxa"/>
                  <w:right w:w="108" w:type="dxa"/>
                </w:tblCellMar>
              </w:tblPrEx>
              <w:trPr>
                <w:trHeight w:val="345" w:hRule="atLeast"/>
                <w:jc w:val="center"/>
              </w:trPr>
              <w:tc>
                <w:tcPr>
                  <w:tcW w:w="424" w:type="pct"/>
                  <w:vMerge w:val="continue"/>
                  <w:tcBorders>
                    <w:left w:val="single" w:color="000000" w:sz="4" w:space="0"/>
                    <w:bottom w:val="single" w:color="000000" w:sz="4" w:space="0"/>
                    <w:right w:val="single" w:color="000000" w:sz="4" w:space="0"/>
                  </w:tcBorders>
                  <w:shd w:val="clear" w:color="auto" w:fill="auto"/>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Arial" w:hAnsi="Arial" w:cs="Arial"/>
                      <w:color w:val="FF0000"/>
                      <w:sz w:val="21"/>
                      <w:szCs w:val="21"/>
                    </w:rPr>
                  </w:pPr>
                </w:p>
              </w:tc>
              <w:tc>
                <w:tcPr>
                  <w:tcW w:w="72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其它</w:t>
                  </w:r>
                </w:p>
              </w:tc>
              <w:tc>
                <w:tcPr>
                  <w:tcW w:w="1949" w:type="pct"/>
                  <w:tcBorders>
                    <w:top w:val="single" w:color="000000" w:sz="4" w:space="0"/>
                    <w:left w:val="single" w:color="000000" w:sz="4" w:space="0"/>
                    <w:bottom w:val="single" w:color="000000" w:sz="4" w:space="0"/>
                    <w:right w:val="single" w:color="000000" w:sz="4" w:space="0"/>
                  </w:tcBorders>
                  <w:shd w:val="clear" w:color="auto" w:fill="auto"/>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eastAsia" w:eastAsia="宋体"/>
                      <w:color w:val="FF0000"/>
                      <w:sz w:val="21"/>
                      <w:szCs w:val="21"/>
                      <w:lang w:val="en-US" w:eastAsia="zh-CN" w:bidi="ar"/>
                    </w:rPr>
                  </w:pPr>
                  <w:r>
                    <w:rPr>
                      <w:rStyle w:val="108"/>
                      <w:rFonts w:hint="eastAsia" w:eastAsia="宋体"/>
                      <w:color w:val="FF0000"/>
                      <w:sz w:val="21"/>
                      <w:szCs w:val="21"/>
                      <w:lang w:val="en-US" w:eastAsia="zh-CN" w:bidi="ar"/>
                    </w:rPr>
                    <w:t>事故池依托特种环保溶剂油项目3500m³消防水收集池1座、新建3000m³事故水罐</w:t>
                  </w:r>
                </w:p>
              </w:tc>
              <w:tc>
                <w:tcPr>
                  <w:tcW w:w="1896" w:type="pct"/>
                  <w:tcBorders>
                    <w:top w:val="single" w:color="000000" w:sz="4" w:space="0"/>
                    <w:left w:val="single" w:color="000000" w:sz="4" w:space="0"/>
                    <w:bottom w:val="single" w:color="000000" w:sz="4" w:space="0"/>
                    <w:right w:val="single" w:color="000000" w:sz="4" w:space="0"/>
                  </w:tcBorders>
                  <w:shd w:val="clear" w:color="auto" w:fill="auto"/>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Style w:val="108"/>
                      <w:rFonts w:hint="default" w:eastAsia="宋体"/>
                      <w:color w:val="FF0000"/>
                      <w:sz w:val="21"/>
                      <w:szCs w:val="21"/>
                      <w:lang w:val="en-US" w:eastAsia="zh-CN" w:bidi="ar"/>
                    </w:rPr>
                  </w:pPr>
                  <w:r>
                    <w:rPr>
                      <w:rStyle w:val="108"/>
                      <w:rFonts w:hint="eastAsia" w:eastAsia="宋体"/>
                      <w:color w:val="FF0000"/>
                      <w:sz w:val="21"/>
                      <w:szCs w:val="21"/>
                      <w:lang w:val="en-US" w:eastAsia="zh-CN" w:bidi="ar"/>
                    </w:rPr>
                    <w:t>3500m³消防水收集池1座未建；3000m³事故水罐已建</w:t>
                  </w:r>
                  <w:r>
                    <w:rPr>
                      <w:rStyle w:val="108"/>
                      <w:rFonts w:hint="eastAsia"/>
                      <w:color w:val="FF0000"/>
                      <w:sz w:val="21"/>
                      <w:szCs w:val="21"/>
                      <w:lang w:val="en-US" w:eastAsia="zh-CN" w:bidi="ar"/>
                    </w:rPr>
                    <w:t>成</w:t>
                  </w:r>
                </w:p>
              </w:tc>
            </w:tr>
          </w:tbl>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改建前后建设</w:t>
            </w:r>
            <w:commentRangeStart w:id="20"/>
            <w:commentRangeStart w:id="21"/>
            <w:r>
              <w:commentReference w:id="20"/>
            </w:r>
            <w:commentRangeEnd w:id="20"/>
            <w:commentRangeEnd w:id="21"/>
            <w:r>
              <w:commentReference w:id="21"/>
            </w:r>
            <w:r>
              <w:rPr>
                <w:rFonts w:hint="eastAsia"/>
                <w:color w:val="000000" w:themeColor="text1"/>
                <w:highlight w:val="none"/>
                <w:lang w:val="en-US" w:eastAsia="zh-CN"/>
                <w14:textFill>
                  <w14:solidFill>
                    <w14:schemeClr w14:val="tx1"/>
                  </w14:solidFill>
                </w14:textFill>
              </w:rPr>
              <w:t>情况见下表。</w:t>
            </w:r>
          </w:p>
          <w:p>
            <w:pPr>
              <w:bidi w:val="0"/>
              <w:ind w:left="0" w:leftChars="0" w:firstLine="0" w:firstLineChars="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表2-</w:t>
            </w:r>
            <w:r>
              <w:rPr>
                <w:rFonts w:hint="eastAsia" w:cs="Times New Roman"/>
                <w:b/>
                <w:bCs/>
                <w:color w:val="000000" w:themeColor="text1"/>
                <w:sz w:val="21"/>
                <w:szCs w:val="21"/>
                <w:highlight w:val="none"/>
                <w:lang w:val="en-US" w:eastAsia="zh-CN"/>
                <w14:textFill>
                  <w14:solidFill>
                    <w14:schemeClr w14:val="tx1"/>
                  </w14:solidFill>
                </w14:textFill>
              </w:rPr>
              <w:t>2 改扩建前后</w:t>
            </w: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主要建设内容</w:t>
            </w:r>
            <w:r>
              <w:rPr>
                <w:rFonts w:hint="eastAsia" w:cs="Times New Roman"/>
                <w:b/>
                <w:bCs/>
                <w:color w:val="000000" w:themeColor="text1"/>
                <w:sz w:val="21"/>
                <w:szCs w:val="21"/>
                <w:highlight w:val="none"/>
                <w:lang w:val="en-US" w:eastAsia="zh-CN"/>
                <w14:textFill>
                  <w14:solidFill>
                    <w14:schemeClr w14:val="tx1"/>
                  </w14:solidFill>
                </w14:textFill>
              </w:rPr>
              <w:t>一览表</w:t>
            </w:r>
          </w:p>
          <w:tbl>
            <w:tblPr>
              <w:tblStyle w:val="27"/>
              <w:tblW w:w="81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8"/>
              <w:gridCol w:w="831"/>
              <w:gridCol w:w="3110"/>
              <w:gridCol w:w="2394"/>
              <w:gridCol w:w="1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blHeader/>
                <w:jc w:val="center"/>
              </w:trPr>
              <w:tc>
                <w:tcPr>
                  <w:tcW w:w="5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工程类别</w:t>
                  </w: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主要</w:t>
                  </w:r>
                  <w:r>
                    <w:rPr>
                      <w:b/>
                      <w:bCs/>
                      <w:color w:val="000000" w:themeColor="text1"/>
                      <w:sz w:val="21"/>
                      <w:szCs w:val="21"/>
                      <w:highlight w:val="none"/>
                      <w14:textFill>
                        <w14:solidFill>
                          <w14:schemeClr w14:val="tx1"/>
                        </w14:solidFill>
                      </w14:textFill>
                    </w:rPr>
                    <w:t>内容</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b/>
                      <w:bCs/>
                      <w:color w:val="FF0000"/>
                      <w:sz w:val="21"/>
                      <w:szCs w:val="21"/>
                      <w:highlight w:val="none"/>
                      <w:lang w:val="en-US" w:eastAsia="zh-CN"/>
                    </w:rPr>
                  </w:pPr>
                  <w:r>
                    <w:rPr>
                      <w:rFonts w:hint="eastAsia"/>
                      <w:b/>
                      <w:bCs/>
                      <w:color w:val="FF0000"/>
                      <w:sz w:val="21"/>
                      <w:szCs w:val="21"/>
                      <w:highlight w:val="none"/>
                      <w:lang w:val="en-US" w:eastAsia="zh-CN"/>
                    </w:rPr>
                    <w:t>改建前</w:t>
                  </w:r>
                  <w:r>
                    <w:rPr>
                      <w:color w:val="FF0000"/>
                    </w:rPr>
                    <w:commentReference w:id="22"/>
                  </w:r>
                  <w:r>
                    <w:rPr>
                      <w:rFonts w:hint="eastAsia"/>
                      <w:b/>
                      <w:bCs/>
                      <w:color w:val="FF0000"/>
                      <w:sz w:val="21"/>
                      <w:szCs w:val="21"/>
                      <w:highlight w:val="none"/>
                      <w:lang w:val="en-US" w:eastAsia="zh-CN"/>
                    </w:rPr>
                    <w:t>实际建设内容</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
                      <w:bCs/>
                      <w:color w:val="FF0000"/>
                      <w:sz w:val="21"/>
                      <w:szCs w:val="21"/>
                      <w:highlight w:val="none"/>
                      <w:lang w:eastAsia="zh-CN"/>
                    </w:rPr>
                  </w:pPr>
                  <w:r>
                    <w:rPr>
                      <w:rFonts w:hint="eastAsia"/>
                      <w:b/>
                      <w:bCs/>
                      <w:color w:val="FF0000"/>
                      <w:sz w:val="21"/>
                      <w:szCs w:val="21"/>
                      <w:highlight w:val="none"/>
                      <w:lang w:val="en-US" w:eastAsia="zh-CN"/>
                    </w:rPr>
                    <w:t>改建后</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
                      <w:bCs/>
                      <w:color w:val="000000" w:themeColor="text1"/>
                      <w:sz w:val="21"/>
                      <w:szCs w:val="21"/>
                      <w:highlight w:val="none"/>
                      <w:lang w:eastAsia="zh-CN"/>
                      <w14:textFill>
                        <w14:solidFill>
                          <w14:schemeClr w14:val="tx1"/>
                        </w14:solidFill>
                      </w14:textFill>
                    </w:rPr>
                  </w:pPr>
                  <w:r>
                    <w:commentReference w:id="23"/>
                  </w:r>
                  <w:r>
                    <w:rPr>
                      <w:rFonts w:hint="eastAsia"/>
                      <w:b/>
                      <w:bCs/>
                      <w:color w:val="FF0000"/>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9" w:hRule="atLeast"/>
                <w:jc w:val="center"/>
              </w:trPr>
              <w:tc>
                <w:tcPr>
                  <w:tcW w:w="538"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主体工程</w:t>
                  </w:r>
                  <w:r>
                    <w:commentReference w:id="24"/>
                  </w: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抽提装置</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占地面积3280㎡，规模为30万吨/年，主要设备包括脱C8塔、脱C8塔回流罐、C9+馏分白土塔、脱C9塔、脱C9塔回流罐、水汽提塔、溶剂再生塔、抽提塔、抽余油水洗塔、汽提塔、汽提塔顶罐、回收塔、回收塔回流罐、混合芳烃白土塔、苯塔、苯塔回流罐、甲苯塔、甲苯塔回流罐、二甲苯塔、二甲苯塔回流罐。目前为闲置状态，不再运行。</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不再使用</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commentReference w:id="25"/>
                  </w:r>
                  <w:r>
                    <w:rPr>
                      <w:rFonts w:hint="eastAsia"/>
                      <w:color w:val="FF0000"/>
                      <w:sz w:val="21"/>
                      <w:szCs w:val="21"/>
                      <w:highlight w:val="none"/>
                      <w:lang w:val="en-US" w:eastAsia="zh-CN"/>
                    </w:rPr>
                    <w:t>保留，后续改建再利用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罐区一</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占地面积3564㎡，设2000m³储罐3个、1000m³储罐2个、500m³储罐2个，罐区</w:t>
                  </w:r>
                  <w:r>
                    <w:rPr>
                      <w:rFonts w:hint="eastAsia" w:cs="Times New Roman"/>
                      <w:color w:val="000000" w:themeColor="text1"/>
                      <w:sz w:val="21"/>
                      <w:lang w:val="en-US" w:eastAsia="zh-CN"/>
                      <w14:textFill>
                        <w14:solidFill>
                          <w14:schemeClr w14:val="tx1"/>
                        </w14:solidFill>
                      </w14:textFill>
                    </w:rPr>
                    <w:t>2mm</w:t>
                  </w:r>
                  <w:r>
                    <w:rPr>
                      <w:rFonts w:hint="default" w:ascii="Times New Roman" w:hAnsi="Times New Roman" w:eastAsia="宋体" w:cs="Times New Roman"/>
                      <w:color w:val="000000" w:themeColor="text1"/>
                      <w:sz w:val="21"/>
                      <w:lang w:val="en-US" w:eastAsia="zh-CN"/>
                      <w14:textFill>
                        <w14:solidFill>
                          <w14:schemeClr w14:val="tx1"/>
                        </w14:solidFill>
                      </w14:textFill>
                    </w:rPr>
                    <w:t>HDPE土工膜</w:t>
                  </w:r>
                  <w:r>
                    <w:rPr>
                      <w:rFonts w:hint="eastAsia" w:cs="Times New Roman"/>
                      <w:color w:val="000000" w:themeColor="text1"/>
                      <w:sz w:val="21"/>
                      <w:lang w:val="en-US" w:eastAsia="zh-CN"/>
                      <w14:textFill>
                        <w14:solidFill>
                          <w14:schemeClr w14:val="tx1"/>
                        </w14:solidFill>
                      </w14:textFill>
                    </w:rPr>
                    <w:t>+10cm沙土+20cm厚</w:t>
                  </w:r>
                  <w:r>
                    <w:rPr>
                      <w:rFonts w:hint="default" w:ascii="Times New Roman" w:hAnsi="Times New Roman" w:eastAsia="宋体" w:cs="Times New Roman"/>
                      <w:color w:val="000000" w:themeColor="text1"/>
                      <w:sz w:val="21"/>
                      <w:lang w:val="en-US" w:eastAsia="zh-CN"/>
                      <w14:textFill>
                        <w14:solidFill>
                          <w14:schemeClr w14:val="tx1"/>
                        </w14:solidFill>
                      </w14:textFill>
                    </w:rPr>
                    <w:t>C30混凝土作为保护层，等效渗透系数&lt;10</w:t>
                  </w:r>
                  <w:r>
                    <w:rPr>
                      <w:rFonts w:hint="default" w:ascii="Times New Roman" w:hAnsi="Times New Roman" w:eastAsia="宋体" w:cs="Times New Roman"/>
                      <w:color w:val="000000" w:themeColor="text1"/>
                      <w:sz w:val="21"/>
                      <w:vertAlign w:val="superscript"/>
                      <w:lang w:val="en-US" w:eastAsia="zh-CN"/>
                      <w14:textFill>
                        <w14:solidFill>
                          <w14:schemeClr w14:val="tx1"/>
                        </w14:solidFill>
                      </w14:textFill>
                    </w:rPr>
                    <w:t>-10</w:t>
                  </w:r>
                  <w:r>
                    <w:rPr>
                      <w:rFonts w:hint="default" w:ascii="Times New Roman" w:hAnsi="Times New Roman" w:eastAsia="宋体" w:cs="Times New Roman"/>
                      <w:color w:val="000000" w:themeColor="text1"/>
                      <w:sz w:val="21"/>
                      <w:lang w:val="en-US" w:eastAsia="zh-CN"/>
                      <w14:textFill>
                        <w14:solidFill>
                          <w14:schemeClr w14:val="tx1"/>
                        </w14:solidFill>
                      </w14:textFill>
                    </w:rPr>
                    <w:t>cm/s。</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对储罐内部增设加热盘管，用于柴油调和、储存，具体储存介质详见设备一览表。</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利用原有罐区，对储罐进行改造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罐区二</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占地面积3890㎡，设2000m³储罐6个。罐区采用</w:t>
                  </w:r>
                  <w:r>
                    <w:rPr>
                      <w:rFonts w:hint="eastAsia" w:cs="Times New Roman"/>
                      <w:color w:val="000000" w:themeColor="text1"/>
                      <w:sz w:val="21"/>
                      <w:lang w:val="en-US" w:eastAsia="zh-CN"/>
                      <w14:textFill>
                        <w14:solidFill>
                          <w14:schemeClr w14:val="tx1"/>
                        </w14:solidFill>
                      </w14:textFill>
                    </w:rPr>
                    <w:t>2mm</w:t>
                  </w:r>
                  <w:r>
                    <w:rPr>
                      <w:rFonts w:hint="default" w:ascii="Times New Roman" w:hAnsi="Times New Roman" w:eastAsia="宋体" w:cs="Times New Roman"/>
                      <w:color w:val="000000" w:themeColor="text1"/>
                      <w:sz w:val="21"/>
                      <w:lang w:val="en-US" w:eastAsia="zh-CN"/>
                      <w14:textFill>
                        <w14:solidFill>
                          <w14:schemeClr w14:val="tx1"/>
                        </w14:solidFill>
                      </w14:textFill>
                    </w:rPr>
                    <w:t>HDPE土工膜</w:t>
                  </w:r>
                  <w:r>
                    <w:rPr>
                      <w:rFonts w:hint="eastAsia" w:cs="Times New Roman"/>
                      <w:color w:val="000000" w:themeColor="text1"/>
                      <w:sz w:val="21"/>
                      <w:lang w:val="en-US" w:eastAsia="zh-CN"/>
                      <w14:textFill>
                        <w14:solidFill>
                          <w14:schemeClr w14:val="tx1"/>
                        </w14:solidFill>
                      </w14:textFill>
                    </w:rPr>
                    <w:t>+10cm沙土+20cm厚</w:t>
                  </w:r>
                  <w:r>
                    <w:rPr>
                      <w:rFonts w:hint="default" w:ascii="Times New Roman" w:hAnsi="Times New Roman" w:eastAsia="宋体" w:cs="Times New Roman"/>
                      <w:color w:val="000000" w:themeColor="text1"/>
                      <w:sz w:val="21"/>
                      <w:lang w:val="en-US" w:eastAsia="zh-CN"/>
                      <w14:textFill>
                        <w14:solidFill>
                          <w14:schemeClr w14:val="tx1"/>
                        </w14:solidFill>
                      </w14:textFill>
                    </w:rPr>
                    <w:t>C30混凝土作为保护层，等效渗透系数&lt;10</w:t>
                  </w:r>
                  <w:r>
                    <w:rPr>
                      <w:rFonts w:hint="default" w:ascii="Times New Roman" w:hAnsi="Times New Roman" w:eastAsia="宋体" w:cs="Times New Roman"/>
                      <w:color w:val="000000" w:themeColor="text1"/>
                      <w:sz w:val="21"/>
                      <w:vertAlign w:val="superscript"/>
                      <w:lang w:val="en-US" w:eastAsia="zh-CN"/>
                      <w14:textFill>
                        <w14:solidFill>
                          <w14:schemeClr w14:val="tx1"/>
                        </w14:solidFill>
                      </w14:textFill>
                    </w:rPr>
                    <w:t>-10</w:t>
                  </w:r>
                  <w:r>
                    <w:rPr>
                      <w:rFonts w:hint="default" w:ascii="Times New Roman" w:hAnsi="Times New Roman" w:eastAsia="宋体" w:cs="Times New Roman"/>
                      <w:color w:val="000000" w:themeColor="text1"/>
                      <w:sz w:val="21"/>
                      <w:lang w:val="en-US" w:eastAsia="zh-CN"/>
                      <w14:textFill>
                        <w14:solidFill>
                          <w14:schemeClr w14:val="tx1"/>
                        </w14:solidFill>
                      </w14:textFill>
                    </w:rPr>
                    <w:t>cm/s</w:t>
                  </w:r>
                  <w:r>
                    <w:rPr>
                      <w:rFonts w:hint="eastAsia" w:ascii="Times New Roman" w:hAnsi="Times New Roman" w:eastAsia="宋体" w:cs="Times New Roman"/>
                      <w:color w:val="000000" w:themeColor="text1"/>
                      <w:sz w:val="21"/>
                      <w:lang w:val="en-US" w:eastAsia="zh-CN"/>
                      <w14:textFill>
                        <w14:solidFill>
                          <w14:schemeClr w14:val="tx1"/>
                        </w14:solidFill>
                      </w14:textFill>
                    </w:rPr>
                    <w:t>。</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对储罐内部增设加热盘管，用于柴油调和、储存，具体储存介质详见设备一览表。</w:t>
                  </w:r>
                </w:p>
              </w:tc>
              <w:tc>
                <w:tcPr>
                  <w:tcW w:w="1324" w:type="dxa"/>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利用原有罐区，对储罐进行改造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卸车区</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占地面积4120㎡，装车鹤位8个，卸车位3个</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新增卸车鹤管、装车鹤管、卸车泵、输送泵、调和泵等，用于输送、卸车、装车。</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利旧场地，新上设备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FF0000"/>
                      <w:sz w:val="21"/>
                      <w:szCs w:val="21"/>
                      <w:highlight w:val="none"/>
                      <w:lang w:val="en-US" w:eastAsia="zh-CN"/>
                    </w:rPr>
                  </w:pPr>
                  <w:r>
                    <w:rPr>
                      <w:rFonts w:hint="eastAsia"/>
                      <w:color w:val="FF0000"/>
                      <w:sz w:val="21"/>
                      <w:szCs w:val="21"/>
                      <w:highlight w:val="none"/>
                      <w:lang w:val="en-US" w:eastAsia="zh-CN"/>
                    </w:rPr>
                    <w:t>输送管道</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FF0000"/>
                      <w:sz w:val="21"/>
                      <w:szCs w:val="21"/>
                      <w:highlight w:val="none"/>
                      <w:lang w:val="en-US" w:eastAsia="zh-CN"/>
                    </w:rPr>
                  </w:pPr>
                  <w:r>
                    <w:rPr>
                      <w:rFonts w:hint="eastAsia"/>
                      <w:color w:val="FF0000"/>
                      <w:sz w:val="21"/>
                      <w:szCs w:val="21"/>
                      <w:highlight w:val="none"/>
                      <w:lang w:val="en-US" w:eastAsia="zh-CN"/>
                    </w:rPr>
                    <w:t>装卸区到罐区的管道工程部分已建成</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FF0000"/>
                      <w:sz w:val="21"/>
                      <w:szCs w:val="21"/>
                      <w:highlight w:val="none"/>
                      <w:lang w:val="en-US" w:eastAsia="zh-CN"/>
                    </w:rPr>
                  </w:pPr>
                  <w:r>
                    <w:rPr>
                      <w:rFonts w:hint="eastAsia"/>
                      <w:color w:val="FF0000"/>
                      <w:sz w:val="21"/>
                      <w:szCs w:val="21"/>
                      <w:highlight w:val="none"/>
                      <w:lang w:val="en-US" w:eastAsia="zh-CN"/>
                    </w:rPr>
                    <w:t>新增少量管道</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FF0000"/>
                      <w:sz w:val="21"/>
                      <w:szCs w:val="21"/>
                      <w:highlight w:val="none"/>
                      <w:lang w:val="en-US" w:eastAsia="zh-CN"/>
                    </w:rPr>
                  </w:pPr>
                  <w:r>
                    <w:rPr>
                      <w:rFonts w:hint="eastAsia"/>
                      <w:color w:val="FF0000"/>
                      <w:sz w:val="21"/>
                      <w:szCs w:val="21"/>
                      <w:highlight w:val="none"/>
                      <w:lang w:val="en-US" w:eastAsia="zh-CN"/>
                    </w:rPr>
                    <w:t>利旧，增设部分管道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38"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辅助工程</w:t>
                  </w: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生活办公区</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建筑面积300㎡，用于日常的职工生活办公使用。</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不变</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危险废物暂存库</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建筑面积34㎡，</w:t>
                  </w:r>
                  <w:r>
                    <w:rPr>
                      <w:rFonts w:hint="default" w:ascii="Times New Roman" w:hAnsi="Times New Roman" w:eastAsia="宋体" w:cs="Times New Roman"/>
                      <w:color w:val="000000" w:themeColor="text1"/>
                      <w:sz w:val="21"/>
                      <w14:textFill>
                        <w14:solidFill>
                          <w14:schemeClr w14:val="tx1"/>
                        </w14:solidFill>
                      </w14:textFill>
                    </w:rPr>
                    <w:t>防渗层设计等效黏土防渗层Mb≥6.0m，K≤10</w:t>
                  </w:r>
                  <w:r>
                    <w:rPr>
                      <w:rFonts w:hint="default" w:ascii="Times New Roman" w:hAnsi="Times New Roman" w:eastAsia="宋体" w:cs="Times New Roman"/>
                      <w:color w:val="000000" w:themeColor="text1"/>
                      <w:sz w:val="21"/>
                      <w:vertAlign w:val="superscript"/>
                      <w14:textFill>
                        <w14:solidFill>
                          <w14:schemeClr w14:val="tx1"/>
                        </w14:solidFill>
                      </w14:textFill>
                    </w:rPr>
                    <w:t>-10</w:t>
                  </w:r>
                  <w:r>
                    <w:rPr>
                      <w:rFonts w:hint="default" w:ascii="Times New Roman" w:hAnsi="Times New Roman" w:eastAsia="宋体" w:cs="Times New Roman"/>
                      <w:color w:val="000000" w:themeColor="text1"/>
                      <w:sz w:val="21"/>
                      <w14:textFill>
                        <w14:solidFill>
                          <w14:schemeClr w14:val="tx1"/>
                        </w14:solidFill>
                      </w14:textFill>
                    </w:rPr>
                    <w:t>cm/s</w:t>
                  </w:r>
                  <w:r>
                    <w:rPr>
                      <w:rFonts w:hint="eastAsia"/>
                      <w:color w:val="000000" w:themeColor="text1"/>
                      <w:sz w:val="21"/>
                      <w:szCs w:val="21"/>
                      <w:highlight w:val="none"/>
                      <w:lang w:val="en-US" w:eastAsia="zh-CN"/>
                      <w14:textFill>
                        <w14:solidFill>
                          <w14:schemeClr w14:val="tx1"/>
                        </w14:solidFill>
                      </w14:textFill>
                    </w:rPr>
                    <w:t>。</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利旧</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初期雨水池</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1000m³初期雨水池1座。采用</w:t>
                  </w:r>
                  <w:r>
                    <w:rPr>
                      <w:rFonts w:hint="default" w:ascii="Times New Roman" w:hAnsi="Times New Roman" w:eastAsia="宋体" w:cs="Times New Roman"/>
                      <w:color w:val="000000" w:themeColor="text1"/>
                      <w:sz w:val="21"/>
                      <w14:textFill>
                        <w14:solidFill>
                          <w14:schemeClr w14:val="tx1"/>
                        </w14:solidFill>
                      </w14:textFill>
                    </w:rPr>
                    <w:t>C20抗渗混凝土作为保护层，厚度为15cm，满足等效1.5m黏土渗透系数K≤1.0×10</w:t>
                  </w:r>
                  <w:r>
                    <w:rPr>
                      <w:rFonts w:hint="default" w:ascii="Times New Roman" w:hAnsi="Times New Roman" w:eastAsia="宋体" w:cs="Times New Roman"/>
                      <w:color w:val="000000" w:themeColor="text1"/>
                      <w:sz w:val="21"/>
                      <w:vertAlign w:val="superscript"/>
                      <w14:textFill>
                        <w14:solidFill>
                          <w14:schemeClr w14:val="tx1"/>
                        </w14:solidFill>
                      </w14:textFill>
                    </w:rPr>
                    <w:t>-7</w:t>
                  </w:r>
                  <w:r>
                    <w:rPr>
                      <w:rFonts w:hint="default" w:ascii="Times New Roman" w:hAnsi="Times New Roman" w:eastAsia="宋体" w:cs="Times New Roman"/>
                      <w:color w:val="000000" w:themeColor="text1"/>
                      <w:sz w:val="21"/>
                      <w14:textFill>
                        <w14:solidFill>
                          <w14:schemeClr w14:val="tx1"/>
                        </w14:solidFill>
                      </w14:textFill>
                    </w:rPr>
                    <w:t>cm/s。</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不变</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538"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公用工程</w:t>
                  </w: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供电</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采用园区供电系统进行统一供电。</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不变</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供水</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由市政供水管网进行提供。</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FF0000"/>
                      <w:sz w:val="21"/>
                      <w:szCs w:val="21"/>
                      <w:highlight w:val="none"/>
                      <w:lang w:val="en-US" w:eastAsia="zh-CN"/>
                    </w:rPr>
                  </w:pPr>
                  <w:r>
                    <w:rPr>
                      <w:rFonts w:hint="eastAsia"/>
                      <w:color w:val="FF0000"/>
                      <w:sz w:val="21"/>
                      <w:szCs w:val="21"/>
                      <w:highlight w:val="none"/>
                      <w:lang w:val="en-US" w:eastAsia="zh-CN"/>
                    </w:rPr>
                    <w:t>生活用水由市政供水管网进行提供，生产用水由鄂尔多斯市圣圆水务集团有限责任公司疏干水提供。</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FF0000"/>
                      <w:sz w:val="21"/>
                      <w:szCs w:val="21"/>
                      <w:highlight w:val="none"/>
                    </w:rPr>
                  </w:pPr>
                  <w:r>
                    <w:rPr>
                      <w:rFonts w:hint="eastAsia"/>
                      <w:color w:val="FF0000"/>
                      <w:sz w:val="21"/>
                      <w:szCs w:val="21"/>
                      <w:highlight w:val="none"/>
                    </w:rPr>
                    <w:t>生产用水由鄂尔多斯市圣圆水务集团有限责任公司疏干水提供。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排水</w:t>
                  </w:r>
                </w:p>
              </w:tc>
              <w:tc>
                <w:tcPr>
                  <w:tcW w:w="3110" w:type="dxa"/>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雨污分流，生活污水经化粪池处理，与生产废水经厂区原有污水处理站处理后回用于生产。</w:t>
                  </w:r>
                </w:p>
              </w:tc>
              <w:tc>
                <w:tcPr>
                  <w:tcW w:w="2394" w:type="dxa"/>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雨污分流，生活污水、生产废水处理后不外排。</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供</w:t>
                  </w:r>
                  <w:r>
                    <w:rPr>
                      <w:rFonts w:hint="eastAsia"/>
                      <w:color w:val="000000" w:themeColor="text1"/>
                      <w:sz w:val="21"/>
                      <w:szCs w:val="21"/>
                      <w:highlight w:val="none"/>
                      <w:lang w:val="en-US" w:eastAsia="zh-CN"/>
                      <w14:textFill>
                        <w14:solidFill>
                          <w14:schemeClr w14:val="tx1"/>
                        </w14:solidFill>
                      </w14:textFill>
                    </w:rPr>
                    <w:t>热</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厂区蒸汽依托园区供热管网，供热能力15t/h</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生活办公区供暖采用市政集中供暖</w:t>
                  </w:r>
                  <w:r>
                    <w:rPr>
                      <w:rFonts w:hint="eastAsia" w:cs="Times New Roman"/>
                      <w:color w:val="000000" w:themeColor="text1"/>
                      <w:sz w:val="21"/>
                      <w:szCs w:val="21"/>
                      <w:highlight w:val="none"/>
                      <w:lang w:eastAsia="zh-CN"/>
                      <w14:textFill>
                        <w14:solidFill>
                          <w14:schemeClr w14:val="tx1"/>
                        </w14:solidFill>
                      </w14:textFill>
                    </w:rPr>
                    <w:t>。</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u w:val="singl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本项目厂区蒸汽依托园区供热管网，供热能力15t/h，本项目</w:t>
                  </w:r>
                  <w:r>
                    <w:rPr>
                      <w:rFonts w:hint="eastAsia" w:cs="Times New Roman"/>
                      <w:color w:val="000000" w:themeColor="text1"/>
                      <w:sz w:val="21"/>
                      <w:szCs w:val="21"/>
                      <w:highlight w:val="none"/>
                      <w:lang w:val="en-US" w:eastAsia="zh-CN"/>
                      <w14:textFill>
                        <w14:solidFill>
                          <w14:schemeClr w14:val="tx1"/>
                        </w14:solidFill>
                      </w14:textFill>
                    </w:rPr>
                    <w:t>储罐</w:t>
                  </w:r>
                  <w:r>
                    <w:rPr>
                      <w:rFonts w:hint="eastAsia" w:ascii="Times New Roman" w:hAnsi="Times New Roman" w:eastAsia="宋体" w:cs="Times New Roman"/>
                      <w:color w:val="000000" w:themeColor="text1"/>
                      <w:sz w:val="21"/>
                      <w:szCs w:val="21"/>
                      <w:highlight w:val="none"/>
                      <w14:textFill>
                        <w14:solidFill>
                          <w14:schemeClr w14:val="tx1"/>
                        </w14:solidFill>
                      </w14:textFill>
                    </w:rPr>
                    <w:t>设置蒸汽</w:t>
                  </w:r>
                  <w:r>
                    <w:rPr>
                      <w:rFonts w:hint="eastAsia" w:cs="Times New Roman"/>
                      <w:color w:val="000000" w:themeColor="text1"/>
                      <w:sz w:val="21"/>
                      <w:szCs w:val="21"/>
                      <w:highlight w:val="none"/>
                      <w:lang w:val="en-US" w:eastAsia="zh-CN"/>
                      <w14:textFill>
                        <w14:solidFill>
                          <w14:schemeClr w14:val="tx1"/>
                        </w14:solidFill>
                      </w14:textFill>
                    </w:rPr>
                    <w:t>盘管</w:t>
                  </w:r>
                  <w:r>
                    <w:rPr>
                      <w:rFonts w:hint="eastAsia" w:cs="Times New Roman"/>
                      <w:color w:val="000000" w:themeColor="text1"/>
                      <w:sz w:val="21"/>
                      <w:szCs w:val="21"/>
                      <w:highlight w:val="none"/>
                      <w:lang w:eastAsia="zh-CN"/>
                      <w14:textFill>
                        <w14:solidFill>
                          <w14:schemeClr w14:val="tx1"/>
                        </w14:solidFill>
                      </w14:textFill>
                    </w:rPr>
                    <w:t>（压力0.5MPa）</w:t>
                  </w:r>
                  <w:r>
                    <w:rPr>
                      <w:rFonts w:hint="eastAsia" w:ascii="Times New Roman" w:hAnsi="Times New Roman" w:eastAsia="宋体" w:cs="Times New Roman"/>
                      <w:color w:val="000000" w:themeColor="text1"/>
                      <w:sz w:val="21"/>
                      <w:szCs w:val="21"/>
                      <w:highlight w:val="none"/>
                      <w14:textFill>
                        <w14:solidFill>
                          <w14:schemeClr w14:val="tx1"/>
                        </w14:solidFill>
                      </w14:textFill>
                    </w:rPr>
                    <w:t>加热，蒸汽用量240t/a</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生活办公区供暖采用市政集中供暖。</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jc w:val="center"/>
              </w:trPr>
              <w:tc>
                <w:tcPr>
                  <w:tcW w:w="538"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环保工程</w:t>
                  </w: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废气治理</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建设1套油气回收装置（吸/脱附+冷凝回收）</w:t>
                  </w:r>
                  <w:r>
                    <w:rPr>
                      <w:rFonts w:hint="eastAsia"/>
                      <w:color w:val="FF0000"/>
                      <w:sz w:val="21"/>
                      <w:szCs w:val="21"/>
                      <w:highlight w:val="none"/>
                      <w:lang w:val="en-US" w:eastAsia="zh-CN"/>
                    </w:rPr>
                    <w:t>，处理后的储罐呼吸废气经一根15米排气筒排放。</w:t>
                  </w:r>
                  <w:r>
                    <w:commentReference w:id="26"/>
                  </w:r>
                  <w:r>
                    <w:rPr>
                      <w:rFonts w:hint="eastAsia"/>
                      <w:color w:val="FF0000"/>
                      <w:sz w:val="21"/>
                      <w:szCs w:val="21"/>
                      <w:highlight w:val="none"/>
                      <w:lang w:val="en-US" w:eastAsia="zh-CN"/>
                    </w:rPr>
                    <w:t>目前未运行</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储罐大小呼吸</w:t>
                  </w:r>
                  <w:r>
                    <w:rPr>
                      <w:rFonts w:hint="eastAsia" w:cs="Times New Roman"/>
                      <w:color w:val="000000" w:themeColor="text1"/>
                      <w:sz w:val="21"/>
                      <w:szCs w:val="21"/>
                      <w:highlight w:val="none"/>
                      <w:lang w:val="en-US" w:eastAsia="zh-CN"/>
                      <w14:textFill>
                        <w14:solidFill>
                          <w14:schemeClr w14:val="tx1"/>
                        </w14:solidFill>
                      </w14:textFill>
                    </w:rPr>
                    <w:t>（含调和）</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油气及装卸车油气，产生</w:t>
                  </w:r>
                  <w:r>
                    <w:rPr>
                      <w:rFonts w:hint="eastAsia" w:cs="Times New Roman"/>
                      <w:color w:val="000000" w:themeColor="text1"/>
                      <w:sz w:val="21"/>
                      <w:szCs w:val="21"/>
                      <w:highlight w:val="none"/>
                      <w:lang w:val="en-US" w:eastAsia="zh-CN"/>
                      <w14:textFill>
                        <w14:solidFill>
                          <w14:schemeClr w14:val="tx1"/>
                        </w14:solidFill>
                      </w14:textFill>
                    </w:rPr>
                    <w:t>的</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油气经管道收集至</w:t>
                  </w:r>
                  <w:r>
                    <w:rPr>
                      <w:rFonts w:hint="eastAsia" w:cs="Times New Roman"/>
                      <w:color w:val="000000" w:themeColor="text1"/>
                      <w:sz w:val="21"/>
                      <w:szCs w:val="21"/>
                      <w:highlight w:val="none"/>
                      <w:lang w:val="en-US" w:eastAsia="zh-CN"/>
                      <w14:textFill>
                        <w14:solidFill>
                          <w14:schemeClr w14:val="tx1"/>
                        </w14:solidFill>
                      </w14:textFill>
                    </w:rPr>
                    <w:t>原有</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油气回收装置</w:t>
                  </w:r>
                  <w:r>
                    <w:rPr>
                      <w:rFonts w:hint="eastAsia" w:cs="Times New Roman"/>
                      <w:color w:val="FF0000"/>
                      <w:sz w:val="21"/>
                      <w:szCs w:val="21"/>
                      <w:highlight w:val="none"/>
                      <w:lang w:val="en-US" w:eastAsia="zh-CN"/>
                    </w:rPr>
                    <w:t>（吸/脱附+冷凝回收）</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commentRangeStart w:id="27"/>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处理后</w:t>
                  </w:r>
                  <w:commentRangeEnd w:id="27"/>
                  <w:r>
                    <w:commentReference w:id="27"/>
                  </w:r>
                  <w:r>
                    <w:rPr>
                      <w:rFonts w:hint="eastAsia" w:cs="Times New Roman"/>
                      <w:color w:val="000000" w:themeColor="text1"/>
                      <w:sz w:val="21"/>
                      <w:szCs w:val="21"/>
                      <w:highlight w:val="none"/>
                      <w:lang w:val="en-US" w:eastAsia="zh-CN"/>
                      <w14:textFill>
                        <w14:solidFill>
                          <w14:schemeClr w14:val="tx1"/>
                        </w14:solidFill>
                      </w14:textFill>
                    </w:rPr>
                    <w:t>经</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1根15m高的排气筒（DA001）排放。</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7"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废水治理</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生活污水经化粪池处理，与生产废水</w:t>
                  </w:r>
                  <w:r>
                    <w:rPr>
                      <w:rFonts w:hint="eastAsia"/>
                      <w:color w:val="FF0000"/>
                      <w:sz w:val="21"/>
                      <w:szCs w:val="21"/>
                      <w:highlight w:val="none"/>
                      <w:lang w:val="en-US" w:eastAsia="zh-CN"/>
                    </w:rPr>
                    <w:t>（车间地面冲洗水）</w:t>
                  </w:r>
                  <w:r>
                    <w:rPr>
                      <w:rFonts w:hint="eastAsia"/>
                      <w:color w:val="000000" w:themeColor="text1"/>
                      <w:sz w:val="21"/>
                      <w:szCs w:val="21"/>
                      <w:highlight w:val="none"/>
                      <w:lang w:val="en-US" w:eastAsia="zh-CN"/>
                      <w14:textFill>
                        <w14:solidFill>
                          <w14:schemeClr w14:val="tx1"/>
                        </w14:solidFill>
                      </w14:textFill>
                    </w:rPr>
                    <w:t>经厂区原有污水处理站</w:t>
                  </w:r>
                  <w:r>
                    <w:rPr>
                      <w:rFonts w:hint="eastAsia"/>
                      <w:color w:val="FF0000"/>
                      <w:sz w:val="21"/>
                      <w:szCs w:val="21"/>
                      <w:highlight w:val="none"/>
                      <w:lang w:val="en-US" w:eastAsia="zh-CN"/>
                    </w:rPr>
                    <w:t>（设计规模</w:t>
                  </w:r>
                  <w:r>
                    <w:commentReference w:id="28"/>
                  </w:r>
                  <w:r>
                    <w:rPr>
                      <w:rFonts w:hint="eastAsia"/>
                      <w:color w:val="FF0000"/>
                      <w:sz w:val="21"/>
                      <w:szCs w:val="21"/>
                      <w:highlight w:val="none"/>
                      <w:lang w:val="en-US" w:eastAsia="zh-CN"/>
                    </w:rPr>
                    <w:t>100m³/d，处理工艺为格栅+湿式氧化+气浮+生化+过滤）</w:t>
                  </w:r>
                  <w:r>
                    <w:rPr>
                      <w:rFonts w:hint="eastAsia"/>
                      <w:color w:val="000000" w:themeColor="text1"/>
                      <w:sz w:val="21"/>
                      <w:szCs w:val="21"/>
                      <w:highlight w:val="none"/>
                      <w:lang w:val="en-US" w:eastAsia="zh-CN"/>
                      <w14:textFill>
                        <w14:solidFill>
                          <w14:schemeClr w14:val="tx1"/>
                        </w14:solidFill>
                      </w14:textFill>
                    </w:rPr>
                    <w:t>处理后回用于生产。</w:t>
                  </w:r>
                  <w:r>
                    <w:commentReference w:id="29"/>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u w:val="single"/>
                      <w:lang w:val="en-US" w:eastAsia="zh-CN"/>
                      <w14:textFill>
                        <w14:solidFill>
                          <w14:schemeClr w14:val="tx1"/>
                        </w14:solidFill>
                      </w14:textFill>
                    </w:rPr>
                  </w:pPr>
                  <w:r>
                    <w:rPr>
                      <w:rFonts w:hint="eastAsia"/>
                      <w:color w:val="000000" w:themeColor="text1"/>
                      <w:sz w:val="21"/>
                      <w:szCs w:val="21"/>
                      <w:highlight w:val="none"/>
                      <w:u w:val="none"/>
                      <w:lang w:val="en-US" w:eastAsia="zh-CN"/>
                      <w14:textFill>
                        <w14:solidFill>
                          <w14:schemeClr w14:val="tx1"/>
                        </w14:solidFill>
                      </w14:textFill>
                    </w:rPr>
                    <w:t>生活污水经原有化粪池处理后，排入厂区原有污水处理站（100m³/d）进行处理；生产废水主要为装置区地面冲洗废水，经厂区原有污水处理站处理后，与处理后的生活污水一并排至鄂尔多斯市泰鑫煤炭有限公司洗煤综合利用，不直接排放。</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依托原有</w:t>
                  </w:r>
                  <w:r>
                    <w:commentReference w:id="30"/>
                  </w:r>
                  <w:r>
                    <w:rPr>
                      <w:rFonts w:hint="eastAsia"/>
                      <w:color w:val="000000" w:themeColor="text1"/>
                      <w:sz w:val="21"/>
                      <w:szCs w:val="21"/>
                      <w:highlight w:val="none"/>
                      <w:lang w:val="en-US" w:eastAsia="zh-CN"/>
                      <w14:textFill>
                        <w14:solidFill>
                          <w14:schemeClr w14:val="tx1"/>
                        </w14:solidFill>
                      </w14:textFill>
                    </w:rPr>
                    <w:t>，</w:t>
                  </w:r>
                  <w:r>
                    <w:rPr>
                      <w:rFonts w:hint="eastAsia"/>
                      <w:color w:val="FF0000"/>
                      <w:sz w:val="21"/>
                      <w:szCs w:val="21"/>
                      <w:highlight w:val="none"/>
                      <w:lang w:val="en-US" w:eastAsia="zh-CN"/>
                    </w:rPr>
                    <w:t>目前正常运行，用于处理周围地下水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噪声治理</w:t>
                  </w:r>
                </w:p>
              </w:tc>
              <w:tc>
                <w:tcPr>
                  <w:tcW w:w="3110" w:type="dxa"/>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采用低噪设备、减振基础、厂房隔声</w:t>
                  </w:r>
                  <w:r>
                    <w:rPr>
                      <w:rFonts w:hint="eastAsia"/>
                      <w:color w:val="000000" w:themeColor="text1"/>
                      <w:sz w:val="21"/>
                      <w:szCs w:val="21"/>
                      <w:highlight w:val="none"/>
                      <w:lang w:eastAsia="zh-CN"/>
                      <w14:textFill>
                        <w14:solidFill>
                          <w14:schemeClr w14:val="tx1"/>
                        </w14:solidFill>
                      </w14:textFill>
                    </w:rPr>
                    <w:t>。</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z w:val="21"/>
                      <w:szCs w:val="21"/>
                      <w:highlight w:val="none"/>
                      <w:lang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采用低噪设备、减振基础、厂房隔声</w:t>
                  </w:r>
                  <w:r>
                    <w:rPr>
                      <w:rFonts w:hint="eastAsia"/>
                      <w:color w:val="000000" w:themeColor="text1"/>
                      <w:sz w:val="21"/>
                      <w:szCs w:val="21"/>
                      <w:highlight w:val="none"/>
                      <w:lang w:eastAsia="zh-CN"/>
                      <w14:textFill>
                        <w14:solidFill>
                          <w14:schemeClr w14:val="tx1"/>
                        </w14:solidFill>
                      </w14:textFill>
                    </w:rPr>
                    <w:t>。</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固</w:t>
                  </w:r>
                  <w:r>
                    <w:rPr>
                      <w:rFonts w:hint="eastAsia"/>
                      <w:color w:val="000000" w:themeColor="text1"/>
                      <w:sz w:val="21"/>
                      <w:szCs w:val="21"/>
                      <w:highlight w:val="none"/>
                      <w:lang w:val="en-US" w:eastAsia="zh-CN"/>
                      <w14:textFill>
                        <w14:solidFill>
                          <w14:schemeClr w14:val="tx1"/>
                        </w14:solidFill>
                      </w14:textFill>
                    </w:rPr>
                    <w:t>废</w:t>
                  </w:r>
                  <w:r>
                    <w:rPr>
                      <w:rFonts w:hint="eastAsia"/>
                      <w:color w:val="000000" w:themeColor="text1"/>
                      <w:sz w:val="21"/>
                      <w:szCs w:val="21"/>
                      <w:highlight w:val="none"/>
                      <w14:textFill>
                        <w14:solidFill>
                          <w14:schemeClr w14:val="tx1"/>
                        </w14:solidFill>
                      </w14:textFill>
                    </w:rPr>
                    <w:t>治理</w:t>
                  </w:r>
                  <w:r>
                    <w:commentReference w:id="31"/>
                  </w:r>
                  <w:commentRangeStart w:id="32"/>
                  <w:commentRangeStart w:id="33"/>
                  <w:r>
                    <w:commentReference w:id="32"/>
                  </w:r>
                  <w:commentRangeEnd w:id="32"/>
                  <w:commentRangeEnd w:id="33"/>
                  <w:r>
                    <w:commentReference w:id="33"/>
                  </w:r>
                </w:p>
              </w:tc>
              <w:tc>
                <w:tcPr>
                  <w:tcW w:w="3110" w:type="dxa"/>
                  <w:shd w:val="clear" w:color="auto" w:fill="auto"/>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生活垃圾</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由厂区内的垃圾桶统一收集后，定期交由环卫部门统一处理。</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生活垃圾</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由厂区内的垃圾桶统一收集后，定期交由环卫部门统一处理。</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9"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14:textFill>
                        <w14:solidFill>
                          <w14:schemeClr w14:val="tx1"/>
                        </w14:solidFill>
                      </w14:textFill>
                    </w:rPr>
                  </w:pPr>
                </w:p>
              </w:tc>
              <w:tc>
                <w:tcPr>
                  <w:tcW w:w="311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ind w:firstLine="0" w:firstLineChars="0"/>
                    <w:jc w:val="center"/>
                    <w:textAlignment w:val="center"/>
                    <w:rPr>
                      <w:rStyle w:val="86"/>
                      <w:rFonts w:hint="default"/>
                      <w:color w:val="000000" w:themeColor="text1"/>
                      <w:lang w:val="en-US" w:eastAsia="zh-CN" w:bidi="ar"/>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危废库1座，占地34㎡。</w:t>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油罐油泥、</w:t>
                  </w:r>
                  <w:r>
                    <w:rPr>
                      <w:rFonts w:hint="eastAsia" w:cs="Times New Roman"/>
                      <w:color w:val="FF0000"/>
                      <w:sz w:val="21"/>
                      <w:szCs w:val="21"/>
                      <w:highlight w:val="none"/>
                      <w:lang w:val="en-US" w:eastAsia="zh-CN"/>
                    </w:rPr>
                    <w:t>污水处理站含油污泥、</w:t>
                  </w:r>
                  <w:r>
                    <w:rPr>
                      <w:rFonts w:hint="eastAsia" w:cs="Times New Roman"/>
                      <w:color w:val="000000" w:themeColor="text1"/>
                      <w:sz w:val="21"/>
                      <w:szCs w:val="21"/>
                      <w:highlight w:val="none"/>
                      <w:lang w:val="en-US" w:eastAsia="zh-CN"/>
                      <w14:textFill>
                        <w14:solidFill>
                          <w14:schemeClr w14:val="tx1"/>
                        </w14:solidFill>
                      </w14:textFill>
                    </w:rPr>
                    <w:t>废机油、废油桶、废活性炭、含油抹布及手套</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分类收集后暂存在</w:t>
                  </w:r>
                  <w:r>
                    <w:rPr>
                      <w:rFonts w:hint="eastAsia" w:cs="Times New Roman"/>
                      <w:color w:val="000000" w:themeColor="text1"/>
                      <w:sz w:val="21"/>
                      <w:szCs w:val="21"/>
                      <w:highlight w:val="none"/>
                      <w:lang w:val="en-US" w:eastAsia="zh-CN"/>
                      <w14:textFill>
                        <w14:solidFill>
                          <w14:schemeClr w14:val="tx1"/>
                        </w14:solidFill>
                      </w14:textFill>
                    </w:rPr>
                    <w:t>现有</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危险废物暂存库，定期交由有资质单位进行处置。</w:t>
                  </w:r>
                  <w:r>
                    <w:rPr>
                      <w:rFonts w:hint="eastAsia" w:cs="Times New Roman"/>
                      <w:color w:val="000000" w:themeColor="text1"/>
                      <w:sz w:val="21"/>
                      <w:szCs w:val="21"/>
                      <w:highlight w:val="none"/>
                      <w:lang w:val="en-US" w:eastAsia="zh-CN"/>
                      <w14:textFill>
                        <w14:solidFill>
                          <w14:schemeClr w14:val="tx1"/>
                        </w14:solidFill>
                      </w14:textFill>
                    </w:rPr>
                    <w:t>危废库</w:t>
                  </w:r>
                  <w:r>
                    <w:rPr>
                      <w:rFonts w:hint="default" w:ascii="Times New Roman" w:hAnsi="Times New Roman" w:eastAsia="宋体" w:cs="Times New Roman"/>
                      <w:color w:val="000000" w:themeColor="text1"/>
                      <w:sz w:val="21"/>
                      <w14:textFill>
                        <w14:solidFill>
                          <w14:schemeClr w14:val="tx1"/>
                        </w14:solidFill>
                      </w14:textFill>
                    </w:rPr>
                    <w:t>防渗层设计等效黏土防渗层Mb≥6.0m，K≤10</w:t>
                  </w:r>
                  <w:r>
                    <w:rPr>
                      <w:rFonts w:hint="default" w:ascii="Times New Roman" w:hAnsi="Times New Roman" w:eastAsia="宋体" w:cs="Times New Roman"/>
                      <w:color w:val="000000" w:themeColor="text1"/>
                      <w:sz w:val="21"/>
                      <w:vertAlign w:val="superscript"/>
                      <w14:textFill>
                        <w14:solidFill>
                          <w14:schemeClr w14:val="tx1"/>
                        </w14:solidFill>
                      </w14:textFill>
                    </w:rPr>
                    <w:t>-10</w:t>
                  </w:r>
                  <w:r>
                    <w:rPr>
                      <w:rFonts w:hint="default" w:ascii="Times New Roman" w:hAnsi="Times New Roman" w:eastAsia="宋体" w:cs="Times New Roman"/>
                      <w:color w:val="000000" w:themeColor="text1"/>
                      <w:sz w:val="21"/>
                      <w14:textFill>
                        <w14:solidFill>
                          <w14:schemeClr w14:val="tx1"/>
                        </w14:solidFill>
                      </w14:textFill>
                    </w:rPr>
                    <w:t>cm/s</w:t>
                  </w:r>
                  <w:r>
                    <w:rPr>
                      <w:rFonts w:hint="eastAsia" w:ascii="Times New Roman" w:hAnsi="Times New Roman" w:eastAsia="宋体" w:cs="Times New Roman"/>
                      <w:color w:val="000000" w:themeColor="text1"/>
                      <w:sz w:val="21"/>
                      <w:lang w:eastAsia="zh-CN"/>
                      <w14:textFill>
                        <w14:solidFill>
                          <w14:schemeClr w14:val="tx1"/>
                        </w14:solidFill>
                      </w14:textFill>
                    </w:rPr>
                    <w:t>。</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53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highlight w:val="none"/>
                      <w14:textFill>
                        <w14:solidFill>
                          <w14:schemeClr w14:val="tx1"/>
                        </w14:solidFill>
                      </w14:textFill>
                    </w:rPr>
                  </w:pPr>
                </w:p>
              </w:tc>
              <w:tc>
                <w:tcPr>
                  <w:tcW w:w="8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环境风险</w:t>
                  </w:r>
                </w:p>
              </w:tc>
              <w:tc>
                <w:tcPr>
                  <w:tcW w:w="31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罐区设80cm高围堰，厂区设3100m³事故水池1座，</w:t>
                  </w:r>
                  <w:r>
                    <w:rPr>
                      <w:rFonts w:hint="eastAsia" w:cs="Times New Roman"/>
                      <w:color w:val="FF0000"/>
                      <w:sz w:val="21"/>
                      <w:szCs w:val="21"/>
                      <w:highlight w:val="none"/>
                      <w:lang w:val="en-US" w:eastAsia="zh-CN"/>
                    </w:rPr>
                    <w:t>与园区事故水池相联通。</w:t>
                  </w:r>
                  <w:r>
                    <w:commentReference w:id="34"/>
                  </w:r>
                </w:p>
              </w:tc>
              <w:tc>
                <w:tcPr>
                  <w:tcW w:w="239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不变</w:t>
                  </w:r>
                </w:p>
              </w:tc>
              <w:tc>
                <w:tcPr>
                  <w:tcW w:w="132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利旧</w:t>
                  </w:r>
                </w:p>
              </w:tc>
            </w:tr>
          </w:tbl>
          <w:p>
            <w:pPr>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2、主要设备</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本项目新增设备如下表。</w:t>
            </w:r>
          </w:p>
          <w:p>
            <w:pPr>
              <w:bidi w:val="0"/>
              <w:ind w:left="0" w:leftChars="0" w:firstLine="0" w:firstLineChars="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表2-2设备一览表</w:t>
            </w:r>
          </w:p>
          <w:tbl>
            <w:tblPr>
              <w:tblStyle w:val="27"/>
              <w:tblW w:w="49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8"/>
              <w:gridCol w:w="1192"/>
              <w:gridCol w:w="1071"/>
              <w:gridCol w:w="2565"/>
              <w:gridCol w:w="1188"/>
              <w:gridCol w:w="942"/>
              <w:gridCol w:w="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blHeader/>
                <w:jc w:val="center"/>
              </w:trPr>
              <w:tc>
                <w:tcPr>
                  <w:tcW w:w="3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序号</w:t>
                  </w:r>
                </w:p>
              </w:tc>
              <w:tc>
                <w:tcPr>
                  <w:tcW w:w="730"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设备名称</w:t>
                  </w:r>
                </w:p>
              </w:tc>
              <w:tc>
                <w:tcPr>
                  <w:tcW w:w="656"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设备位号</w:t>
                  </w:r>
                </w:p>
              </w:tc>
              <w:tc>
                <w:tcPr>
                  <w:tcW w:w="1571"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规格型号</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操作温度（℃）</w:t>
                  </w:r>
                </w:p>
              </w:tc>
              <w:tc>
                <w:tcPr>
                  <w:tcW w:w="577"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数量（台/套）</w:t>
                  </w:r>
                </w:p>
              </w:tc>
              <w:tc>
                <w:tcPr>
                  <w:tcW w:w="367"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w:t>
                  </w:r>
                </w:p>
              </w:tc>
              <w:tc>
                <w:tcPr>
                  <w:tcW w:w="730"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煤基柴油</w:t>
                  </w:r>
                  <w:r>
                    <w:rPr>
                      <w:rFonts w:hint="eastAsia"/>
                      <w:color w:val="000000" w:themeColor="text1"/>
                      <w:sz w:val="21"/>
                      <w:szCs w:val="21"/>
                      <w14:textFill>
                        <w14:solidFill>
                          <w14:schemeClr w14:val="tx1"/>
                        </w14:solidFill>
                      </w14:textFill>
                    </w:rPr>
                    <w:t>卸车鹤管</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X-501</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下装鹤位流量：30m³/h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2</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轻质柴油</w:t>
                  </w:r>
                  <w:r>
                    <w:rPr>
                      <w:rFonts w:hint="eastAsia"/>
                      <w:color w:val="000000" w:themeColor="text1"/>
                      <w:sz w:val="21"/>
                      <w:szCs w:val="21"/>
                      <w14:textFill>
                        <w14:solidFill>
                          <w14:schemeClr w14:val="tx1"/>
                        </w14:solidFill>
                      </w14:textFill>
                    </w:rPr>
                    <w:t>卸车鹤管一</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X-502</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下装鹤位流量：45m³/h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3</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轻质柴油</w:t>
                  </w:r>
                  <w:r>
                    <w:rPr>
                      <w:rFonts w:hint="eastAsia"/>
                      <w:color w:val="000000" w:themeColor="text1"/>
                      <w:sz w:val="21"/>
                      <w:szCs w:val="21"/>
                      <w14:textFill>
                        <w14:solidFill>
                          <w14:schemeClr w14:val="tx1"/>
                        </w14:solidFill>
                      </w14:textFill>
                    </w:rPr>
                    <w:t>卸车鹤管二</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X-503</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下装鹤位流量：45m³/h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4</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轻质柴油</w:t>
                  </w:r>
                  <w:r>
                    <w:rPr>
                      <w:color w:val="000000" w:themeColor="text1"/>
                      <w:sz w:val="21"/>
                      <w:szCs w:val="21"/>
                      <w14:textFill>
                        <w14:solidFill>
                          <w14:schemeClr w14:val="tx1"/>
                        </w14:solidFill>
                      </w14:textFill>
                    </w:rPr>
                    <w:t>卸车鹤管三</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X-504</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下装鹤位流量：45m³/h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5</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煤基柴油</w:t>
                  </w:r>
                  <w:r>
                    <w:rPr>
                      <w:color w:val="000000" w:themeColor="text1"/>
                      <w:sz w:val="21"/>
                      <w:szCs w:val="21"/>
                      <w14:textFill>
                        <w14:solidFill>
                          <w14:schemeClr w14:val="tx1"/>
                        </w14:solidFill>
                      </w14:textFill>
                    </w:rPr>
                    <w:t>卸车鹤管</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X-505</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下装鹤位流量：30m³/h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蒸汽伴热，外购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6</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汽油卸车鹤管</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X-506</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流量：30m³/h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7</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成品柴油装车鹤管一</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X-507</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流量：45m³/h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8</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成品柴油装车鹤管二</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X-508</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下装鹤位流量：45m³/h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9</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成品柴油装车鹤管三</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X-509</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下装鹤位流量：45m³/h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10</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成品柴油装车鹤管四</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X-510</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下装鹤位流量：45m³/h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11</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成品柴油装车鹤管五</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X-511</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下装鹤位流量：45m³/h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12</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成品柴油装车鹤管</w:t>
                  </w:r>
                  <w:r>
                    <w:rPr>
                      <w:rFonts w:hint="eastAsia"/>
                      <w:color w:val="000000" w:themeColor="text1"/>
                      <w:sz w:val="21"/>
                      <w:szCs w:val="21"/>
                      <w14:textFill>
                        <w14:solidFill>
                          <w14:schemeClr w14:val="tx1"/>
                        </w14:solidFill>
                      </w14:textFill>
                    </w:rPr>
                    <w:t>六</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X-512</w:t>
                  </w:r>
                </w:p>
              </w:tc>
              <w:tc>
                <w:tcPr>
                  <w:tcW w:w="1571"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下装鹤位流量：45m³/h</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13</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煤基柴油</w:t>
                  </w:r>
                  <w:r>
                    <w:rPr>
                      <w:rFonts w:hint="eastAsia"/>
                      <w:color w:val="000000" w:themeColor="text1"/>
                      <w:sz w:val="21"/>
                      <w:szCs w:val="21"/>
                      <w14:textFill>
                        <w14:solidFill>
                          <w14:schemeClr w14:val="tx1"/>
                        </w14:solidFill>
                      </w14:textFill>
                    </w:rPr>
                    <w:t>卸车泵</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P-501A/B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离心泵流量：30m³/h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扬程：80m</w:t>
                  </w:r>
                </w:p>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轴功率：6.31kw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14</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轻质柴油</w:t>
                  </w:r>
                  <w:r>
                    <w:rPr>
                      <w:rFonts w:hint="eastAsia"/>
                      <w:color w:val="000000" w:themeColor="text1"/>
                      <w:sz w:val="21"/>
                      <w:szCs w:val="21"/>
                      <w14:textFill>
                        <w14:solidFill>
                          <w14:schemeClr w14:val="tx1"/>
                        </w14:solidFill>
                      </w14:textFill>
                    </w:rPr>
                    <w:t>卸车泵一</w:t>
                  </w:r>
                </w:p>
              </w:tc>
              <w:tc>
                <w:tcPr>
                  <w:tcW w:w="656"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P-502A/B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离心泵流量：45m³/h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扬程：80m</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轴功率：9.47kw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15</w:t>
                  </w:r>
                </w:p>
              </w:tc>
              <w:tc>
                <w:tcPr>
                  <w:tcW w:w="730"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轻质柴油</w:t>
                  </w:r>
                  <w:r>
                    <w:rPr>
                      <w:rFonts w:hint="eastAsia"/>
                      <w:color w:val="000000" w:themeColor="text1"/>
                      <w:sz w:val="21"/>
                      <w:szCs w:val="21"/>
                      <w14:textFill>
                        <w14:solidFill>
                          <w14:schemeClr w14:val="tx1"/>
                        </w14:solidFill>
                      </w14:textFill>
                    </w:rPr>
                    <w:t>卸车泵二</w:t>
                  </w:r>
                </w:p>
              </w:tc>
              <w:tc>
                <w:tcPr>
                  <w:tcW w:w="656"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P-503A/B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离心泵流量：45m³/h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扬程：80m</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轴功率：9.47kw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w:t>
                  </w:r>
                  <w:r>
                    <w:rPr>
                      <w:rFonts w:hint="eastAsia" w:cs="Times New Roman"/>
                      <w:color w:val="000000" w:themeColor="text1"/>
                      <w:kern w:val="2"/>
                      <w:sz w:val="21"/>
                      <w:szCs w:val="21"/>
                      <w:lang w:val="en-US" w:eastAsia="zh-CN" w:bidi="ar-SA"/>
                      <w14:textFill>
                        <w14:solidFill>
                          <w14:schemeClr w14:val="tx1"/>
                        </w14:solidFill>
                      </w14:textFill>
                    </w:rPr>
                    <w:t>6</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煤基柴油</w:t>
                  </w:r>
                  <w:r>
                    <w:rPr>
                      <w:rFonts w:hint="eastAsia"/>
                      <w:color w:val="000000" w:themeColor="text1"/>
                      <w:sz w:val="21"/>
                      <w:szCs w:val="21"/>
                      <w14:textFill>
                        <w14:solidFill>
                          <w14:schemeClr w14:val="tx1"/>
                        </w14:solidFill>
                      </w14:textFill>
                    </w:rPr>
                    <w:t>输送泵</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P-301A/B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离心泵流量：30m³/h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扬程：60m</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轴功率：4.73kw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17</w:t>
                  </w:r>
                </w:p>
              </w:tc>
              <w:tc>
                <w:tcPr>
                  <w:tcW w:w="730"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eastAsia="zh-CN"/>
                      <w14:textFill>
                        <w14:solidFill>
                          <w14:schemeClr w14:val="tx1"/>
                        </w14:solidFill>
                      </w14:textFill>
                    </w:rPr>
                    <w:t>轻质柴油</w:t>
                  </w:r>
                  <w:r>
                    <w:rPr>
                      <w:rFonts w:hint="eastAsia"/>
                      <w:color w:val="000000" w:themeColor="text1"/>
                      <w:sz w:val="21"/>
                      <w:szCs w:val="21"/>
                      <w14:textFill>
                        <w14:solidFill>
                          <w14:schemeClr w14:val="tx1"/>
                        </w14:solidFill>
                      </w14:textFill>
                    </w:rPr>
                    <w:t>输送泵</w:t>
                  </w:r>
                </w:p>
              </w:tc>
              <w:tc>
                <w:tcPr>
                  <w:tcW w:w="656"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P-302A/B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离心泵流量：150m³/h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扬程：60m</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轴功率：23.66kw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18</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油品调和</w:t>
                  </w:r>
                  <w:r>
                    <w:rPr>
                      <w:rFonts w:hint="eastAsia"/>
                      <w:color w:val="000000" w:themeColor="text1"/>
                      <w:sz w:val="21"/>
                      <w:szCs w:val="21"/>
                      <w14:textFill>
                        <w14:solidFill>
                          <w14:schemeClr w14:val="tx1"/>
                        </w14:solidFill>
                      </w14:textFill>
                    </w:rPr>
                    <w:t>泵</w:t>
                  </w:r>
                </w:p>
              </w:tc>
              <w:tc>
                <w:tcPr>
                  <w:tcW w:w="656"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P-201A/B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离心泵流量：10m³/h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扬程:60m</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轴功率：1.73kw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19</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汽油输送泵</w:t>
                  </w:r>
                </w:p>
              </w:tc>
              <w:tc>
                <w:tcPr>
                  <w:tcW w:w="65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P-202A/B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离心泵流量：10m³/h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扬程:60m</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轴功率：1.41kw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2</w:t>
                  </w:r>
                  <w:r>
                    <w:rPr>
                      <w:rFonts w:hint="eastAsia" w:cs="Times New Roman"/>
                      <w:color w:val="000000" w:themeColor="text1"/>
                      <w:kern w:val="2"/>
                      <w:sz w:val="21"/>
                      <w:szCs w:val="21"/>
                      <w:lang w:val="en-US" w:eastAsia="zh-CN" w:bidi="ar-SA"/>
                      <w14:textFill>
                        <w14:solidFill>
                          <w14:schemeClr w14:val="tx1"/>
                        </w14:solidFill>
                      </w14:textFill>
                    </w:rPr>
                    <w:t>0</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油品调和泵二</w:t>
                  </w:r>
                </w:p>
              </w:tc>
              <w:tc>
                <w:tcPr>
                  <w:tcW w:w="656"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P-203A/B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离心泵流量：150m³/h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扬程:60m</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轴功率：23.66kw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2</w:t>
                  </w:r>
                  <w:r>
                    <w:rPr>
                      <w:rFonts w:hint="eastAsia" w:cs="Times New Roman"/>
                      <w:color w:val="000000" w:themeColor="text1"/>
                      <w:kern w:val="2"/>
                      <w:sz w:val="21"/>
                      <w:szCs w:val="21"/>
                      <w:lang w:val="en-US" w:eastAsia="zh-CN" w:bidi="ar-SA"/>
                      <w14:textFill>
                        <w14:solidFill>
                          <w14:schemeClr w14:val="tx1"/>
                        </w14:solidFill>
                      </w14:textFill>
                    </w:rPr>
                    <w:t>1</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成品柴油装车泵二</w:t>
                  </w:r>
                </w:p>
              </w:tc>
              <w:tc>
                <w:tcPr>
                  <w:tcW w:w="656"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P-204A/B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离心泵流量：80m³/h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扬程:80m</w:t>
                  </w:r>
                </w:p>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轴功率：61.83kw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36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2</w:t>
                  </w:r>
                  <w:r>
                    <w:rPr>
                      <w:rFonts w:hint="eastAsia" w:cs="Times New Roman"/>
                      <w:color w:val="000000" w:themeColor="text1"/>
                      <w:kern w:val="2"/>
                      <w:sz w:val="21"/>
                      <w:szCs w:val="21"/>
                      <w:lang w:val="en-US" w:eastAsia="zh-CN" w:bidi="ar-SA"/>
                      <w14:textFill>
                        <w14:solidFill>
                          <w14:schemeClr w14:val="tx1"/>
                        </w14:solidFill>
                      </w14:textFill>
                    </w:rPr>
                    <w:t>2</w:t>
                  </w:r>
                </w:p>
              </w:tc>
              <w:tc>
                <w:tcPr>
                  <w:tcW w:w="73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油品调和泵三</w:t>
                  </w:r>
                </w:p>
              </w:tc>
              <w:tc>
                <w:tcPr>
                  <w:tcW w:w="656"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P-205A/B</w:t>
                  </w:r>
                </w:p>
              </w:tc>
              <w:tc>
                <w:tcPr>
                  <w:tcW w:w="1571"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离心泵流量：150m³/h</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扬程:60m</w:t>
                  </w:r>
                </w:p>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轴功率：23.66kw</w:t>
                  </w:r>
                </w:p>
              </w:tc>
              <w:tc>
                <w:tcPr>
                  <w:tcW w:w="7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常温</w:t>
                  </w:r>
                </w:p>
              </w:tc>
              <w:tc>
                <w:tcPr>
                  <w:tcW w:w="57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67" w:type="pct"/>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外购</w:t>
                  </w:r>
                </w:p>
              </w:tc>
            </w:tr>
          </w:tbl>
          <w:p>
            <w:pPr>
              <w:bidi w:val="0"/>
              <w:jc w:val="both"/>
              <w:rPr>
                <w:rFonts w:hint="eastAsia"/>
                <w:b/>
                <w:bCs/>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改建前后储罐变化情况见表2-3。</w:t>
            </w:r>
          </w:p>
          <w:p>
            <w:pPr>
              <w:bidi w:val="0"/>
              <w:jc w:val="center"/>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表2-3 罐区储罐一览表</w:t>
            </w:r>
          </w:p>
          <w:tbl>
            <w:tblPr>
              <w:tblStyle w:val="27"/>
              <w:tblW w:w="82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
              <w:gridCol w:w="997"/>
              <w:gridCol w:w="1304"/>
              <w:gridCol w:w="812"/>
              <w:gridCol w:w="988"/>
              <w:gridCol w:w="843"/>
              <w:gridCol w:w="1048"/>
              <w:gridCol w:w="1048"/>
              <w:gridCol w:w="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281"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序号</w:t>
                  </w:r>
                </w:p>
              </w:tc>
              <w:tc>
                <w:tcPr>
                  <w:tcW w:w="603" w:type="pct"/>
                  <w:noWrap w:val="0"/>
                  <w:vAlign w:val="center"/>
                </w:tcPr>
                <w:p>
                  <w:pPr>
                    <w:spacing w:line="240" w:lineRule="auto"/>
                    <w:ind w:firstLine="0" w:firstLineChars="0"/>
                    <w:jc w:val="center"/>
                    <w:rPr>
                      <w:rFonts w:hint="eastAsia" w:eastAsia="宋体"/>
                      <w:b/>
                      <w:bCs/>
                      <w:color w:val="000000" w:themeColor="text1"/>
                      <w:sz w:val="21"/>
                      <w:szCs w:val="21"/>
                      <w:lang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储罐类型</w:t>
                  </w:r>
                </w:p>
              </w:tc>
              <w:tc>
                <w:tcPr>
                  <w:tcW w:w="789"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规格型号</w:t>
                  </w:r>
                </w:p>
              </w:tc>
              <w:tc>
                <w:tcPr>
                  <w:tcW w:w="491"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设计温度（℃）</w:t>
                  </w:r>
                </w:p>
              </w:tc>
              <w:tc>
                <w:tcPr>
                  <w:tcW w:w="596" w:type="pct"/>
                  <w:noWrap w:val="0"/>
                  <w:vAlign w:val="center"/>
                </w:tcPr>
                <w:p>
                  <w:pPr>
                    <w:spacing w:line="240" w:lineRule="auto"/>
                    <w:ind w:firstLine="0" w:firstLineChars="0"/>
                    <w:jc w:val="center"/>
                    <w:rPr>
                      <w:rFonts w:hint="eastAsia"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储罐</w:t>
                  </w:r>
                  <w:r>
                    <w:rPr>
                      <w:rFonts w:hint="eastAsia"/>
                      <w:b/>
                      <w:bCs/>
                      <w:color w:val="000000" w:themeColor="text1"/>
                      <w:sz w:val="21"/>
                      <w:szCs w:val="21"/>
                      <w14:textFill>
                        <w14:solidFill>
                          <w14:schemeClr w14:val="tx1"/>
                        </w14:solidFill>
                      </w14:textFill>
                    </w:rPr>
                    <w:t>压力</w:t>
                  </w:r>
                  <w:r>
                    <w:rPr>
                      <w:rFonts w:hint="eastAsia"/>
                      <w:b/>
                      <w:bCs/>
                      <w:color w:val="000000" w:themeColor="text1"/>
                      <w:lang w:val="en-US" w:eastAsia="zh-CN"/>
                      <w14:textFill>
                        <w14:solidFill>
                          <w14:schemeClr w14:val="tx1"/>
                        </w14:solidFill>
                      </w14:textFill>
                    </w:rPr>
                    <w:t>范围</w:t>
                  </w:r>
                </w:p>
              </w:tc>
              <w:tc>
                <w:tcPr>
                  <w:tcW w:w="510"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数量（台/套）</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改建前用途</w:t>
                  </w:r>
                </w:p>
              </w:tc>
              <w:tc>
                <w:tcPr>
                  <w:tcW w:w="634" w:type="pct"/>
                  <w:noWrap w:val="0"/>
                  <w:vAlign w:val="center"/>
                </w:tcPr>
                <w:p>
                  <w:pPr>
                    <w:spacing w:line="240" w:lineRule="auto"/>
                    <w:ind w:firstLine="0" w:firstLineChars="0"/>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改建后用途</w:t>
                  </w:r>
                </w:p>
              </w:tc>
              <w:tc>
                <w:tcPr>
                  <w:tcW w:w="458" w:type="pct"/>
                  <w:noWrap w:val="0"/>
                  <w:vAlign w:val="center"/>
                </w:tcPr>
                <w:p>
                  <w:pPr>
                    <w:spacing w:line="240" w:lineRule="auto"/>
                    <w:ind w:firstLine="0" w:firstLineChars="0"/>
                    <w:jc w:val="center"/>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noWrap w:val="0"/>
                  <w:vAlign w:val="center"/>
                </w:tcPr>
                <w:p>
                  <w:pPr>
                    <w:numPr>
                      <w:ilvl w:val="0"/>
                      <w:numId w:val="0"/>
                    </w:numPr>
                    <w:spacing w:line="240" w:lineRule="auto"/>
                    <w:ind w:left="425" w:leftChars="0" w:hanging="425"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603" w:type="pct"/>
                  <w:shd w:val="clear" w:color="auto" w:fill="auto"/>
                  <w:noWrap w:val="0"/>
                  <w:vAlign w:val="center"/>
                </w:tcPr>
                <w:p>
                  <w:pPr>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内浮顶罐</w:t>
                  </w:r>
                </w:p>
              </w:tc>
              <w:tc>
                <w:tcPr>
                  <w:tcW w:w="789" w:type="pct"/>
                  <w:shd w:val="clear" w:color="auto" w:fill="auto"/>
                  <w:noWrap w:val="0"/>
                  <w:vAlign w:val="center"/>
                </w:tcPr>
                <w:p>
                  <w:pPr>
                    <w:spacing w:line="240" w:lineRule="auto"/>
                    <w:ind w:firstLine="0" w:firstLineChars="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DN</w:t>
                  </w:r>
                  <w:r>
                    <w:rPr>
                      <w:rFonts w:hint="eastAsia"/>
                      <w:color w:val="000000" w:themeColor="text1"/>
                      <w:sz w:val="21"/>
                      <w:szCs w:val="21"/>
                      <w14:textFill>
                        <w14:solidFill>
                          <w14:schemeClr w14:val="tx1"/>
                        </w14:solidFill>
                      </w14:textFill>
                    </w:rPr>
                    <w:t>7600</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12150，全容积：500m³</w:t>
                  </w:r>
                </w:p>
              </w:tc>
              <w:tc>
                <w:tcPr>
                  <w:tcW w:w="491" w:type="pct"/>
                  <w:shd w:val="clear" w:color="auto" w:fill="auto"/>
                  <w:noWrap w:val="0"/>
                  <w:vAlign w:val="center"/>
                </w:tcPr>
                <w:p>
                  <w:pPr>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w:t>
                  </w:r>
                </w:p>
              </w:tc>
              <w:tc>
                <w:tcPr>
                  <w:tcW w:w="596" w:type="pct"/>
                  <w:shd w:val="clear" w:color="auto" w:fill="auto"/>
                  <w:noWrap w:val="0"/>
                  <w:vAlign w:val="center"/>
                </w:tcPr>
                <w:p>
                  <w:pPr>
                    <w:spacing w:line="240" w:lineRule="auto"/>
                    <w:ind w:firstLine="0" w:firstLineChars="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-300~2000Pa</w:t>
                  </w:r>
                </w:p>
              </w:tc>
              <w:tc>
                <w:tcPr>
                  <w:tcW w:w="510" w:type="pct"/>
                  <w:shd w:val="clear" w:color="auto" w:fill="auto"/>
                  <w:noWrap w:val="0"/>
                  <w:vAlign w:val="center"/>
                </w:tcPr>
                <w:p>
                  <w:pPr>
                    <w:spacing w:line="240" w:lineRule="auto"/>
                    <w:ind w:firstLine="0" w:firstLineChars="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634"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w:t>
                  </w: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混合芳烃缓冲罐</w:t>
                  </w:r>
                </w:p>
              </w:tc>
              <w:tc>
                <w:tcPr>
                  <w:tcW w:w="6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用于煤基柴油储罐</w:t>
                  </w:r>
                </w:p>
              </w:tc>
              <w:tc>
                <w:tcPr>
                  <w:tcW w:w="458" w:type="pct"/>
                  <w:vMerge w:val="restar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原料罐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noWrap w:val="0"/>
                  <w:vAlign w:val="center"/>
                </w:tcPr>
                <w:p>
                  <w:pPr>
                    <w:numPr>
                      <w:ilvl w:val="0"/>
                      <w:numId w:val="0"/>
                    </w:numPr>
                    <w:spacing w:line="240" w:lineRule="auto"/>
                    <w:ind w:left="425" w:leftChars="0" w:hanging="425"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603" w:type="pct"/>
                  <w:shd w:val="clear" w:color="auto" w:fill="auto"/>
                  <w:noWrap w:val="0"/>
                  <w:vAlign w:val="center"/>
                </w:tcPr>
                <w:p>
                  <w:pPr>
                    <w:spacing w:line="240" w:lineRule="auto"/>
                    <w:ind w:firstLine="0" w:firstLineChars="0"/>
                    <w:jc w:val="center"/>
                    <w:rPr>
                      <w:rFonts w:hint="eastAsia"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内浮顶罐</w:t>
                  </w:r>
                </w:p>
              </w:tc>
              <w:tc>
                <w:tcPr>
                  <w:tcW w:w="789" w:type="pct"/>
                  <w:shd w:val="clear" w:color="auto" w:fill="auto"/>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DN</w:t>
                  </w:r>
                  <w:r>
                    <w:rPr>
                      <w:rFonts w:hint="eastAsia"/>
                      <w:color w:val="000000" w:themeColor="text1"/>
                      <w:sz w:val="21"/>
                      <w:szCs w:val="21"/>
                      <w14:textFill>
                        <w14:solidFill>
                          <w14:schemeClr w14:val="tx1"/>
                        </w14:solidFill>
                      </w14:textFill>
                    </w:rPr>
                    <w:t>10800</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12880，全容积：1000m³</w:t>
                  </w:r>
                </w:p>
              </w:tc>
              <w:tc>
                <w:tcPr>
                  <w:tcW w:w="491" w:type="pct"/>
                  <w:shd w:val="clear" w:color="auto" w:fill="auto"/>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596" w:type="pct"/>
                  <w:shd w:val="clear" w:color="auto" w:fill="auto"/>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-300~2000Pa</w:t>
                  </w:r>
                </w:p>
              </w:tc>
              <w:tc>
                <w:tcPr>
                  <w:tcW w:w="510" w:type="pct"/>
                  <w:shd w:val="clear" w:color="auto" w:fill="auto"/>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634"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用于</w:t>
                  </w: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重组分罐</w:t>
                  </w:r>
                </w:p>
              </w:tc>
              <w:tc>
                <w:tcPr>
                  <w:tcW w:w="6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w:t>
                  </w:r>
                  <w:r>
                    <w:rPr>
                      <w:rFonts w:hint="eastAsia"/>
                      <w:color w:val="000000" w:themeColor="text1"/>
                      <w:sz w:val="21"/>
                      <w:szCs w:val="21"/>
                      <w:lang w:eastAsia="zh-CN"/>
                      <w14:textFill>
                        <w14:solidFill>
                          <w14:schemeClr w14:val="tx1"/>
                        </w14:solidFill>
                      </w14:textFill>
                    </w:rPr>
                    <w:t>煤基柴油</w:t>
                  </w:r>
                  <w:r>
                    <w:rPr>
                      <w:rFonts w:hint="eastAsia"/>
                      <w:color w:val="000000" w:themeColor="text1"/>
                      <w:sz w:val="21"/>
                      <w:szCs w:val="21"/>
                      <w:lang w:val="en-US" w:eastAsia="zh-CN"/>
                      <w14:textFill>
                        <w14:solidFill>
                          <w14:schemeClr w14:val="tx1"/>
                        </w14:solidFill>
                      </w14:textFill>
                    </w:rPr>
                    <w:t>储罐</w:t>
                  </w:r>
                </w:p>
              </w:tc>
              <w:tc>
                <w:tcPr>
                  <w:tcW w:w="458"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eastAsia"/>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noWrap w:val="0"/>
                  <w:vAlign w:val="center"/>
                </w:tcPr>
                <w:p>
                  <w:pPr>
                    <w:numPr>
                      <w:ilvl w:val="0"/>
                      <w:numId w:val="0"/>
                    </w:numPr>
                    <w:spacing w:line="240" w:lineRule="auto"/>
                    <w:ind w:left="425" w:leftChars="0" w:hanging="425"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w:t>
                  </w:r>
                </w:p>
              </w:tc>
              <w:tc>
                <w:tcPr>
                  <w:tcW w:w="603"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内浮顶罐</w:t>
                  </w:r>
                </w:p>
              </w:tc>
              <w:tc>
                <w:tcPr>
                  <w:tcW w:w="789"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DN13300×13600</w:t>
                  </w:r>
                  <w:r>
                    <w:rPr>
                      <w:rFonts w:hint="eastAsia"/>
                      <w:color w:val="000000" w:themeColor="text1"/>
                      <w:sz w:val="21"/>
                      <w:szCs w:val="21"/>
                      <w14:textFill>
                        <w14:solidFill>
                          <w14:schemeClr w14:val="tx1"/>
                        </w14:solidFill>
                      </w14:textFill>
                    </w:rPr>
                    <w:t>，全容积：2000m³</w:t>
                  </w:r>
                </w:p>
              </w:tc>
              <w:tc>
                <w:tcPr>
                  <w:tcW w:w="491"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596"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-300~2000Pa</w:t>
                  </w:r>
                </w:p>
              </w:tc>
              <w:tc>
                <w:tcPr>
                  <w:tcW w:w="510"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6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原为</w:t>
                  </w: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预留罐</w:t>
                  </w:r>
                </w:p>
              </w:tc>
              <w:tc>
                <w:tcPr>
                  <w:tcW w:w="6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用于煤基柴油储罐</w:t>
                  </w:r>
                </w:p>
              </w:tc>
              <w:tc>
                <w:tcPr>
                  <w:tcW w:w="45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eastAsia"/>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noWrap w:val="0"/>
                  <w:vAlign w:val="center"/>
                </w:tcPr>
                <w:p>
                  <w:pPr>
                    <w:numPr>
                      <w:ilvl w:val="0"/>
                      <w:numId w:val="0"/>
                    </w:numPr>
                    <w:spacing w:line="240" w:lineRule="auto"/>
                    <w:ind w:left="425" w:leftChars="0" w:hanging="425"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603"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内浮顶罐</w:t>
                  </w:r>
                </w:p>
              </w:tc>
              <w:tc>
                <w:tcPr>
                  <w:tcW w:w="789"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DN13300×13600</w:t>
                  </w:r>
                  <w:r>
                    <w:rPr>
                      <w:rFonts w:hint="eastAsia"/>
                      <w:color w:val="000000" w:themeColor="text1"/>
                      <w:sz w:val="21"/>
                      <w:szCs w:val="21"/>
                      <w14:textFill>
                        <w14:solidFill>
                          <w14:schemeClr w14:val="tx1"/>
                        </w14:solidFill>
                      </w14:textFill>
                    </w:rPr>
                    <w:t>，全容积：2000m³</w:t>
                  </w:r>
                </w:p>
              </w:tc>
              <w:tc>
                <w:tcPr>
                  <w:tcW w:w="491"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596"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-300~2000Pa</w:t>
                  </w:r>
                </w:p>
              </w:tc>
              <w:tc>
                <w:tcPr>
                  <w:tcW w:w="510"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w:t>
                  </w:r>
                </w:p>
              </w:tc>
              <w:tc>
                <w:tcPr>
                  <w:tcW w:w="6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用于馏分罐、重组分罐</w:t>
                  </w:r>
                </w:p>
              </w:tc>
              <w:tc>
                <w:tcPr>
                  <w:tcW w:w="6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w:t>
                  </w:r>
                  <w:r>
                    <w:rPr>
                      <w:rFonts w:hint="eastAsia"/>
                      <w:color w:val="000000" w:themeColor="text1"/>
                      <w:sz w:val="21"/>
                      <w:szCs w:val="21"/>
                      <w:lang w:eastAsia="zh-CN"/>
                      <w14:textFill>
                        <w14:solidFill>
                          <w14:schemeClr w14:val="tx1"/>
                        </w14:solidFill>
                      </w14:textFill>
                    </w:rPr>
                    <w:t>轻质柴油</w:t>
                  </w:r>
                  <w:r>
                    <w:rPr>
                      <w:rFonts w:hint="eastAsia"/>
                      <w:color w:val="000000" w:themeColor="text1"/>
                      <w:sz w:val="21"/>
                      <w:szCs w:val="21"/>
                      <w:lang w:val="en-US" w:eastAsia="zh-CN"/>
                      <w14:textFill>
                        <w14:solidFill>
                          <w14:schemeClr w14:val="tx1"/>
                        </w14:solidFill>
                      </w14:textFill>
                    </w:rPr>
                    <w:t>储罐</w:t>
                  </w:r>
                </w:p>
              </w:tc>
              <w:tc>
                <w:tcPr>
                  <w:tcW w:w="45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eastAsia"/>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noWrap w:val="0"/>
                  <w:vAlign w:val="center"/>
                </w:tcPr>
                <w:p>
                  <w:pPr>
                    <w:numPr>
                      <w:ilvl w:val="0"/>
                      <w:numId w:val="0"/>
                    </w:numPr>
                    <w:spacing w:line="240" w:lineRule="auto"/>
                    <w:ind w:left="425" w:leftChars="0" w:hanging="425"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w:t>
                  </w:r>
                </w:p>
              </w:tc>
              <w:tc>
                <w:tcPr>
                  <w:tcW w:w="603"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内浮顶罐</w:t>
                  </w:r>
                </w:p>
              </w:tc>
              <w:tc>
                <w:tcPr>
                  <w:tcW w:w="789" w:type="pct"/>
                  <w:shd w:val="clear" w:color="auto" w:fill="auto"/>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DN</w:t>
                  </w:r>
                  <w:r>
                    <w:rPr>
                      <w:rFonts w:hint="eastAsia"/>
                      <w:color w:val="000000" w:themeColor="text1"/>
                      <w:sz w:val="21"/>
                      <w:szCs w:val="21"/>
                      <w14:textFill>
                        <w14:solidFill>
                          <w14:schemeClr w14:val="tx1"/>
                        </w14:solidFill>
                      </w14:textFill>
                    </w:rPr>
                    <w:t>7600</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12150，全容积：500m³</w:t>
                  </w:r>
                </w:p>
              </w:tc>
              <w:tc>
                <w:tcPr>
                  <w:tcW w:w="491"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596" w:type="pct"/>
                  <w:shd w:val="clear" w:color="auto" w:fill="auto"/>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-300~2000Pa</w:t>
                  </w:r>
                </w:p>
              </w:tc>
              <w:tc>
                <w:tcPr>
                  <w:tcW w:w="510" w:type="pct"/>
                  <w:shd w:val="clear" w:color="auto" w:fill="auto"/>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634"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w:t>
                  </w: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混合芳烃缓冲罐</w:t>
                  </w:r>
                </w:p>
              </w:tc>
              <w:tc>
                <w:tcPr>
                  <w:tcW w:w="6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w:t>
                  </w:r>
                  <w:r>
                    <w:rPr>
                      <w:rFonts w:hint="eastAsia"/>
                      <w:color w:val="000000" w:themeColor="text1"/>
                      <w:sz w:val="21"/>
                      <w:szCs w:val="21"/>
                      <w14:textFill>
                        <w14:solidFill>
                          <w14:schemeClr w14:val="tx1"/>
                        </w14:solidFill>
                      </w14:textFill>
                    </w:rPr>
                    <w:t>汽油组分油</w:t>
                  </w:r>
                  <w:r>
                    <w:rPr>
                      <w:rFonts w:hint="eastAsia"/>
                      <w:color w:val="000000" w:themeColor="text1"/>
                      <w:sz w:val="21"/>
                      <w:szCs w:val="21"/>
                      <w:lang w:val="en-US" w:eastAsia="zh-CN"/>
                      <w14:textFill>
                        <w14:solidFill>
                          <w14:schemeClr w14:val="tx1"/>
                        </w14:solidFill>
                      </w14:textFill>
                    </w:rPr>
                    <w:t>储罐</w:t>
                  </w:r>
                </w:p>
              </w:tc>
              <w:tc>
                <w:tcPr>
                  <w:tcW w:w="458"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eastAsia"/>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762" w:type="pct"/>
                  <w:gridSpan w:val="5"/>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小计（）</w:t>
                  </w:r>
                </w:p>
              </w:tc>
              <w:tc>
                <w:tcPr>
                  <w:tcW w:w="510" w:type="pct"/>
                  <w:shd w:val="clear" w:color="auto" w:fill="auto"/>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w:t>
                  </w:r>
                </w:p>
              </w:tc>
              <w:tc>
                <w:tcPr>
                  <w:tcW w:w="6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634" w:type="pct"/>
                  <w:shd w:val="clear" w:color="auto" w:fill="auto"/>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458" w:type="pct"/>
                  <w:vMerge w:val="continue"/>
                  <w:shd w:val="clear" w:color="auto" w:fill="auto"/>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noWrap w:val="0"/>
                  <w:vAlign w:val="center"/>
                </w:tcPr>
                <w:p>
                  <w:pPr>
                    <w:numPr>
                      <w:ilvl w:val="0"/>
                      <w:numId w:val="0"/>
                    </w:numPr>
                    <w:spacing w:line="240" w:lineRule="auto"/>
                    <w:ind w:left="425" w:leftChars="0" w:hanging="425"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6</w:t>
                  </w:r>
                </w:p>
              </w:tc>
              <w:tc>
                <w:tcPr>
                  <w:tcW w:w="603"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内浮顶罐</w:t>
                  </w:r>
                </w:p>
              </w:tc>
              <w:tc>
                <w:tcPr>
                  <w:tcW w:w="789" w:type="pct"/>
                  <w:shd w:val="clear" w:color="auto" w:fill="auto"/>
                  <w:noWrap w:val="0"/>
                  <w:vAlign w:val="center"/>
                </w:tcPr>
                <w:p>
                  <w:pPr>
                    <w:spacing w:line="240" w:lineRule="auto"/>
                    <w:ind w:firstLine="0" w:firstLineChars="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DN13300×13600</w:t>
                  </w:r>
                  <w:r>
                    <w:rPr>
                      <w:rFonts w:hint="eastAsia"/>
                      <w:color w:val="000000" w:themeColor="text1"/>
                      <w:sz w:val="21"/>
                      <w:szCs w:val="21"/>
                      <w14:textFill>
                        <w14:solidFill>
                          <w14:schemeClr w14:val="tx1"/>
                        </w14:solidFill>
                      </w14:textFill>
                    </w:rPr>
                    <w:t>，全容积：2000m³</w:t>
                  </w:r>
                </w:p>
              </w:tc>
              <w:tc>
                <w:tcPr>
                  <w:tcW w:w="491"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596" w:type="pct"/>
                  <w:shd w:val="clear" w:color="auto" w:fill="auto"/>
                  <w:noWrap w:val="0"/>
                  <w:vAlign w:val="center"/>
                </w:tcPr>
                <w:p>
                  <w:pPr>
                    <w:spacing w:line="240" w:lineRule="auto"/>
                    <w:ind w:firstLine="0" w:firstLineChars="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-300~2000Pa</w:t>
                  </w:r>
                </w:p>
              </w:tc>
              <w:tc>
                <w:tcPr>
                  <w:tcW w:w="510" w:type="pct"/>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w:t>
                  </w:r>
                </w:p>
              </w:tc>
              <w:tc>
                <w:tcPr>
                  <w:tcW w:w="1049" w:type="dxa"/>
                  <w:shd w:val="clear" w:color="auto" w:fill="auto"/>
                  <w:noWrap w:val="0"/>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用于</w:t>
                  </w: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二甲苯产品罐</w:t>
                  </w:r>
                </w:p>
              </w:tc>
              <w:tc>
                <w:tcPr>
                  <w:tcW w:w="634" w:type="pct"/>
                  <w:shd w:val="clear" w:color="auto" w:fill="auto"/>
                  <w:noWrap w:val="0"/>
                  <w:vAlign w:val="center"/>
                </w:tcPr>
                <w:p>
                  <w:pPr>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用于</w:t>
                  </w:r>
                  <w:r>
                    <w:rPr>
                      <w:rFonts w:hint="eastAsia" w:cs="Times New Roman"/>
                      <w:color w:val="000000" w:themeColor="text1"/>
                      <w:kern w:val="2"/>
                      <w:sz w:val="21"/>
                      <w:szCs w:val="21"/>
                      <w:lang w:val="en-US" w:eastAsia="zh-CN" w:bidi="ar-SA"/>
                      <w14:textFill>
                        <w14:solidFill>
                          <w14:schemeClr w14:val="tx1"/>
                        </w14:solidFill>
                      </w14:textFill>
                    </w:rPr>
                    <w:t>成品油储罐</w:t>
                  </w:r>
                </w:p>
              </w:tc>
              <w:tc>
                <w:tcPr>
                  <w:tcW w:w="458" w:type="pct"/>
                  <w:vMerge w:val="restart"/>
                  <w:shd w:val="clear" w:color="auto" w:fill="auto"/>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兼做调和罐、产品罐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noWrap w:val="0"/>
                  <w:vAlign w:val="center"/>
                </w:tcPr>
                <w:p>
                  <w:pPr>
                    <w:numPr>
                      <w:ilvl w:val="0"/>
                      <w:numId w:val="0"/>
                    </w:numPr>
                    <w:spacing w:line="240" w:lineRule="auto"/>
                    <w:ind w:left="425" w:leftChars="0" w:hanging="425"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w:t>
                  </w:r>
                </w:p>
              </w:tc>
              <w:tc>
                <w:tcPr>
                  <w:tcW w:w="603" w:type="pct"/>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内浮顶罐</w:t>
                  </w:r>
                </w:p>
              </w:tc>
              <w:tc>
                <w:tcPr>
                  <w:tcW w:w="789"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DN</w:t>
                  </w:r>
                  <w:r>
                    <w:rPr>
                      <w:rFonts w:hint="eastAsia"/>
                      <w:color w:val="000000" w:themeColor="text1"/>
                      <w:sz w:val="21"/>
                      <w:szCs w:val="21"/>
                      <w14:textFill>
                        <w14:solidFill>
                          <w14:schemeClr w14:val="tx1"/>
                        </w14:solidFill>
                      </w14:textFill>
                    </w:rPr>
                    <w:t>10800</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12880，全容积：1000m³</w:t>
                  </w:r>
                </w:p>
              </w:tc>
              <w:tc>
                <w:tcPr>
                  <w:tcW w:w="491" w:type="pct"/>
                  <w:noWrap w:val="0"/>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596"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-300~2000Pa</w:t>
                  </w:r>
                </w:p>
              </w:tc>
              <w:tc>
                <w:tcPr>
                  <w:tcW w:w="510"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0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用于</w:t>
                  </w: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馏分罐</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用于</w:t>
                  </w:r>
                  <w:r>
                    <w:rPr>
                      <w:rFonts w:hint="eastAsia" w:cs="Times New Roman"/>
                      <w:color w:val="000000" w:themeColor="text1"/>
                      <w:kern w:val="2"/>
                      <w:sz w:val="21"/>
                      <w:szCs w:val="21"/>
                      <w:lang w:val="en-US" w:eastAsia="zh-CN" w:bidi="ar-SA"/>
                      <w14:textFill>
                        <w14:solidFill>
                          <w14:schemeClr w14:val="tx1"/>
                        </w14:solidFill>
                      </w14:textFill>
                    </w:rPr>
                    <w:t>成品油储罐</w:t>
                  </w:r>
                </w:p>
              </w:tc>
              <w:tc>
                <w:tcPr>
                  <w:tcW w:w="45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762" w:type="pct"/>
                  <w:gridSpan w:val="5"/>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小计</w:t>
                  </w:r>
                </w:p>
              </w:tc>
              <w:tc>
                <w:tcPr>
                  <w:tcW w:w="510" w:type="pct"/>
                  <w:noWrap w:val="0"/>
                  <w:vAlign w:val="center"/>
                </w:tcPr>
                <w:p>
                  <w:pPr>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6</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w:t>
                  </w:r>
                </w:p>
              </w:tc>
              <w:tc>
                <w:tcPr>
                  <w:tcW w:w="45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000000" w:themeColor="text1"/>
                      <w:kern w:val="2"/>
                      <w:sz w:val="21"/>
                      <w:szCs w:val="21"/>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762" w:type="pct"/>
                  <w:gridSpan w:val="5"/>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合计</w:t>
                  </w:r>
                </w:p>
              </w:tc>
              <w:tc>
                <w:tcPr>
                  <w:tcW w:w="510" w:type="pct"/>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13</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63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w:t>
                  </w:r>
                </w:p>
              </w:tc>
              <w:tc>
                <w:tcPr>
                  <w:tcW w:w="45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000000" w:themeColor="text1"/>
                      <w:kern w:val="2"/>
                      <w:sz w:val="21"/>
                      <w:szCs w:val="21"/>
                      <w:lang w:val="en-US" w:eastAsia="zh-CN" w:bidi="ar-SA"/>
                      <w14:textFill>
                        <w14:solidFill>
                          <w14:schemeClr w14:val="tx1"/>
                        </w14:solidFill>
                      </w14:textFill>
                    </w:rPr>
                  </w:pPr>
                </w:p>
              </w:tc>
            </w:tr>
          </w:tbl>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3、原辅材料</w:t>
            </w:r>
          </w:p>
          <w:p>
            <w:pPr>
              <w:pStyle w:val="62"/>
              <w:ind w:firstLine="480"/>
              <w:jc w:val="center"/>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表2-4 项目原辅料一览表</w:t>
            </w:r>
          </w:p>
          <w:tbl>
            <w:tblPr>
              <w:tblStyle w:val="27"/>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5"/>
              <w:gridCol w:w="1878"/>
              <w:gridCol w:w="1299"/>
              <w:gridCol w:w="1443"/>
              <w:gridCol w:w="1315"/>
              <w:gridCol w:w="1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blHeader/>
                <w:jc w:val="center"/>
              </w:trPr>
              <w:tc>
                <w:tcPr>
                  <w:tcW w:w="469" w:type="pct"/>
                  <w:noWrap w:val="0"/>
                  <w:vAlign w:val="center"/>
                </w:tcPr>
                <w:p>
                  <w:pPr>
                    <w:keepNext w:val="0"/>
                    <w:keepLines w:val="0"/>
                    <w:pageBreakBefore w:val="0"/>
                    <w:widowControl w:val="0"/>
                    <w:kinsoku/>
                    <w:wordWrap/>
                    <w:overflowPunct/>
                    <w:topLinePunct w:val="0"/>
                    <w:autoSpaceDE/>
                    <w:autoSpaceDN/>
                    <w:bidi w:val="0"/>
                    <w:adjustRightInd w:val="0"/>
                    <w:snapToGrid w:val="0"/>
                    <w:ind w:left="0" w:firstLine="0" w:firstLineChars="0"/>
                    <w:jc w:val="center"/>
                    <w:textAlignment w:val="auto"/>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序号</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ind w:left="0" w:firstLine="0" w:firstLineChars="0"/>
                    <w:jc w:val="center"/>
                    <w:textAlignment w:val="auto"/>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名称</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年消耗量/t</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最大储存量t</w:t>
                  </w:r>
                </w:p>
              </w:tc>
              <w:tc>
                <w:tcPr>
                  <w:tcW w:w="806" w:type="pct"/>
                  <w:noWrap w:val="0"/>
                  <w:vAlign w:val="center"/>
                </w:tcPr>
                <w:p>
                  <w:pPr>
                    <w:keepNext w:val="0"/>
                    <w:keepLines w:val="0"/>
                    <w:pageBreakBefore w:val="0"/>
                    <w:widowControl w:val="0"/>
                    <w:kinsoku/>
                    <w:wordWrap/>
                    <w:overflowPunct/>
                    <w:topLinePunct w:val="0"/>
                    <w:autoSpaceDE/>
                    <w:autoSpaceDN/>
                    <w:bidi w:val="0"/>
                    <w:adjustRightInd w:val="0"/>
                    <w:snapToGrid w:val="0"/>
                    <w:ind w:left="0" w:firstLine="0" w:firstLineChars="0"/>
                    <w:jc w:val="center"/>
                    <w:textAlignment w:val="auto"/>
                    <w:rPr>
                      <w:rFonts w:hint="eastAsia" w:eastAsia="宋体"/>
                      <w:b/>
                      <w:bCs/>
                      <w:color w:val="000000" w:themeColor="text1"/>
                      <w:sz w:val="21"/>
                      <w:szCs w:val="21"/>
                      <w:lang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储存位置</w:t>
                  </w: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ind w:left="0" w:firstLine="0" w:firstLineChars="0"/>
                    <w:jc w:val="center"/>
                    <w:textAlignment w:val="auto"/>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煤基柴油</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w:t>
                  </w:r>
                  <w:r>
                    <w:rPr>
                      <w:rFonts w:hint="eastAsia"/>
                      <w:color w:val="000000" w:themeColor="text1"/>
                      <w:sz w:val="21"/>
                      <w:szCs w:val="21"/>
                      <w14:textFill>
                        <w14:solidFill>
                          <w14:schemeClr w14:val="tx1"/>
                        </w14:solidFill>
                      </w14:textFill>
                    </w:rPr>
                    <w:t>000</w:t>
                  </w:r>
                  <w:r>
                    <w:rPr>
                      <w:rFonts w:hint="eastAsia"/>
                      <w:color w:val="000000" w:themeColor="text1"/>
                      <w:sz w:val="21"/>
                      <w:szCs w:val="21"/>
                      <w:lang w:val="en-US" w:eastAsia="zh-CN"/>
                      <w14:textFill>
                        <w14:solidFill>
                          <w14:schemeClr w14:val="tx1"/>
                        </w14:solidFill>
                      </w14:textFill>
                    </w:rPr>
                    <w:t>0</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2037</w:t>
                  </w:r>
                </w:p>
              </w:tc>
              <w:tc>
                <w:tcPr>
                  <w:tcW w:w="80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煤基柴油</w:t>
                  </w:r>
                  <w:r>
                    <w:rPr>
                      <w:rFonts w:hint="eastAsia"/>
                      <w:color w:val="000000" w:themeColor="text1"/>
                      <w:sz w:val="21"/>
                      <w:szCs w:val="21"/>
                      <w14:textFill>
                        <w14:solidFill>
                          <w14:schemeClr w14:val="tx1"/>
                        </w14:solidFill>
                      </w14:textFill>
                    </w:rPr>
                    <w:t>罐</w:t>
                  </w: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罐区一、罐区二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2</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轻质柴油</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rFonts w:hint="eastAsia"/>
                      <w:color w:val="000000" w:themeColor="text1"/>
                      <w:sz w:val="21"/>
                      <w:szCs w:val="21"/>
                      <w:lang w:val="en-US" w:eastAsia="zh-CN"/>
                      <w14:textFill>
                        <w14:solidFill>
                          <w14:schemeClr w14:val="tx1"/>
                        </w14:solidFill>
                      </w14:textFill>
                    </w:rPr>
                    <w:t>4</w:t>
                  </w:r>
                  <w:r>
                    <w:rPr>
                      <w:rFonts w:hint="eastAsia"/>
                      <w:color w:val="000000" w:themeColor="text1"/>
                      <w:sz w:val="21"/>
                      <w:szCs w:val="21"/>
                      <w14:textFill>
                        <w14:solidFill>
                          <w14:schemeClr w14:val="tx1"/>
                        </w14:solidFill>
                      </w14:textFill>
                    </w:rPr>
                    <w:t>0000</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4032</w:t>
                  </w:r>
                </w:p>
              </w:tc>
              <w:tc>
                <w:tcPr>
                  <w:tcW w:w="80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000000" w:themeColor="text1"/>
                      <w:sz w:val="21"/>
                      <w:szCs w:val="21"/>
                      <w:lang w:val="en-US"/>
                      <w14:textFill>
                        <w14:solidFill>
                          <w14:schemeClr w14:val="tx1"/>
                        </w14:solidFill>
                      </w14:textFill>
                    </w:rPr>
                  </w:pPr>
                  <w:r>
                    <w:rPr>
                      <w:rFonts w:hint="eastAsia"/>
                      <w:color w:val="000000" w:themeColor="text1"/>
                      <w:sz w:val="21"/>
                      <w:szCs w:val="21"/>
                      <w:lang w:eastAsia="zh-CN"/>
                      <w14:textFill>
                        <w14:solidFill>
                          <w14:schemeClr w14:val="tx1"/>
                        </w14:solidFill>
                      </w14:textFill>
                    </w:rPr>
                    <w:t>轻质柴油</w:t>
                  </w:r>
                  <w:r>
                    <w:rPr>
                      <w:rFonts w:hint="eastAsia"/>
                      <w:color w:val="000000" w:themeColor="text1"/>
                      <w:sz w:val="21"/>
                      <w:szCs w:val="21"/>
                      <w14:textFill>
                        <w14:solidFill>
                          <w14:schemeClr w14:val="tx1"/>
                        </w14:solidFill>
                      </w14:textFill>
                    </w:rPr>
                    <w:t>罐</w:t>
                  </w: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罐区一、罐区二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汽油组分油</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10000</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318.75</w:t>
                  </w:r>
                </w:p>
              </w:tc>
              <w:tc>
                <w:tcPr>
                  <w:tcW w:w="80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汽油组分罐</w:t>
                  </w: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罐区二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降凝剂</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400</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80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罐区</w:t>
                  </w: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柴油十六烷值改进剂</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400</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80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罐区</w:t>
                  </w: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6</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抗磨剂</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80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罐区</w:t>
                  </w: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7</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FF0000"/>
                      <w:sz w:val="21"/>
                      <w:szCs w:val="21"/>
                    </w:rPr>
                  </w:pPr>
                  <w:r>
                    <w:rPr>
                      <w:rFonts w:hint="eastAsia"/>
                      <w:color w:val="FF0000"/>
                      <w:sz w:val="21"/>
                      <w:szCs w:val="21"/>
                    </w:rPr>
                    <w:t>PAC(聚合氯化铝)</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FF0000"/>
                      <w:sz w:val="21"/>
                      <w:szCs w:val="21"/>
                      <w:lang w:val="en-US" w:eastAsia="zh-CN"/>
                    </w:rPr>
                  </w:pPr>
                  <w:r>
                    <w:rPr>
                      <w:rFonts w:hint="eastAsia"/>
                      <w:color w:val="FF0000"/>
                      <w:sz w:val="21"/>
                      <w:szCs w:val="21"/>
                      <w:lang w:val="en-US" w:eastAsia="zh-CN"/>
                    </w:rPr>
                    <w:t>1</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0.2</w:t>
                  </w:r>
                </w:p>
              </w:tc>
              <w:tc>
                <w:tcPr>
                  <w:tcW w:w="80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污水处理站房</w:t>
                  </w: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8</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FF0000"/>
                      <w:sz w:val="21"/>
                      <w:szCs w:val="21"/>
                    </w:rPr>
                  </w:pPr>
                  <w:r>
                    <w:rPr>
                      <w:rFonts w:hint="eastAsia"/>
                      <w:color w:val="FF0000"/>
                      <w:sz w:val="21"/>
                      <w:szCs w:val="21"/>
                    </w:rPr>
                    <w:t>PAM（聚丙烯酰胺）</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0.1</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0.1</w:t>
                  </w:r>
                </w:p>
              </w:tc>
              <w:tc>
                <w:tcPr>
                  <w:tcW w:w="8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FF0000"/>
                      <w:sz w:val="21"/>
                      <w:szCs w:val="21"/>
                      <w:lang w:val="en-US" w:eastAsia="zh-CN"/>
                    </w:rPr>
                  </w:pP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9</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FF0000"/>
                      <w:sz w:val="21"/>
                      <w:szCs w:val="21"/>
                    </w:rPr>
                  </w:pPr>
                  <w:r>
                    <w:rPr>
                      <w:rFonts w:hint="eastAsia"/>
                      <w:color w:val="FF0000"/>
                      <w:sz w:val="21"/>
                      <w:szCs w:val="21"/>
                    </w:rPr>
                    <w:t>硫酸亚铁</w:t>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FF0000"/>
                      <w:sz w:val="21"/>
                      <w:szCs w:val="21"/>
                      <w:lang w:val="en-US" w:eastAsia="zh-CN"/>
                    </w:rPr>
                  </w:pPr>
                  <w:r>
                    <w:rPr>
                      <w:rFonts w:hint="eastAsia"/>
                      <w:color w:val="FF0000"/>
                      <w:sz w:val="21"/>
                      <w:szCs w:val="21"/>
                      <w:lang w:val="en-US" w:eastAsia="zh-CN"/>
                    </w:rPr>
                    <w:t>1</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0.2</w:t>
                  </w:r>
                </w:p>
              </w:tc>
              <w:tc>
                <w:tcPr>
                  <w:tcW w:w="8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color w:val="FF0000"/>
                      <w:sz w:val="21"/>
                      <w:szCs w:val="21"/>
                      <w:lang w:val="en-US" w:eastAsia="zh-CN"/>
                    </w:rPr>
                  </w:pP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10</w:t>
                  </w:r>
                </w:p>
              </w:tc>
              <w:tc>
                <w:tcPr>
                  <w:tcW w:w="11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color w:val="FF0000"/>
                      <w:sz w:val="21"/>
                      <w:szCs w:val="21"/>
                      <w:lang w:val="en-US" w:eastAsia="zh-CN"/>
                    </w:rPr>
                  </w:pPr>
                  <w:r>
                    <w:rPr>
                      <w:rFonts w:hint="eastAsia"/>
                      <w:color w:val="FF0000"/>
                      <w:sz w:val="21"/>
                      <w:szCs w:val="21"/>
                      <w:lang w:val="en-US" w:eastAsia="zh-CN"/>
                    </w:rPr>
                    <w:t>液</w:t>
                  </w:r>
                  <w:commentRangeStart w:id="35"/>
                  <w:r>
                    <w:rPr>
                      <w:rFonts w:hint="eastAsia"/>
                      <w:color w:val="FF0000"/>
                      <w:sz w:val="21"/>
                      <w:szCs w:val="21"/>
                      <w:lang w:val="en-US" w:eastAsia="zh-CN"/>
                    </w:rPr>
                    <w:t>氮</w:t>
                  </w:r>
                  <w:commentRangeEnd w:id="35"/>
                  <w:r>
                    <w:commentReference w:id="35"/>
                  </w:r>
                </w:p>
              </w:tc>
              <w:tc>
                <w:tcPr>
                  <w:tcW w:w="7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1</w:t>
                  </w:r>
                </w:p>
              </w:tc>
              <w:tc>
                <w:tcPr>
                  <w:tcW w:w="8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0.25</w:t>
                  </w:r>
                </w:p>
              </w:tc>
              <w:tc>
                <w:tcPr>
                  <w:tcW w:w="80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油气回收装置区</w:t>
                  </w:r>
                </w:p>
              </w:tc>
              <w:tc>
                <w:tcPr>
                  <w:tcW w:w="89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color w:val="FF0000"/>
                      <w:sz w:val="21"/>
                      <w:szCs w:val="21"/>
                      <w:lang w:val="en-US" w:eastAsia="zh-CN"/>
                    </w:rPr>
                  </w:pPr>
                  <w:r>
                    <w:rPr>
                      <w:rFonts w:hint="eastAsia"/>
                      <w:color w:val="FF0000"/>
                      <w:sz w:val="21"/>
                      <w:szCs w:val="21"/>
                      <w:lang w:val="en-US" w:eastAsia="zh-CN"/>
                    </w:rPr>
                    <w:t>罐装</w:t>
                  </w:r>
                  <w:r>
                    <w:commentReference w:id="36"/>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jc w:val="both"/>
              <w:textAlignment w:val="auto"/>
              <w:rPr>
                <w:rFonts w:hint="default" w:ascii="Times New Roman" w:hAnsi="Times New Roman" w:eastAsia="宋体" w:cs="Times New Roman"/>
                <w:b/>
                <w:bCs w:val="0"/>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lang w:val="en-US" w:eastAsia="zh-CN"/>
                <w14:textFill>
                  <w14:solidFill>
                    <w14:schemeClr w14:val="tx1"/>
                  </w14:solidFill>
                </w14:textFill>
              </w:rPr>
              <w:t>原料的理化性质：</w:t>
            </w:r>
          </w:p>
          <w:p>
            <w:pPr>
              <w:pStyle w:val="95"/>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000000" w:themeColor="text1"/>
                <w:sz w:val="21"/>
                <w:szCs w:val="21"/>
                <w:lang w:val="en-US" w:eastAsia="zh-CN"/>
                <w14:textFill>
                  <w14:solidFill>
                    <w14:schemeClr w14:val="tx1"/>
                  </w14:solidFill>
                </w14:textFill>
              </w:rPr>
            </w:pPr>
            <w:r>
              <w:rPr>
                <w:rFonts w:hint="default" w:ascii="Times New Roman" w:hAnsi="Times New Roman" w:cs="Times New Roman"/>
                <w:b/>
                <w:bCs/>
                <w:color w:val="000000" w:themeColor="text1"/>
                <w:sz w:val="21"/>
                <w:szCs w:val="21"/>
                <w:lang w:val="en-US" w:eastAsia="zh-CN"/>
                <w14:textFill>
                  <w14:solidFill>
                    <w14:schemeClr w14:val="tx1"/>
                  </w14:solidFill>
                </w14:textFill>
              </w:rPr>
              <w:t>表2-</w:t>
            </w:r>
            <w:r>
              <w:rPr>
                <w:rFonts w:hint="eastAsia" w:ascii="Times New Roman" w:hAnsi="Times New Roman" w:cs="Times New Roman"/>
                <w:b/>
                <w:bCs/>
                <w:color w:val="000000" w:themeColor="text1"/>
                <w:sz w:val="21"/>
                <w:szCs w:val="21"/>
                <w:lang w:val="en-US" w:eastAsia="zh-CN"/>
                <w14:textFill>
                  <w14:solidFill>
                    <w14:schemeClr w14:val="tx1"/>
                  </w14:solidFill>
                </w14:textFill>
              </w:rPr>
              <w:t>5</w:t>
            </w:r>
            <w:r>
              <w:rPr>
                <w:rFonts w:hint="default" w:ascii="Times New Roman" w:hAnsi="Times New Roman" w:cs="Times New Roman"/>
                <w:b/>
                <w:bCs/>
                <w:color w:val="000000" w:themeColor="text1"/>
                <w:sz w:val="21"/>
                <w:szCs w:val="21"/>
                <w:lang w:val="en-US" w:eastAsia="zh-CN"/>
                <w14:textFill>
                  <w14:solidFill>
                    <w14:schemeClr w14:val="tx1"/>
                  </w14:solidFill>
                </w14:textFill>
              </w:rPr>
              <w:t xml:space="preserve"> 项目原料理化性质表</w:t>
            </w:r>
          </w:p>
          <w:tbl>
            <w:tblPr>
              <w:tblStyle w:val="28"/>
              <w:tblW w:w="804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68"/>
              <w:gridCol w:w="547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0" w:type="dxa"/>
                  <w:gridSpan w:val="2"/>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汽油组分油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外观与性状</w:t>
                  </w:r>
                </w:p>
              </w:tc>
              <w:tc>
                <w:tcPr>
                  <w:tcW w:w="5472"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有色透明液体</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、挥发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熔点（ ℃)</w:t>
                  </w:r>
                </w:p>
              </w:tc>
              <w:tc>
                <w:tcPr>
                  <w:tcW w:w="5472"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 xml:space="preserve">相对密度（水=1) </w:t>
                  </w:r>
                </w:p>
              </w:tc>
              <w:tc>
                <w:tcPr>
                  <w:tcW w:w="5472"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0.70~0.75</w:t>
                  </w:r>
                  <w:r>
                    <w:rPr>
                      <w:rFonts w:hint="eastAsia" w:cs="Times New Roman"/>
                      <w:b w:val="0"/>
                      <w:bCs w:val="0"/>
                      <w:color w:val="000000" w:themeColor="text1"/>
                      <w:sz w:val="21"/>
                      <w:szCs w:val="21"/>
                      <w:lang w:val="en-US" w:eastAsia="zh-CN"/>
                      <w14:textFill>
                        <w14:solidFill>
                          <w14:schemeClr w14:val="tx1"/>
                        </w14:solidFill>
                      </w14:textFill>
                    </w:rPr>
                    <w:t>，本项目取0.75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相对</w:t>
                  </w:r>
                  <w:r>
                    <w:rPr>
                      <w:rFonts w:hint="eastAsia" w:ascii="Times New Roman" w:hAnsi="Times New Roman" w:eastAsia="宋体" w:cs="Times New Roman"/>
                      <w:color w:val="000000" w:themeColor="text1"/>
                      <w:sz w:val="21"/>
                      <w:szCs w:val="21"/>
                      <w:lang w:eastAsia="zh-CN"/>
                      <w14:textFill>
                        <w14:solidFill>
                          <w14:schemeClr w14:val="tx1"/>
                        </w14:solidFill>
                      </w14:textFill>
                    </w:rPr>
                    <w:t>蒸气</w:t>
                  </w:r>
                  <w:r>
                    <w:rPr>
                      <w:rFonts w:hint="default" w:ascii="Times New Roman" w:hAnsi="Times New Roman" w:eastAsia="宋体" w:cs="Times New Roman"/>
                      <w:color w:val="000000" w:themeColor="text1"/>
                      <w:sz w:val="21"/>
                      <w:szCs w:val="21"/>
                      <w14:textFill>
                        <w14:solidFill>
                          <w14:schemeClr w14:val="tx1"/>
                        </w14:solidFill>
                      </w14:textFill>
                    </w:rPr>
                    <w:t>密度（</w:t>
                  </w:r>
                  <w:r>
                    <w:rPr>
                      <w:rFonts w:hint="eastAsia" w:ascii="Times New Roman" w:hAnsi="Times New Roman" w:eastAsia="宋体" w:cs="Times New Roman"/>
                      <w:color w:val="000000" w:themeColor="text1"/>
                      <w:sz w:val="21"/>
                      <w:szCs w:val="21"/>
                      <w:lang w:eastAsia="zh-CN"/>
                      <w14:textFill>
                        <w14:solidFill>
                          <w14:schemeClr w14:val="tx1"/>
                        </w14:solidFill>
                      </w14:textFill>
                    </w:rPr>
                    <w:t>空气</w:t>
                  </w:r>
                  <w:r>
                    <w:rPr>
                      <w:rFonts w:hint="default" w:ascii="Times New Roman" w:hAnsi="Times New Roman" w:eastAsia="宋体" w:cs="Times New Roman"/>
                      <w:color w:val="000000" w:themeColor="text1"/>
                      <w:sz w:val="21"/>
                      <w:szCs w:val="21"/>
                      <w14:textFill>
                        <w14:solidFill>
                          <w14:schemeClr w14:val="tx1"/>
                        </w14:solidFill>
                      </w14:textFill>
                    </w:rPr>
                    <w:t xml:space="preserve">=1) </w:t>
                  </w:r>
                </w:p>
              </w:tc>
              <w:tc>
                <w:tcPr>
                  <w:tcW w:w="5472"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1.59-4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燃烧热(k j/</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l</w:t>
                  </w:r>
                  <w:r>
                    <w:rPr>
                      <w:rFonts w:hint="default" w:ascii="Times New Roman" w:hAnsi="Times New Roman" w:eastAsia="宋体" w:cs="Times New Roman"/>
                      <w:color w:val="000000" w:themeColor="text1"/>
                      <w:sz w:val="21"/>
                      <w:szCs w:val="21"/>
                      <w14:textFill>
                        <w14:solidFill>
                          <w14:schemeClr w14:val="tx1"/>
                        </w14:solidFill>
                      </w14:textFill>
                    </w:rPr>
                    <w:t xml:space="preserve">) </w:t>
                  </w:r>
                </w:p>
              </w:tc>
              <w:tc>
                <w:tcPr>
                  <w:tcW w:w="5472"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30</w:t>
                  </w: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000</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--46</w:t>
                  </w: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沸点（ ℃)</w:t>
                  </w:r>
                </w:p>
              </w:tc>
              <w:tc>
                <w:tcPr>
                  <w:tcW w:w="5472"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180~3360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 xml:space="preserve">闪点( ℃) : </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 xml:space="preserve">爆炸上限%( V/v ) </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引燃温度（℃) :</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75-120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 xml:space="preserve">爆炸下限%(V/v ) </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溶解性</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不溶于水，溶于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醇等</w:t>
                  </w:r>
                  <w:r>
                    <w:rPr>
                      <w:rFonts w:hint="default" w:ascii="Times New Roman" w:hAnsi="Times New Roman" w:eastAsia="宋体" w:cs="Times New Roman"/>
                      <w:color w:val="000000" w:themeColor="text1"/>
                      <w:sz w:val="21"/>
                      <w:szCs w:val="21"/>
                      <w14:textFill>
                        <w14:solidFill>
                          <w14:schemeClr w14:val="tx1"/>
                        </w14:solidFill>
                      </w14:textFill>
                    </w:rPr>
                    <w:t>溶剂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主要用途</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用作</w:t>
                  </w:r>
                  <w:r>
                    <w:rPr>
                      <w:rFonts w:hint="eastAsia" w:ascii="Times New Roman" w:hAnsi="Times New Roman" w:cs="Times New Roman"/>
                      <w:color w:val="000000" w:themeColor="text1"/>
                      <w:sz w:val="21"/>
                      <w:szCs w:val="21"/>
                      <w:lang w:val="en-US" w:eastAsia="zh-CN"/>
                      <w14:textFill>
                        <w14:solidFill>
                          <w14:schemeClr w14:val="tx1"/>
                        </w14:solidFill>
                      </w14:textFill>
                    </w:rPr>
                    <w:t>汽油</w:t>
                  </w:r>
                  <w:r>
                    <w:rPr>
                      <w:rFonts w:hint="default" w:ascii="Times New Roman" w:hAnsi="Times New Roman" w:eastAsia="宋体" w:cs="Times New Roman"/>
                      <w:color w:val="000000" w:themeColor="text1"/>
                      <w:sz w:val="21"/>
                      <w:szCs w:val="21"/>
                      <w14:textFill>
                        <w14:solidFill>
                          <w14:schemeClr w14:val="tx1"/>
                        </w14:solidFill>
                      </w14:textFill>
                    </w:rPr>
                    <w:t>机的燃料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0" w:type="dxa"/>
                  <w:gridSpan w:val="2"/>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b/>
                      <w:bCs/>
                      <w:color w:val="000000" w:themeColor="text1"/>
                      <w:sz w:val="21"/>
                      <w:szCs w:val="21"/>
                      <w:lang w:val="en-US" w:eastAsia="zh-CN"/>
                      <w14:textFill>
                        <w14:solidFill>
                          <w14:schemeClr w14:val="tx1"/>
                        </w14:solidFill>
                      </w14:textFill>
                    </w:rPr>
                    <w:t>柴油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外观与性状</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浅黄色</w:t>
                  </w:r>
                  <w:r>
                    <w:rPr>
                      <w:rFonts w:hint="default" w:ascii="Times New Roman" w:hAnsi="Times New Roman" w:eastAsia="宋体" w:cs="Times New Roman"/>
                      <w:color w:val="000000" w:themeColor="text1"/>
                      <w:sz w:val="21"/>
                      <w:szCs w:val="21"/>
                      <w14:textFill>
                        <w14:solidFill>
                          <w14:schemeClr w14:val="tx1"/>
                        </w14:solidFill>
                      </w14:textFill>
                    </w:rPr>
                    <w:t>液体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相对密度（水=1）</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本项目煤基柴油取</w:t>
                  </w:r>
                  <w:r>
                    <w:rPr>
                      <w:rFonts w:hint="eastAsia"/>
                      <w:color w:val="000000" w:themeColor="text1"/>
                      <w:sz w:val="21"/>
                      <w:szCs w:val="21"/>
                      <w:lang w:val="en-US" w:eastAsia="zh-CN"/>
                      <w14:textFill>
                        <w14:solidFill>
                          <w14:schemeClr w14:val="tx1"/>
                        </w14:solidFill>
                      </w14:textFill>
                    </w:rPr>
                    <w:t>0.77、轻质化柴油取</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0.8</w:t>
                  </w:r>
                  <w:r>
                    <w:rPr>
                      <w:rFonts w:hint="eastAsia" w:ascii="Times New Roman" w:hAnsi="Times New Roman" w:cs="Times New Roman"/>
                      <w:color w:val="000000" w:themeColor="text1"/>
                      <w:sz w:val="21"/>
                      <w:szCs w:val="21"/>
                      <w:lang w:val="en-US" w:eastAsia="zh-CN"/>
                      <w14:textFill>
                        <w14:solidFill>
                          <w14:schemeClr w14:val="tx1"/>
                        </w14:solidFill>
                      </w14:textFill>
                    </w:rPr>
                    <w:t>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沸点(℃)</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230~</w:t>
                  </w:r>
                  <w:r>
                    <w:rPr>
                      <w:rFonts w:hint="default" w:ascii="Times New Roman" w:hAnsi="Times New Roman" w:eastAsia="宋体" w:cs="Times New Roman"/>
                      <w:color w:val="000000" w:themeColor="text1"/>
                      <w:sz w:val="21"/>
                      <w:szCs w:val="21"/>
                      <w14:textFill>
                        <w14:solidFill>
                          <w14:schemeClr w14:val="tx1"/>
                        </w14:solidFill>
                      </w14:textFill>
                    </w:rPr>
                    <w:t>360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相对蒸气密度（空气=1)</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1.59~4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燃烧热（kJ/1)</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30000~46000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闪点（℃)</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引燃温度（℃)</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220~260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 xml:space="preserve">爆炸上限%( V/v ) </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 xml:space="preserve">爆炸下限%(V/v ) </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溶解性</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不溶于水，溶于醇等溶剂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主要用途</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用作柴油机的燃料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0" w:type="dxa"/>
                  <w:gridSpan w:val="2"/>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降凝剂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外观与性状</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水白色至淡黄色液体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密度kg/m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890~930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凝点℃</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闪点℃</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66~72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0" w:type="dxa"/>
                  <w:gridSpan w:val="2"/>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b/>
                      <w:bCs/>
                      <w:color w:val="000000" w:themeColor="text1"/>
                      <w:sz w:val="21"/>
                      <w:szCs w:val="21"/>
                      <w:lang w:val="en-US" w:eastAsia="zh-CN"/>
                      <w14:textFill>
                        <w14:solidFill>
                          <w14:schemeClr w14:val="tx1"/>
                        </w14:solidFill>
                      </w14:textFill>
                    </w:rPr>
                    <w:t>抗磨剂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外观与性状</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淡黄</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色液体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密度kg/m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890~930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运动粘度</w:t>
                  </w:r>
                  <w:r>
                    <w:rPr>
                      <w:rFonts w:ascii="Helvetica" w:hAnsi="Helvetica" w:eastAsia="Helvetica" w:cs="Helvetica"/>
                      <w:i w:val="0"/>
                      <w:iCs w:val="0"/>
                      <w:caps w:val="0"/>
                      <w:color w:val="000000" w:themeColor="text1"/>
                      <w:spacing w:val="0"/>
                      <w:sz w:val="18"/>
                      <w:szCs w:val="18"/>
                      <w:shd w:val="clear" w:fill="F5F5F5"/>
                      <w14:textFill>
                        <w14:solidFill>
                          <w14:schemeClr w14:val="tx1"/>
                        </w14:solidFill>
                      </w14:textFill>
                    </w:rPr>
                    <w:t>mm²/s</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闪点℃</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40" w:type="dxa"/>
                  <w:gridSpan w:val="2"/>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b/>
                      <w:bCs/>
                      <w:color w:val="000000" w:themeColor="text1"/>
                      <w:sz w:val="21"/>
                      <w:szCs w:val="21"/>
                      <w14:textFill>
                        <w14:solidFill>
                          <w14:schemeClr w14:val="tx1"/>
                        </w14:solidFill>
                      </w14:textFill>
                    </w:rPr>
                    <w:t>柴油十六烷值改进剂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外观与性状</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水白色液体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密度kg/m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凝点（℃）</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-60~-65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68" w:type="dxa"/>
                  <w:noWrap w:val="0"/>
                  <w:vAlign w:val="top"/>
                </w:tcPr>
                <w:p>
                  <w:pPr>
                    <w:keepNext/>
                    <w:keepLines/>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凝固点</w:t>
                  </w:r>
                </w:p>
              </w:tc>
              <w:tc>
                <w:tcPr>
                  <w:tcW w:w="5472" w:type="dxa"/>
                  <w:noWrap w:val="0"/>
                  <w:vAlign w:val="top"/>
                </w:tcPr>
                <w:p>
                  <w:pPr>
                    <w:pStyle w:val="2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1200" w:leftChars="0" w:hanging="120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r>
          </w:tbl>
          <w:p>
            <w:pPr>
              <w:pStyle w:val="62"/>
              <w:ind w:firstLine="48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4、产品方案及标准</w:t>
            </w:r>
          </w:p>
          <w:p>
            <w:pPr>
              <w:pStyle w:val="62"/>
              <w:ind w:firstLine="480"/>
              <w:rPr>
                <w:rFonts w:hint="eastAsia"/>
                <w:b/>
                <w:bCs/>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改建后产品方案见表2-6。</w:t>
            </w:r>
          </w:p>
          <w:p>
            <w:pPr>
              <w:pStyle w:val="62"/>
              <w:ind w:firstLine="48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表2-6 项目产品方案一览表</w:t>
            </w:r>
            <w:r>
              <w:commentReference w:id="37"/>
            </w:r>
          </w:p>
          <w:tbl>
            <w:tblPr>
              <w:tblStyle w:val="2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2595"/>
              <w:gridCol w:w="1450"/>
              <w:gridCol w:w="1190"/>
              <w:gridCol w:w="1190"/>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trPr>
              <w:tc>
                <w:tcPr>
                  <w:tcW w:w="530"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序号</w:t>
                  </w:r>
                </w:p>
              </w:tc>
              <w:tc>
                <w:tcPr>
                  <w:tcW w:w="1588"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产品名称</w:t>
                  </w:r>
                </w:p>
              </w:tc>
              <w:tc>
                <w:tcPr>
                  <w:tcW w:w="887"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产品规格</w:t>
                  </w:r>
                </w:p>
              </w:tc>
              <w:tc>
                <w:tcPr>
                  <w:tcW w:w="728"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产量（</w:t>
                  </w:r>
                  <w:r>
                    <w:rPr>
                      <w:rFonts w:hint="eastAsia"/>
                      <w:b/>
                      <w:bCs/>
                      <w:color w:val="000000" w:themeColor="text1"/>
                      <w:sz w:val="21"/>
                      <w:szCs w:val="21"/>
                      <w:lang w:val="en-US" w:eastAsia="zh-CN"/>
                      <w14:textFill>
                        <w14:solidFill>
                          <w14:schemeClr w14:val="tx1"/>
                        </w14:solidFill>
                      </w14:textFill>
                    </w:rPr>
                    <w:t>万吨</w:t>
                  </w:r>
                  <w:r>
                    <w:rPr>
                      <w:rFonts w:hint="eastAsia"/>
                      <w:b/>
                      <w:bCs/>
                      <w:color w:val="000000" w:themeColor="text1"/>
                      <w:sz w:val="21"/>
                      <w:szCs w:val="21"/>
                      <w14:textFill>
                        <w14:solidFill>
                          <w14:schemeClr w14:val="tx1"/>
                        </w14:solidFill>
                      </w14:textFill>
                    </w:rPr>
                    <w:t>/年）</w:t>
                  </w:r>
                </w:p>
              </w:tc>
              <w:tc>
                <w:tcPr>
                  <w:tcW w:w="728" w:type="pct"/>
                  <w:noWrap w:val="0"/>
                  <w:vAlign w:val="center"/>
                </w:tcPr>
                <w:p>
                  <w:pPr>
                    <w:spacing w:line="240" w:lineRule="auto"/>
                    <w:ind w:firstLine="0" w:firstLineChars="0"/>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最大贮存量t</w:t>
                  </w:r>
                </w:p>
              </w:tc>
              <w:tc>
                <w:tcPr>
                  <w:tcW w:w="535" w:type="pct"/>
                  <w:noWrap w:val="0"/>
                  <w:vAlign w:val="center"/>
                </w:tcPr>
                <w:p>
                  <w:pPr>
                    <w:spacing w:line="240" w:lineRule="auto"/>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30" w:type="pct"/>
                  <w:noWrap w:val="0"/>
                  <w:vAlign w:val="center"/>
                </w:tcPr>
                <w:p>
                  <w:pPr>
                    <w:numPr>
                      <w:ilvl w:val="0"/>
                      <w:numId w:val="3"/>
                    </w:numPr>
                    <w:spacing w:line="240" w:lineRule="auto"/>
                    <w:ind w:firstLineChars="0"/>
                    <w:jc w:val="center"/>
                    <w:rPr>
                      <w:color w:val="000000" w:themeColor="text1"/>
                      <w:sz w:val="21"/>
                      <w:szCs w:val="21"/>
                      <w14:textFill>
                        <w14:solidFill>
                          <w14:schemeClr w14:val="tx1"/>
                        </w14:solidFill>
                      </w14:textFill>
                    </w:rPr>
                  </w:pPr>
                </w:p>
              </w:tc>
              <w:tc>
                <w:tcPr>
                  <w:tcW w:w="1588" w:type="pct"/>
                  <w:vMerge w:val="restar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柴油</w:t>
                  </w:r>
                  <w:r>
                    <w:commentReference w:id="38"/>
                  </w:r>
                </w:p>
              </w:tc>
              <w:tc>
                <w:tcPr>
                  <w:tcW w:w="887" w:type="pct"/>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w:t>
                  </w:r>
                </w:p>
              </w:tc>
              <w:tc>
                <w:tcPr>
                  <w:tcW w:w="728" w:type="pct"/>
                  <w:noWrap w:val="0"/>
                  <w:vAlign w:val="center"/>
                </w:tcPr>
                <w:p>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15</w:t>
                  </w:r>
                </w:p>
              </w:tc>
              <w:tc>
                <w:tcPr>
                  <w:tcW w:w="728" w:type="pct"/>
                  <w:vMerge w:val="restart"/>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8211</w:t>
                  </w:r>
                </w:p>
              </w:tc>
              <w:tc>
                <w:tcPr>
                  <w:tcW w:w="535" w:type="pct"/>
                  <w:vMerge w:val="restart"/>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随市场和季节变化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30" w:type="pct"/>
                  <w:noWrap w:val="0"/>
                  <w:vAlign w:val="center"/>
                </w:tcPr>
                <w:p>
                  <w:pPr>
                    <w:numPr>
                      <w:ilvl w:val="0"/>
                      <w:numId w:val="3"/>
                    </w:numPr>
                    <w:spacing w:line="240" w:lineRule="auto"/>
                    <w:ind w:firstLineChars="0"/>
                    <w:jc w:val="center"/>
                    <w:rPr>
                      <w:color w:val="000000" w:themeColor="text1"/>
                      <w:sz w:val="21"/>
                      <w:szCs w:val="21"/>
                      <w14:textFill>
                        <w14:solidFill>
                          <w14:schemeClr w14:val="tx1"/>
                        </w14:solidFill>
                      </w14:textFill>
                    </w:rPr>
                  </w:pPr>
                </w:p>
              </w:tc>
              <w:tc>
                <w:tcPr>
                  <w:tcW w:w="1588" w:type="pct"/>
                  <w:vMerge w:val="continue"/>
                  <w:noWrap w:val="0"/>
                  <w:vAlign w:val="center"/>
                </w:tcPr>
                <w:p>
                  <w:pPr>
                    <w:spacing w:line="240" w:lineRule="auto"/>
                    <w:ind w:firstLine="0" w:firstLineChars="0"/>
                    <w:jc w:val="center"/>
                    <w:rPr>
                      <w:rFonts w:hint="eastAsia"/>
                      <w:color w:val="000000" w:themeColor="text1"/>
                      <w:sz w:val="21"/>
                      <w:szCs w:val="21"/>
                      <w14:textFill>
                        <w14:solidFill>
                          <w14:schemeClr w14:val="tx1"/>
                        </w14:solidFill>
                      </w14:textFill>
                    </w:rPr>
                  </w:pPr>
                </w:p>
              </w:tc>
              <w:tc>
                <w:tcPr>
                  <w:tcW w:w="887" w:type="pct"/>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w:t>
                  </w:r>
                </w:p>
              </w:tc>
              <w:tc>
                <w:tcPr>
                  <w:tcW w:w="728" w:type="pct"/>
                  <w:noWrap w:val="0"/>
                  <w:vAlign w:val="center"/>
                </w:tcPr>
                <w:p>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w:t>
                  </w:r>
                </w:p>
              </w:tc>
              <w:tc>
                <w:tcPr>
                  <w:tcW w:w="728" w:type="pct"/>
                  <w:vMerge w:val="continue"/>
                  <w:noWrap w:val="0"/>
                  <w:vAlign w:val="center"/>
                </w:tcPr>
                <w:p>
                  <w:pPr>
                    <w:spacing w:line="240" w:lineRule="auto"/>
                    <w:ind w:firstLine="0" w:firstLineChars="0"/>
                    <w:jc w:val="center"/>
                    <w:rPr>
                      <w:rFonts w:hint="eastAsia"/>
                      <w:color w:val="000000" w:themeColor="text1"/>
                      <w:sz w:val="21"/>
                      <w:szCs w:val="21"/>
                      <w:lang w:val="en-US" w:eastAsia="zh-CN"/>
                      <w14:textFill>
                        <w14:solidFill>
                          <w14:schemeClr w14:val="tx1"/>
                        </w14:solidFill>
                      </w14:textFill>
                    </w:rPr>
                  </w:pPr>
                </w:p>
              </w:tc>
              <w:tc>
                <w:tcPr>
                  <w:tcW w:w="535" w:type="pct"/>
                  <w:vMerge w:val="continue"/>
                  <w:noWrap w:val="0"/>
                  <w:vAlign w:val="center"/>
                </w:tcPr>
                <w:p>
                  <w:pPr>
                    <w:spacing w:line="240" w:lineRule="auto"/>
                    <w:ind w:firstLine="0" w:firstLineChars="0"/>
                    <w:jc w:val="center"/>
                    <w:rPr>
                      <w:rFonts w:hint="default"/>
                      <w:color w:val="000000" w:themeColor="text1"/>
                      <w:sz w:val="21"/>
                      <w:szCs w:val="21"/>
                      <w:lang w:val="en-US" w:eastAsia="zh-CN"/>
                      <w14:textFill>
                        <w14:solidFill>
                          <w14:schemeClr w14:val="tx1"/>
                        </w14:solidFill>
                      </w14:textFill>
                    </w:rPr>
                  </w:pPr>
                </w:p>
              </w:tc>
            </w:tr>
          </w:tbl>
          <w:p>
            <w:pPr>
              <w:pStyle w:val="62"/>
              <w:ind w:firstLine="480"/>
              <w:jc w:val="both"/>
              <w:rPr>
                <w:rFonts w:hint="default"/>
                <w:b/>
                <w:bCs/>
                <w:color w:val="FF0000"/>
                <w:highlight w:val="none"/>
                <w:lang w:val="en-US" w:eastAsia="zh-CN"/>
              </w:rPr>
            </w:pPr>
            <w:r>
              <w:rPr>
                <w:rFonts w:hint="eastAsia"/>
                <w:b w:val="0"/>
                <w:bCs w:val="0"/>
                <w:color w:val="000000" w:themeColor="text1"/>
                <w:highlight w:val="none"/>
                <w:lang w:val="en-US" w:eastAsia="zh-CN"/>
                <w14:textFill>
                  <w14:solidFill>
                    <w14:schemeClr w14:val="tx1"/>
                  </w14:solidFill>
                </w14:textFill>
              </w:rPr>
              <w:t>本项目柴油产品标准执</w:t>
            </w:r>
            <w:r>
              <w:rPr>
                <w:rFonts w:hint="eastAsia"/>
                <w:b w:val="0"/>
                <w:bCs w:val="0"/>
                <w:color w:val="FF0000"/>
                <w:highlight w:val="none"/>
                <w:lang w:val="en-US" w:eastAsia="zh-CN"/>
              </w:rPr>
              <w:t>行《车用柴油》(GB 19147-2016)中的质量要求，主要指标见下表。</w:t>
            </w:r>
          </w:p>
          <w:p>
            <w:pPr>
              <w:pStyle w:val="62"/>
              <w:ind w:firstLine="480"/>
              <w:jc w:val="center"/>
              <w:rPr>
                <w:rFonts w:hint="default"/>
                <w:b/>
                <w:bCs/>
                <w:color w:val="000000" w:themeColor="text1"/>
                <w:highlight w:val="none"/>
                <w:lang w:val="en-US" w:eastAsia="zh-CN"/>
                <w14:textFill>
                  <w14:solidFill>
                    <w14:schemeClr w14:val="tx1"/>
                  </w14:solidFill>
                </w14:textFill>
              </w:rPr>
            </w:pPr>
            <w:commentRangeStart w:id="39"/>
            <w:r>
              <w:rPr>
                <w:rFonts w:hint="eastAsia"/>
                <w:b/>
                <w:bCs/>
                <w:color w:val="000000" w:themeColor="text1"/>
                <w:highlight w:val="none"/>
                <w:lang w:val="en-US" w:eastAsia="zh-CN"/>
                <w14:textFill>
                  <w14:solidFill>
                    <w14:schemeClr w14:val="tx1"/>
                  </w14:solidFill>
                </w14:textFill>
              </w:rPr>
              <w:t xml:space="preserve">表2-7 </w:t>
            </w:r>
            <w:r>
              <w:rPr>
                <w:rFonts w:hint="eastAsia"/>
                <w:b w:val="0"/>
                <w:bCs w:val="0"/>
                <w:color w:val="FF0000"/>
                <w:highlight w:val="none"/>
                <w:lang w:val="en-US" w:eastAsia="zh-CN"/>
              </w:rPr>
              <w:t>《车用柴油》(GB 19147-2016)</w:t>
            </w:r>
            <w:commentRangeEnd w:id="39"/>
            <w:r>
              <w:commentReference w:id="39"/>
            </w:r>
            <w:r>
              <w:commentReference w:id="40"/>
            </w:r>
          </w:p>
          <w:tbl>
            <w:tblPr>
              <w:tblStyle w:val="27"/>
              <w:tblW w:w="817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504"/>
              <w:gridCol w:w="1103"/>
              <w:gridCol w:w="1117"/>
              <w:gridCol w:w="145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450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项   目</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质量指标</w:t>
                  </w:r>
                </w:p>
              </w:tc>
              <w:tc>
                <w:tcPr>
                  <w:tcW w:w="145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试验方法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rPr>
                  </w:pPr>
                  <w:r>
                    <w:rPr>
                      <w:rFonts w:hint="default" w:ascii="Times New Roman" w:hAnsi="Times New Roman" w:eastAsia="宋体" w:cs="Times New Roman"/>
                      <w:i w:val="0"/>
                      <w:iCs w:val="0"/>
                      <w:color w:val="FF0000"/>
                      <w:kern w:val="0"/>
                      <w:sz w:val="21"/>
                      <w:szCs w:val="21"/>
                      <w:u w:val="none"/>
                      <w:lang w:val="en-US" w:eastAsia="zh-CN" w:bidi="ar"/>
                    </w:rPr>
                    <w:t>0</w:t>
                  </w:r>
                  <w:r>
                    <w:rPr>
                      <w:rFonts w:hint="eastAsia" w:ascii="Times New Roman" w:hAnsi="Times New Roman" w:eastAsia="宋体" w:cs="Times New Roman"/>
                      <w:i w:val="0"/>
                      <w:iCs w:val="0"/>
                      <w:color w:val="FF0000"/>
                      <w:kern w:val="0"/>
                      <w:sz w:val="21"/>
                      <w:szCs w:val="21"/>
                      <w:u w:val="none"/>
                      <w:lang w:val="en-US" w:eastAsia="zh-CN" w:bidi="ar"/>
                    </w:rPr>
                    <w:t>#</w:t>
                  </w:r>
                </w:p>
              </w:tc>
              <w:tc>
                <w:tcPr>
                  <w:tcW w:w="11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rPr>
                  </w:pPr>
                  <w:r>
                    <w:rPr>
                      <w:rFonts w:hint="default" w:ascii="Times New Roman" w:hAnsi="Times New Roman" w:eastAsia="宋体" w:cs="Times New Roman"/>
                      <w:i w:val="0"/>
                      <w:iCs w:val="0"/>
                      <w:color w:val="FF0000"/>
                      <w:kern w:val="0"/>
                      <w:sz w:val="21"/>
                      <w:szCs w:val="21"/>
                      <w:u w:val="none"/>
                      <w:lang w:val="en-US" w:eastAsia="zh-CN" w:bidi="ar"/>
                    </w:rPr>
                    <w:t>-10</w:t>
                  </w:r>
                  <w:r>
                    <w:rPr>
                      <w:rFonts w:hint="eastAsia" w:ascii="Times New Roman" w:hAnsi="Times New Roman" w:eastAsia="宋体" w:cs="Times New Roman"/>
                      <w:i w:val="0"/>
                      <w:iCs w:val="0"/>
                      <w:color w:val="FF0000"/>
                      <w:kern w:val="0"/>
                      <w:sz w:val="21"/>
                      <w:szCs w:val="21"/>
                      <w:u w:val="none"/>
                      <w:lang w:val="en-US" w:eastAsia="zh-CN" w:bidi="ar"/>
                    </w:rPr>
                    <w:t>#</w:t>
                  </w:r>
                </w:p>
              </w:tc>
              <w:tc>
                <w:tcPr>
                  <w:tcW w:w="14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氧化安定性(以总不溶物计)/(mg/100 mL)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2.5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SH/T 0175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硫含量/(mg/kg)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50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SH/T 0689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酸度(以KOH计)/(mg/100 mL)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7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258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10%蒸余物残炭(质量分数)/%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0.3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17144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灰分(质量分数)/%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0.01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508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铜片腐蚀(50℃,3 h)/级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1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5096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水含量(体积分数)/%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痕迹</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260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机械杂质</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无</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511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润滑性</w:t>
                  </w:r>
                  <w:r>
                    <w:rPr>
                      <w:rFonts w:hint="default" w:ascii="Times New Roman" w:hAnsi="Times New Roman" w:eastAsia="宋体" w:cs="Times New Roman"/>
                      <w:i w:val="0"/>
                      <w:iCs w:val="0"/>
                      <w:color w:val="FF0000"/>
                      <w:kern w:val="0"/>
                      <w:sz w:val="21"/>
                      <w:szCs w:val="21"/>
                      <w:u w:val="none"/>
                      <w:lang w:val="en-US" w:eastAsia="zh-CN" w:bidi="ar"/>
                    </w:rPr>
                    <w:br w:type="textWrapping"/>
                  </w:r>
                  <w:r>
                    <w:rPr>
                      <w:rFonts w:hint="default" w:ascii="Times New Roman" w:hAnsi="Times New Roman" w:eastAsia="宋体" w:cs="Times New Roman"/>
                      <w:i w:val="0"/>
                      <w:iCs w:val="0"/>
                      <w:color w:val="FF0000"/>
                      <w:kern w:val="0"/>
                      <w:sz w:val="21"/>
                      <w:szCs w:val="21"/>
                      <w:u w:val="none"/>
                      <w:lang w:val="en-US" w:eastAsia="zh-CN" w:bidi="ar"/>
                    </w:rPr>
                    <w:t xml:space="preserve">校正磨痕直径(60℃)/μm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bottom"/>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460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SH/T 0765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多环芳烃含量(质量分数)/%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11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SH/T 0806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运动黏度(20℃)/(mm²/s)</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3.0～8.0</w:t>
                  </w:r>
                </w:p>
              </w:tc>
              <w:tc>
                <w:tcPr>
                  <w:tcW w:w="11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2.5～8.0</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265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凝点/℃                           </w:t>
                  </w:r>
                  <w:r>
                    <w:rPr>
                      <w:rFonts w:hint="eastAsia" w:ascii="Times New Roman" w:hAnsi="Times New Roman" w:eastAsia="宋体" w:cs="Times New Roman"/>
                      <w:i w:val="0"/>
                      <w:iCs w:val="0"/>
                      <w:color w:val="FF0000"/>
                      <w:kern w:val="0"/>
                      <w:sz w:val="21"/>
                      <w:szCs w:val="21"/>
                      <w:u w:val="none"/>
                      <w:lang w:val="en-US" w:eastAsia="zh-CN" w:bidi="ar"/>
                    </w:rPr>
                    <w:t>≤</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0 </w:t>
                  </w:r>
                </w:p>
              </w:tc>
              <w:tc>
                <w:tcPr>
                  <w:tcW w:w="1117"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-10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510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冷滤点/℃                         </w:t>
                  </w:r>
                  <w:r>
                    <w:rPr>
                      <w:rFonts w:hint="eastAsia" w:ascii="Times New Roman" w:hAnsi="Times New Roman" w:eastAsia="宋体" w:cs="Times New Roman"/>
                      <w:i w:val="0"/>
                      <w:iCs w:val="0"/>
                      <w:color w:val="FF0000"/>
                      <w:kern w:val="0"/>
                      <w:sz w:val="21"/>
                      <w:szCs w:val="21"/>
                      <w:u w:val="none"/>
                      <w:lang w:val="en-US" w:eastAsia="zh-CN" w:bidi="ar"/>
                    </w:rPr>
                    <w:t>≤</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4 </w:t>
                  </w:r>
                </w:p>
              </w:tc>
              <w:tc>
                <w:tcPr>
                  <w:tcW w:w="11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-5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SH/T 0248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闪点(闭口)/℃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60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261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十六烷值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49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386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十六烷指数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 xml:space="preserve">46 </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SH/T 0694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45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馏程：</w:t>
                  </w:r>
                  <w:r>
                    <w:rPr>
                      <w:rFonts w:hint="default" w:ascii="Times New Roman" w:hAnsi="Times New Roman" w:eastAsia="宋体" w:cs="Times New Roman"/>
                      <w:i w:val="0"/>
                      <w:iCs w:val="0"/>
                      <w:color w:val="FF0000"/>
                      <w:kern w:val="0"/>
                      <w:sz w:val="21"/>
                      <w:szCs w:val="21"/>
                      <w:u w:val="none"/>
                      <w:lang w:val="en-US" w:eastAsia="zh-CN" w:bidi="ar"/>
                    </w:rPr>
                    <w:br w:type="textWrapping"/>
                  </w:r>
                  <w:r>
                    <w:rPr>
                      <w:rFonts w:hint="default" w:ascii="Times New Roman" w:hAnsi="Times New Roman" w:eastAsia="宋体" w:cs="Times New Roman"/>
                      <w:i w:val="0"/>
                      <w:iCs w:val="0"/>
                      <w:color w:val="FF0000"/>
                      <w:kern w:val="0"/>
                      <w:sz w:val="21"/>
                      <w:szCs w:val="21"/>
                      <w:u w:val="none"/>
                      <w:lang w:val="en-US" w:eastAsia="zh-CN" w:bidi="ar"/>
                    </w:rPr>
                    <w:t xml:space="preserve">50%回收温度/℃                    </w:t>
                  </w: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br w:type="textWrapping"/>
                  </w:r>
                  <w:r>
                    <w:rPr>
                      <w:rFonts w:hint="default" w:ascii="Times New Roman" w:hAnsi="Times New Roman" w:eastAsia="宋体" w:cs="Times New Roman"/>
                      <w:i w:val="0"/>
                      <w:iCs w:val="0"/>
                      <w:color w:val="FF0000"/>
                      <w:kern w:val="0"/>
                      <w:sz w:val="21"/>
                      <w:szCs w:val="21"/>
                      <w:u w:val="none"/>
                      <w:lang w:val="en-US" w:eastAsia="zh-CN" w:bidi="ar"/>
                    </w:rPr>
                    <w:t xml:space="preserve">90%回收温度/℃                    </w:t>
                  </w:r>
                  <w:r>
                    <w:rPr>
                      <w:rFonts w:hint="eastAsia" w:ascii="Times New Roman" w:hAnsi="Times New Roman" w:eastAsia="宋体" w:cs="Times New Roman"/>
                      <w:i w:val="0"/>
                      <w:iCs w:val="0"/>
                      <w:color w:val="FF0000"/>
                      <w:kern w:val="0"/>
                      <w:sz w:val="21"/>
                      <w:szCs w:val="21"/>
                      <w:u w:val="none"/>
                      <w:lang w:val="en-US" w:eastAsia="zh-CN" w:bidi="ar"/>
                    </w:rPr>
                    <w:t>≤</w:t>
                  </w:r>
                  <w:r>
                    <w:rPr>
                      <w:rFonts w:hint="default" w:ascii="Times New Roman" w:hAnsi="Times New Roman" w:eastAsia="宋体" w:cs="Times New Roman"/>
                      <w:i w:val="0"/>
                      <w:iCs w:val="0"/>
                      <w:color w:val="FF0000"/>
                      <w:kern w:val="0"/>
                      <w:sz w:val="21"/>
                      <w:szCs w:val="21"/>
                      <w:u w:val="none"/>
                      <w:lang w:val="en-US" w:eastAsia="zh-CN" w:bidi="ar"/>
                    </w:rPr>
                    <w:br w:type="textWrapping"/>
                  </w:r>
                  <w:r>
                    <w:rPr>
                      <w:rFonts w:hint="default" w:ascii="Times New Roman" w:hAnsi="Times New Roman" w:eastAsia="宋体" w:cs="Times New Roman"/>
                      <w:i w:val="0"/>
                      <w:iCs w:val="0"/>
                      <w:color w:val="FF0000"/>
                      <w:kern w:val="0"/>
                      <w:sz w:val="21"/>
                      <w:szCs w:val="21"/>
                      <w:u w:val="none"/>
                      <w:lang w:val="en-US" w:eastAsia="zh-CN" w:bidi="ar"/>
                    </w:rPr>
                    <w:t xml:space="preserve">95%回收温度/℃                    </w:t>
                  </w:r>
                  <w:r>
                    <w:rPr>
                      <w:rFonts w:hint="eastAsia" w:ascii="Times New Roman" w:hAnsi="Times New Roman" w:eastAsia="宋体" w:cs="Times New Roman"/>
                      <w:i w:val="0"/>
                      <w:iCs w:val="0"/>
                      <w:color w:val="FF0000"/>
                      <w:kern w:val="0"/>
                      <w:sz w:val="21"/>
                      <w:szCs w:val="21"/>
                      <w:u w:val="none"/>
                      <w:lang w:val="en-US" w:eastAsia="zh-CN" w:bidi="ar"/>
                    </w:rPr>
                    <w:t>≤</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br w:type="textWrapping"/>
                  </w:r>
                  <w:r>
                    <w:rPr>
                      <w:rFonts w:hint="default" w:ascii="Times New Roman" w:hAnsi="Times New Roman" w:eastAsia="宋体" w:cs="Times New Roman"/>
                      <w:i w:val="0"/>
                      <w:iCs w:val="0"/>
                      <w:color w:val="FF0000"/>
                      <w:kern w:val="0"/>
                      <w:sz w:val="21"/>
                      <w:szCs w:val="21"/>
                      <w:u w:val="none"/>
                      <w:lang w:val="en-US" w:eastAsia="zh-CN" w:bidi="ar"/>
                    </w:rPr>
                    <w:t>300</w:t>
                  </w:r>
                  <w:r>
                    <w:rPr>
                      <w:rFonts w:hint="default" w:ascii="Times New Roman" w:hAnsi="Times New Roman" w:eastAsia="宋体" w:cs="Times New Roman"/>
                      <w:i w:val="0"/>
                      <w:iCs w:val="0"/>
                      <w:color w:val="FF0000"/>
                      <w:kern w:val="0"/>
                      <w:sz w:val="21"/>
                      <w:szCs w:val="21"/>
                      <w:u w:val="none"/>
                      <w:lang w:val="en-US" w:eastAsia="zh-CN" w:bidi="ar"/>
                    </w:rPr>
                    <w:br w:type="textWrapping"/>
                  </w:r>
                  <w:r>
                    <w:rPr>
                      <w:rFonts w:hint="default" w:ascii="Times New Roman" w:hAnsi="Times New Roman" w:eastAsia="宋体" w:cs="Times New Roman"/>
                      <w:i w:val="0"/>
                      <w:iCs w:val="0"/>
                      <w:color w:val="FF0000"/>
                      <w:kern w:val="0"/>
                      <w:sz w:val="21"/>
                      <w:szCs w:val="21"/>
                      <w:u w:val="none"/>
                      <w:lang w:val="en-US" w:eastAsia="zh-CN" w:bidi="ar"/>
                    </w:rPr>
                    <w:t>355</w:t>
                  </w:r>
                  <w:r>
                    <w:rPr>
                      <w:rFonts w:hint="default" w:ascii="Times New Roman" w:hAnsi="Times New Roman" w:eastAsia="宋体" w:cs="Times New Roman"/>
                      <w:i w:val="0"/>
                      <w:iCs w:val="0"/>
                      <w:color w:val="FF0000"/>
                      <w:kern w:val="0"/>
                      <w:sz w:val="21"/>
                      <w:szCs w:val="21"/>
                      <w:u w:val="none"/>
                      <w:lang w:val="en-US" w:eastAsia="zh-CN" w:bidi="ar"/>
                    </w:rPr>
                    <w:br w:type="textWrapping"/>
                  </w:r>
                  <w:r>
                    <w:rPr>
                      <w:rFonts w:hint="default" w:ascii="Times New Roman" w:hAnsi="Times New Roman" w:eastAsia="宋体" w:cs="Times New Roman"/>
                      <w:i w:val="0"/>
                      <w:iCs w:val="0"/>
                      <w:color w:val="FF0000"/>
                      <w:kern w:val="0"/>
                      <w:sz w:val="21"/>
                      <w:szCs w:val="21"/>
                      <w:u w:val="none"/>
                      <w:lang w:val="en-US" w:eastAsia="zh-CN" w:bidi="ar"/>
                    </w:rPr>
                    <w:t>365</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GB/T 6536</w:t>
                  </w:r>
                </w:p>
              </w:tc>
            </w:tr>
          </w:tbl>
          <w:p>
            <w:pPr>
              <w:pStyle w:val="62"/>
              <w:ind w:firstLine="48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5</w:t>
            </w:r>
            <w:r>
              <w:rPr>
                <w:b/>
                <w:bCs/>
                <w:color w:val="000000" w:themeColor="text1"/>
                <w:highlight w:val="none"/>
                <w14:textFill>
                  <w14:solidFill>
                    <w14:schemeClr w14:val="tx1"/>
                  </w14:solidFill>
                </w14:textFill>
              </w:rPr>
              <w:t>、劳动定员及工作制度</w:t>
            </w:r>
          </w:p>
          <w:p>
            <w:pPr>
              <w:pStyle w:val="62"/>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改建后劳动定员共计20人，实行四班三倒制度，8小时工作制，年运行天数300天，即为7200h。</w:t>
            </w:r>
          </w:p>
          <w:p>
            <w:pPr>
              <w:pStyle w:val="62"/>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6</w:t>
            </w:r>
            <w:r>
              <w:rPr>
                <w:b/>
                <w:bCs/>
                <w:color w:val="000000" w:themeColor="text1"/>
                <w:highlight w:val="none"/>
                <w14:textFill>
                  <w14:solidFill>
                    <w14:schemeClr w14:val="tx1"/>
                  </w14:solidFill>
                </w14:textFill>
              </w:rPr>
              <w:t>、公用工程</w:t>
            </w:r>
          </w:p>
          <w:p>
            <w:pPr>
              <w:pStyle w:val="62"/>
              <w:ind w:firstLine="480"/>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（1）给</w:t>
            </w:r>
            <w:r>
              <w:rPr>
                <w:rFonts w:hint="eastAsia"/>
                <w:color w:val="000000" w:themeColor="text1"/>
                <w:highlight w:val="none"/>
                <w:lang w:val="en-US" w:eastAsia="zh-CN"/>
                <w14:textFill>
                  <w14:solidFill>
                    <w14:schemeClr w14:val="tx1"/>
                  </w14:solidFill>
                </w14:textFill>
              </w:rPr>
              <w:t>水工程</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本项目用水主要生活用水、</w:t>
            </w:r>
            <w:commentRangeStart w:id="41"/>
            <w:r>
              <w:rPr>
                <w:rFonts w:hint="eastAsia"/>
                <w:color w:val="000000" w:themeColor="text1"/>
                <w:highlight w:val="none"/>
                <w:lang w:val="en-US" w:eastAsia="zh-CN"/>
                <w14:textFill>
                  <w14:solidFill>
                    <w14:schemeClr w14:val="tx1"/>
                  </w14:solidFill>
                </w14:textFill>
              </w:rPr>
              <w:t>地面清洗用水</w:t>
            </w:r>
            <w:commentRangeEnd w:id="41"/>
            <w:r>
              <w:commentReference w:id="41"/>
            </w:r>
            <w:r>
              <w:rPr>
                <w:rFonts w:hint="eastAsia"/>
                <w:color w:val="000000" w:themeColor="text1"/>
                <w:highlight w:val="none"/>
                <w:lang w:val="en-US" w:eastAsia="zh-CN"/>
                <w14:textFill>
                  <w14:solidFill>
                    <w14:schemeClr w14:val="tx1"/>
                  </w14:solidFill>
                </w14:textFill>
              </w:rPr>
              <w:t>，生活用水由市政自来水提供，</w:t>
            </w:r>
            <w:r>
              <w:rPr>
                <w:rFonts w:hint="eastAsia"/>
                <w:color w:val="FF0000"/>
                <w:highlight w:val="none"/>
                <w:lang w:val="en-US" w:eastAsia="zh-CN"/>
              </w:rPr>
              <w:t>地面清洗用水由鄂尔多斯市圣圆水务集团有限责任公司疏干水提供（协议见附件）。</w:t>
            </w:r>
          </w:p>
          <w:p>
            <w:pPr>
              <w:bidi w:val="0"/>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生活用水：</w:t>
            </w:r>
            <w:r>
              <w:rPr>
                <w:rFonts w:hint="eastAsia"/>
                <w:color w:val="000000" w:themeColor="text1"/>
                <w:highlight w:val="none"/>
                <w14:textFill>
                  <w14:solidFill>
                    <w14:schemeClr w14:val="tx1"/>
                  </w14:solidFill>
                </w14:textFill>
              </w:rPr>
              <w:t>本项目劳动定员为</w:t>
            </w:r>
            <w:r>
              <w:rPr>
                <w:rFonts w:hint="eastAsia"/>
                <w:color w:val="000000" w:themeColor="text1"/>
                <w:highlight w:val="none"/>
                <w:lang w:val="en-US" w:eastAsia="zh-CN"/>
                <w14:textFill>
                  <w14:solidFill>
                    <w14:schemeClr w14:val="tx1"/>
                  </w14:solidFill>
                </w14:textFill>
              </w:rPr>
              <w:t>20</w:t>
            </w:r>
            <w:r>
              <w:rPr>
                <w:rFonts w:hint="eastAsia"/>
                <w:color w:val="000000" w:themeColor="text1"/>
                <w:highlight w:val="none"/>
                <w14:textFill>
                  <w14:solidFill>
                    <w14:schemeClr w14:val="tx1"/>
                  </w14:solidFill>
                </w14:textFill>
              </w:rPr>
              <w:t>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按照《行业用水定额》（DB15/T385-2020）生活用水量按照</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14:textFill>
                  <w14:solidFill>
                    <w14:schemeClr w14:val="tx1"/>
                  </w14:solidFill>
                </w14:textFill>
              </w:rPr>
              <w:t>0L/（人·d）计</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则本项目生活用水量为</w:t>
            </w:r>
            <w:r>
              <w:rPr>
                <w:rFonts w:hint="eastAsia"/>
                <w:color w:val="000000" w:themeColor="text1"/>
                <w:highlight w:val="none"/>
                <w:lang w:val="en-US" w:eastAsia="zh-CN"/>
                <w14:textFill>
                  <w14:solidFill>
                    <w14:schemeClr w14:val="tx1"/>
                  </w14:solidFill>
                </w14:textFill>
              </w:rPr>
              <w:t>1.2</w:t>
            </w:r>
            <w:r>
              <w:rPr>
                <w:rFonts w:hint="eastAsia"/>
                <w:color w:val="000000" w:themeColor="text1"/>
                <w:highlight w:val="none"/>
                <w14:textFill>
                  <w14:solidFill>
                    <w14:schemeClr w14:val="tx1"/>
                  </w14:solidFill>
                </w14:textFill>
              </w:rPr>
              <w:t>m³/d</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360</w:t>
            </w:r>
            <w:r>
              <w:rPr>
                <w:rFonts w:hint="eastAsia"/>
                <w:color w:val="000000" w:themeColor="text1"/>
                <w:highlight w:val="none"/>
                <w14:textFill>
                  <w14:solidFill>
                    <w14:schemeClr w14:val="tx1"/>
                  </w14:solidFill>
                </w14:textFill>
              </w:rPr>
              <w:t>m³/a</w:t>
            </w:r>
            <w:r>
              <w:rPr>
                <w:rFonts w:hint="eastAsia"/>
                <w:color w:val="000000" w:themeColor="text1"/>
                <w:highlight w:val="none"/>
                <w:lang w:eastAsia="zh-CN"/>
                <w14:textFill>
                  <w14:solidFill>
                    <w14:schemeClr w14:val="tx1"/>
                  </w14:solidFill>
                </w14:textFill>
              </w:rPr>
              <w:t>。</w:t>
            </w:r>
          </w:p>
          <w:p>
            <w:pPr>
              <w:pStyle w:val="62"/>
              <w:ind w:firstLine="480"/>
              <w:rPr>
                <w:rFonts w:hint="eastAsia"/>
                <w:color w:val="000000" w:themeColor="text1"/>
                <w:highlight w:val="none"/>
                <w:lang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地面清洗用水：根据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《建筑给水排水设计标准》（GB50015-2019）地面冲洗水2L/m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计，</w:t>
            </w:r>
            <w:r>
              <w:rPr>
                <w:rFonts w:hint="eastAsia" w:cs="Times New Roman"/>
                <w:color w:val="000000" w:themeColor="text1"/>
                <w:sz w:val="24"/>
                <w:szCs w:val="24"/>
                <w:vertAlign w:val="baseline"/>
                <w:lang w:val="en-US" w:eastAsia="zh-CN"/>
                <w14:textFill>
                  <w14:solidFill>
                    <w14:schemeClr w14:val="tx1"/>
                  </w14:solidFill>
                </w14:textFill>
              </w:rPr>
              <w:t>罐区</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面积为</w:t>
            </w:r>
            <w:r>
              <w:rPr>
                <w:rFonts w:hint="eastAsia" w:cs="Times New Roman"/>
                <w:color w:val="000000" w:themeColor="text1"/>
                <w:sz w:val="24"/>
                <w:szCs w:val="24"/>
                <w:vertAlign w:val="baseline"/>
                <w:lang w:val="en-US" w:eastAsia="zh-CN"/>
                <w14:textFill>
                  <w14:solidFill>
                    <w14:schemeClr w14:val="tx1"/>
                  </w14:solidFill>
                </w14:textFill>
              </w:rPr>
              <w:t>7454</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eastAsia" w:cs="Times New Roman"/>
                <w:color w:val="000000" w:themeColor="text1"/>
                <w:sz w:val="24"/>
                <w:szCs w:val="24"/>
                <w:vertAlign w:val="baseline"/>
                <w:lang w:val="en-US" w:eastAsia="zh-CN"/>
                <w14:textFill>
                  <w14:solidFill>
                    <w14:schemeClr w14:val="tx1"/>
                  </w14:solidFill>
                </w14:textFill>
              </w:rPr>
              <w:t>卸车区</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面积</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约</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为</w:t>
            </w:r>
            <w:r>
              <w:rPr>
                <w:rFonts w:hint="eastAsia" w:cs="Times New Roman"/>
                <w:color w:val="000000" w:themeColor="text1"/>
                <w:sz w:val="24"/>
                <w:szCs w:val="24"/>
                <w:vertAlign w:val="baseline"/>
                <w:lang w:val="en-US" w:eastAsia="zh-CN"/>
                <w14:textFill>
                  <w14:solidFill>
                    <w14:schemeClr w14:val="tx1"/>
                  </w14:solidFill>
                </w14:textFill>
              </w:rPr>
              <w:t>4120</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eastAsia" w:cs="Times New Roman"/>
                <w:color w:val="000000" w:themeColor="text1"/>
                <w:sz w:val="24"/>
                <w:szCs w:val="24"/>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根据企业提供的资料，清洁次数为每周一次，</w:t>
            </w:r>
            <w:r>
              <w:rPr>
                <w:rFonts w:hint="eastAsia" w:cs="Times New Roman"/>
                <w:color w:val="000000" w:themeColor="text1"/>
                <w:sz w:val="24"/>
                <w:szCs w:val="24"/>
                <w:vertAlign w:val="baseline"/>
                <w:lang w:val="en-US" w:eastAsia="zh-CN"/>
                <w14:textFill>
                  <w14:solidFill>
                    <w14:schemeClr w14:val="tx1"/>
                  </w14:solidFill>
                </w14:textFill>
              </w:rPr>
              <w:t>冬天3个月不清洗，每年约清洗36次，</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则地面清洗水量</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约</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为</w:t>
            </w:r>
            <w:r>
              <w:rPr>
                <w:rFonts w:hint="eastAsia" w:cs="Times New Roman"/>
                <w:color w:val="000000" w:themeColor="text1"/>
                <w:sz w:val="24"/>
                <w:szCs w:val="24"/>
                <w:vertAlign w:val="baseline"/>
                <w:lang w:val="en-US" w:eastAsia="zh-CN"/>
                <w14:textFill>
                  <w14:solidFill>
                    <w14:schemeClr w14:val="tx1"/>
                  </w14:solidFill>
                </w14:textFill>
              </w:rPr>
              <w:t>833.33m³</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pPr>
              <w:pStyle w:val="62"/>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排水工程</w:t>
            </w:r>
          </w:p>
          <w:p>
            <w:pPr>
              <w:pStyle w:val="62"/>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本项目废水主要为生活污水、地面清洗废水、初期雨水。</w:t>
            </w:r>
          </w:p>
          <w:p>
            <w:pPr>
              <w:pStyle w:val="62"/>
              <w:ind w:firstLine="480"/>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生活污水：生活污水产生量按生活用水量的</w:t>
            </w:r>
            <w:r>
              <w:rPr>
                <w:rFonts w:hint="default" w:ascii="Times New Roman" w:hAnsi="Times New Roman" w:cs="Times New Roman"/>
                <w:color w:val="000000" w:themeColor="text1"/>
                <w:highlight w:val="none"/>
                <w14:textFill>
                  <w14:solidFill>
                    <w14:schemeClr w14:val="tx1"/>
                  </w14:solidFill>
                </w14:textFill>
              </w:rPr>
              <w:t>80%计</w:t>
            </w:r>
            <w:r>
              <w:rPr>
                <w:rFonts w:hint="eastAsia" w:ascii="Times New Roman" w:hAnsi="Times New Roman" w:cs="Times New Roman"/>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则生活污水产生量为</w:t>
            </w:r>
            <w:r>
              <w:rPr>
                <w:rFonts w:hint="eastAsia" w:cs="Times New Roman"/>
                <w:color w:val="000000" w:themeColor="text1"/>
                <w:highlight w:val="none"/>
                <w:lang w:val="en-US" w:eastAsia="zh-CN"/>
                <w14:textFill>
                  <w14:solidFill>
                    <w14:schemeClr w14:val="tx1"/>
                  </w14:solidFill>
                </w14:textFill>
              </w:rPr>
              <w:t>0.9</w:t>
            </w:r>
            <w:r>
              <w:rPr>
                <w:rFonts w:hint="eastAsia" w:ascii="Times New Roman" w:hAnsi="Times New Roman" w:cs="Times New Roman"/>
                <w:color w:val="000000" w:themeColor="text1"/>
                <w:highlight w:val="none"/>
                <w:lang w:val="en-US" w:eastAsia="zh-CN"/>
                <w14:textFill>
                  <w14:solidFill>
                    <w14:schemeClr w14:val="tx1"/>
                  </w14:solidFill>
                </w14:textFill>
              </w:rPr>
              <w:t>6m³/d，即为</w:t>
            </w:r>
            <w:r>
              <w:rPr>
                <w:rFonts w:hint="eastAsia" w:cs="Times New Roman"/>
                <w:color w:val="000000" w:themeColor="text1"/>
                <w:highlight w:val="none"/>
                <w:lang w:val="en-US" w:eastAsia="zh-CN"/>
                <w14:textFill>
                  <w14:solidFill>
                    <w14:schemeClr w14:val="tx1"/>
                  </w14:solidFill>
                </w14:textFill>
              </w:rPr>
              <w:t>288</w:t>
            </w:r>
            <w:r>
              <w:rPr>
                <w:rFonts w:hint="eastAsia" w:ascii="Times New Roman" w:hAnsi="Times New Roman" w:cs="Times New Roman"/>
                <w:color w:val="000000" w:themeColor="text1"/>
                <w:highlight w:val="none"/>
                <w:lang w:val="en-US" w:eastAsia="zh-CN"/>
                <w14:textFill>
                  <w14:solidFill>
                    <w14:schemeClr w14:val="tx1"/>
                  </w14:solidFill>
                </w14:textFill>
              </w:rPr>
              <w:t>m³/a。</w:t>
            </w:r>
            <w:r>
              <w:rPr>
                <w:rFonts w:hint="eastAsia"/>
                <w:color w:val="000000" w:themeColor="text1"/>
                <w:sz w:val="24"/>
                <w:szCs w:val="24"/>
                <w:highlight w:val="none"/>
                <w:u w:val="none"/>
                <w:lang w:val="en-US" w:eastAsia="zh-CN"/>
                <w14:textFill>
                  <w14:solidFill>
                    <w14:schemeClr w14:val="tx1"/>
                  </w14:solidFill>
                </w14:textFill>
              </w:rPr>
              <w:t>生活污水经原有化粪池处理后，排入厂区原有污水处理站（100m³/d）进行处理。</w:t>
            </w:r>
          </w:p>
          <w:p>
            <w:pPr>
              <w:pStyle w:val="62"/>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地面清洗废水：地面清洗废水以使用量的80%计，即666.66m³/a，</w:t>
            </w:r>
            <w:r>
              <w:rPr>
                <w:rFonts w:hint="eastAsia"/>
                <w:color w:val="000000" w:themeColor="text1"/>
                <w:sz w:val="24"/>
                <w:szCs w:val="24"/>
                <w:highlight w:val="none"/>
                <w:u w:val="none"/>
                <w:lang w:val="en-US" w:eastAsia="zh-CN"/>
                <w14:textFill>
                  <w14:solidFill>
                    <w14:schemeClr w14:val="tx1"/>
                  </w14:solidFill>
                </w14:textFill>
              </w:rPr>
              <w:t>经厂区原有污水处理站处理</w:t>
            </w:r>
            <w:r>
              <w:rPr>
                <w:rFonts w:hint="eastAsia"/>
                <w:color w:val="000000" w:themeColor="text1"/>
                <w:highlight w:val="none"/>
                <w:lang w:val="en-US" w:eastAsia="zh-CN"/>
                <w14:textFill>
                  <w14:solidFill>
                    <w14:schemeClr w14:val="tx1"/>
                  </w14:solidFill>
                </w14:textFill>
              </w:rPr>
              <w:t>。</w:t>
            </w:r>
          </w:p>
          <w:p>
            <w:pPr>
              <w:pStyle w:val="62"/>
              <w:ind w:firstLine="480"/>
              <w:rPr>
                <w:rFonts w:hint="default"/>
                <w:color w:val="000000" w:themeColor="text1"/>
                <w:sz w:val="24"/>
                <w:szCs w:val="24"/>
                <w:highlight w:val="none"/>
                <w:u w:val="none"/>
                <w:lang w:val="en-US" w:eastAsia="zh-CN"/>
                <w14:textFill>
                  <w14:solidFill>
                    <w14:schemeClr w14:val="tx1"/>
                  </w14:solidFill>
                </w14:textFill>
              </w:rPr>
            </w:pPr>
            <w:r>
              <w:rPr>
                <w:rFonts w:hint="eastAsia"/>
                <w:color w:val="000000" w:themeColor="text1"/>
                <w:sz w:val="24"/>
                <w:szCs w:val="24"/>
                <w:highlight w:val="none"/>
                <w:u w:val="none"/>
                <w:lang w:val="en-US" w:eastAsia="zh-CN"/>
                <w14:textFill>
                  <w14:solidFill>
                    <w14:schemeClr w14:val="tx1"/>
                  </w14:solidFill>
                </w14:textFill>
              </w:rPr>
              <w:t>初期雨水：</w:t>
            </w:r>
            <w:r>
              <w:rPr>
                <w:rFonts w:hint="default" w:ascii="Times New Roman" w:hAnsi="Times New Roman" w:eastAsia="宋体" w:cs="Times New Roman"/>
                <w:color w:val="000000" w:themeColor="text1"/>
                <w:sz w:val="24"/>
                <w:szCs w:val="24"/>
                <w:highlight w:val="none"/>
                <w14:textFill>
                  <w14:solidFill>
                    <w14:schemeClr w14:val="tx1"/>
                  </w14:solidFill>
                </w14:textFill>
              </w:rPr>
              <w:t>根据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鄂尔多斯市</w:t>
            </w:r>
            <w:r>
              <w:rPr>
                <w:rFonts w:hint="default" w:ascii="Times New Roman" w:hAnsi="Times New Roman" w:eastAsia="宋体" w:cs="Times New Roman"/>
                <w:color w:val="000000" w:themeColor="text1"/>
                <w:sz w:val="24"/>
                <w:szCs w:val="24"/>
                <w:highlight w:val="none"/>
                <w14:textFill>
                  <w14:solidFill>
                    <w14:schemeClr w14:val="tx1"/>
                  </w14:solidFill>
                </w14:textFill>
              </w:rPr>
              <w:t>暴雨强度公式，</w:t>
            </w:r>
            <w:r>
              <w:rPr>
                <w:rFonts w:hint="default" w:ascii="Times New Roman" w:hAnsi="Times New Roman" w:eastAsia="宋体" w:cs="Times New Roman"/>
                <w:color w:val="000000" w:themeColor="text1"/>
                <w:position w:val="-24"/>
                <w:sz w:val="24"/>
                <w:szCs w:val="24"/>
                <w:highlight w:val="none"/>
                <w14:textFill>
                  <w14:solidFill>
                    <w14:schemeClr w14:val="tx1"/>
                  </w14:solidFill>
                </w14:textFill>
              </w:rPr>
              <w:object>
                <v:shape id="_x0000_i1025" o:spt="75" type="#_x0000_t75" style="height:31pt;width:136pt;" o:ole="t" filled="f" o:preferrelative="t" stroked="f" coordsize="21600,21600">
                  <v:path/>
                  <v:fill on="f" focussize="0,0"/>
                  <v:stroke on="f"/>
                  <v:imagedata r:id="rId24" o:title=""/>
                  <o:lock v:ext="edit" aspectratio="t"/>
                  <w10:wrap type="none"/>
                  <w10:anchorlock/>
                </v:shape>
                <o:OLEObject Type="Embed" ProgID="Equation.KSEE3" ShapeID="_x0000_i1025" DrawAspect="Content" ObjectID="_1468075725" r:id="rId23">
                  <o:LockedField>false</o:LockedField>
                </o:OLEObject>
              </w:objec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降雨重现期按1年考虑，降雨历时按15min考虑，泾流系数则按0.9考虑。计算得，</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14:textFill>
                  <w14:solidFill>
                    <w14:schemeClr w14:val="tx1"/>
                  </w14:solidFill>
                </w14:textFill>
              </w:rPr>
              <w:t>初期雨水量约</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31</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/次。项目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厂区</w:t>
            </w:r>
            <w:r>
              <w:rPr>
                <w:rFonts w:hint="eastAsia" w:cs="Times New Roman"/>
                <w:color w:val="000000" w:themeColor="text1"/>
                <w:sz w:val="24"/>
                <w:szCs w:val="24"/>
                <w:highlight w:val="none"/>
                <w:lang w:val="en-US" w:eastAsia="zh-CN"/>
                <w14:textFill>
                  <w14:solidFill>
                    <w14:schemeClr w14:val="tx1"/>
                  </w14:solidFill>
                </w14:textFill>
              </w:rPr>
              <w:t>原有10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highlight w:val="none"/>
                <w14:textFill>
                  <w14:solidFill>
                    <w14:schemeClr w14:val="tx1"/>
                  </w14:solidFill>
                </w14:textFill>
              </w:rPr>
              <w:t>0m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初期雨水池1座，能满足初期雨水收集需求，初期雨水分批进入厂区污水处理站进行处理。</w:t>
            </w:r>
          </w:p>
          <w:p>
            <w:pPr>
              <w:pStyle w:val="62"/>
              <w:ind w:firstLine="480"/>
              <w:rPr>
                <w:rFonts w:hint="eastAsia"/>
                <w:color w:val="000000" w:themeColor="text1"/>
                <w:highlight w:val="none"/>
                <w14:textFill>
                  <w14:solidFill>
                    <w14:schemeClr w14:val="tx1"/>
                  </w14:solidFill>
                </w14:textFill>
              </w:rPr>
            </w:pPr>
            <w:r>
              <w:rPr>
                <w:rFonts w:hint="eastAsia"/>
                <w:color w:val="000000" w:themeColor="text1"/>
                <w:sz w:val="24"/>
                <w:szCs w:val="24"/>
                <w:highlight w:val="none"/>
                <w:u w:val="none"/>
                <w:lang w:val="en-US" w:eastAsia="zh-CN"/>
                <w14:textFill>
                  <w14:solidFill>
                    <w14:schemeClr w14:val="tx1"/>
                  </w14:solidFill>
                </w14:textFill>
              </w:rPr>
              <w:t>经厂区原有污水处理站处理后的生活污水、地面清洗废水、初期雨水一并排至洗煤综合利用，不直接排放。</w:t>
            </w:r>
          </w:p>
          <w:p>
            <w:pPr>
              <w:pStyle w:val="62"/>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sz w:val="24"/>
                <w:szCs w:val="24"/>
                <w:highlight w:val="none"/>
                <w:u w:val="none"/>
                <w:lang w:val="en-US" w:eastAsia="zh-CN"/>
                <w14:textFill>
                  <w14:solidFill>
                    <w14:schemeClr w14:val="tx1"/>
                  </w14:solidFill>
                </w14:textFill>
              </w:rPr>
              <w:drawing>
                <wp:anchor distT="0" distB="0" distL="114300" distR="114300" simplePos="0" relativeHeight="251664384" behindDoc="0" locked="0" layoutInCell="1" allowOverlap="1">
                  <wp:simplePos x="0" y="0"/>
                  <wp:positionH relativeFrom="column">
                    <wp:posOffset>-207010</wp:posOffset>
                  </wp:positionH>
                  <wp:positionV relativeFrom="page">
                    <wp:posOffset>808355</wp:posOffset>
                  </wp:positionV>
                  <wp:extent cx="5302250" cy="2216785"/>
                  <wp:effectExtent l="0" t="0" r="12700" b="12065"/>
                  <wp:wrapTopAndBottom/>
                  <wp:docPr id="2" name="F360BE8B-6686-4F3D-AEAF-501FE73E4058-1" descr="C:/Users/Administrator/AppData/Local/Temp/绘图1(21).png绘图1(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F360BE8B-6686-4F3D-AEAF-501FE73E4058-1" descr="C:/Users/Administrator/AppData/Local/Temp/绘图1(21).png绘图1(21)"/>
                          <pic:cNvPicPr>
                            <a:picLocks noChangeAspect="true"/>
                          </pic:cNvPicPr>
                        </pic:nvPicPr>
                        <pic:blipFill>
                          <a:blip r:embed="rId25"/>
                          <a:stretch>
                            <a:fillRect/>
                          </a:stretch>
                        </pic:blipFill>
                        <pic:spPr>
                          <a:xfrm>
                            <a:off x="0" y="0"/>
                            <a:ext cx="5302250" cy="2216785"/>
                          </a:xfrm>
                          <a:prstGeom prst="rect">
                            <a:avLst/>
                          </a:prstGeom>
                        </pic:spPr>
                      </pic:pic>
                    </a:graphicData>
                  </a:graphic>
                </wp:anchor>
              </w:drawing>
            </w:r>
            <w:r>
              <w:rPr>
                <w:rFonts w:hint="eastAsia"/>
                <w:color w:val="000000" w:themeColor="text1"/>
                <w:highlight w:val="none"/>
                <w:lang w:val="en-US" w:eastAsia="zh-CN"/>
                <w14:textFill>
                  <w14:solidFill>
                    <w14:schemeClr w14:val="tx1"/>
                  </w14:solidFill>
                </w14:textFill>
              </w:rPr>
              <w:t>项目水平衡图详见下图。</w:t>
            </w:r>
          </w:p>
          <w:p>
            <w:pPr>
              <w:pStyle w:val="62"/>
              <w:ind w:firstLine="480"/>
              <w:jc w:val="center"/>
              <w:rPr>
                <w:rFonts w:hint="default" w:eastAsia="宋体"/>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图2-1 项目水平衡图</w:t>
            </w:r>
          </w:p>
          <w:p>
            <w:pPr>
              <w:pStyle w:val="62"/>
              <w:ind w:firstLine="48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）供电</w:t>
            </w:r>
          </w:p>
          <w:p>
            <w:pPr>
              <w:pStyle w:val="62"/>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本项目供电采用园区供电系统进行统一供电，年用电量40万kW·h/a。</w:t>
            </w:r>
          </w:p>
          <w:p>
            <w:pPr>
              <w:pStyle w:val="62"/>
              <w:ind w:firstLine="48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供热</w:t>
            </w:r>
          </w:p>
          <w:p>
            <w:pPr>
              <w:pStyle w:val="62"/>
              <w:ind w:firstLine="480"/>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本项目厂区蒸汽依托园区供热管网，供热能力15t/h，目前余量约4.5t/h，本项目蒸汽用量240t/a，约0.08t/h，依托园区供热管网可行。</w:t>
            </w:r>
          </w:p>
          <w:p>
            <w:pPr>
              <w:pStyle w:val="62"/>
              <w:ind w:firstLine="480"/>
              <w:rPr>
                <w:rFonts w:hint="eastAsia"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本项目对利旧储罐进行检修维护，经检验合格后使用，储罐内设置蒸汽盘管加热，储罐为常温25℃；生活办公区供暖采用市政集中供暖。</w:t>
            </w:r>
          </w:p>
          <w:p>
            <w:pPr>
              <w:pStyle w:val="62"/>
              <w:ind w:firstLine="480"/>
              <w:rPr>
                <w:rFonts w:hint="default"/>
                <w:color w:val="000000" w:themeColor="text1"/>
                <w:highlight w:val="none"/>
                <w:lang w:val="en-US"/>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因此本项目依托园区供热管网及厂区原有储罐可行。</w:t>
            </w:r>
          </w:p>
          <w:p>
            <w:pPr>
              <w:bidi w:val="0"/>
              <w:rPr>
                <w:rFonts w:hint="default"/>
                <w:b/>
                <w:bCs/>
                <w:color w:val="000000" w:themeColor="text1"/>
                <w:highlight w:val="none"/>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r>
              <w:rPr>
                <w:rFonts w:hint="eastAsia"/>
                <w:b/>
                <w:bCs/>
                <w:color w:val="000000" w:themeColor="text1"/>
                <w:highlight w:val="none"/>
                <w:lang w:val="en-US" w:eastAsia="zh-CN"/>
                <w14:textFill>
                  <w14:solidFill>
                    <w14:schemeClr w14:val="tx1"/>
                  </w14:solidFill>
                </w14:textFill>
              </w:rPr>
              <w:t>、利旧工程的可行性分析</w:t>
            </w:r>
            <w:r>
              <w:commentReference w:id="42"/>
            </w:r>
          </w:p>
          <w:p>
            <w:pPr>
              <w:pStyle w:val="62"/>
              <w:ind w:firstLine="480"/>
              <w:rPr>
                <w:rFonts w:hint="eastAsia"/>
                <w:color w:val="000000" w:themeColor="text1"/>
                <w:highlight w:val="none"/>
                <w:lang w:val="en-US" w:eastAsia="zh-CN"/>
                <w14:textFill>
                  <w14:solidFill>
                    <w14:schemeClr w14:val="tx1"/>
                  </w14:solidFill>
                </w14:textFill>
              </w:rPr>
            </w:pPr>
            <w:commentRangeStart w:id="43"/>
            <w:r>
              <w:rPr>
                <w:rFonts w:hint="eastAsia"/>
                <w:b w:val="0"/>
                <w:bCs w:val="0"/>
                <w:color w:val="000000" w:themeColor="text1"/>
                <w:highlight w:val="none"/>
                <w:lang w:val="en-US" w:eastAsia="zh-CN"/>
                <w14:textFill>
                  <w14:solidFill>
                    <w14:schemeClr w14:val="tx1"/>
                  </w14:solidFill>
                </w14:textFill>
              </w:rPr>
              <w:t>本项目主要利用原有</w:t>
            </w:r>
            <w:r>
              <w:rPr>
                <w:rFonts w:hint="eastAsia"/>
                <w:color w:val="000000" w:themeColor="text1"/>
                <w:highlight w:val="none"/>
                <w:lang w:val="en-US" w:eastAsia="zh-CN"/>
                <w14:textFill>
                  <w14:solidFill>
                    <w14:schemeClr w14:val="tx1"/>
                  </w14:solidFill>
                </w14:textFill>
              </w:rPr>
              <w:t>罐区（含储罐）、卸车区、消防泵房、事故水池、初期雨水池、污水处理站、油气回收装置等，原有项目因未建成，上述装置、设施均闲置，本项目围绕利旧设施（储罐大小、油气回收装置等关键设施）进行了工程设计、配套产能。</w:t>
            </w:r>
          </w:p>
          <w:p>
            <w:pPr>
              <w:pStyle w:val="62"/>
              <w:ind w:firstLine="480"/>
              <w:rPr>
                <w:rFonts w:hint="eastAsia"/>
                <w:color w:val="FF0000"/>
                <w:highlight w:val="none"/>
                <w:lang w:val="en-US" w:eastAsia="zh-CN"/>
              </w:rPr>
            </w:pPr>
            <w:r>
              <w:rPr>
                <w:rFonts w:hint="eastAsia"/>
                <w:color w:val="FF0000"/>
                <w:highlight w:val="none"/>
                <w:lang w:val="en-US" w:eastAsia="zh-CN"/>
              </w:rPr>
              <w:t>储罐、管道委托有资质的第三方鉴定机构检定合格；污水处理站目前运行正常，出水水质满足《炼焦化学工业污染物排放标准》(GB16171-2012)及《煤炭工业污染物排放标准》(GB20426-2006)中的相关指标要求，而本项目废水水质简单且产生量较小，依托现有污水处理站可行；油气回收装置经过日常维护、检修后，能够正常运行，满足本项目需求；厂区现有事故池有效容积3100m³，满足事故水量2282.3m³的需求；厂区现有初期雨水池容积1000m</w:t>
            </w:r>
            <w:r>
              <w:rPr>
                <w:rFonts w:hint="eastAsia"/>
                <w:color w:val="FF0000"/>
                <w:highlight w:val="none"/>
                <w:vertAlign w:val="superscript"/>
                <w:lang w:val="en-US" w:eastAsia="zh-CN"/>
              </w:rPr>
              <w:t>3</w:t>
            </w:r>
            <w:r>
              <w:rPr>
                <w:rFonts w:hint="eastAsia"/>
                <w:color w:val="FF0000"/>
                <w:highlight w:val="none"/>
                <w:lang w:val="en-US" w:eastAsia="zh-CN"/>
              </w:rPr>
              <w:t>，能满足初期雨水收集（331m³）需求；初期雨水池、事故池池底及四壁采用C20抗渗混凝土作为保护层，厚度为15cm，满足等效1.5m黏土渗透系数K≤1.0×10</w:t>
            </w:r>
            <w:r>
              <w:rPr>
                <w:rFonts w:hint="eastAsia"/>
                <w:color w:val="FF0000"/>
                <w:highlight w:val="none"/>
                <w:vertAlign w:val="superscript"/>
                <w:lang w:val="en-US" w:eastAsia="zh-CN"/>
              </w:rPr>
              <w:t>-7</w:t>
            </w:r>
            <w:r>
              <w:rPr>
                <w:rFonts w:hint="eastAsia"/>
                <w:color w:val="FF0000"/>
                <w:highlight w:val="none"/>
                <w:lang w:val="en-US" w:eastAsia="zh-CN"/>
              </w:rPr>
              <w:t>cm/s。</w:t>
            </w:r>
            <w:r>
              <w:commentReference w:id="44"/>
            </w:r>
          </w:p>
          <w:p>
            <w:pPr>
              <w:pStyle w:val="62"/>
              <w:ind w:firstLine="480"/>
              <w:rPr>
                <w:rFonts w:hint="default"/>
                <w:b w:val="0"/>
                <w:bCs w:val="0"/>
                <w:color w:val="000000" w:themeColor="text1"/>
                <w:highlight w:val="none"/>
                <w:lang w:val="en-US" w:eastAsia="zh-CN"/>
                <w14:textFill>
                  <w14:solidFill>
                    <w14:schemeClr w14:val="tx1"/>
                  </w14:solidFill>
                </w14:textFill>
              </w:rPr>
            </w:pPr>
            <w:r>
              <w:rPr>
                <w:rFonts w:hint="eastAsia"/>
                <w:color w:val="FF0000"/>
                <w:highlight w:val="none"/>
                <w:lang w:val="en-US" w:eastAsia="zh-CN"/>
              </w:rPr>
              <w:t>综上所述，利旧设施满足本项目运行需求。</w:t>
            </w:r>
            <w:commentRangeEnd w:id="43"/>
            <w:r>
              <w:commentReference w:id="43"/>
            </w:r>
          </w:p>
          <w:p>
            <w:pPr>
              <w:pStyle w:val="62"/>
              <w:ind w:firstLine="48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8</w:t>
            </w:r>
            <w:r>
              <w:rPr>
                <w:b/>
                <w:bCs/>
                <w:color w:val="000000" w:themeColor="text1"/>
                <w:highlight w:val="none"/>
                <w14:textFill>
                  <w14:solidFill>
                    <w14:schemeClr w14:val="tx1"/>
                  </w14:solidFill>
                </w14:textFill>
              </w:rPr>
              <w:t>、平面布置</w:t>
            </w:r>
          </w:p>
          <w:p>
            <w:pPr>
              <w:bidi w:val="0"/>
              <w:rPr>
                <w:rFonts w:hint="eastAsia"/>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主要工程组成包括罐区、卸车区、油气回收装置区、办公区、危废库、消防泵房。</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罐区位于汇金达溶剂油公司厂区北部中区，卸车区位于东侧，消防泵房位于罐区东北侧，油气回收装置区、危废库位于罐区东南侧；办公区位于西侧，远离装置区。项目平面布置图见附图3。</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w:t>
            </w:r>
            <w:r>
              <w:rPr>
                <w:rFonts w:hint="default"/>
                <w:color w:val="000000" w:themeColor="text1"/>
                <w:highlight w:val="none"/>
                <w:lang w:val="en-US" w:eastAsia="zh-CN"/>
                <w14:textFill>
                  <w14:solidFill>
                    <w14:schemeClr w14:val="tx1"/>
                  </w14:solidFill>
                </w14:textFill>
              </w:rPr>
              <w:t>已进行明确的功能区划分，项目厂区分块合理；各种</w:t>
            </w:r>
            <w:r>
              <w:rPr>
                <w:rFonts w:hint="eastAsia"/>
                <w:color w:val="000000" w:themeColor="text1"/>
                <w:highlight w:val="none"/>
                <w:lang w:val="en-US" w:eastAsia="zh-CN"/>
                <w14:textFill>
                  <w14:solidFill>
                    <w14:schemeClr w14:val="tx1"/>
                  </w14:solidFill>
                </w14:textFill>
              </w:rPr>
              <w:t>储罐、装置</w:t>
            </w:r>
            <w:r>
              <w:rPr>
                <w:rFonts w:hint="default"/>
                <w:color w:val="000000" w:themeColor="text1"/>
                <w:highlight w:val="none"/>
                <w:lang w:val="en-US" w:eastAsia="zh-CN"/>
                <w14:textFill>
                  <w14:solidFill>
                    <w14:schemeClr w14:val="tx1"/>
                  </w14:solidFill>
                </w14:textFill>
              </w:rPr>
              <w:t>之间保持有一定的安全距离</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项目在满足生产工艺流程的前提下，考虑运输、安全、卫生等要求，结合项目用地的自然地形条件，按各种设施不同功能进行分区和组合，力求平面布置紧凑合理，节省用地，有利生产，方便管理。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5" w:hRule="atLeast"/>
          <w:jc w:val="center"/>
        </w:trPr>
        <w:tc>
          <w:tcPr>
            <w:tcW w:w="823" w:type="dxa"/>
            <w:noWrap w:val="0"/>
            <w:vAlign w:val="center"/>
          </w:tcPr>
          <w:p>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工艺流程和产排污环节</w:t>
            </w:r>
          </w:p>
        </w:tc>
        <w:tc>
          <w:tcPr>
            <w:tcW w:w="8399" w:type="dxa"/>
            <w:noWrap w:val="0"/>
            <w:vAlign w:val="top"/>
          </w:tcPr>
          <w:p>
            <w:pPr>
              <w:bidi w:val="0"/>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一</w:t>
            </w:r>
            <w:r>
              <w:rPr>
                <w:b/>
                <w:bCs/>
                <w:color w:val="000000" w:themeColor="text1"/>
                <w:highlight w:val="none"/>
                <w14:textFill>
                  <w14:solidFill>
                    <w14:schemeClr w14:val="tx1"/>
                  </w14:solidFill>
                </w14:textFill>
              </w:rPr>
              <w:t>、施工期工艺流程及产污环节分析</w:t>
            </w:r>
          </w:p>
          <w:p>
            <w:pPr>
              <w:bidi w:val="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1、施工期工艺流程</w:t>
            </w:r>
            <w:commentRangeStart w:id="45"/>
            <w:commentRangeStart w:id="46"/>
            <w:r>
              <w:commentReference w:id="45"/>
            </w:r>
            <w:commentRangeEnd w:id="45"/>
            <w:commentRangeEnd w:id="46"/>
            <w:r>
              <w:commentReference w:id="46"/>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施工期间，土建工程主要是危废库建设，其次为设备安装，会产生一定的噪声、扬尘及废气、固体废物、污水等，其排放量随工序和施工强度不同而变化。该项目施工期工艺流程如下图所示。施工期具体的工艺流程及产生的污染见图2-2。</w:t>
            </w:r>
          </w:p>
          <w:p>
            <w:pPr>
              <w:adjustRightInd w:val="0"/>
              <w:snapToGrid w:val="0"/>
              <w:ind w:left="0" w:leftChars="0" w:firstLine="0" w:firstLineChars="0"/>
              <w:jc w:val="center"/>
              <w:rPr>
                <w:rFonts w:hint="eastAsia" w:ascii="宋体" w:hAnsi="宋体"/>
                <w:b/>
                <w:bCs w:val="0"/>
                <w:color w:val="000000" w:themeColor="text1"/>
                <w:szCs w:val="21"/>
                <w:highlight w:val="none"/>
                <w:lang w:val="en-US" w:eastAsia="zh-CN"/>
                <w14:textFill>
                  <w14:solidFill>
                    <w14:schemeClr w14:val="tx1"/>
                  </w14:solidFill>
                </w14:textFill>
              </w:rPr>
            </w:pPr>
            <w:r>
              <w:rPr>
                <w:rFonts w:hint="eastAsia" w:ascii="宋体" w:hAnsi="宋体"/>
                <w:b/>
                <w:bCs w:val="0"/>
                <w:color w:val="000000" w:themeColor="text1"/>
                <w:szCs w:val="21"/>
                <w:highlight w:val="none"/>
                <w:lang w:val="en-US" w:eastAsia="zh-CN"/>
                <w14:textFill>
                  <w14:solidFill>
                    <w14:schemeClr w14:val="tx1"/>
                  </w14:solidFill>
                </w14:textFill>
              </w:rPr>
              <w:drawing>
                <wp:inline distT="0" distB="0" distL="114300" distR="114300">
                  <wp:extent cx="4985385" cy="1530350"/>
                  <wp:effectExtent l="0" t="0" r="0" b="0"/>
                  <wp:docPr id="39" name="图片 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89"/>
                          <pic:cNvPicPr>
                            <a:picLocks noChangeAspect="true"/>
                          </pic:cNvPicPr>
                        </pic:nvPicPr>
                        <pic:blipFill>
                          <a:blip r:embed="rId26"/>
                          <a:srcRect b="10509"/>
                          <a:stretch>
                            <a:fillRect/>
                          </a:stretch>
                        </pic:blipFill>
                        <pic:spPr>
                          <a:xfrm>
                            <a:off x="0" y="0"/>
                            <a:ext cx="4985385" cy="1530350"/>
                          </a:xfrm>
                          <a:prstGeom prst="rect">
                            <a:avLst/>
                          </a:prstGeom>
                          <a:noFill/>
                          <a:ln>
                            <a:noFill/>
                          </a:ln>
                        </pic:spPr>
                      </pic:pic>
                    </a:graphicData>
                  </a:graphic>
                </wp:inline>
              </w:drawing>
            </w:r>
          </w:p>
          <w:p>
            <w:pPr>
              <w:bidi w:val="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图2-2 施工流程及产物节点图</w:t>
            </w:r>
          </w:p>
          <w:p>
            <w:pPr>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2、施工期产排污环节</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（1）废气：施工扬尘、运输车辆排放的废气。</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（2）废水：废水主要为施工生产废水和施工人员的生活污水。</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（3）噪声：主要为施工机械的运转噪声及运输车辆噪声。</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（4）固废：主要为施工过程的建筑垃圾以及施工人员生活垃圾。</w:t>
            </w:r>
          </w:p>
          <w:p>
            <w:pPr>
              <w:adjustRightInd w:val="0"/>
              <w:snapToGrid w:val="0"/>
              <w:rPr>
                <w:rFonts w:ascii="宋体" w:hAnsi="宋体"/>
                <w:bCs/>
                <w:color w:val="000000" w:themeColor="text1"/>
                <w:szCs w:val="21"/>
                <w:highlight w:val="none"/>
                <w14:textFill>
                  <w14:solidFill>
                    <w14:schemeClr w14:val="tx1"/>
                  </w14:solidFill>
                </w14:textFill>
              </w:rPr>
            </w:pPr>
            <w:r>
              <w:rPr>
                <w:rFonts w:hint="eastAsia" w:ascii="宋体" w:hAnsi="宋体"/>
                <w:b/>
                <w:bCs w:val="0"/>
                <w:color w:val="000000" w:themeColor="text1"/>
                <w:szCs w:val="21"/>
                <w:highlight w:val="none"/>
                <w:lang w:val="en-US" w:eastAsia="zh-CN"/>
                <w14:textFill>
                  <w14:solidFill>
                    <w14:schemeClr w14:val="tx1"/>
                  </w14:solidFill>
                </w14:textFill>
              </w:rPr>
              <w:t>二</w:t>
            </w:r>
            <w:r>
              <w:rPr>
                <w:rFonts w:ascii="宋体" w:hAnsi="宋体"/>
                <w:b/>
                <w:bCs w:val="0"/>
                <w:color w:val="000000" w:themeColor="text1"/>
                <w:szCs w:val="21"/>
                <w:highlight w:val="none"/>
                <w14:textFill>
                  <w14:solidFill>
                    <w14:schemeClr w14:val="tx1"/>
                  </w14:solidFill>
                </w14:textFill>
              </w:rPr>
              <w:t>、运营期工艺流程及产污环节分析</w:t>
            </w:r>
          </w:p>
          <w:p>
            <w:pPr>
              <w:adjustRightInd w:val="0"/>
              <w:snapToGrid w:val="0"/>
              <w:rPr>
                <w:rFonts w:hint="eastAsia" w:ascii="宋体" w:hAnsi="宋体"/>
                <w:bCs/>
                <w:color w:val="000000" w:themeColor="text1"/>
                <w:szCs w:val="21"/>
                <w:highlight w:val="none"/>
                <w:lang w:val="en-US" w:eastAsia="zh-CN"/>
                <w14:textFill>
                  <w14:solidFill>
                    <w14:schemeClr w14:val="tx1"/>
                  </w14:solidFill>
                </w14:textFill>
              </w:rPr>
            </w:pPr>
            <w:r>
              <w:rPr>
                <w:rFonts w:hint="eastAsia" w:ascii="宋体" w:hAnsi="宋体"/>
                <w:b/>
                <w:bCs w:val="0"/>
                <w:color w:val="000000" w:themeColor="text1"/>
                <w:szCs w:val="21"/>
                <w:highlight w:val="none"/>
                <w:lang w:val="en-US" w:eastAsia="zh-CN"/>
                <w14:textFill>
                  <w14:solidFill>
                    <w14:schemeClr w14:val="tx1"/>
                  </w14:solidFill>
                </w14:textFill>
              </w:rPr>
              <w:t>1、工艺流程</w:t>
            </w:r>
            <w:commentRangeStart w:id="47"/>
            <w:commentRangeStart w:id="48"/>
            <w:r>
              <w:commentReference w:id="47"/>
            </w:r>
            <w:commentRangeEnd w:id="47"/>
            <w:commentRangeEnd w:id="48"/>
            <w:r>
              <w:commentReference w:id="48"/>
            </w:r>
          </w:p>
          <w:p>
            <w:pPr>
              <w:ind w:left="420" w:leftChars="0" w:hanging="420" w:hangingChars="20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drawing>
                <wp:inline distT="0" distB="0" distL="114300" distR="114300">
                  <wp:extent cx="5174615" cy="2041525"/>
                  <wp:effectExtent l="0" t="0" r="6985" b="15875"/>
                  <wp:docPr id="15" name="F360BE8B-6686-4F3D-AEAF-501FE73E4058-2" descr="C:/Users/Administrator/AppData/Local/Temp/绘图1(3).png绘图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F360BE8B-6686-4F3D-AEAF-501FE73E4058-2" descr="C:/Users/Administrator/AppData/Local/Temp/绘图1(3).png绘图1(3)"/>
                          <pic:cNvPicPr>
                            <a:picLocks noChangeAspect="true"/>
                          </pic:cNvPicPr>
                        </pic:nvPicPr>
                        <pic:blipFill>
                          <a:blip r:embed="rId27"/>
                          <a:stretch>
                            <a:fillRect/>
                          </a:stretch>
                        </pic:blipFill>
                        <pic:spPr>
                          <a:xfrm>
                            <a:off x="0" y="0"/>
                            <a:ext cx="5174615" cy="2041525"/>
                          </a:xfrm>
                          <a:prstGeom prst="rect">
                            <a:avLst/>
                          </a:prstGeom>
                        </pic:spPr>
                      </pic:pic>
                    </a:graphicData>
                  </a:graphic>
                </wp:inline>
              </w:drawing>
            </w:r>
          </w:p>
          <w:p>
            <w:pPr>
              <w:ind w:left="421" w:leftChars="0" w:hanging="421" w:hangingChars="20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图2-3 项目工艺流程图</w:t>
            </w:r>
            <w:r>
              <w:commentReference w:id="49"/>
            </w:r>
            <w:r>
              <w:commentReference w:id="50"/>
            </w:r>
          </w:p>
          <w:p>
            <w:pPr>
              <w:ind w:left="480" w:leftChars="200" w:firstLine="0" w:firstLineChars="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（1）卸车、暂存</w:t>
            </w:r>
          </w:p>
          <w:p>
            <w:pPr>
              <w:ind w:firstLine="56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原料</w:t>
            </w:r>
            <w:r>
              <w:rPr>
                <w:rFonts w:hint="eastAsia"/>
                <w:color w:val="000000" w:themeColor="text1"/>
                <w14:textFill>
                  <w14:solidFill>
                    <w14:schemeClr w14:val="tx1"/>
                  </w14:solidFill>
                </w14:textFill>
              </w:rPr>
              <w:t>柴油和汽油</w:t>
            </w:r>
            <w:r>
              <w:rPr>
                <w:rFonts w:hint="eastAsia"/>
                <w:color w:val="000000" w:themeColor="text1"/>
                <w:lang w:val="en-US" w:eastAsia="zh-CN"/>
                <w14:textFill>
                  <w14:solidFill>
                    <w14:schemeClr w14:val="tx1"/>
                  </w14:solidFill>
                </w14:textFill>
              </w:rPr>
              <w:t>组分油在卸车区</w:t>
            </w:r>
            <w:r>
              <w:rPr>
                <w:rFonts w:hint="eastAsia"/>
                <w:color w:val="000000" w:themeColor="text1"/>
                <w14:textFill>
                  <w14:solidFill>
                    <w14:schemeClr w14:val="tx1"/>
                  </w14:solidFill>
                </w14:textFill>
              </w:rPr>
              <w:t>进行卸车操作，随后通过各自的卸</w:t>
            </w:r>
            <w:commentRangeStart w:id="51"/>
            <w:r>
              <w:rPr>
                <w:rFonts w:hint="eastAsia"/>
                <w:color w:val="000000" w:themeColor="text1"/>
                <w14:textFill>
                  <w14:solidFill>
                    <w14:schemeClr w14:val="tx1"/>
                  </w14:solidFill>
                </w14:textFill>
              </w:rPr>
              <w:t>车泵</w:t>
            </w:r>
            <w:r>
              <w:rPr>
                <w:rFonts w:hint="eastAsia"/>
                <w:color w:val="FF0000"/>
                <w:lang w:val="en-US" w:eastAsia="zh-CN"/>
              </w:rPr>
              <w:t>经管道</w:t>
            </w:r>
            <w:r>
              <w:rPr>
                <w:rFonts w:hint="eastAsia"/>
                <w:color w:val="000000" w:themeColor="text1"/>
                <w14:textFill>
                  <w14:solidFill>
                    <w14:schemeClr w14:val="tx1"/>
                  </w14:solidFill>
                </w14:textFill>
              </w:rPr>
              <w:t>输</w:t>
            </w:r>
            <w:commentRangeEnd w:id="51"/>
            <w:r>
              <w:commentReference w:id="51"/>
            </w:r>
            <w:r>
              <w:rPr>
                <w:rFonts w:hint="eastAsia"/>
                <w:color w:val="000000" w:themeColor="text1"/>
                <w14:textFill>
                  <w14:solidFill>
                    <w14:schemeClr w14:val="tx1"/>
                  </w14:solidFill>
                </w14:textFill>
              </w:rPr>
              <w:t>送至罐区对应的储罐</w:t>
            </w:r>
            <w:r>
              <w:rPr>
                <w:rFonts w:hint="eastAsia"/>
                <w:color w:val="000000" w:themeColor="text1"/>
                <w:lang w:eastAsia="zh-CN"/>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根据企业提供资料，平均三到五年需要对储罐进行一次清洗。</w:t>
            </w:r>
            <w:r>
              <w:rPr>
                <w:rFonts w:hint="eastAsia" w:ascii="宋体" w:hAnsi="宋体" w:cs="宋体"/>
                <w:color w:val="000000" w:themeColor="text1"/>
                <w:kern w:val="0"/>
                <w:sz w:val="24"/>
                <w:szCs w:val="24"/>
                <w:lang w:val="en-US" w:eastAsia="zh-CN" w:bidi="ar"/>
                <w14:textFill>
                  <w14:solidFill>
                    <w14:schemeClr w14:val="tx1"/>
                  </w14:solidFill>
                </w14:textFill>
              </w:rPr>
              <w:t>清罐作业外委处理。</w:t>
            </w:r>
          </w:p>
          <w:p>
            <w:pPr>
              <w:ind w:firstLine="56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卸车过程及原料罐呼吸</w:t>
            </w:r>
            <w:r>
              <w:rPr>
                <w:rFonts w:hint="eastAsia"/>
                <w:color w:val="000000" w:themeColor="text1"/>
                <w14:textFill>
                  <w14:solidFill>
                    <w14:schemeClr w14:val="tx1"/>
                  </w14:solidFill>
                </w14:textFill>
              </w:rPr>
              <w:t>产生的油气，</w:t>
            </w:r>
            <w:r>
              <w:rPr>
                <w:rFonts w:hint="eastAsia"/>
                <w:color w:val="000000" w:themeColor="text1"/>
                <w:lang w:val="en-US" w:eastAsia="zh-CN"/>
                <w14:textFill>
                  <w14:solidFill>
                    <w14:schemeClr w14:val="tx1"/>
                  </w14:solidFill>
                </w14:textFill>
              </w:rPr>
              <w:t>经</w:t>
            </w:r>
            <w:r>
              <w:rPr>
                <w:rFonts w:hint="eastAsia"/>
                <w:color w:val="000000" w:themeColor="text1"/>
                <w14:textFill>
                  <w14:solidFill>
                    <w14:schemeClr w14:val="tx1"/>
                  </w14:solidFill>
                </w14:textFill>
              </w:rPr>
              <w:t>管线统一收集</w:t>
            </w:r>
            <w:r>
              <w:rPr>
                <w:rFonts w:hint="eastAsia"/>
                <w:color w:val="000000" w:themeColor="text1"/>
                <w:lang w:val="en-US" w:eastAsia="zh-CN"/>
                <w14:textFill>
                  <w14:solidFill>
                    <w14:schemeClr w14:val="tx1"/>
                  </w14:solidFill>
                </w14:textFill>
              </w:rPr>
              <w:t>至油气回收装置处理</w:t>
            </w:r>
            <w:r>
              <w:rPr>
                <w:rFonts w:hint="eastAsia"/>
                <w:color w:val="000000" w:themeColor="text1"/>
                <w14:textFill>
                  <w14:solidFill>
                    <w14:schemeClr w14:val="tx1"/>
                  </w14:solidFill>
                </w14:textFill>
              </w:rPr>
              <w:t>。</w:t>
            </w:r>
          </w:p>
          <w:p>
            <w:pPr>
              <w:ind w:firstLine="56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该过程伴有噪声、废气产生。</w:t>
            </w:r>
          </w:p>
          <w:p>
            <w:pPr>
              <w:ind w:firstLine="560"/>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调和</w:t>
            </w:r>
          </w:p>
          <w:p>
            <w:pPr>
              <w:ind w:firstLine="56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原料油、辅料按照一定</w:t>
            </w:r>
            <w:r>
              <w:rPr>
                <w:rFonts w:hint="eastAsia"/>
                <w:color w:val="000000" w:themeColor="text1"/>
                <w14:textFill>
                  <w14:solidFill>
                    <w14:schemeClr w14:val="tx1"/>
                  </w14:solidFill>
                </w14:textFill>
              </w:rPr>
              <w:t>比例，</w:t>
            </w:r>
            <w:commentRangeStart w:id="52"/>
            <w:r>
              <w:rPr>
                <w:rFonts w:hint="eastAsia"/>
                <w:color w:val="000000" w:themeColor="text1"/>
                <w14:textFill>
                  <w14:solidFill>
                    <w14:schemeClr w14:val="tx1"/>
                  </w14:solidFill>
                </w14:textFill>
              </w:rPr>
              <w:t>经各自的输送泵</w:t>
            </w:r>
            <w:r>
              <w:rPr>
                <w:rFonts w:hint="eastAsia"/>
                <w:color w:val="FF0000"/>
                <w:lang w:val="en-US" w:eastAsia="zh-CN"/>
              </w:rPr>
              <w:t>通过管线</w:t>
            </w:r>
            <w:r>
              <w:rPr>
                <w:rFonts w:hint="eastAsia"/>
                <w:color w:val="000000" w:themeColor="text1"/>
                <w14:textFill>
                  <w14:solidFill>
                    <w14:schemeClr w14:val="tx1"/>
                  </w14:solidFill>
                </w14:textFill>
              </w:rPr>
              <w:t>输送至调和罐入口总管</w:t>
            </w:r>
            <w:commentRangeEnd w:id="52"/>
            <w:r>
              <w:commentReference w:id="52"/>
            </w:r>
            <w:r>
              <w:rPr>
                <w:rFonts w:hint="eastAsia"/>
                <w:color w:val="000000" w:themeColor="text1"/>
                <w14:textFill>
                  <w14:solidFill>
                    <w14:schemeClr w14:val="tx1"/>
                  </w14:solidFill>
                </w14:textFill>
              </w:rPr>
              <w:t>上的管道静态混合器，然后进入调合储罐。进入调合储罐后的合并物料借助油品调合泵进行倒罐作业，倒罐物料从调合储罐的调合油口进入，再由连接在调合油口的调合喷嘴在储罐内喷出。调合油在持续的“调合罐-调合泵-储罐调合器-调合罐”循环过程中调合成成品柴油</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调和罐同时为成品罐，周转使用</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储罐呼吸废气经</w:t>
            </w:r>
            <w:r>
              <w:rPr>
                <w:rFonts w:hint="eastAsia"/>
                <w:color w:val="000000" w:themeColor="text1"/>
                <w14:textFill>
                  <w14:solidFill>
                    <w14:schemeClr w14:val="tx1"/>
                  </w14:solidFill>
                </w14:textFill>
              </w:rPr>
              <w:t>管线统一收集</w:t>
            </w:r>
            <w:r>
              <w:rPr>
                <w:rFonts w:hint="eastAsia"/>
                <w:color w:val="000000" w:themeColor="text1"/>
                <w:lang w:val="en-US" w:eastAsia="zh-CN"/>
                <w14:textFill>
                  <w14:solidFill>
                    <w14:schemeClr w14:val="tx1"/>
                  </w14:solidFill>
                </w14:textFill>
              </w:rPr>
              <w:t>至油气回收装置处理</w:t>
            </w:r>
            <w:r>
              <w:rPr>
                <w:rFonts w:hint="eastAsia"/>
                <w:color w:val="000000" w:themeColor="text1"/>
                <w14:textFill>
                  <w14:solidFill>
                    <w14:schemeClr w14:val="tx1"/>
                  </w14:solidFill>
                </w14:textFill>
              </w:rPr>
              <w:t>。</w:t>
            </w:r>
          </w:p>
          <w:p>
            <w:pPr>
              <w:bidi w:val="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该过程伴有噪声、废气产生。</w:t>
            </w:r>
          </w:p>
          <w:p>
            <w:pPr>
              <w:bidi w:val="0"/>
              <w:rPr>
                <w:rFonts w:hint="default"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成品储存</w:t>
            </w:r>
          </w:p>
          <w:p>
            <w:pPr>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调合后的油品经检验合格后，</w:t>
            </w:r>
            <w:r>
              <w:rPr>
                <w:rFonts w:hint="eastAsia"/>
                <w:color w:val="000000" w:themeColor="text1"/>
                <w:lang w:val="en-US" w:eastAsia="zh-CN"/>
                <w14:textFill>
                  <w14:solidFill>
                    <w14:schemeClr w14:val="tx1"/>
                  </w14:solidFill>
                </w14:textFill>
              </w:rPr>
              <w:t>储存</w:t>
            </w:r>
            <w:r>
              <w:rPr>
                <w:rFonts w:hint="eastAsia"/>
                <w:color w:val="000000" w:themeColor="text1"/>
                <w14:textFill>
                  <w14:solidFill>
                    <w14:schemeClr w14:val="tx1"/>
                  </w14:solidFill>
                </w14:textFill>
              </w:rPr>
              <w:t>在调和罐内</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调和罐同时为成品罐，周转使用</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储罐呼吸废气经</w:t>
            </w:r>
            <w:r>
              <w:rPr>
                <w:rFonts w:hint="eastAsia"/>
                <w:color w:val="000000" w:themeColor="text1"/>
                <w14:textFill>
                  <w14:solidFill>
                    <w14:schemeClr w14:val="tx1"/>
                  </w14:solidFill>
                </w14:textFill>
              </w:rPr>
              <w:t>管线统一收集</w:t>
            </w:r>
            <w:r>
              <w:rPr>
                <w:rFonts w:hint="eastAsia"/>
                <w:color w:val="000000" w:themeColor="text1"/>
                <w:lang w:val="en-US" w:eastAsia="zh-CN"/>
                <w14:textFill>
                  <w14:solidFill>
                    <w14:schemeClr w14:val="tx1"/>
                  </w14:solidFill>
                </w14:textFill>
              </w:rPr>
              <w:t>至油气回收装置处理</w:t>
            </w:r>
            <w:r>
              <w:rPr>
                <w:rFonts w:hint="eastAsia"/>
                <w:color w:val="000000" w:themeColor="text1"/>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根据企业提供资料，平均三到五年需要对储罐进行一次清洗。</w:t>
            </w:r>
            <w:r>
              <w:rPr>
                <w:rFonts w:hint="eastAsia" w:ascii="宋体" w:hAnsi="宋体" w:cs="宋体"/>
                <w:color w:val="000000" w:themeColor="text1"/>
                <w:kern w:val="0"/>
                <w:sz w:val="24"/>
                <w:szCs w:val="24"/>
                <w:lang w:val="en-US" w:eastAsia="zh-CN" w:bidi="ar"/>
                <w14:textFill>
                  <w14:solidFill>
                    <w14:schemeClr w14:val="tx1"/>
                  </w14:solidFill>
                </w14:textFill>
              </w:rPr>
              <w:t>清罐作业外委处理。</w:t>
            </w:r>
          </w:p>
          <w:p>
            <w:pPr>
              <w:bidi w:val="0"/>
              <w:rPr>
                <w:rFonts w:hint="default"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装车外售</w:t>
            </w:r>
          </w:p>
          <w:p>
            <w:pPr>
              <w:bidi w:val="0"/>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根据实际市场需求，成品柴油</w:t>
            </w:r>
            <w:commentRangeStart w:id="53"/>
            <w:r>
              <w:rPr>
                <w:rFonts w:hint="eastAsia"/>
                <w:color w:val="000000" w:themeColor="text1"/>
                <w14:textFill>
                  <w14:solidFill>
                    <w14:schemeClr w14:val="tx1"/>
                  </w14:solidFill>
                </w14:textFill>
              </w:rPr>
              <w:t>通过成品油装车泵</w:t>
            </w:r>
            <w:r>
              <w:rPr>
                <w:rFonts w:hint="eastAsia"/>
                <w:color w:val="FF0000"/>
                <w:lang w:val="en-US" w:eastAsia="zh-CN"/>
              </w:rPr>
              <w:t>经管道</w:t>
            </w:r>
            <w:r>
              <w:rPr>
                <w:rFonts w:hint="eastAsia"/>
                <w:color w:val="000000" w:themeColor="text1"/>
                <w14:textFill>
                  <w14:solidFill>
                    <w14:schemeClr w14:val="tx1"/>
                  </w14:solidFill>
                </w14:textFill>
              </w:rPr>
              <w:t>输送至汽车装卸设施</w:t>
            </w:r>
            <w:commentRangeEnd w:id="53"/>
            <w:r>
              <w:commentReference w:id="53"/>
            </w:r>
            <w:r>
              <w:rPr>
                <w:rFonts w:hint="eastAsia"/>
                <w:color w:val="000000" w:themeColor="text1"/>
                <w14:textFill>
                  <w14:solidFill>
                    <w14:schemeClr w14:val="tx1"/>
                  </w14:solidFill>
                </w14:textFill>
              </w:rPr>
              <w:t>，经定量装车后</w:t>
            </w:r>
            <w:r>
              <w:rPr>
                <w:rFonts w:hint="eastAsia"/>
                <w:color w:val="000000" w:themeColor="text1"/>
                <w:lang w:val="en-US" w:eastAsia="zh-CN"/>
                <w14:textFill>
                  <w14:solidFill>
                    <w14:schemeClr w14:val="tx1"/>
                  </w14:solidFill>
                </w14:textFill>
              </w:rPr>
              <w:t>外售</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装车废气经</w:t>
            </w:r>
            <w:r>
              <w:rPr>
                <w:rFonts w:hint="eastAsia"/>
                <w:color w:val="000000" w:themeColor="text1"/>
                <w14:textFill>
                  <w14:solidFill>
                    <w14:schemeClr w14:val="tx1"/>
                  </w14:solidFill>
                </w14:textFill>
              </w:rPr>
              <w:t>管线统一收集</w:t>
            </w:r>
            <w:r>
              <w:rPr>
                <w:rFonts w:hint="eastAsia"/>
                <w:color w:val="000000" w:themeColor="text1"/>
                <w:lang w:val="en-US" w:eastAsia="zh-CN"/>
                <w14:textFill>
                  <w14:solidFill>
                    <w14:schemeClr w14:val="tx1"/>
                  </w14:solidFill>
                </w14:textFill>
              </w:rPr>
              <w:t>至油气回收装置处理</w:t>
            </w:r>
            <w:r>
              <w:rPr>
                <w:rFonts w:hint="eastAsia"/>
                <w:color w:val="000000" w:themeColor="text1"/>
                <w14:textFill>
                  <w14:solidFill>
                    <w14:schemeClr w14:val="tx1"/>
                  </w14:solidFill>
                </w14:textFill>
              </w:rPr>
              <w:t>。</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（5）油气回收装置</w:t>
            </w:r>
          </w:p>
          <w:p>
            <w:pPr>
              <w:ind w:firstLine="560"/>
              <w:rPr>
                <w:rFonts w:hint="default"/>
                <w:color w:val="000000" w:themeColor="text1"/>
                <w:highlight w:val="none"/>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油气回收原理为吸附/脱附回收法。储罐呼吸阀及装卸区的排出的尾气经收集后采用吸脱附-冷凝组合工艺进行回收VOCs，油气回收装置设置两座活性炭吸附塔，单座吸附塔活性炭装填量为5t，采用颗粒活性炭，</w:t>
            </w:r>
            <w:r>
              <w:rPr>
                <w:rFonts w:hint="eastAsia"/>
                <w:color w:val="000000" w:themeColor="text1"/>
                <w:spacing w:val="-3"/>
                <w:sz w:val="24"/>
                <w:highlight w:val="none"/>
                <w:lang w:eastAsia="zh-CN"/>
                <w14:textFill>
                  <w14:solidFill>
                    <w14:schemeClr w14:val="tx1"/>
                  </w14:solidFill>
                </w14:textFill>
              </w:rPr>
              <w:t>碘值</w:t>
            </w:r>
            <w:r>
              <w:rPr>
                <w:rFonts w:hint="eastAsia"/>
                <w:color w:val="000000" w:themeColor="text1"/>
                <w:spacing w:val="-3"/>
                <w:sz w:val="24"/>
                <w:highlight w:val="none"/>
                <w:lang w:val="en-US" w:eastAsia="zh-CN"/>
                <w14:textFill>
                  <w14:solidFill>
                    <w14:schemeClr w14:val="tx1"/>
                  </w14:solidFill>
                </w14:textFill>
              </w:rPr>
              <w:t>约</w:t>
            </w:r>
            <w:r>
              <w:rPr>
                <w:rFonts w:hint="eastAsia"/>
                <w:color w:val="000000" w:themeColor="text1"/>
                <w:spacing w:val="-3"/>
                <w:sz w:val="24"/>
                <w:highlight w:val="none"/>
                <w:lang w:eastAsia="zh-CN"/>
                <w14:textFill>
                  <w14:solidFill>
                    <w14:schemeClr w14:val="tx1"/>
                  </w14:solidFill>
                </w14:textFill>
              </w:rPr>
              <w:t>800mg/g，</w:t>
            </w:r>
            <w:r>
              <w:rPr>
                <w:rFonts w:hint="eastAsia"/>
                <w:color w:val="000000" w:themeColor="text1"/>
                <w:spacing w:val="-3"/>
                <w:sz w:val="24"/>
                <w:highlight w:val="none"/>
                <w:lang w:val="en-US" w:eastAsia="zh-CN"/>
                <w14:textFill>
                  <w14:solidFill>
                    <w14:schemeClr w14:val="tx1"/>
                  </w14:solidFill>
                </w14:textFill>
              </w:rPr>
              <w:t>二级活性炭</w:t>
            </w:r>
            <w:r>
              <w:rPr>
                <w:rFonts w:hint="eastAsia"/>
                <w:color w:val="000000" w:themeColor="text1"/>
                <w:spacing w:val="4"/>
                <w14:textFill>
                  <w14:solidFill>
                    <w14:schemeClr w14:val="tx1"/>
                  </w14:solidFill>
                </w14:textFill>
              </w:rPr>
              <w:t>吸附效率取</w:t>
            </w:r>
            <w:r>
              <w:rPr>
                <w:rFonts w:hint="eastAsia"/>
                <w:color w:val="000000" w:themeColor="text1"/>
                <w:spacing w:val="4"/>
                <w:lang w:val="en-US" w:eastAsia="zh-CN"/>
                <w14:textFill>
                  <w14:solidFill>
                    <w14:schemeClr w14:val="tx1"/>
                  </w14:solidFill>
                </w14:textFill>
              </w:rPr>
              <w:t>96</w:t>
            </w: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采用真空脱附，反复利用，</w:t>
            </w:r>
            <w:r>
              <w:rPr>
                <w:rFonts w:hint="eastAsia"/>
                <w:color w:val="000000" w:themeColor="text1"/>
                <w:lang w:val="en-US" w:eastAsia="zh-CN"/>
                <w14:textFill>
                  <w14:solidFill>
                    <w14:schemeClr w14:val="tx1"/>
                  </w14:solidFill>
                </w14:textFill>
              </w:rPr>
              <w:t>每两年更换一次。将各储罐的呼吸阀进行连通，采用</w:t>
            </w:r>
            <w:r>
              <w:rPr>
                <w:rFonts w:hint="eastAsia"/>
                <w:color w:val="FF0000"/>
                <w:lang w:val="en-US" w:eastAsia="zh-CN"/>
              </w:rPr>
              <w:t>瓶装</w:t>
            </w:r>
            <w:commentRangeStart w:id="54"/>
            <w:r>
              <w:rPr>
                <w:rFonts w:hint="eastAsia"/>
                <w:color w:val="FF0000"/>
                <w:lang w:val="en-US" w:eastAsia="zh-CN"/>
              </w:rPr>
              <w:t>氮</w:t>
            </w:r>
            <w:r>
              <w:rPr>
                <w:rFonts w:hint="eastAsia"/>
                <w:color w:val="000000" w:themeColor="text1"/>
                <w:lang w:val="en-US" w:eastAsia="zh-CN"/>
                <w14:textFill>
                  <w14:solidFill>
                    <w14:schemeClr w14:val="tx1"/>
                  </w14:solidFill>
                </w14:textFill>
              </w:rPr>
              <w:t>气</w:t>
            </w:r>
            <w:commentRangeEnd w:id="54"/>
            <w:r>
              <w:commentReference w:id="54"/>
            </w:r>
            <w:r>
              <w:rPr>
                <w:rFonts w:hint="eastAsia"/>
                <w:color w:val="000000" w:themeColor="text1"/>
                <w:lang w:val="en-US" w:eastAsia="zh-CN"/>
                <w14:textFill>
                  <w14:solidFill>
                    <w14:schemeClr w14:val="tx1"/>
                  </w14:solidFill>
                </w14:textFill>
              </w:rPr>
              <w:t>进行平衡，利用风机经回收管路引入吸附塔，采用吸附对废气进行吸附，吸附饱和后采用真空方式进行脱附提浓，提浓的有机气体进行压缩浓缩并进行冷凝液化，不凝部分循环吸附，以此达到达标排放，同时回收VOC的目的</w:t>
            </w:r>
            <w:r>
              <w:rPr>
                <w:rFonts w:hint="eastAsia"/>
                <w:color w:val="000000" w:themeColor="text1"/>
                <w:highlight w:val="none"/>
                <w:lang w:val="en-US" w:eastAsia="zh-CN"/>
                <w14:textFill>
                  <w14:solidFill>
                    <w14:schemeClr w14:val="tx1"/>
                  </w14:solidFill>
                </w14:textFill>
              </w:rPr>
              <w:t>。</w:t>
            </w:r>
          </w:p>
          <w:p>
            <w:pPr>
              <w:adjustRightInd w:val="0"/>
              <w:snapToGrid w:val="0"/>
              <w:rPr>
                <w:rFonts w:hint="eastAsia" w:ascii="宋体" w:hAnsi="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根据企业提供资料，平均三到五年需要对储罐进行一次清洗。</w:t>
            </w:r>
            <w:r>
              <w:rPr>
                <w:rFonts w:hint="eastAsia" w:ascii="宋体" w:hAnsi="宋体" w:cs="宋体"/>
                <w:color w:val="000000" w:themeColor="text1"/>
                <w:kern w:val="0"/>
                <w:sz w:val="24"/>
                <w:szCs w:val="24"/>
                <w:lang w:val="en-US" w:eastAsia="zh-CN" w:bidi="ar"/>
                <w14:textFill>
                  <w14:solidFill>
                    <w14:schemeClr w14:val="tx1"/>
                  </w14:solidFill>
                </w14:textFill>
              </w:rPr>
              <w:t>清罐作业外委处理。</w:t>
            </w:r>
          </w:p>
          <w:p>
            <w:pPr>
              <w:adjustRightInd w:val="0"/>
              <w:snapToGrid w:val="0"/>
              <w:rPr>
                <w:rFonts w:hint="eastAsia" w:cs="Times New Roman"/>
                <w:b/>
                <w:bCs w:val="0"/>
                <w:color w:val="000000" w:themeColor="text1"/>
                <w:szCs w:val="21"/>
                <w:highlight w:val="none"/>
                <w:lang w:val="en-US" w:eastAsia="zh-CN"/>
                <w14:textFill>
                  <w14:solidFill>
                    <w14:schemeClr w14:val="tx1"/>
                  </w14:solidFill>
                </w14:textFill>
              </w:rPr>
            </w:pPr>
            <w:r>
              <w:rPr>
                <w:rFonts w:hint="eastAsia" w:cs="Times New Roman"/>
                <w:b/>
                <w:bCs w:val="0"/>
                <w:color w:val="000000" w:themeColor="text1"/>
                <w:szCs w:val="21"/>
                <w:highlight w:val="none"/>
                <w:lang w:val="en-US" w:eastAsia="zh-CN"/>
                <w14:textFill>
                  <w14:solidFill>
                    <w14:schemeClr w14:val="tx1"/>
                  </w14:solidFill>
                </w14:textFill>
              </w:rPr>
              <w:t>2、产排污环节</w:t>
            </w:r>
          </w:p>
          <w:p>
            <w:pPr>
              <w:adjustRightInd w:val="0"/>
              <w:snapToGrid w:val="0"/>
              <w:rPr>
                <w:rFonts w:hint="default" w:cs="Times New Roman"/>
                <w:b/>
                <w:bCs w:val="0"/>
                <w:color w:val="000000" w:themeColor="text1"/>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运营期主要产排污环节见下表</w:t>
            </w:r>
            <w:r>
              <w:rPr>
                <w:rFonts w:hint="eastAsia" w:ascii="宋体" w:hAnsi="宋体" w:cs="宋体"/>
                <w:color w:val="000000" w:themeColor="text1"/>
                <w:kern w:val="0"/>
                <w:sz w:val="24"/>
                <w:szCs w:val="24"/>
                <w:lang w:val="en-US" w:eastAsia="zh-CN" w:bidi="ar"/>
                <w14:textFill>
                  <w14:solidFill>
                    <w14:schemeClr w14:val="tx1"/>
                  </w14:solidFill>
                </w14:textFill>
              </w:rPr>
              <w:t>。</w:t>
            </w:r>
          </w:p>
          <w:p>
            <w:pPr>
              <w:adjustRightInd w:val="0"/>
              <w:snapToGrid w:val="0"/>
              <w:jc w:val="center"/>
              <w:rPr>
                <w:rFonts w:hint="default" w:ascii="Times New Roman" w:hAnsi="Times New Roman" w:cs="Times New Roman"/>
                <w:b/>
                <w:bCs/>
                <w:color w:val="000000" w:themeColor="text1"/>
                <w:sz w:val="24"/>
                <w:szCs w:val="24"/>
                <w:lang w:val="en-US" w:eastAsia="zh-CN"/>
                <w14:textFill>
                  <w14:solidFill>
                    <w14:schemeClr w14:val="tx1"/>
                  </w14:solidFill>
                </w14:textFill>
              </w:rPr>
            </w:pPr>
            <w:r>
              <w:rPr>
                <w:rFonts w:hint="default" w:ascii="Times New Roman" w:hAnsi="Times New Roman" w:cs="Times New Roman"/>
                <w:b/>
                <w:bCs/>
                <w:color w:val="000000" w:themeColor="text1"/>
                <w:sz w:val="21"/>
                <w:szCs w:val="21"/>
                <w:lang w:val="en-US" w:eastAsia="zh-CN"/>
                <w14:textFill>
                  <w14:solidFill>
                    <w14:schemeClr w14:val="tx1"/>
                  </w14:solidFill>
                </w14:textFill>
              </w:rPr>
              <w:t>表2-</w:t>
            </w:r>
            <w:r>
              <w:rPr>
                <w:rFonts w:hint="eastAsia" w:ascii="Times New Roman" w:hAnsi="Times New Roman" w:cs="Times New Roman"/>
                <w:b/>
                <w:bCs/>
                <w:color w:val="000000" w:themeColor="text1"/>
                <w:sz w:val="21"/>
                <w:szCs w:val="21"/>
                <w:lang w:val="en-US" w:eastAsia="zh-CN"/>
                <w14:textFill>
                  <w14:solidFill>
                    <w14:schemeClr w14:val="tx1"/>
                  </w14:solidFill>
                </w14:textFill>
              </w:rPr>
              <w:t>11</w:t>
            </w:r>
            <w:r>
              <w:rPr>
                <w:rFonts w:hint="default" w:ascii="Times New Roman" w:hAnsi="Times New Roman" w:cs="Times New Roman"/>
                <w:b/>
                <w:bCs/>
                <w:color w:val="000000" w:themeColor="text1"/>
                <w:sz w:val="21"/>
                <w:szCs w:val="21"/>
                <w:lang w:val="en-US" w:eastAsia="zh-CN"/>
                <w14:textFill>
                  <w14:solidFill>
                    <w14:schemeClr w14:val="tx1"/>
                  </w14:solidFill>
                </w14:textFill>
              </w:rPr>
              <w:t xml:space="preserve"> 主要污染工序一览表</w:t>
            </w:r>
          </w:p>
          <w:tbl>
            <w:tblPr>
              <w:tblStyle w:val="27"/>
              <w:tblW w:w="8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8"/>
              <w:gridCol w:w="1114"/>
              <w:gridCol w:w="1392"/>
              <w:gridCol w:w="2367"/>
              <w:gridCol w:w="2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92" w:type="dxa"/>
                  <w:gridSpan w:val="2"/>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主要污染源</w:t>
                  </w: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eastAsia" w:ascii="Times New Roman" w:hAnsi="Times New Roman" w:eastAsia="宋体" w:cs="Times New Roman"/>
                      <w:b/>
                      <w:color w:val="000000" w:themeColor="text1"/>
                      <w:kern w:val="0"/>
                      <w:sz w:val="21"/>
                      <w:szCs w:val="21"/>
                      <w:lang w:eastAsia="zh-CN"/>
                      <w14:textFill>
                        <w14:solidFill>
                          <w14:schemeClr w14:val="tx1"/>
                        </w14:solidFill>
                      </w14:textFill>
                    </w:rPr>
                  </w:pPr>
                  <w:r>
                    <w:rPr>
                      <w:rFonts w:hint="eastAsia" w:ascii="Times New Roman" w:hAnsi="Times New Roman" w:cs="Times New Roman"/>
                      <w:b/>
                      <w:color w:val="000000" w:themeColor="text1"/>
                      <w:kern w:val="0"/>
                      <w:sz w:val="21"/>
                      <w:szCs w:val="21"/>
                      <w:lang w:eastAsia="zh-CN"/>
                      <w14:textFill>
                        <w14:solidFill>
                          <w14:schemeClr w14:val="tx1"/>
                        </w14:solidFill>
                      </w14:textFill>
                    </w:rPr>
                    <w:t>污染源名称</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eastAsia" w:ascii="Times New Roman" w:hAnsi="Times New Roman" w:eastAsia="宋体" w:cs="Times New Roman"/>
                      <w:b/>
                      <w:color w:val="000000" w:themeColor="text1"/>
                      <w:kern w:val="0"/>
                      <w:sz w:val="21"/>
                      <w:szCs w:val="21"/>
                      <w:lang w:eastAsia="zh-CN"/>
                      <w14:textFill>
                        <w14:solidFill>
                          <w14:schemeClr w14:val="tx1"/>
                        </w14:solidFill>
                      </w14:textFill>
                    </w:rPr>
                  </w:pPr>
                  <w:r>
                    <w:rPr>
                      <w:rFonts w:hint="eastAsia" w:ascii="Times New Roman" w:hAnsi="Times New Roman" w:cs="Times New Roman"/>
                      <w:b/>
                      <w:color w:val="000000" w:themeColor="text1"/>
                      <w:kern w:val="0"/>
                      <w:sz w:val="21"/>
                      <w:szCs w:val="21"/>
                      <w:lang w:eastAsia="zh-CN"/>
                      <w14:textFill>
                        <w14:solidFill>
                          <w14:schemeClr w14:val="tx1"/>
                        </w14:solidFill>
                      </w14:textFill>
                    </w:rPr>
                    <w:t>产生工序</w:t>
                  </w:r>
                </w:p>
              </w:tc>
              <w:tc>
                <w:tcPr>
                  <w:tcW w:w="290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eastAsia" w:ascii="Times New Roman" w:hAnsi="Times New Roman" w:eastAsia="宋体" w:cs="Times New Roman"/>
                      <w:b/>
                      <w:color w:val="000000" w:themeColor="text1"/>
                      <w:kern w:val="0"/>
                      <w:sz w:val="21"/>
                      <w:szCs w:val="21"/>
                      <w:lang w:eastAsia="zh-CN"/>
                      <w14:textFill>
                        <w14:solidFill>
                          <w14:schemeClr w14:val="tx1"/>
                        </w14:solidFill>
                      </w14:textFill>
                    </w:rPr>
                  </w:pPr>
                  <w:r>
                    <w:rPr>
                      <w:rFonts w:hint="eastAsia" w:ascii="Times New Roman" w:hAnsi="Times New Roman" w:cs="Times New Roman"/>
                      <w:b/>
                      <w:color w:val="000000" w:themeColor="text1"/>
                      <w:kern w:val="0"/>
                      <w:sz w:val="21"/>
                      <w:szCs w:val="21"/>
                      <w:lang w:eastAsia="zh-CN"/>
                      <w14:textFill>
                        <w14:solidFill>
                          <w14:schemeClr w14:val="tx1"/>
                        </w14:solidFill>
                      </w14:textFill>
                    </w:rPr>
                    <w:t>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restart"/>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营运期</w:t>
                  </w:r>
                </w:p>
              </w:tc>
              <w:tc>
                <w:tcPr>
                  <w:tcW w:w="1114" w:type="dxa"/>
                  <w:vMerge w:val="restart"/>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废水</w:t>
                  </w: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GB" w:eastAsia="zh-CN"/>
                      <w14:textFill>
                        <w14:solidFill>
                          <w14:schemeClr w14:val="tx1"/>
                        </w14:solidFill>
                      </w14:textFill>
                    </w:rPr>
                  </w:pPr>
                  <w:r>
                    <w:rPr>
                      <w:rFonts w:hint="default" w:ascii="Times New Roman" w:hAnsi="Times New Roman" w:cs="Times New Roman"/>
                      <w:color w:val="000000" w:themeColor="text1"/>
                      <w:kern w:val="0"/>
                      <w:sz w:val="21"/>
                      <w:szCs w:val="21"/>
                      <w:lang w:val="en-GB" w:eastAsia="zh-CN"/>
                      <w14:textFill>
                        <w14:solidFill>
                          <w14:schemeClr w14:val="tx1"/>
                        </w14:solidFill>
                      </w14:textFill>
                    </w:rPr>
                    <w:t>生活</w:t>
                  </w:r>
                  <w:r>
                    <w:rPr>
                      <w:rFonts w:hint="eastAsia" w:ascii="Times New Roman" w:hAnsi="Times New Roman" w:cs="Times New Roman"/>
                      <w:color w:val="000000" w:themeColor="text1"/>
                      <w:kern w:val="0"/>
                      <w:sz w:val="21"/>
                      <w:szCs w:val="21"/>
                      <w:lang w:val="en-GB" w:eastAsia="zh-CN"/>
                      <w14:textFill>
                        <w14:solidFill>
                          <w14:schemeClr w14:val="tx1"/>
                        </w14:solidFill>
                      </w14:textFill>
                    </w:rPr>
                    <w:t>污水</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员工生活</w:t>
                  </w:r>
                </w:p>
              </w:tc>
              <w:tc>
                <w:tcPr>
                  <w:tcW w:w="2907" w:type="dxa"/>
                  <w:noWrap w:val="0"/>
                  <w:tcMar>
                    <w:left w:w="0" w:type="dxa"/>
                    <w:right w:w="0" w:type="dxa"/>
                  </w:tcMar>
                  <w:vAlign w:val="center"/>
                </w:tcPr>
                <w:p>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CODcr、BOD</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5</w:t>
                  </w: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、SS、NH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3</w:t>
                  </w: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w:t>
                  </w:r>
                </w:p>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cs="Times New Roman"/>
                      <w:color w:val="000000" w:themeColor="text1"/>
                      <w:kern w:val="0"/>
                      <w:sz w:val="21"/>
                      <w:szCs w:val="21"/>
                      <w:lang w:val="en-US" w:eastAsia="zh-CN"/>
                      <w14:textFill>
                        <w14:solidFill>
                          <w14:schemeClr w14:val="tx1"/>
                        </w14:solidFill>
                      </w14:textFill>
                    </w:rPr>
                    <w:t>地面清洗</w:t>
                  </w:r>
                  <w:r>
                    <w:rPr>
                      <w:rFonts w:hint="default" w:ascii="Times New Roman" w:hAnsi="Times New Roman" w:cs="Times New Roman"/>
                      <w:color w:val="000000" w:themeColor="text1"/>
                      <w:kern w:val="0"/>
                      <w:sz w:val="21"/>
                      <w:szCs w:val="21"/>
                      <w:lang w:val="en-US" w:eastAsia="zh-CN"/>
                      <w14:textFill>
                        <w14:solidFill>
                          <w14:schemeClr w14:val="tx1"/>
                        </w14:solidFill>
                      </w14:textFill>
                    </w:rPr>
                    <w:t>废水</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GB"/>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清洗拖把</w:t>
                  </w:r>
                </w:p>
              </w:tc>
              <w:tc>
                <w:tcPr>
                  <w:tcW w:w="2907" w:type="dxa"/>
                  <w:noWrap w:val="0"/>
                  <w:tcMar>
                    <w:left w:w="0" w:type="dxa"/>
                    <w:right w:w="0" w:type="dxa"/>
                  </w:tcMar>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US"/>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COD</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cr</w:t>
                  </w: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、石油类</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eastAsia" w:ascii="Times New Roman" w:hAnsi="Times New Roman" w:cs="Times New Roman"/>
                      <w:color w:val="000000" w:themeColor="text1"/>
                      <w:kern w:val="0"/>
                      <w:sz w:val="21"/>
                      <w:szCs w:val="21"/>
                      <w:lang w:val="en-US" w:eastAsia="zh-CN"/>
                      <w14:textFill>
                        <w14:solidFill>
                          <w14:schemeClr w14:val="tx1"/>
                        </w14:solidFill>
                      </w14:textFill>
                    </w:rPr>
                    <w:t>初期雨水</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初期降雨</w:t>
                  </w:r>
                </w:p>
              </w:tc>
              <w:tc>
                <w:tcPr>
                  <w:tcW w:w="2907" w:type="dxa"/>
                  <w:noWrap w:val="0"/>
                  <w:tcMar>
                    <w:left w:w="0" w:type="dxa"/>
                    <w:right w:w="0" w:type="dxa"/>
                  </w:tcMar>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COD</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cr</w:t>
                  </w: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、石油类</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restart"/>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废气</w:t>
                  </w: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GB" w:eastAsia="zh-CN"/>
                      <w14:textFill>
                        <w14:solidFill>
                          <w14:schemeClr w14:val="tx1"/>
                        </w14:solidFill>
                      </w14:textFill>
                    </w:rPr>
                  </w:pPr>
                  <w:r>
                    <w:rPr>
                      <w:rFonts w:hint="default" w:ascii="Times New Roman" w:hAnsi="Times New Roman" w:cs="Times New Roman"/>
                      <w:color w:val="000000" w:themeColor="text1"/>
                      <w:kern w:val="0"/>
                      <w:sz w:val="21"/>
                      <w:szCs w:val="21"/>
                      <w:lang w:val="en-GB" w:eastAsia="zh-CN"/>
                      <w14:textFill>
                        <w14:solidFill>
                          <w14:schemeClr w14:val="tx1"/>
                        </w14:solidFill>
                      </w14:textFill>
                    </w:rPr>
                    <w:t>储罐呼吸</w:t>
                  </w:r>
                  <w:r>
                    <w:rPr>
                      <w:rFonts w:hint="eastAsia" w:ascii="Times New Roman" w:hAnsi="Times New Roman" w:cs="Times New Roman"/>
                      <w:color w:val="000000" w:themeColor="text1"/>
                      <w:kern w:val="0"/>
                      <w:sz w:val="21"/>
                      <w:szCs w:val="21"/>
                      <w:lang w:val="en-GB" w:eastAsia="zh-CN"/>
                      <w14:textFill>
                        <w14:solidFill>
                          <w14:schemeClr w14:val="tx1"/>
                        </w14:solidFill>
                      </w14:textFill>
                    </w:rPr>
                    <w:t>废气</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储罐大小呼吸</w:t>
                  </w:r>
                </w:p>
              </w:tc>
              <w:tc>
                <w:tcPr>
                  <w:tcW w:w="2907" w:type="dxa"/>
                  <w:noWrap w:val="0"/>
                  <w:tcMar>
                    <w:left w:w="0" w:type="dxa"/>
                    <w:right w:w="0" w:type="dxa"/>
                  </w:tcMar>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cs="Times New Roman"/>
                      <w:color w:val="000000" w:themeColor="text1"/>
                      <w:kern w:val="0"/>
                      <w:sz w:val="21"/>
                      <w:szCs w:val="21"/>
                      <w:lang w:eastAsia="zh-CN"/>
                      <w14:textFill>
                        <w14:solidFill>
                          <w14:schemeClr w14:val="tx1"/>
                        </w14:solidFill>
                      </w14:textFill>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GB" w:eastAsia="zh-CN"/>
                      <w14:textFill>
                        <w14:solidFill>
                          <w14:schemeClr w14:val="tx1"/>
                        </w14:solidFill>
                      </w14:textFill>
                    </w:rPr>
                  </w:pPr>
                  <w:r>
                    <w:rPr>
                      <w:rFonts w:hint="eastAsia" w:ascii="Times New Roman" w:hAnsi="Times New Roman" w:cs="Times New Roman"/>
                      <w:color w:val="000000" w:themeColor="text1"/>
                      <w:kern w:val="0"/>
                      <w:sz w:val="21"/>
                      <w:szCs w:val="21"/>
                      <w:lang w:val="en-GB" w:eastAsia="zh-CN"/>
                      <w14:textFill>
                        <w14:solidFill>
                          <w14:schemeClr w14:val="tx1"/>
                        </w14:solidFill>
                      </w14:textFill>
                    </w:rPr>
                    <w:t>调和废气</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调和罐</w:t>
                  </w:r>
                </w:p>
              </w:tc>
              <w:tc>
                <w:tcPr>
                  <w:tcW w:w="2907" w:type="dxa"/>
                  <w:noWrap w:val="0"/>
                  <w:tcMar>
                    <w:left w:w="0" w:type="dxa"/>
                    <w:right w:w="0" w:type="dxa"/>
                  </w:tcMar>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eastAsia" w:cs="Times New Roman"/>
                      <w:color w:val="000000" w:themeColor="text1"/>
                      <w:kern w:val="0"/>
                      <w:sz w:val="21"/>
                      <w:szCs w:val="21"/>
                      <w:lang w:val="en-US" w:eastAsia="zh-CN"/>
                      <w14:textFill>
                        <w14:solidFill>
                          <w14:schemeClr w14:val="tx1"/>
                        </w14:solidFill>
                      </w14:textFill>
                    </w:rPr>
                    <w:t>装、卸车废气</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装、卸车</w:t>
                  </w:r>
                </w:p>
              </w:tc>
              <w:tc>
                <w:tcPr>
                  <w:tcW w:w="2907" w:type="dxa"/>
                  <w:noWrap w:val="0"/>
                  <w:tcMar>
                    <w:left w:w="0" w:type="dxa"/>
                    <w:right w:w="0" w:type="dxa"/>
                  </w:tcMar>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GB" w:eastAsia="zh-CN"/>
                      <w14:textFill>
                        <w14:solidFill>
                          <w14:schemeClr w14:val="tx1"/>
                        </w14:solidFill>
                      </w14:textFill>
                    </w:rPr>
                  </w:pPr>
                  <w:r>
                    <w:rPr>
                      <w:rFonts w:hint="eastAsia" w:ascii="Times New Roman" w:hAnsi="Times New Roman" w:cs="Times New Roman"/>
                      <w:color w:val="000000" w:themeColor="text1"/>
                      <w:kern w:val="0"/>
                      <w:sz w:val="21"/>
                      <w:szCs w:val="21"/>
                      <w:lang w:val="en-GB" w:eastAsia="zh-CN"/>
                      <w14:textFill>
                        <w14:solidFill>
                          <w14:schemeClr w14:val="tx1"/>
                        </w14:solidFill>
                      </w14:textFill>
                    </w:rPr>
                    <w:t>污水处理站</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污水处理设施</w:t>
                  </w:r>
                </w:p>
              </w:tc>
              <w:tc>
                <w:tcPr>
                  <w:tcW w:w="2907" w:type="dxa"/>
                  <w:noWrap w:val="0"/>
                  <w:tcMar>
                    <w:left w:w="0" w:type="dxa"/>
                    <w:right w:w="0" w:type="dxa"/>
                  </w:tcMar>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eastAsia="zh-CN"/>
                      <w14:textFill>
                        <w14:solidFill>
                          <w14:schemeClr w14:val="tx1"/>
                        </w14:solidFill>
                      </w14:textFill>
                    </w:rPr>
                  </w:pPr>
                  <w:r>
                    <w:rPr>
                      <w:rFonts w:hint="eastAsia" w:ascii="Times New Roman" w:hAnsi="Times New Roman" w:cs="Times New Roman"/>
                      <w:color w:val="000000" w:themeColor="text1"/>
                      <w:kern w:val="0"/>
                      <w:sz w:val="21"/>
                      <w:szCs w:val="21"/>
                      <w:lang w:eastAsia="zh-CN"/>
                      <w14:textFill>
                        <w14:solidFill>
                          <w14:schemeClr w14:val="tx1"/>
                        </w14:solidFill>
                      </w14:textFill>
                    </w:rPr>
                    <w:t>恶臭物质、非甲烷总烃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噪声</w:t>
                  </w: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GB"/>
                      <w14:textFill>
                        <w14:solidFill>
                          <w14:schemeClr w14:val="tx1"/>
                        </w14:solidFill>
                      </w14:textFill>
                    </w:rPr>
                  </w:pPr>
                  <w:r>
                    <w:rPr>
                      <w:rFonts w:hint="default" w:ascii="Times New Roman" w:hAnsi="Times New Roman" w:cs="Times New Roman"/>
                      <w:color w:val="000000" w:themeColor="text1"/>
                      <w:kern w:val="0"/>
                      <w:sz w:val="21"/>
                      <w:szCs w:val="21"/>
                      <w:lang w:val="en-GB"/>
                      <w14:textFill>
                        <w14:solidFill>
                          <w14:schemeClr w14:val="tx1"/>
                        </w14:solidFill>
                      </w14:textFill>
                    </w:rPr>
                    <w:t>生产设备</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设备</w:t>
                  </w:r>
                  <w:r>
                    <w:rPr>
                      <w:rFonts w:hint="eastAsia" w:ascii="Times New Roman" w:hAnsi="Times New Roman" w:cs="Times New Roman"/>
                      <w:color w:val="000000" w:themeColor="text1"/>
                      <w:kern w:val="0"/>
                      <w:sz w:val="21"/>
                      <w:szCs w:val="21"/>
                      <w:lang w:eastAsia="zh-CN"/>
                      <w14:textFill>
                        <w14:solidFill>
                          <w14:schemeClr w14:val="tx1"/>
                        </w14:solidFill>
                      </w14:textFill>
                    </w:rPr>
                    <w:t>运转</w:t>
                  </w:r>
                </w:p>
              </w:tc>
              <w:tc>
                <w:tcPr>
                  <w:tcW w:w="2907" w:type="dxa"/>
                  <w:noWrap w:val="0"/>
                  <w:tcMar>
                    <w:left w:w="0" w:type="dxa"/>
                    <w:right w:w="0" w:type="dxa"/>
                  </w:tcMar>
                  <w:vAlign w:val="center"/>
                </w:tcPr>
                <w:p>
                  <w:pPr>
                    <w:keepNext w:val="0"/>
                    <w:keepLines w:val="0"/>
                    <w:pageBreakBefore w:val="0"/>
                    <w:widowControl/>
                    <w:suppressLineNumbers w:val="0"/>
                    <w:kinsoku/>
                    <w:wordWrap/>
                    <w:overflowPunct/>
                    <w:topLinePunct w:val="0"/>
                    <w:bidi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 xml:space="preserve">等效连续 </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 xml:space="preserve">A </w:t>
                  </w:r>
                  <w:r>
                    <w:rPr>
                      <w:rFonts w:hint="eastAsia" w:ascii="宋体" w:hAnsi="宋体" w:eastAsia="宋体" w:cs="宋体"/>
                      <w:color w:val="000000" w:themeColor="text1"/>
                      <w:kern w:val="0"/>
                      <w:sz w:val="21"/>
                      <w:szCs w:val="21"/>
                      <w:lang w:val="en-US" w:eastAsia="zh-CN" w:bidi="ar"/>
                      <w14:textFill>
                        <w14:solidFill>
                          <w14:schemeClr w14:val="tx1"/>
                        </w14:solidFill>
                      </w14:textFill>
                    </w:rPr>
                    <w:t>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restart"/>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固废</w:t>
                  </w:r>
                  <w:r>
                    <w:commentReference w:id="55"/>
                  </w:r>
                </w:p>
              </w:tc>
              <w:tc>
                <w:tcPr>
                  <w:tcW w:w="1392" w:type="dxa"/>
                  <w:shd w:val="clear" w:color="auto" w:fill="auto"/>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FF0000"/>
                      <w:kern w:val="0"/>
                      <w:sz w:val="21"/>
                      <w:szCs w:val="21"/>
                      <w:lang w:val="en-GB" w:eastAsia="zh-CN" w:bidi="ar-SA"/>
                    </w:rPr>
                  </w:pPr>
                  <w:r>
                    <w:rPr>
                      <w:rFonts w:hint="default" w:ascii="Times New Roman" w:hAnsi="Times New Roman" w:eastAsia="宋体" w:cs="Times New Roman"/>
                      <w:color w:val="FF0000"/>
                      <w:sz w:val="21"/>
                      <w:szCs w:val="21"/>
                      <w:lang w:val="en-US" w:eastAsia="zh-CN"/>
                    </w:rPr>
                    <w:t>污水处理站</w:t>
                  </w:r>
                  <w:r>
                    <w:rPr>
                      <w:rFonts w:hint="eastAsia" w:ascii="Times New Roman" w:hAnsi="Times New Roman" w:cs="Times New Roman"/>
                      <w:color w:val="FF0000"/>
                      <w:kern w:val="0"/>
                      <w:sz w:val="21"/>
                      <w:szCs w:val="21"/>
                      <w:lang w:eastAsia="zh-CN"/>
                    </w:rPr>
                    <w:t>污泥</w:t>
                  </w:r>
                </w:p>
              </w:tc>
              <w:tc>
                <w:tcPr>
                  <w:tcW w:w="2367" w:type="dxa"/>
                  <w:shd w:val="clear" w:color="auto" w:fill="auto"/>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污水处理站污泥</w:t>
                  </w:r>
                </w:p>
              </w:tc>
              <w:tc>
                <w:tcPr>
                  <w:tcW w:w="2907" w:type="dxa"/>
                  <w:shd w:val="clear" w:color="auto" w:fill="auto"/>
                  <w:noWrap w:val="0"/>
                  <w:tcMar>
                    <w:left w:w="0" w:type="dxa"/>
                    <w:right w:w="0" w:type="dxa"/>
                  </w:tcMar>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lang w:eastAsia="zh-CN"/>
                      <w14:textFill>
                        <w14:solidFill>
                          <w14:schemeClr w14:val="tx1"/>
                        </w14:solidFill>
                      </w14:textFill>
                    </w:rPr>
                    <w:t>污泥、矿物油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shd w:val="clear" w:color="auto" w:fill="auto"/>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14:textFill>
                        <w14:solidFill>
                          <w14:schemeClr w14:val="tx1"/>
                        </w14:solidFill>
                      </w14:textFill>
                    </w:rPr>
                    <w:t>清</w:t>
                  </w:r>
                  <w:r>
                    <w:rPr>
                      <w:rFonts w:hint="eastAsia" w:ascii="Times New Roman" w:hAnsi="Times New Roman" w:cs="Times New Roman"/>
                      <w:color w:val="000000" w:themeColor="text1"/>
                      <w:kern w:val="0"/>
                      <w:sz w:val="21"/>
                      <w:szCs w:val="21"/>
                      <w:lang w:eastAsia="zh-CN"/>
                      <w14:textFill>
                        <w14:solidFill>
                          <w14:schemeClr w14:val="tx1"/>
                        </w14:solidFill>
                      </w14:textFill>
                    </w:rPr>
                    <w:t>罐油泥</w:t>
                  </w:r>
                </w:p>
              </w:tc>
              <w:tc>
                <w:tcPr>
                  <w:tcW w:w="2367" w:type="dxa"/>
                  <w:shd w:val="clear" w:color="auto" w:fill="auto"/>
                  <w:noWrap w:val="0"/>
                  <w:vAlign w:val="center"/>
                </w:tcPr>
                <w:p>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储罐清理</w:t>
                  </w:r>
                </w:p>
              </w:tc>
              <w:tc>
                <w:tcPr>
                  <w:tcW w:w="2907" w:type="dxa"/>
                  <w:shd w:val="clear" w:color="auto" w:fill="auto"/>
                  <w:noWrap w:val="0"/>
                  <w:tcMar>
                    <w:left w:w="0" w:type="dxa"/>
                    <w:right w:w="0" w:type="dxa"/>
                  </w:tcMar>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lang w:eastAsia="zh-CN"/>
                      <w14:textFill>
                        <w14:solidFill>
                          <w14:schemeClr w14:val="tx1"/>
                        </w14:solidFill>
                      </w14:textFill>
                    </w:rPr>
                    <w:t>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废机油</w:t>
                  </w:r>
                </w:p>
              </w:tc>
              <w:tc>
                <w:tcPr>
                  <w:tcW w:w="2367" w:type="dxa"/>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设备维护</w:t>
                  </w:r>
                </w:p>
              </w:tc>
              <w:tc>
                <w:tcPr>
                  <w:tcW w:w="2907" w:type="dxa"/>
                  <w:shd w:val="clear" w:color="auto" w:fill="auto"/>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14:textFill>
                        <w14:solidFill>
                          <w14:schemeClr w14:val="tx1"/>
                        </w14:solidFill>
                      </w14:textFill>
                    </w:rPr>
                    <w:t>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废油桶</w:t>
                  </w:r>
                </w:p>
              </w:tc>
              <w:tc>
                <w:tcPr>
                  <w:tcW w:w="2367" w:type="dxa"/>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设备维护</w:t>
                  </w:r>
                </w:p>
              </w:tc>
              <w:tc>
                <w:tcPr>
                  <w:tcW w:w="2907" w:type="dxa"/>
                  <w:shd w:val="clear" w:color="auto" w:fill="auto"/>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14:textFill>
                        <w14:solidFill>
                          <w14:schemeClr w14:val="tx1"/>
                        </w14:solidFill>
                      </w14:textFill>
                    </w:rPr>
                    <w:t>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eastAsia" w:cs="Times New Roman"/>
                      <w:color w:val="000000" w:themeColor="text1"/>
                      <w:kern w:val="0"/>
                      <w:sz w:val="21"/>
                      <w:szCs w:val="21"/>
                      <w:lang w:val="en-US" w:eastAsia="zh-CN"/>
                      <w14:textFill>
                        <w14:solidFill>
                          <w14:schemeClr w14:val="tx1"/>
                        </w14:solidFill>
                      </w14:textFill>
                    </w:rPr>
                    <w:t>含油抹布及手套</w:t>
                  </w:r>
                </w:p>
              </w:tc>
              <w:tc>
                <w:tcPr>
                  <w:tcW w:w="23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设备维护</w:t>
                  </w:r>
                </w:p>
              </w:tc>
              <w:tc>
                <w:tcPr>
                  <w:tcW w:w="2907" w:type="dxa"/>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eastAsia" w:cs="Times New Roman"/>
                      <w:color w:val="000000" w:themeColor="text1"/>
                      <w:kern w:val="0"/>
                      <w:sz w:val="21"/>
                      <w:szCs w:val="21"/>
                      <w:lang w:val="en-US" w:eastAsia="zh-CN"/>
                      <w14:textFill>
                        <w14:solidFill>
                          <w14:schemeClr w14:val="tx1"/>
                        </w14:solidFill>
                      </w14:textFill>
                    </w:rPr>
                    <w:t>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000000" w:themeColor="text1"/>
                      <w:kern w:val="0"/>
                      <w:sz w:val="21"/>
                      <w:szCs w:val="21"/>
                      <w:lang w:val="en-US" w:eastAsia="zh-CN"/>
                      <w14:textFill>
                        <w14:solidFill>
                          <w14:schemeClr w14:val="tx1"/>
                        </w14:solidFill>
                      </w14:textFill>
                    </w:rPr>
                  </w:pPr>
                  <w:r>
                    <w:rPr>
                      <w:rFonts w:hint="eastAsia" w:cs="Times New Roman"/>
                      <w:color w:val="000000" w:themeColor="text1"/>
                      <w:kern w:val="0"/>
                      <w:sz w:val="21"/>
                      <w:szCs w:val="21"/>
                      <w:lang w:val="en-US" w:eastAsia="zh-CN"/>
                      <w14:textFill>
                        <w14:solidFill>
                          <w14:schemeClr w14:val="tx1"/>
                        </w14:solidFill>
                      </w14:textFill>
                    </w:rPr>
                    <w:t>废活性炭</w:t>
                  </w:r>
                </w:p>
              </w:tc>
              <w:tc>
                <w:tcPr>
                  <w:tcW w:w="23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油气回收装置</w:t>
                  </w:r>
                </w:p>
              </w:tc>
              <w:tc>
                <w:tcPr>
                  <w:tcW w:w="2907" w:type="dxa"/>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000000" w:themeColor="text1"/>
                      <w:kern w:val="0"/>
                      <w:sz w:val="21"/>
                      <w:szCs w:val="21"/>
                      <w:lang w:val="en-US" w:eastAsia="zh-CN"/>
                      <w14:textFill>
                        <w14:solidFill>
                          <w14:schemeClr w14:val="tx1"/>
                        </w14:solidFill>
                      </w14:textFill>
                    </w:rPr>
                  </w:pPr>
                  <w:r>
                    <w:rPr>
                      <w:rFonts w:hint="eastAsia" w:cs="Times New Roman"/>
                      <w:color w:val="000000" w:themeColor="text1"/>
                      <w:kern w:val="0"/>
                      <w:sz w:val="21"/>
                      <w:szCs w:val="21"/>
                      <w:lang w:val="en-US" w:eastAsia="zh-CN"/>
                      <w14:textFill>
                        <w14:solidFill>
                          <w14:schemeClr w14:val="tx1"/>
                        </w14:solidFill>
                      </w14:textFill>
                    </w:rPr>
                    <w:t>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78"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114" w:type="dxa"/>
                  <w:vMerge w:val="continue"/>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392"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生活垃圾</w:t>
                  </w:r>
                </w:p>
              </w:tc>
              <w:tc>
                <w:tcPr>
                  <w:tcW w:w="2367" w:type="dxa"/>
                  <w:noWrap w:val="0"/>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lang w:eastAsia="zh-CN"/>
                      <w14:textFill>
                        <w14:solidFill>
                          <w14:schemeClr w14:val="tx1"/>
                        </w14:solidFill>
                      </w14:textFill>
                    </w:rPr>
                  </w:pPr>
                  <w:r>
                    <w:rPr>
                      <w:rFonts w:hint="eastAsia" w:ascii="Times New Roman" w:hAnsi="Times New Roman" w:cs="Times New Roman"/>
                      <w:color w:val="000000" w:themeColor="text1"/>
                      <w:kern w:val="0"/>
                      <w:sz w:val="21"/>
                      <w:szCs w:val="21"/>
                      <w:lang w:eastAsia="zh-CN"/>
                      <w14:textFill>
                        <w14:solidFill>
                          <w14:schemeClr w14:val="tx1"/>
                        </w14:solidFill>
                      </w14:textFill>
                    </w:rPr>
                    <w:t>职工生活</w:t>
                  </w:r>
                </w:p>
              </w:tc>
              <w:tc>
                <w:tcPr>
                  <w:tcW w:w="2907" w:type="dxa"/>
                  <w:noWrap w:val="0"/>
                  <w:tcMar>
                    <w:left w:w="0" w:type="dxa"/>
                    <w:right w:w="0" w:type="dxa"/>
                  </w:tcMar>
                  <w:vAlign w:val="center"/>
                </w:tcPr>
                <w:p>
                  <w:pPr>
                    <w:keepNext w:val="0"/>
                    <w:keepLines w:val="0"/>
                    <w:pageBreakBefore w:val="0"/>
                    <w:kinsoku/>
                    <w:wordWrap/>
                    <w:overflowPunct/>
                    <w:topLinePunct w:val="0"/>
                    <w:autoSpaceDE w:val="0"/>
                    <w:autoSpaceDN w:val="0"/>
                    <w:bidi w:val="0"/>
                    <w:adjustRightIn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lang w:eastAsia="zh-CN"/>
                      <w14:textFill>
                        <w14:solidFill>
                          <w14:schemeClr w14:val="tx1"/>
                        </w14:solidFill>
                      </w14:textFill>
                    </w:rPr>
                  </w:pPr>
                  <w:r>
                    <w:rPr>
                      <w:rFonts w:hint="eastAsia" w:ascii="Times New Roman" w:hAnsi="Times New Roman" w:cs="Times New Roman"/>
                      <w:color w:val="000000" w:themeColor="text1"/>
                      <w:kern w:val="0"/>
                      <w:sz w:val="21"/>
                      <w:szCs w:val="21"/>
                      <w:lang w:eastAsia="zh-CN"/>
                      <w14:textFill>
                        <w14:solidFill>
                          <w14:schemeClr w14:val="tx1"/>
                        </w14:solidFill>
                      </w14:textFill>
                    </w:rPr>
                    <w:t>纸、塑料、果皮等</w:t>
                  </w:r>
                </w:p>
              </w:tc>
            </w:tr>
          </w:tbl>
          <w:p>
            <w:pPr>
              <w:adjustRightInd w:val="0"/>
              <w:snapToGrid w:val="0"/>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823" w:type="dxa"/>
            <w:noWrap w:val="0"/>
            <w:vAlign w:val="center"/>
          </w:tcPr>
          <w:p>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kern w:val="2"/>
                <w:sz w:val="21"/>
                <w:szCs w:val="21"/>
                <w:highlight w:val="none"/>
                <w14:textFill>
                  <w14:solidFill>
                    <w14:schemeClr w14:val="tx1"/>
                  </w14:solidFill>
                </w14:textFill>
              </w:rPr>
              <w:t>与项目有关的</w:t>
            </w:r>
            <w:r>
              <w:rPr>
                <w:rFonts w:hint="eastAsia" w:ascii="Times New Roman" w:hAnsi="Times New Roman" w:cs="Times New Roman"/>
                <w:bCs/>
                <w:color w:val="000000" w:themeColor="text1"/>
                <w:kern w:val="2"/>
                <w:sz w:val="21"/>
                <w:szCs w:val="21"/>
                <w:highlight w:val="none"/>
                <w:lang w:eastAsia="zh-CN"/>
                <w14:textFill>
                  <w14:solidFill>
                    <w14:schemeClr w14:val="tx1"/>
                  </w14:solidFill>
                </w14:textFill>
              </w:rPr>
              <w:t>现有</w:t>
            </w:r>
            <w:r>
              <w:rPr>
                <w:rFonts w:hint="default" w:ascii="Times New Roman" w:hAnsi="Times New Roman" w:cs="Times New Roman"/>
                <w:bCs/>
                <w:color w:val="000000" w:themeColor="text1"/>
                <w:kern w:val="2"/>
                <w:sz w:val="21"/>
                <w:szCs w:val="21"/>
                <w:highlight w:val="none"/>
                <w14:textFill>
                  <w14:solidFill>
                    <w14:schemeClr w14:val="tx1"/>
                  </w14:solidFill>
                </w14:textFill>
              </w:rPr>
              <w:t>环境污染问题</w:t>
            </w:r>
          </w:p>
        </w:tc>
        <w:tc>
          <w:tcPr>
            <w:tcW w:w="8399" w:type="dxa"/>
            <w:noWrap w:val="0"/>
            <w:vAlign w:val="top"/>
          </w:tcPr>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鄂尔多斯市汇金达清洁溶剂油有限公司原有项目包括特种环保溶剂油项目、30万吨/年芳烃抽提项目。</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特种环保溶剂油项目于2013年5月24日取得原鄂尔多斯市环境保护局环评批复（鄂环评字[2013]193号），该项目建成后在2013年至2014年1月进行了断续生产，2014年1月因常压车间发生煤焦油换热器爆炸引发轻油罐和沥青罐泄漏事故后停产，装置区于2014年拆除。</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30万吨/年芳烃抽提项目于2015年4月7日取得原鄂尔多斯市环境保护局环评批复（鄂环评字[2015]156号）。取得批复后建设了芳烃抽提装置（仅建设了框架）、罐区（混合芳烃缓冲罐、二甲苯产品罐、馏分罐、重组分罐、预留罐等）、污水处理站、事故水池、消防泵房、油气回收装置区等区域，在建设过程中，因市场原因，停止建设，项目一直未运行，芳烃抽提装置框架后期已拆除，其余储罐、公辅设施保留至今。</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1、现有工程产品方案</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现有工程产品方案如下表。</w:t>
            </w:r>
          </w:p>
          <w:p>
            <w:pPr>
              <w:bidi w:val="0"/>
              <w:jc w:val="center"/>
              <w:rPr>
                <w:rFonts w:hint="default"/>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表2-14 现有工程产品方案一览表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2"/>
              <w:gridCol w:w="2713"/>
              <w:gridCol w:w="2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序号</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产品名称</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年产量t/a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7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苯</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4.86万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7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2</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甲苯</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10.75万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7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二甲苯</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7.33万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7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4</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抽余油</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3.12万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7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5</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C9馏分产品</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3.07万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71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6</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重芳烃产品</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0.87万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25"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合计</w:t>
                  </w:r>
                </w:p>
              </w:tc>
              <w:tc>
                <w:tcPr>
                  <w:tcW w:w="271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30万</w:t>
                  </w:r>
                </w:p>
              </w:tc>
            </w:tr>
          </w:tbl>
          <w:p>
            <w:pPr>
              <w:numPr>
                <w:ilvl w:val="0"/>
                <w:numId w:val="0"/>
              </w:numPr>
              <w:bidi w:val="0"/>
              <w:ind w:left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2、现有工程生产设备</w:t>
            </w:r>
          </w:p>
          <w:p>
            <w:pPr>
              <w:numPr>
                <w:ilvl w:val="0"/>
                <w:numId w:val="0"/>
              </w:numPr>
              <w:bidi w:val="0"/>
              <w:ind w:leftChars="200"/>
              <w:jc w:val="center"/>
              <w:rPr>
                <w:rFonts w:hint="default"/>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表2-15 现有工程生产设备一览表</w:t>
            </w:r>
          </w:p>
          <w:tbl>
            <w:tblPr>
              <w:tblStyle w:val="27"/>
              <w:tblW w:w="821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57"/>
              <w:gridCol w:w="1607"/>
              <w:gridCol w:w="4012"/>
              <w:gridCol w:w="728"/>
              <w:gridCol w:w="13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b/>
                      <w:bCs/>
                      <w:i w:val="0"/>
                      <w:iCs w:val="0"/>
                      <w:color w:val="000000" w:themeColor="text1"/>
                      <w:sz w:val="21"/>
                      <w:szCs w:val="21"/>
                      <w:u w:val="none"/>
                      <w14:textFill>
                        <w14:solidFill>
                          <w14:schemeClr w14:val="tx1"/>
                        </w14:solidFill>
                      </w14:textFill>
                    </w:rPr>
                  </w:pPr>
                  <w:r>
                    <w:rPr>
                      <w:rFonts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序号</w:t>
                  </w:r>
                </w:p>
              </w:tc>
              <w:tc>
                <w:tcPr>
                  <w:tcW w:w="16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b/>
                      <w:bCs/>
                      <w:i w:val="0"/>
                      <w:iCs w:val="0"/>
                      <w:color w:val="000000" w:themeColor="text1"/>
                      <w:sz w:val="21"/>
                      <w:szCs w:val="21"/>
                      <w:u w:val="none"/>
                      <w14:textFill>
                        <w14:solidFill>
                          <w14:schemeClr w14:val="tx1"/>
                        </w14:solidFill>
                      </w14:textFill>
                    </w:rPr>
                  </w:pPr>
                  <w:r>
                    <w:rPr>
                      <w:rFonts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分类</w:t>
                  </w: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b/>
                      <w:bCs/>
                      <w:i w:val="0"/>
                      <w:iCs w:val="0"/>
                      <w:color w:val="000000" w:themeColor="text1"/>
                      <w:sz w:val="21"/>
                      <w:szCs w:val="21"/>
                      <w:u w:val="none"/>
                      <w14:textFill>
                        <w14:solidFill>
                          <w14:schemeClr w14:val="tx1"/>
                        </w14:solidFill>
                      </w14:textFill>
                    </w:rPr>
                  </w:pPr>
                  <w:r>
                    <w:rPr>
                      <w:rFonts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设备名称</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b/>
                      <w:bCs/>
                      <w:i w:val="0"/>
                      <w:iCs w:val="0"/>
                      <w:color w:val="000000" w:themeColor="text1"/>
                      <w:sz w:val="21"/>
                      <w:szCs w:val="21"/>
                      <w:u w:val="none"/>
                      <w14:textFill>
                        <w14:solidFill>
                          <w14:schemeClr w14:val="tx1"/>
                        </w14:solidFill>
                      </w14:textFill>
                    </w:rPr>
                  </w:pPr>
                  <w:r>
                    <w:rPr>
                      <w:rFonts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类型</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b/>
                      <w:bCs/>
                      <w:i w:val="0"/>
                      <w:iCs w:val="0"/>
                      <w:color w:val="000000" w:themeColor="text1"/>
                      <w:sz w:val="21"/>
                      <w:szCs w:val="21"/>
                      <w:u w:val="none"/>
                      <w14:textFill>
                        <w14:solidFill>
                          <w14:schemeClr w14:val="tx1"/>
                        </w14:solidFill>
                      </w14:textFill>
                    </w:rPr>
                  </w:pPr>
                  <w:r>
                    <w:rPr>
                      <w:rFonts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c>
                <w:tcPr>
                  <w:tcW w:w="160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容器、塔、反应器</w:t>
                  </w: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脱C8塔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2</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脱C8塔回流罐</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卧式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3</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C9+馏分白土塔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立式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4</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脱C9塔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5</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脱C9塔回流罐</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卧式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6</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水汽提塔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7</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溶剂再生塔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8</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抽提塔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9</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抽余油水洗塔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10</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汽提塔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11</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汽提塔顶罐</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卧式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12</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回收塔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13</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回收塔回流罐</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卧式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14</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混合芳烃白土塔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立式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15</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苯塔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16</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苯塔回流罐</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卧式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17</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甲苯塔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18</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甲苯塔回流罐</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卧式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19</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二甲苯塔</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板式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20</w:t>
                  </w:r>
                </w:p>
              </w:tc>
              <w:tc>
                <w:tcPr>
                  <w:tcW w:w="160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二甲苯塔回流罐</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卧式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21</w:t>
                  </w:r>
                </w:p>
              </w:tc>
              <w:tc>
                <w:tcPr>
                  <w:tcW w:w="16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换热器</w:t>
                  </w: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换热器、加热器、水冷器、再沸器</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Arial" w:hAnsi="Arial" w:eastAsia="宋体" w:cs="Arial"/>
                      <w:i w:val="0"/>
                      <w:iCs w:val="0"/>
                      <w:color w:val="000000" w:themeColor="text1"/>
                      <w:sz w:val="21"/>
                      <w:szCs w:val="21"/>
                      <w:u w:val="none"/>
                      <w:lang w:val="en-US" w:eastAsia="zh-CN"/>
                      <w14:textFill>
                        <w14:solidFill>
                          <w14:schemeClr w14:val="tx1"/>
                        </w14:solidFill>
                      </w14:textFill>
                    </w:rPr>
                  </w:pPr>
                  <w:r>
                    <w:rPr>
                      <w:rFonts w:hint="eastAsia" w:ascii="Arial" w:hAnsi="Arial" w:cs="Arial"/>
                      <w:i w:val="0"/>
                      <w:iCs w:val="0"/>
                      <w:color w:val="000000" w:themeColor="text1"/>
                      <w:sz w:val="21"/>
                      <w:szCs w:val="21"/>
                      <w:u w:val="none"/>
                      <w:lang w:val="en-US" w:eastAsia="zh-CN"/>
                      <w14:textFill>
                        <w14:solidFill>
                          <w14:schemeClr w14:val="tx1"/>
                        </w14:solidFill>
                      </w14:textFill>
                    </w:rPr>
                    <w:t>-</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22</w:t>
                  </w:r>
                </w:p>
              </w:tc>
              <w:tc>
                <w:tcPr>
                  <w:tcW w:w="16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空冷器</w:t>
                  </w: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空冷器</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鼓风式</w:t>
                  </w: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0" w:hRule="atLeast"/>
                <w:jc w:val="center"/>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23</w:t>
                  </w:r>
                </w:p>
              </w:tc>
              <w:tc>
                <w:tcPr>
                  <w:tcW w:w="16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泵</w:t>
                  </w:r>
                </w:p>
              </w:tc>
              <w:tc>
                <w:tcPr>
                  <w:tcW w:w="40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塔底泵、回流泵、真空泵、进料泵、循环泵</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Arial" w:hAnsi="Arial" w:cs="Arial"/>
                      <w:i w:val="0"/>
                      <w:iCs w:val="0"/>
                      <w:color w:val="000000" w:themeColor="text1"/>
                      <w:sz w:val="21"/>
                      <w:szCs w:val="21"/>
                      <w:u w:val="none"/>
                      <w14:textFill>
                        <w14:solidFill>
                          <w14:schemeClr w14:val="tx1"/>
                        </w14:solidFill>
                      </w14:textFill>
                    </w:rPr>
                  </w:pPr>
                </w:p>
              </w:tc>
              <w:tc>
                <w:tcPr>
                  <w:tcW w:w="13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themeColor="text1"/>
                      <w:sz w:val="21"/>
                      <w:szCs w:val="21"/>
                      <w:u w:val="none"/>
                      <w14:textFill>
                        <w14:solidFill>
                          <w14:schemeClr w14:val="tx1"/>
                        </w14:solidFill>
                      </w14:textFill>
                    </w:rPr>
                  </w:pPr>
                  <w:r>
                    <w:rPr>
                      <w:rFonts w:ascii="宋体" w:hAnsi="宋体" w:eastAsia="宋体" w:cs="宋体"/>
                      <w:i w:val="0"/>
                      <w:iCs w:val="0"/>
                      <w:color w:val="000000" w:themeColor="text1"/>
                      <w:kern w:val="0"/>
                      <w:sz w:val="21"/>
                      <w:szCs w:val="21"/>
                      <w:u w:val="none"/>
                      <w:lang w:val="en-US" w:eastAsia="zh-CN" w:bidi="ar"/>
                      <w14:textFill>
                        <w14:solidFill>
                          <w14:schemeClr w14:val="tx1"/>
                        </w14:solidFill>
                      </w14:textFill>
                    </w:rPr>
                    <w:t>28</w:t>
                  </w:r>
                </w:p>
              </w:tc>
            </w:tr>
          </w:tbl>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default" w:asciiTheme="minorEastAsia" w:hAnsiTheme="minorEastAsia" w:eastAsia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3、现有工程（30万吨/年芳烃抽提项目）污染物许可排放情况</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pPr>
            <w:commentRangeStart w:id="56"/>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因30万吨/年芳烃抽提项目未投产，部分装置已拆除，不再运行。因此现有工程污染物排放量为零。</w:t>
            </w:r>
            <w:commentRangeEnd w:id="56"/>
            <w:r>
              <w:commentReference w:id="56"/>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4、厂区存在的污染情况</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经现场勘查，原有厂区周围土壤、地下水存在污染情况。根据企业提供相关资料，污染情况如下。</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（1）污染情况</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2019~2020年重点行业企业用地土壤污染状况调查工作期间，鄂尔多斯市汇金达清洁溶剂油有限公司地块被列为初步采样调查对象之一，调查结果显示，旧环保溶剂油生产区土壤1,2-二氯丙烷检测值超过GB36600一类用地的筛选值，旧环保溶剂油生产区及污水处理池下游地下水苯、二甲苯、萘、砷、镍等超过《地下水质量标准》(GB/T14848-2017)中的Ⅲ类水标准。</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2021年，鄂尔多斯市汇金达清洁溶剂油有限公司开展了土壤污染状况调查，采集土壤样品985个，地下水样品49个。调查结果显示，地下水中有23项指标检测结果超过《地下水质量标准》(GB/T14848-2017)Ⅳ类标准值，按照最大超标倍数从大到小顺序，超标指标分别为挥发酚、1,2-二氯丙烷、苯乙烯、耗氧量、苯、氨氮、乙苯、色度、苯并[a]蒽、邻二甲苯、间、对二甲苯、硝酸盐氮、苯胺、甲苯、溶解性总固体、氯化物、硫酸盐、锰、总硬度、二苯并a,h蒽、钠、铝等。厂区地下水监测井内挥发酚超标范围最大，整个厂区几乎都有超标，其他主要污染指标超标范围（除挥发酚外）分布具有相似性，均是从原爆炸发生区向西南-南条带状分布，与地下水流动方向基本一致。</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（2）污染来源</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超标原因主要是由于2014年1月份鄂尔多斯市汇金达清洁溶剂油有限公司旧特种环保溶剂油装置爆炸导致污染物渗漏进入含水层，后随地下水流迁移造成的。</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（3）目前采取的措施（进展情况）</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鄂尔多斯市汇金达清洁溶剂油有限公司高度重视地块污染问题，并在各级行业主管部门的大力帮助下，开展了一系列的调查、管控工作。</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2021年9月，鄂尔多斯市汇金达清洁溶剂油有限公司委托北京中地泓科环境科技有限公司开展土壤污染状况调查。2021年12月，完成了土壤污染状况调查，并在2022年1月份通过了调查报告的复审。</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根据地块污染调查报告评审要求，鄂尔多斯市汇金达清洁溶剂油有限公司委托中地泓科公司编制了土壤污染管控方案，于2023年6月，土壤污染管控方案正式确定并进行了复核工作。</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鄂尔多斯市汇金达清洁溶剂油有限公司按管控方案进行了管控工程的建设，并于2024年1月10日正式投入管控运行，根据管控技术方案，成立了专门的管理结构，配备了专门的人员，制定了相应的管理制度、设立了信息公示及警示展示，记录了工程运行过程中的相关数据。</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经过调整磨合，现地下水污染管控已逐步稳定，已运行近18个月。抽取的污染地下水经本公司污水处理站处理合格后，送至厂区西南侧距离200米处鄂尔多斯市泰鑫煤炭有限公司洗煤厂作为洗煤用水，</w:t>
            </w:r>
            <w:commentRangeStart w:id="57"/>
            <w:r>
              <w:rPr>
                <w:rFonts w:hint="eastAsia"/>
                <w:color w:val="000000" w:themeColor="text1"/>
                <w:highlight w:val="none"/>
                <w:lang w:val="en-US" w:eastAsia="zh-CN"/>
                <w14:textFill>
                  <w14:solidFill>
                    <w14:schemeClr w14:val="tx1"/>
                  </w14:solidFill>
                </w14:textFill>
              </w:rPr>
              <w:t>截</w:t>
            </w:r>
            <w:r>
              <w:rPr>
                <w:rFonts w:hint="eastAsia"/>
                <w:color w:val="FF0000"/>
                <w:highlight w:val="none"/>
                <w:lang w:val="en-US" w:eastAsia="zh-CN"/>
              </w:rPr>
              <w:t>止2025年12月底，累计抽取地下水76889m³</w:t>
            </w:r>
            <w:r>
              <w:rPr>
                <w:rFonts w:hint="eastAsia"/>
                <w:color w:val="000000" w:themeColor="text1"/>
                <w:highlight w:val="none"/>
                <w:lang w:val="en-US" w:eastAsia="zh-CN"/>
                <w14:textFill>
                  <w14:solidFill>
                    <w14:schemeClr w14:val="tx1"/>
                  </w14:solidFill>
                </w14:textFill>
              </w:rPr>
              <w:t>。</w:t>
            </w:r>
            <w:commentRangeEnd w:id="57"/>
            <w:r>
              <w:commentReference w:id="57"/>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（4）地下水污染监测情况</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2024年4月、7月、9-12月、2025年1-4月份共计10次委托第三方检测单位进行地下水采样分析工作，且企业自6月起共计采集110次抽水井、下游监测井等地下水样品并检测挥发酚等主要污染指标。</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鄂尔多斯市汇金达清洁溶剂油有限公司于2025年3月28日组织召开了《鄂尔多斯市汇金达清洁溶剂油有限公司地下水污染风险管控工程2024年度阶段性评估报告》专家咨询会，专家组形成如下结论：</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2023年6月份以来，鄂尔多斯市汇金达清洁溶剂油有限公司依据《鄂尔多斯市汇金达清洁溶剂油有限公司地下水污染风险管控技术方案》，陆续完成了水力截获井、监测井及输水管网建设等，2024年1月起正式进行管控工程的运行，按方案二抽水量80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/d进行持续抽水管控，截止2025年1月底，地下水管控工程运行平稳，累计抽出污染地下水24745.3m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，乙苯、二甲苯、二苯并[a,h]蒽、苯胺类、石油烃（C10-C40）等指标明显下降，企业边界水力截获井污染指数下降3519，下游监测井污染指数下降1034，取得了较大成效。</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根据专家组建议，鄂尔多斯市汇金达清洁溶剂油有限公司调整了第三方检测方案，于2025年4月采集32个地下水样品检测主要污染指标。</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2-4对比2024年9月份与2025年4月份主要污染物的分布范围。由图可知，苯、甲苯、乙苯、苯乙烯等污染物浓度明显降低，高浓度污染区基本消除，其中乙苯已全部未检出，达到修复管控目标；挥发酚污染范围更精细化，污染范围逐渐缩小，企业边界地下水挥发酚浓度较低，污染迁移风险较小，但企业内部地下水挥发酚超标浓度依旧较高，需持续开展风险管控工程。</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2-5~10绘制主要污染物历次第三方检测浓度折线图，由图可知，厂界抽水井、下游监测井和企业四周各监测井主要污染物（挥发酚、苯、甲苯、乙苯、二甲苯、苯乙烯等）浓度整体呈下降趋势，其中甲苯、乙苯、二甲苯至少连续4次以上监测井均未超标，苯乙烯除JC1点位外连续6次以上监测井均未超标，个别点位（JC3、W09）挥发酚存在反弹，需进一步开展风险管控。</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上所述，地下水管控工程运行平稳有效，企业内抽出井污染浓度较高，抽水过程形成了“地下水漏斗”聚集污染物，污染物经抽水井抽出处理，有效减少地下水中污染物总量，厂界抽水井、下游监测井和企业四周监测井主要污染物浓度整体呈下降趋势，甲苯、乙苯、二甲苯、苯乙烯管控效果明显，挥发酚、苯监测数据还存在波动，还需进一步管控及监测分析。</w:t>
            </w:r>
          </w:p>
          <w:tbl>
            <w:tblPr>
              <w:tblStyle w:val="28"/>
              <w:tblW w:w="51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59"/>
              <w:gridCol w:w="3644"/>
              <w:gridCol w:w="3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63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2181"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2024.9.10污染羽</w:t>
                  </w:r>
                </w:p>
              </w:tc>
              <w:tc>
                <w:tcPr>
                  <w:tcW w:w="2183"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污染羽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3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挥发性酚类</w:t>
                  </w:r>
                </w:p>
              </w:tc>
              <w:tc>
                <w:tcPr>
                  <w:tcW w:w="2181"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303780" cy="2416175"/>
                        <wp:effectExtent l="0" t="0" r="1270" b="3175"/>
                        <wp:docPr id="2047112625"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47112625" name="图片 3"/>
                                <pic:cNvPicPr>
                                  <a:picLocks noChangeAspect="true" noChangeArrowheads="true"/>
                                </pic:cNvPicPr>
                              </pic:nvPicPr>
                              <pic:blipFill>
                                <a:blip r:embed="rId28" cstate="print">
                                  <a:extLst>
                                    <a:ext uri="{28A0092B-C50C-407E-A947-70E740481C1C}">
                                      <a14:useLocalDpi xmlns:a14="http://schemas.microsoft.com/office/drawing/2010/main" val="false"/>
                                    </a:ext>
                                  </a:extLst>
                                </a:blip>
                                <a:srcRect l="7292" t="4154" r="15530" b="6503"/>
                                <a:stretch>
                                  <a:fillRect/>
                                </a:stretch>
                              </pic:blipFill>
                              <pic:spPr>
                                <a:xfrm>
                                  <a:off x="0" y="0"/>
                                  <a:ext cx="2303780" cy="2416175"/>
                                </a:xfrm>
                                <a:prstGeom prst="rect">
                                  <a:avLst/>
                                </a:prstGeom>
                                <a:noFill/>
                                <a:ln>
                                  <a:noFill/>
                                </a:ln>
                              </pic:spPr>
                            </pic:pic>
                          </a:graphicData>
                        </a:graphic>
                      </wp:inline>
                    </w:drawing>
                  </w:r>
                </w:p>
              </w:tc>
              <w:tc>
                <w:tcPr>
                  <w:tcW w:w="2183"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2302510" cy="2426335"/>
                        <wp:effectExtent l="0" t="0" r="2540" b="12065"/>
                        <wp:docPr id="20" name="图片 20" descr="挥发酚2025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descr="挥发酚202504"/>
                                <pic:cNvPicPr>
                                  <a:picLocks noChangeAspect="true"/>
                                </pic:cNvPicPr>
                              </pic:nvPicPr>
                              <pic:blipFill>
                                <a:blip r:embed="rId29"/>
                                <a:srcRect l="7364" t="4484" r="15912" b="6282"/>
                                <a:stretch>
                                  <a:fillRect/>
                                </a:stretch>
                              </pic:blipFill>
                              <pic:spPr>
                                <a:xfrm>
                                  <a:off x="0" y="0"/>
                                  <a:ext cx="2302510" cy="2426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0" w:hRule="atLeast"/>
                <w:jc w:val="center"/>
              </w:trPr>
              <w:tc>
                <w:tcPr>
                  <w:tcW w:w="63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苯</w:t>
                  </w:r>
                </w:p>
              </w:tc>
              <w:tc>
                <w:tcPr>
                  <w:tcW w:w="2181"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303780" cy="2446020"/>
                        <wp:effectExtent l="0" t="0" r="1270" b="11430"/>
                        <wp:docPr id="13831315"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31315" name="图片 7"/>
                                <pic:cNvPicPr>
                                  <a:picLocks noChangeAspect="true" noChangeArrowheads="true"/>
                                </pic:cNvPicPr>
                              </pic:nvPicPr>
                              <pic:blipFill>
                                <a:blip r:embed="rId30" cstate="print">
                                  <a:extLst>
                                    <a:ext uri="{28A0092B-C50C-407E-A947-70E740481C1C}">
                                      <a14:useLocalDpi xmlns:a14="http://schemas.microsoft.com/office/drawing/2010/main" val="false"/>
                                    </a:ext>
                                  </a:extLst>
                                </a:blip>
                                <a:srcRect l="7529" t="4414" r="16235" b="6244"/>
                                <a:stretch>
                                  <a:fillRect/>
                                </a:stretch>
                              </pic:blipFill>
                              <pic:spPr>
                                <a:xfrm>
                                  <a:off x="0" y="0"/>
                                  <a:ext cx="2303780" cy="2446020"/>
                                </a:xfrm>
                                <a:prstGeom prst="rect">
                                  <a:avLst/>
                                </a:prstGeom>
                                <a:noFill/>
                                <a:ln>
                                  <a:noFill/>
                                </a:ln>
                              </pic:spPr>
                            </pic:pic>
                          </a:graphicData>
                        </a:graphic>
                      </wp:inline>
                    </w:drawing>
                  </w:r>
                </w:p>
              </w:tc>
              <w:tc>
                <w:tcPr>
                  <w:tcW w:w="2183"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2303780" cy="2411730"/>
                        <wp:effectExtent l="0" t="0" r="1270" b="7620"/>
                        <wp:docPr id="21" name="图片 21" descr="苯25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descr="苯2504"/>
                                <pic:cNvPicPr>
                                  <a:picLocks noChangeAspect="true"/>
                                </pic:cNvPicPr>
                              </pic:nvPicPr>
                              <pic:blipFill>
                                <a:blip r:embed="rId31"/>
                                <a:srcRect l="7067" t="4382" r="15723" b="6515"/>
                                <a:stretch>
                                  <a:fillRect/>
                                </a:stretch>
                              </pic:blipFill>
                              <pic:spPr>
                                <a:xfrm>
                                  <a:off x="0" y="0"/>
                                  <a:ext cx="2303780" cy="24117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70" w:hRule="atLeast"/>
                <w:jc w:val="center"/>
              </w:trPr>
              <w:tc>
                <w:tcPr>
                  <w:tcW w:w="63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苯乙烯</w:t>
                  </w:r>
                </w:p>
              </w:tc>
              <w:tc>
                <w:tcPr>
                  <w:tcW w:w="2181"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303780" cy="2417445"/>
                        <wp:effectExtent l="0" t="0" r="1270" b="1905"/>
                        <wp:docPr id="109496337"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9496337" name="图片 14"/>
                                <pic:cNvPicPr>
                                  <a:picLocks noChangeAspect="true" noChangeArrowheads="true"/>
                                </pic:cNvPicPr>
                              </pic:nvPicPr>
                              <pic:blipFill>
                                <a:blip r:embed="rId32" cstate="print">
                                  <a:extLst>
                                    <a:ext uri="{28A0092B-C50C-407E-A947-70E740481C1C}">
                                      <a14:useLocalDpi xmlns:a14="http://schemas.microsoft.com/office/drawing/2010/main" val="false"/>
                                    </a:ext>
                                  </a:extLst>
                                </a:blip>
                                <a:srcRect l="7530" t="4675" r="16020" b="6777"/>
                                <a:stretch>
                                  <a:fillRect/>
                                </a:stretch>
                              </pic:blipFill>
                              <pic:spPr>
                                <a:xfrm>
                                  <a:off x="0" y="0"/>
                                  <a:ext cx="2303780" cy="2417445"/>
                                </a:xfrm>
                                <a:prstGeom prst="rect">
                                  <a:avLst/>
                                </a:prstGeom>
                                <a:noFill/>
                                <a:ln>
                                  <a:noFill/>
                                </a:ln>
                              </pic:spPr>
                            </pic:pic>
                          </a:graphicData>
                        </a:graphic>
                      </wp:inline>
                    </w:drawing>
                  </w:r>
                </w:p>
              </w:tc>
              <w:tc>
                <w:tcPr>
                  <w:tcW w:w="2183"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2303780" cy="2435225"/>
                        <wp:effectExtent l="0" t="0" r="1270" b="3175"/>
                        <wp:docPr id="41" name="图片 41" descr="苯乙烯2025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descr="苯乙烯202504"/>
                                <pic:cNvPicPr>
                                  <a:picLocks noChangeAspect="true"/>
                                </pic:cNvPicPr>
                              </pic:nvPicPr>
                              <pic:blipFill>
                                <a:blip r:embed="rId33"/>
                                <a:srcRect l="7332" t="4470" r="15961" b="5960"/>
                                <a:stretch>
                                  <a:fillRect/>
                                </a:stretch>
                              </pic:blipFill>
                              <pic:spPr>
                                <a:xfrm>
                                  <a:off x="0" y="0"/>
                                  <a:ext cx="2303780" cy="2435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85" w:hRule="atLeast"/>
                <w:jc w:val="center"/>
              </w:trPr>
              <w:tc>
                <w:tcPr>
                  <w:tcW w:w="63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甲苯</w:t>
                  </w:r>
                </w:p>
              </w:tc>
              <w:tc>
                <w:tcPr>
                  <w:tcW w:w="2181"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303780" cy="2416175"/>
                        <wp:effectExtent l="0" t="0" r="1270" b="3175"/>
                        <wp:docPr id="1599662072"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99662072" name="图片 19"/>
                                <pic:cNvPicPr>
                                  <a:picLocks noChangeAspect="true" noChangeArrowheads="true"/>
                                </pic:cNvPicPr>
                              </pic:nvPicPr>
                              <pic:blipFill>
                                <a:blip r:embed="rId34" cstate="print">
                                  <a:extLst>
                                    <a:ext uri="{28A0092B-C50C-407E-A947-70E740481C1C}">
                                      <a14:useLocalDpi xmlns:a14="http://schemas.microsoft.com/office/drawing/2010/main" val="false"/>
                                    </a:ext>
                                  </a:extLst>
                                </a:blip>
                                <a:srcRect l="7058" t="4414" r="15765" b="6244"/>
                                <a:stretch>
                                  <a:fillRect/>
                                </a:stretch>
                              </pic:blipFill>
                              <pic:spPr>
                                <a:xfrm>
                                  <a:off x="0" y="0"/>
                                  <a:ext cx="2303780" cy="2416175"/>
                                </a:xfrm>
                                <a:prstGeom prst="rect">
                                  <a:avLst/>
                                </a:prstGeom>
                                <a:noFill/>
                                <a:ln>
                                  <a:noFill/>
                                </a:ln>
                              </pic:spPr>
                            </pic:pic>
                          </a:graphicData>
                        </a:graphic>
                      </wp:inline>
                    </w:drawing>
                  </w:r>
                </w:p>
              </w:tc>
              <w:tc>
                <w:tcPr>
                  <w:tcW w:w="2183"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2303780" cy="2419350"/>
                        <wp:effectExtent l="0" t="0" r="1270" b="0"/>
                        <wp:docPr id="42" name="图片 42" descr="苯乙烯2025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descr="苯乙烯202504"/>
                                <pic:cNvPicPr>
                                  <a:picLocks noChangeAspect="true"/>
                                </pic:cNvPicPr>
                              </pic:nvPicPr>
                              <pic:blipFill>
                                <a:blip r:embed="rId33"/>
                                <a:srcRect l="7438" t="4265" r="15564" b="6544"/>
                                <a:stretch>
                                  <a:fillRect/>
                                </a:stretch>
                              </pic:blipFill>
                              <pic:spPr>
                                <a:xfrm>
                                  <a:off x="0" y="0"/>
                                  <a:ext cx="2303780" cy="2419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90" w:hRule="atLeast"/>
                <w:jc w:val="center"/>
              </w:trPr>
              <w:tc>
                <w:tcPr>
                  <w:tcW w:w="63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乙苯</w:t>
                  </w:r>
                </w:p>
              </w:tc>
              <w:tc>
                <w:tcPr>
                  <w:tcW w:w="2181"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303780" cy="2424430"/>
                        <wp:effectExtent l="0" t="0" r="1270" b="13970"/>
                        <wp:docPr id="627603492"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7603492" name="图片 23"/>
                                <pic:cNvPicPr>
                                  <a:picLocks noChangeAspect="true" noChangeArrowheads="true"/>
                                </pic:cNvPicPr>
                              </pic:nvPicPr>
                              <pic:blipFill>
                                <a:blip r:embed="rId35" cstate="print">
                                  <a:extLst>
                                    <a:ext uri="{28A0092B-C50C-407E-A947-70E740481C1C}">
                                      <a14:useLocalDpi xmlns:a14="http://schemas.microsoft.com/office/drawing/2010/main" val="false"/>
                                    </a:ext>
                                  </a:extLst>
                                </a:blip>
                                <a:srcRect l="7295" t="4416" r="16020" b="6517"/>
                                <a:stretch>
                                  <a:fillRect/>
                                </a:stretch>
                              </pic:blipFill>
                              <pic:spPr>
                                <a:xfrm>
                                  <a:off x="0" y="0"/>
                                  <a:ext cx="2303780" cy="2424430"/>
                                </a:xfrm>
                                <a:prstGeom prst="rect">
                                  <a:avLst/>
                                </a:prstGeom>
                                <a:noFill/>
                                <a:ln>
                                  <a:noFill/>
                                </a:ln>
                              </pic:spPr>
                            </pic:pic>
                          </a:graphicData>
                        </a:graphic>
                      </wp:inline>
                    </w:drawing>
                  </w:r>
                </w:p>
              </w:tc>
              <w:tc>
                <w:tcPr>
                  <w:tcW w:w="2183"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2303780" cy="2430780"/>
                        <wp:effectExtent l="0" t="0" r="1270" b="7620"/>
                        <wp:docPr id="46" name="图片 46" descr="乙苯2025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descr="乙苯202504"/>
                                <pic:cNvPicPr>
                                  <a:picLocks noChangeAspect="true"/>
                                </pic:cNvPicPr>
                              </pic:nvPicPr>
                              <pic:blipFill>
                                <a:blip r:embed="rId36"/>
                                <a:srcRect l="7358" t="4309" r="15849" b="6201"/>
                                <a:stretch>
                                  <a:fillRect/>
                                </a:stretch>
                              </pic:blipFill>
                              <pic:spPr>
                                <a:xfrm>
                                  <a:off x="0" y="0"/>
                                  <a:ext cx="2303780" cy="24307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15" w:hRule="atLeast"/>
                <w:jc w:val="center"/>
              </w:trPr>
              <w:tc>
                <w:tcPr>
                  <w:tcW w:w="63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1,2-二氯丙烷</w:t>
                  </w:r>
                </w:p>
              </w:tc>
              <w:tc>
                <w:tcPr>
                  <w:tcW w:w="2181"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303780" cy="2425065"/>
                        <wp:effectExtent l="0" t="0" r="1270" b="13335"/>
                        <wp:docPr id="639459271"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9459271" name="图片 28"/>
                                <pic:cNvPicPr>
                                  <a:picLocks noChangeAspect="true" noChangeArrowheads="true"/>
                                </pic:cNvPicPr>
                              </pic:nvPicPr>
                              <pic:blipFill>
                                <a:blip r:embed="rId37" cstate="print">
                                  <a:extLst>
                                    <a:ext uri="{28A0092B-C50C-407E-A947-70E740481C1C}">
                                      <a14:useLocalDpi xmlns:a14="http://schemas.microsoft.com/office/drawing/2010/main" val="false"/>
                                    </a:ext>
                                  </a:extLst>
                                </a:blip>
                                <a:srcRect l="7529" t="4414" r="15784" b="6494"/>
                                <a:stretch>
                                  <a:fillRect/>
                                </a:stretch>
                              </pic:blipFill>
                              <pic:spPr>
                                <a:xfrm>
                                  <a:off x="0" y="0"/>
                                  <a:ext cx="2303780" cy="2425065"/>
                                </a:xfrm>
                                <a:prstGeom prst="rect">
                                  <a:avLst/>
                                </a:prstGeom>
                                <a:noFill/>
                                <a:ln>
                                  <a:noFill/>
                                </a:ln>
                              </pic:spPr>
                            </pic:pic>
                          </a:graphicData>
                        </a:graphic>
                      </wp:inline>
                    </w:drawing>
                  </w:r>
                </w:p>
              </w:tc>
              <w:tc>
                <w:tcPr>
                  <w:tcW w:w="2183"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2303780" cy="2430780"/>
                        <wp:effectExtent l="0" t="0" r="1270" b="7620"/>
                        <wp:docPr id="50" name="图片 50" descr="1,2-二氯丙烷25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1,2-二氯丙烷2504"/>
                                <pic:cNvPicPr>
                                  <a:picLocks noChangeAspect="true"/>
                                </pic:cNvPicPr>
                              </pic:nvPicPr>
                              <pic:blipFill>
                                <a:blip r:embed="rId38"/>
                                <a:srcRect l="7384" t="4541" r="15981" b="6143"/>
                                <a:stretch>
                                  <a:fillRect/>
                                </a:stretch>
                              </pic:blipFill>
                              <pic:spPr>
                                <a:xfrm>
                                  <a:off x="0" y="0"/>
                                  <a:ext cx="2303780" cy="2430780"/>
                                </a:xfrm>
                                <a:prstGeom prst="rect">
                                  <a:avLst/>
                                </a:prstGeom>
                              </pic:spPr>
                            </pic:pic>
                          </a:graphicData>
                        </a:graphic>
                      </wp:inline>
                    </w:drawing>
                  </w:r>
                </w:p>
              </w:tc>
            </w:tr>
          </w:tbl>
          <w:p>
            <w:pPr>
              <w:bidi w:val="0"/>
              <w:jc w:val="center"/>
              <w:rPr>
                <w:rFonts w:hint="eastAsia"/>
                <w:color w:val="000000" w:themeColor="text1"/>
                <w14:textFill>
                  <w14:solidFill>
                    <w14:schemeClr w14:val="tx1"/>
                  </w14:solidFill>
                </w14:textFill>
              </w:rPr>
            </w:pPr>
            <w:bookmarkStart w:id="5" w:name="_Ref173165283"/>
            <w:r>
              <w:rPr>
                <w:rFonts w:hint="eastAsia"/>
                <w:b/>
                <w:bCs/>
                <w:color w:val="000000" w:themeColor="text1"/>
                <w14:textFill>
                  <w14:solidFill>
                    <w14:schemeClr w14:val="tx1"/>
                  </w14:solidFill>
                </w14:textFill>
              </w:rPr>
              <w:t>图</w:t>
            </w:r>
            <w:r>
              <w:rPr>
                <w:rFonts w:hint="eastAsia"/>
                <w:b/>
                <w:bCs/>
                <w:color w:val="000000" w:themeColor="text1"/>
                <w:lang w:val="en-US" w:eastAsia="zh-CN"/>
                <w14:textFill>
                  <w14:solidFill>
                    <w14:schemeClr w14:val="tx1"/>
                  </w14:solidFill>
                </w14:textFill>
              </w:rPr>
              <w:t>2-</w:t>
            </w:r>
            <w:bookmarkEnd w:id="5"/>
            <w:r>
              <w:rPr>
                <w:rFonts w:hint="eastAsia"/>
                <w:b/>
                <w:bCs/>
                <w:color w:val="000000" w:themeColor="text1"/>
                <w:lang w:val="en-US" w:eastAsia="zh-CN"/>
                <w14:textFill>
                  <w14:solidFill>
                    <w14:schemeClr w14:val="tx1"/>
                  </w14:solidFill>
                </w14:textFill>
              </w:rPr>
              <w:t>4</w:t>
            </w:r>
            <w:r>
              <w:rPr>
                <w:rFonts w:hint="eastAsia"/>
                <w:b/>
                <w:bCs/>
                <w:color w:val="000000" w:themeColor="text1"/>
                <w14:textFill>
                  <w14:solidFill>
                    <w14:schemeClr w14:val="tx1"/>
                  </w14:solidFill>
                </w14:textFill>
              </w:rPr>
              <w:t>主要污染指标污染羽变化趋势图</w:t>
            </w:r>
          </w:p>
          <w:tbl>
            <w:tblPr>
              <w:tblStyle w:val="28"/>
              <w:tblW w:w="49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49"/>
              <w:gridCol w:w="6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08" w:hRule="atLeast"/>
                <w:jc w:val="center"/>
              </w:trPr>
              <w:tc>
                <w:tcPr>
                  <w:tcW w:w="71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CS1-CS7厂界抽水井浓度变化图</w:t>
                  </w:r>
                </w:p>
              </w:tc>
              <w:tc>
                <w:tcPr>
                  <w:tcW w:w="4285"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192905" cy="2388235"/>
                        <wp:effectExtent l="0" t="0" r="17145" b="12065"/>
                        <wp:docPr id="5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true"/>
                                </pic:cNvPicPr>
                              </pic:nvPicPr>
                              <pic:blipFill>
                                <a:blip r:embed="rId39"/>
                                <a:stretch>
                                  <a:fillRect/>
                                </a:stretch>
                              </pic:blipFill>
                              <pic:spPr>
                                <a:xfrm>
                                  <a:off x="0" y="0"/>
                                  <a:ext cx="4192905" cy="23882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1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企业下游监测井浓度变化图</w:t>
                  </w:r>
                </w:p>
              </w:tc>
              <w:tc>
                <w:tcPr>
                  <w:tcW w:w="4285"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234180" cy="2411730"/>
                        <wp:effectExtent l="0" t="0" r="13970" b="7620"/>
                        <wp:docPr id="5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true"/>
                                </pic:cNvPicPr>
                              </pic:nvPicPr>
                              <pic:blipFill>
                                <a:blip r:embed="rId40"/>
                                <a:stretch>
                                  <a:fillRect/>
                                </a:stretch>
                              </pic:blipFill>
                              <pic:spPr>
                                <a:xfrm>
                                  <a:off x="0" y="0"/>
                                  <a:ext cx="4234180" cy="24117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58" w:hRule="atLeast"/>
                <w:jc w:val="center"/>
              </w:trPr>
              <w:tc>
                <w:tcPr>
                  <w:tcW w:w="714"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企业四周监测井浓度变化图</w:t>
                  </w:r>
                </w:p>
              </w:tc>
              <w:tc>
                <w:tcPr>
                  <w:tcW w:w="4285" w:type="pct"/>
                  <w:vAlign w:val="center"/>
                </w:tcPr>
                <w:p>
                  <w:pPr>
                    <w:pStyle w:val="10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248785" cy="2419985"/>
                        <wp:effectExtent l="0" t="0" r="18415" b="18415"/>
                        <wp:docPr id="5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true"/>
                                </pic:cNvPicPr>
                              </pic:nvPicPr>
                              <pic:blipFill>
                                <a:blip r:embed="rId41"/>
                                <a:stretch>
                                  <a:fillRect/>
                                </a:stretch>
                              </pic:blipFill>
                              <pic:spPr>
                                <a:xfrm>
                                  <a:off x="0" y="0"/>
                                  <a:ext cx="4248785" cy="2419985"/>
                                </a:xfrm>
                                <a:prstGeom prst="rect">
                                  <a:avLst/>
                                </a:prstGeom>
                                <a:noFill/>
                                <a:ln>
                                  <a:noFill/>
                                </a:ln>
                              </pic:spPr>
                            </pic:pic>
                          </a:graphicData>
                        </a:graphic>
                      </wp:inline>
                    </w:drawing>
                  </w:r>
                </w:p>
              </w:tc>
            </w:tr>
          </w:tbl>
          <w:p>
            <w:pPr>
              <w:bidi w:val="0"/>
              <w:jc w:val="center"/>
              <w:rPr>
                <w:rFonts w:hint="eastAsia"/>
                <w:color w:val="000000" w:themeColor="text1"/>
                <w:highlight w:val="none"/>
                <w:lang w:val="en-US" w:eastAsia="zh-CN"/>
                <w14:textFill>
                  <w14:solidFill>
                    <w14:schemeClr w14:val="tx1"/>
                  </w14:solidFill>
                </w14:textFill>
              </w:rPr>
            </w:pPr>
            <w:bookmarkStart w:id="6" w:name="_Ref1360"/>
            <w:r>
              <w:rPr>
                <w:rFonts w:hint="eastAsia"/>
                <w:b/>
                <w:bCs/>
                <w:color w:val="000000" w:themeColor="text1"/>
                <w14:textFill>
                  <w14:solidFill>
                    <w14:schemeClr w14:val="tx1"/>
                  </w14:solidFill>
                </w14:textFill>
              </w:rPr>
              <w:t>图</w:t>
            </w:r>
            <w:bookmarkEnd w:id="6"/>
            <w:r>
              <w:rPr>
                <w:rFonts w:hint="eastAsia"/>
                <w:b/>
                <w:bCs/>
                <w:color w:val="000000" w:themeColor="text1"/>
                <w:lang w:val="en-US" w:eastAsia="zh-CN"/>
                <w14:textFill>
                  <w14:solidFill>
                    <w14:schemeClr w14:val="tx1"/>
                  </w14:solidFill>
                </w14:textFill>
              </w:rPr>
              <w:t>2-5挥发酚浓度</w:t>
            </w:r>
            <w:r>
              <w:rPr>
                <w:rFonts w:hint="eastAsia"/>
                <w:b/>
                <w:bCs/>
                <w:color w:val="000000" w:themeColor="text1"/>
                <w14:textFill>
                  <w14:solidFill>
                    <w14:schemeClr w14:val="tx1"/>
                  </w14:solidFill>
                </w14:textFill>
              </w:rPr>
              <w:t>变化图</w:t>
            </w:r>
          </w:p>
          <w:tbl>
            <w:tblPr>
              <w:tblStyle w:val="28"/>
              <w:tblW w:w="80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15"/>
              <w:gridCol w:w="6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17"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CS1-CS7厂界抽水井浓度变化图</w:t>
                  </w:r>
                </w:p>
              </w:tc>
              <w:tc>
                <w:tcPr>
                  <w:tcW w:w="4182"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218305" cy="2402840"/>
                        <wp:effectExtent l="0" t="0" r="10795" b="16510"/>
                        <wp:docPr id="5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true"/>
                                </pic:cNvPicPr>
                              </pic:nvPicPr>
                              <pic:blipFill>
                                <a:blip r:embed="rId42"/>
                                <a:stretch>
                                  <a:fillRect/>
                                </a:stretch>
                              </pic:blipFill>
                              <pic:spPr>
                                <a:xfrm>
                                  <a:off x="0" y="0"/>
                                  <a:ext cx="4218305" cy="24028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17"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企业下游监测井浓度变化图</w:t>
                  </w:r>
                </w:p>
              </w:tc>
              <w:tc>
                <w:tcPr>
                  <w:tcW w:w="4182"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250690" cy="2505075"/>
                        <wp:effectExtent l="0" t="0" r="16510" b="9525"/>
                        <wp:docPr id="5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true"/>
                                </pic:cNvPicPr>
                              </pic:nvPicPr>
                              <pic:blipFill>
                                <a:blip r:embed="rId43"/>
                                <a:stretch>
                                  <a:fillRect/>
                                </a:stretch>
                              </pic:blipFill>
                              <pic:spPr>
                                <a:xfrm>
                                  <a:off x="0" y="0"/>
                                  <a:ext cx="4250690" cy="25050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17"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企业四周监测井浓度变化图</w:t>
                  </w:r>
                </w:p>
              </w:tc>
              <w:tc>
                <w:tcPr>
                  <w:tcW w:w="4182"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208780" cy="1933575"/>
                        <wp:effectExtent l="0" t="0" r="1270" b="9525"/>
                        <wp:docPr id="6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true"/>
                                </pic:cNvPicPr>
                              </pic:nvPicPr>
                              <pic:blipFill>
                                <a:blip r:embed="rId44"/>
                                <a:stretch>
                                  <a:fillRect/>
                                </a:stretch>
                              </pic:blipFill>
                              <pic:spPr>
                                <a:xfrm>
                                  <a:off x="0" y="0"/>
                                  <a:ext cx="4208780" cy="1933575"/>
                                </a:xfrm>
                                <a:prstGeom prst="rect">
                                  <a:avLst/>
                                </a:prstGeom>
                                <a:noFill/>
                                <a:ln>
                                  <a:noFill/>
                                </a:ln>
                              </pic:spPr>
                            </pic:pic>
                          </a:graphicData>
                        </a:graphic>
                      </wp:inline>
                    </w:drawing>
                  </w:r>
                </w:p>
              </w:tc>
            </w:tr>
          </w:tbl>
          <w:p>
            <w:pPr>
              <w:bidi w:val="0"/>
              <w:jc w:val="center"/>
              <w:rPr>
                <w:rFonts w:hint="eastAsia"/>
                <w:color w:val="000000" w:themeColor="text1"/>
                <w:highlight w:val="none"/>
                <w:lang w:val="en-US" w:eastAsia="zh-CN"/>
                <w14:textFill>
                  <w14:solidFill>
                    <w14:schemeClr w14:val="tx1"/>
                  </w14:solidFill>
                </w14:textFill>
              </w:rPr>
            </w:pPr>
            <w:r>
              <w:rPr>
                <w:rFonts w:hint="eastAsia"/>
                <w:b/>
                <w:bCs/>
                <w:color w:val="000000" w:themeColor="text1"/>
                <w14:textFill>
                  <w14:solidFill>
                    <w14:schemeClr w14:val="tx1"/>
                  </w14:solidFill>
                </w14:textFill>
              </w:rPr>
              <w:t>图</w:t>
            </w:r>
            <w:r>
              <w:rPr>
                <w:rFonts w:hint="eastAsia"/>
                <w:b/>
                <w:bCs/>
                <w:color w:val="000000" w:themeColor="text1"/>
                <w:lang w:val="en-US" w:eastAsia="zh-CN"/>
                <w14:textFill>
                  <w14:solidFill>
                    <w14:schemeClr w14:val="tx1"/>
                  </w14:solidFill>
                </w14:textFill>
              </w:rPr>
              <w:t>2-6 苯浓度</w:t>
            </w:r>
            <w:r>
              <w:rPr>
                <w:rFonts w:hint="eastAsia"/>
                <w:b/>
                <w:bCs/>
                <w:color w:val="000000" w:themeColor="text1"/>
                <w14:textFill>
                  <w14:solidFill>
                    <w14:schemeClr w14:val="tx1"/>
                  </w14:solidFill>
                </w14:textFill>
              </w:rPr>
              <w:t>变化图</w:t>
            </w:r>
          </w:p>
          <w:tbl>
            <w:tblPr>
              <w:tblStyle w:val="28"/>
              <w:tblW w:w="7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66"/>
              <w:gridCol w:w="6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9" w:hRule="atLeast"/>
                <w:jc w:val="center"/>
              </w:trPr>
              <w:tc>
                <w:tcPr>
                  <w:tcW w:w="858"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CS1-CS7厂界抽水井浓度变化图</w:t>
                  </w:r>
                </w:p>
              </w:tc>
              <w:tc>
                <w:tcPr>
                  <w:tcW w:w="4141"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120515" cy="2346960"/>
                        <wp:effectExtent l="0" t="0" r="13335" b="15240"/>
                        <wp:docPr id="61"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true"/>
                                </pic:cNvPicPr>
                              </pic:nvPicPr>
                              <pic:blipFill>
                                <a:blip r:embed="rId45"/>
                                <a:stretch>
                                  <a:fillRect/>
                                </a:stretch>
                              </pic:blipFill>
                              <pic:spPr>
                                <a:xfrm>
                                  <a:off x="0" y="0"/>
                                  <a:ext cx="4120515" cy="23469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9" w:hRule="atLeast"/>
                <w:jc w:val="center"/>
              </w:trPr>
              <w:tc>
                <w:tcPr>
                  <w:tcW w:w="858"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企业下游监测井浓度变化图</w:t>
                  </w:r>
                </w:p>
              </w:tc>
              <w:tc>
                <w:tcPr>
                  <w:tcW w:w="4141"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153535" cy="2442210"/>
                        <wp:effectExtent l="0" t="0" r="18415" b="15240"/>
                        <wp:docPr id="6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true"/>
                                </pic:cNvPicPr>
                              </pic:nvPicPr>
                              <pic:blipFill>
                                <a:blip r:embed="rId46"/>
                                <a:stretch>
                                  <a:fillRect/>
                                </a:stretch>
                              </pic:blipFill>
                              <pic:spPr>
                                <a:xfrm>
                                  <a:off x="0" y="0"/>
                                  <a:ext cx="4153535" cy="24422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58"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企业四周监测井浓度变化图</w:t>
                  </w:r>
                </w:p>
              </w:tc>
              <w:tc>
                <w:tcPr>
                  <w:tcW w:w="4141"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134485" cy="1991360"/>
                        <wp:effectExtent l="0" t="0" r="18415" b="8890"/>
                        <wp:docPr id="6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true"/>
                                </pic:cNvPicPr>
                              </pic:nvPicPr>
                              <pic:blipFill>
                                <a:blip r:embed="rId47"/>
                                <a:stretch>
                                  <a:fillRect/>
                                </a:stretch>
                              </pic:blipFill>
                              <pic:spPr>
                                <a:xfrm>
                                  <a:off x="0" y="0"/>
                                  <a:ext cx="4134485" cy="1991360"/>
                                </a:xfrm>
                                <a:prstGeom prst="rect">
                                  <a:avLst/>
                                </a:prstGeom>
                                <a:noFill/>
                                <a:ln>
                                  <a:noFill/>
                                </a:ln>
                              </pic:spPr>
                            </pic:pic>
                          </a:graphicData>
                        </a:graphic>
                      </wp:inline>
                    </w:drawing>
                  </w:r>
                </w:p>
              </w:tc>
            </w:tr>
          </w:tbl>
          <w:p>
            <w:pPr>
              <w:pStyle w:val="107"/>
              <w:ind w:firstLine="640"/>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lang w:val="en-US" w:eastAsia="zh-CN"/>
                <w14:textFill>
                  <w14:solidFill>
                    <w14:schemeClr w14:val="tx1"/>
                  </w14:solidFill>
                </w14:textFill>
              </w:rPr>
              <w:t>2-7 甲苯浓度</w:t>
            </w:r>
            <w:r>
              <w:rPr>
                <w:rFonts w:hint="eastAsia"/>
                <w:color w:val="000000" w:themeColor="text1"/>
                <w14:textFill>
                  <w14:solidFill>
                    <w14:schemeClr w14:val="tx1"/>
                  </w14:solidFill>
                </w14:textFill>
              </w:rPr>
              <w:t>变化图</w:t>
            </w:r>
          </w:p>
          <w:tbl>
            <w:tblPr>
              <w:tblStyle w:val="28"/>
              <w:tblW w:w="79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69"/>
              <w:gridCol w:w="6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41" w:hRule="atLeast"/>
                <w:jc w:val="center"/>
              </w:trPr>
              <w:tc>
                <w:tcPr>
                  <w:tcW w:w="925"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CS1-CS7厂界抽水井浓度变化图</w:t>
                  </w:r>
                </w:p>
              </w:tc>
              <w:tc>
                <w:tcPr>
                  <w:tcW w:w="4074"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051300" cy="2307590"/>
                        <wp:effectExtent l="0" t="0" r="6350" b="16510"/>
                        <wp:docPr id="70"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23"/>
                                <pic:cNvPicPr>
                                  <a:picLocks noChangeAspect="true"/>
                                </pic:cNvPicPr>
                              </pic:nvPicPr>
                              <pic:blipFill>
                                <a:blip r:embed="rId48"/>
                                <a:stretch>
                                  <a:fillRect/>
                                </a:stretch>
                              </pic:blipFill>
                              <pic:spPr>
                                <a:xfrm>
                                  <a:off x="0" y="0"/>
                                  <a:ext cx="4051300" cy="23075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4" w:hRule="atLeast"/>
                <w:jc w:val="center"/>
              </w:trPr>
              <w:tc>
                <w:tcPr>
                  <w:tcW w:w="925"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企业下游监测井浓度变化图</w:t>
                  </w:r>
                </w:p>
              </w:tc>
              <w:tc>
                <w:tcPr>
                  <w:tcW w:w="4074"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045585" cy="2378710"/>
                        <wp:effectExtent l="0" t="0" r="12065" b="2540"/>
                        <wp:docPr id="71"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24"/>
                                <pic:cNvPicPr>
                                  <a:picLocks noChangeAspect="true"/>
                                </pic:cNvPicPr>
                              </pic:nvPicPr>
                              <pic:blipFill>
                                <a:blip r:embed="rId49"/>
                                <a:stretch>
                                  <a:fillRect/>
                                </a:stretch>
                              </pic:blipFill>
                              <pic:spPr>
                                <a:xfrm>
                                  <a:off x="0" y="0"/>
                                  <a:ext cx="4045585" cy="23787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0" w:hRule="atLeast"/>
                <w:jc w:val="center"/>
              </w:trPr>
              <w:tc>
                <w:tcPr>
                  <w:tcW w:w="925"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企业四周监测井浓度变化图</w:t>
                  </w:r>
                </w:p>
              </w:tc>
              <w:tc>
                <w:tcPr>
                  <w:tcW w:w="4074"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097655" cy="2044700"/>
                        <wp:effectExtent l="0" t="0" r="17145" b="12700"/>
                        <wp:docPr id="72"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12"/>
                                <pic:cNvPicPr>
                                  <a:picLocks noChangeAspect="true"/>
                                </pic:cNvPicPr>
                              </pic:nvPicPr>
                              <pic:blipFill>
                                <a:blip r:embed="rId50"/>
                                <a:stretch>
                                  <a:fillRect/>
                                </a:stretch>
                              </pic:blipFill>
                              <pic:spPr>
                                <a:xfrm>
                                  <a:off x="0" y="0"/>
                                  <a:ext cx="4097655" cy="2044700"/>
                                </a:xfrm>
                                <a:prstGeom prst="rect">
                                  <a:avLst/>
                                </a:prstGeom>
                                <a:noFill/>
                                <a:ln>
                                  <a:noFill/>
                                </a:ln>
                              </pic:spPr>
                            </pic:pic>
                          </a:graphicData>
                        </a:graphic>
                      </wp:inline>
                    </w:drawing>
                  </w:r>
                </w:p>
              </w:tc>
            </w:tr>
          </w:tbl>
          <w:p>
            <w:pPr>
              <w:pStyle w:val="107"/>
              <w:ind w:firstLine="640"/>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lang w:val="en-US" w:eastAsia="zh-CN"/>
                <w14:textFill>
                  <w14:solidFill>
                    <w14:schemeClr w14:val="tx1"/>
                  </w14:solidFill>
                </w14:textFill>
              </w:rPr>
              <w:t>2-8 乙苯浓度</w:t>
            </w:r>
            <w:r>
              <w:rPr>
                <w:rFonts w:hint="eastAsia"/>
                <w:color w:val="000000" w:themeColor="text1"/>
                <w14:textFill>
                  <w14:solidFill>
                    <w14:schemeClr w14:val="tx1"/>
                  </w14:solidFill>
                </w14:textFill>
              </w:rPr>
              <w:t>变化图</w:t>
            </w:r>
          </w:p>
          <w:tbl>
            <w:tblPr>
              <w:tblStyle w:val="28"/>
              <w:tblW w:w="79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81"/>
              <w:gridCol w:w="6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50" w:hRule="atLeast"/>
                <w:jc w:val="center"/>
              </w:trPr>
              <w:tc>
                <w:tcPr>
                  <w:tcW w:w="933"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CS1-CS7厂界抽水井浓度变化图</w:t>
                  </w:r>
                </w:p>
              </w:tc>
              <w:tc>
                <w:tcPr>
                  <w:tcW w:w="4066"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051300" cy="2307590"/>
                        <wp:effectExtent l="0" t="0" r="6350" b="16510"/>
                        <wp:docPr id="73"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25"/>
                                <pic:cNvPicPr>
                                  <a:picLocks noChangeAspect="true"/>
                                </pic:cNvPicPr>
                              </pic:nvPicPr>
                              <pic:blipFill>
                                <a:blip r:embed="rId51"/>
                                <a:stretch>
                                  <a:fillRect/>
                                </a:stretch>
                              </pic:blipFill>
                              <pic:spPr>
                                <a:xfrm>
                                  <a:off x="0" y="0"/>
                                  <a:ext cx="4051300" cy="23075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61" w:hRule="atLeast"/>
                <w:jc w:val="center"/>
              </w:trPr>
              <w:tc>
                <w:tcPr>
                  <w:tcW w:w="933"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企业下游监测井浓度变化图</w:t>
                  </w:r>
                </w:p>
              </w:tc>
              <w:tc>
                <w:tcPr>
                  <w:tcW w:w="4066"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059555" cy="2386965"/>
                        <wp:effectExtent l="0" t="0" r="17145" b="13335"/>
                        <wp:docPr id="74"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 name="图片 18"/>
                                <pic:cNvPicPr>
                                  <a:picLocks noChangeAspect="true"/>
                                </pic:cNvPicPr>
                              </pic:nvPicPr>
                              <pic:blipFill>
                                <a:blip r:embed="rId52"/>
                                <a:stretch>
                                  <a:fillRect/>
                                </a:stretch>
                              </pic:blipFill>
                              <pic:spPr>
                                <a:xfrm>
                                  <a:off x="0" y="0"/>
                                  <a:ext cx="4059555" cy="23869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8" w:hRule="atLeast"/>
                <w:jc w:val="center"/>
              </w:trPr>
              <w:tc>
                <w:tcPr>
                  <w:tcW w:w="933"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企业四周监测井浓度变化图</w:t>
                  </w:r>
                </w:p>
              </w:tc>
              <w:tc>
                <w:tcPr>
                  <w:tcW w:w="4066"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068445" cy="2119630"/>
                        <wp:effectExtent l="0" t="0" r="8255" b="13970"/>
                        <wp:docPr id="75"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true"/>
                                </pic:cNvPicPr>
                              </pic:nvPicPr>
                              <pic:blipFill>
                                <a:blip r:embed="rId53"/>
                                <a:stretch>
                                  <a:fillRect/>
                                </a:stretch>
                              </pic:blipFill>
                              <pic:spPr>
                                <a:xfrm>
                                  <a:off x="0" y="0"/>
                                  <a:ext cx="4068445" cy="2119630"/>
                                </a:xfrm>
                                <a:prstGeom prst="rect">
                                  <a:avLst/>
                                </a:prstGeom>
                                <a:noFill/>
                                <a:ln>
                                  <a:noFill/>
                                </a:ln>
                              </pic:spPr>
                            </pic:pic>
                          </a:graphicData>
                        </a:graphic>
                      </wp:inline>
                    </w:drawing>
                  </w:r>
                </w:p>
              </w:tc>
            </w:tr>
          </w:tbl>
          <w:p>
            <w:pPr>
              <w:pStyle w:val="107"/>
              <w:ind w:firstLine="640"/>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color w:val="000000" w:themeColor="text1"/>
                <w:lang w:val="en-US" w:eastAsia="zh-CN"/>
                <w14:textFill>
                  <w14:solidFill>
                    <w14:schemeClr w14:val="tx1"/>
                  </w14:solidFill>
                </w14:textFill>
              </w:rPr>
              <w:t>2-9二甲苯浓度</w:t>
            </w:r>
            <w:r>
              <w:rPr>
                <w:rFonts w:hint="eastAsia"/>
                <w:color w:val="000000" w:themeColor="text1"/>
                <w14:textFill>
                  <w14:solidFill>
                    <w14:schemeClr w14:val="tx1"/>
                  </w14:solidFill>
                </w14:textFill>
              </w:rPr>
              <w:t>变化图</w:t>
            </w:r>
          </w:p>
          <w:tbl>
            <w:tblPr>
              <w:tblStyle w:val="28"/>
              <w:tblW w:w="49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42"/>
              <w:gridCol w:w="6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31" w:hRule="atLeast"/>
                <w:jc w:val="center"/>
              </w:trPr>
              <w:tc>
                <w:tcPr>
                  <w:tcW w:w="827"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CS1-CS7厂界抽水井浓度变化图</w:t>
                  </w:r>
                </w:p>
              </w:tc>
              <w:tc>
                <w:tcPr>
                  <w:tcW w:w="4172"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191000" cy="2386965"/>
                        <wp:effectExtent l="0" t="0" r="0" b="13335"/>
                        <wp:docPr id="76"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true"/>
                                </pic:cNvPicPr>
                              </pic:nvPicPr>
                              <pic:blipFill>
                                <a:blip r:embed="rId54"/>
                                <a:stretch>
                                  <a:fillRect/>
                                </a:stretch>
                              </pic:blipFill>
                              <pic:spPr>
                                <a:xfrm>
                                  <a:off x="0" y="0"/>
                                  <a:ext cx="4191000" cy="23869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57" w:hRule="atLeast"/>
                <w:jc w:val="center"/>
              </w:trPr>
              <w:tc>
                <w:tcPr>
                  <w:tcW w:w="827"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企业下游监测井浓度变化图</w:t>
                  </w:r>
                </w:p>
              </w:tc>
              <w:tc>
                <w:tcPr>
                  <w:tcW w:w="4172"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344670" cy="2554605"/>
                        <wp:effectExtent l="0" t="0" r="17780" b="17145"/>
                        <wp:docPr id="77"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true"/>
                                </pic:cNvPicPr>
                              </pic:nvPicPr>
                              <pic:blipFill>
                                <a:blip r:embed="rId55"/>
                                <a:stretch>
                                  <a:fillRect/>
                                </a:stretch>
                              </pic:blipFill>
                              <pic:spPr>
                                <a:xfrm>
                                  <a:off x="0" y="0"/>
                                  <a:ext cx="4344670" cy="25546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2" w:hRule="atLeast"/>
                <w:jc w:val="center"/>
              </w:trPr>
              <w:tc>
                <w:tcPr>
                  <w:tcW w:w="827"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企业四周监测井浓度变化图</w:t>
                  </w:r>
                </w:p>
              </w:tc>
              <w:tc>
                <w:tcPr>
                  <w:tcW w:w="4172" w:type="pct"/>
                  <w:vAlign w:val="center"/>
                </w:tcPr>
                <w:p>
                  <w:pPr>
                    <w:pStyle w:val="106"/>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4239260" cy="2511425"/>
                        <wp:effectExtent l="0" t="0" r="8890" b="3175"/>
                        <wp:docPr id="78"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16"/>
                                <pic:cNvPicPr>
                                  <a:picLocks noChangeAspect="true"/>
                                </pic:cNvPicPr>
                              </pic:nvPicPr>
                              <pic:blipFill>
                                <a:blip r:embed="rId56"/>
                                <a:stretch>
                                  <a:fillRect/>
                                </a:stretch>
                              </pic:blipFill>
                              <pic:spPr>
                                <a:xfrm>
                                  <a:off x="0" y="0"/>
                                  <a:ext cx="4239260" cy="2511425"/>
                                </a:xfrm>
                                <a:prstGeom prst="rect">
                                  <a:avLst/>
                                </a:prstGeom>
                                <a:noFill/>
                                <a:ln>
                                  <a:noFill/>
                                </a:ln>
                              </pic:spPr>
                            </pic:pic>
                          </a:graphicData>
                        </a:graphic>
                      </wp:inline>
                    </w:drawing>
                  </w:r>
                </w:p>
              </w:tc>
            </w:tr>
          </w:tbl>
          <w:p>
            <w:pPr>
              <w:pStyle w:val="107"/>
              <w:keepNext w:val="0"/>
              <w:keepLines w:val="0"/>
              <w:pageBreakBefore w:val="0"/>
              <w:widowControl w:val="0"/>
              <w:kinsoku/>
              <w:wordWrap/>
              <w:overflowPunct/>
              <w:topLinePunct w:val="0"/>
              <w:autoSpaceDE/>
              <w:autoSpaceDN/>
              <w:bidi w:val="0"/>
              <w:adjustRightInd w:val="0"/>
              <w:snapToGrid w:val="0"/>
              <w:spacing w:line="324" w:lineRule="auto"/>
              <w:ind w:firstLine="640"/>
              <w:jc w:val="center"/>
              <w:textAlignment w:val="auto"/>
              <w:rPr>
                <w:rFonts w:hint="eastAsia"/>
                <w:color w:val="000000" w:themeColor="text1"/>
                <w14:textFill>
                  <w14:solidFill>
                    <w14:schemeClr w14:val="tx1"/>
                  </w14:solidFill>
                </w14:textFill>
              </w:rPr>
            </w:pPr>
            <w:bookmarkStart w:id="7" w:name="_Ref1370"/>
            <w:r>
              <w:rPr>
                <w:rFonts w:hint="eastAsia"/>
                <w:color w:val="000000" w:themeColor="text1"/>
                <w:sz w:val="21"/>
                <w:szCs w:val="21"/>
                <w14:textFill>
                  <w14:solidFill>
                    <w14:schemeClr w14:val="tx1"/>
                  </w14:solidFill>
                </w14:textFill>
              </w:rPr>
              <w:t>图</w:t>
            </w:r>
            <w:bookmarkEnd w:id="7"/>
            <w:r>
              <w:rPr>
                <w:rFonts w:hint="eastAsia"/>
                <w:color w:val="000000" w:themeColor="text1"/>
                <w:sz w:val="21"/>
                <w:szCs w:val="21"/>
                <w:lang w:val="en-US" w:eastAsia="zh-CN"/>
                <w14:textFill>
                  <w14:solidFill>
                    <w14:schemeClr w14:val="tx1"/>
                  </w14:solidFill>
                </w14:textFill>
              </w:rPr>
              <w:t>2-10苯乙烯浓度</w:t>
            </w:r>
            <w:r>
              <w:rPr>
                <w:rFonts w:hint="eastAsia"/>
                <w:color w:val="000000" w:themeColor="text1"/>
                <w:sz w:val="21"/>
                <w:szCs w:val="21"/>
                <w14:textFill>
                  <w14:solidFill>
                    <w14:schemeClr w14:val="tx1"/>
                  </w14:solidFill>
                </w14:textFill>
              </w:rPr>
              <w:t>变化图</w:t>
            </w:r>
          </w:p>
          <w:p>
            <w:pPr>
              <w:keepNext w:val="0"/>
              <w:keepLines w:val="0"/>
              <w:pageBreakBefore w:val="0"/>
              <w:widowControl w:val="0"/>
              <w:kinsoku/>
              <w:wordWrap/>
              <w:overflowPunct/>
              <w:topLinePunct w:val="0"/>
              <w:autoSpaceDE/>
              <w:autoSpaceDN/>
              <w:bidi w:val="0"/>
              <w:adjustRightInd/>
              <w:snapToGrid/>
              <w:spacing w:line="460" w:lineRule="exact"/>
              <w:ind w:firstLine="481" w:firstLineChars="200"/>
              <w:jc w:val="both"/>
              <w:textAlignment w:val="auto"/>
              <w:rPr>
                <w:rFonts w:hint="default" w:asciiTheme="minorEastAsia" w:hAnsiTheme="minorEastAsia" w:eastAsiaTheme="minorEastAsia" w:cstheme="minorEastAsia"/>
                <w:b/>
                <w:bCs/>
                <w:color w:val="FF0000"/>
                <w:sz w:val="24"/>
                <w:szCs w:val="24"/>
                <w:lang w:val="en-US" w:eastAsia="zh-CN"/>
              </w:rPr>
            </w:pPr>
            <w:commentRangeStart w:id="58"/>
            <w:r>
              <w:rPr>
                <w:rFonts w:hint="eastAsia" w:asciiTheme="minorEastAsia" w:hAnsiTheme="minorEastAsia" w:eastAsiaTheme="minorEastAsia" w:cstheme="minorEastAsia"/>
                <w:b/>
                <w:bCs/>
                <w:color w:val="000000" w:themeColor="text1"/>
                <w:sz w:val="24"/>
                <w:szCs w:val="24"/>
                <w:lang w:val="en-US" w:eastAsia="zh-CN"/>
                <w14:textFill>
                  <w14:solidFill>
                    <w14:schemeClr w14:val="tx1"/>
                  </w14:solidFill>
                </w14:textFill>
              </w:rPr>
              <w:t>（</w:t>
            </w:r>
            <w:r>
              <w:rPr>
                <w:rFonts w:hint="eastAsia" w:asciiTheme="minorEastAsia" w:hAnsiTheme="minorEastAsia" w:eastAsiaTheme="minorEastAsia" w:cstheme="minorEastAsia"/>
                <w:b/>
                <w:bCs/>
                <w:color w:val="FF0000"/>
                <w:sz w:val="24"/>
                <w:szCs w:val="24"/>
                <w:lang w:val="en-US" w:eastAsia="zh-CN"/>
              </w:rPr>
              <w:t>4）</w:t>
            </w:r>
            <w:commentRangeEnd w:id="58"/>
            <w:r>
              <w:rPr>
                <w:color w:val="FF0000"/>
              </w:rPr>
              <w:commentReference w:id="58"/>
            </w:r>
            <w:r>
              <w:rPr>
                <w:color w:val="FF0000"/>
              </w:rPr>
              <w:commentReference w:id="59"/>
            </w:r>
            <w:r>
              <w:rPr>
                <w:rFonts w:hint="eastAsia" w:asciiTheme="minorEastAsia" w:hAnsiTheme="minorEastAsia" w:eastAsiaTheme="minorEastAsia" w:cstheme="minorEastAsia"/>
                <w:b/>
                <w:bCs/>
                <w:color w:val="FF0000"/>
                <w:sz w:val="24"/>
                <w:szCs w:val="24"/>
                <w:lang w:val="en-US" w:eastAsia="zh-CN"/>
              </w:rPr>
              <w:t>后续整治措施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FF0000"/>
                <w:sz w:val="24"/>
                <w:szCs w:val="24"/>
              </w:rPr>
              <w:t>1、委托第三方专业环境修复公司开展技术服务，按照管控方案和相关技术标准指南制定的管</w:t>
            </w:r>
            <w:r>
              <w:rPr>
                <w:rFonts w:hint="eastAsia" w:asciiTheme="minorEastAsia" w:hAnsiTheme="minorEastAsia" w:eastAsiaTheme="minorEastAsia" w:cstheme="minorEastAsia"/>
                <w:color w:val="000000" w:themeColor="text1"/>
                <w:sz w:val="24"/>
                <w:szCs w:val="24"/>
                <w14:textFill>
                  <w14:solidFill>
                    <w14:schemeClr w14:val="tx1"/>
                  </w14:solidFill>
                </w14:textFill>
              </w:rPr>
              <w:t>控工程运维方案，指导企业规范化、标准化开展管控工程运行维护工作。</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default" w:asciiTheme="minorEastAsia" w:hAnsiTheme="minorEastAsia" w:eastAsia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2、根据地下水污染变化情况，更新优化地下水污染管控方案，减少非污染区的抽水量，</w:t>
            </w:r>
            <w:commentRangeStart w:id="60"/>
            <w:r>
              <w:rPr>
                <w:rFonts w:hint="eastAsia" w:asciiTheme="minorEastAsia" w:hAnsiTheme="minorEastAsia" w:eastAsiaTheme="minorEastAsia" w:cstheme="minorEastAsia"/>
                <w:color w:val="000000" w:themeColor="text1"/>
                <w:sz w:val="24"/>
                <w:szCs w:val="24"/>
                <w14:textFill>
                  <w14:solidFill>
                    <w14:schemeClr w14:val="tx1"/>
                  </w14:solidFill>
                </w14:textFill>
              </w:rPr>
              <w:t>加大污染区的抽水量，从而提高污染物的抽出效率</w:t>
            </w:r>
            <w:commentRangeEnd w:id="60"/>
            <w:r>
              <w:commentReference w:id="60"/>
            </w:r>
            <w:r>
              <w:rPr>
                <w:rFonts w:hint="eastAsia" w:asciiTheme="minorEastAsia" w:hAnsiTheme="minorEastAsia" w:eastAsiaTheme="minorEastAsia" w:cstheme="minorEastAsia"/>
                <w:color w:val="000000" w:themeColor="text1"/>
                <w:sz w:val="24"/>
                <w:szCs w:val="24"/>
                <w14:textFill>
                  <w14:solidFill>
                    <w14:schemeClr w14:val="tx1"/>
                  </w14:solidFill>
                </w14:textFill>
              </w:rPr>
              <w:t>。</w:t>
            </w:r>
            <w:r>
              <w:rPr>
                <w:rFonts w:hint="eastAsia" w:asciiTheme="minorEastAsia" w:hAnsiTheme="minorEastAsia" w:eastAsiaTheme="minorEastAsia" w:cstheme="minorEastAsia"/>
                <w:color w:val="FF0000"/>
                <w:sz w:val="24"/>
                <w:szCs w:val="24"/>
                <w:lang w:val="en-US" w:eastAsia="zh-CN"/>
              </w:rPr>
              <w:t>厂区现有污水处理站处理能力为100m³/d，现状抽水量为90m³/d，污水处理站剩余负荷满足后续治理需求。</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3、加强管控工程运维。主要是抽水系统、输送系统、处理系统的运维，还包括对制度控制措施的落实和维护。严格按照运维方案执行，按时准确记录《地下水管控台账》、《抽水泵、管路运行状况台账》、《地下水水温测量记录表》、《地下水处理及送洗煤厂台账》、《污水处理设备运行巡检记录》等材料，规范运行维护工作。</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4、加强地下水监测频次，监测指标包括地下水水位、水质。管控工程运行初期，将采用较高的监测频次，每月进行一次监测，正常运行后可以适当降低监测频次；每周进行一次企业自行监测，监控重点污染物浓度变化。严格按照地下水采样检测相关标准指南，开展地下水采集检测工作，确保检测数据代表性、准确性和可靠性。</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5、根据地下水监测数据及管控工程实际运行情况开展管控效果评估，分析管控修复工程运行阶段的有效性、目标可达性、经济可行性等，并依此对技术方案、监测方案等进行调整和优化。</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default" w:asciiTheme="minorEastAsia" w:hAnsiTheme="minorEastAsia" w:eastAsia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2025年5月13日，</w:t>
            </w:r>
            <w: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t>鄂尔多斯蒙苏经济开发区管理委员会</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出具了</w:t>
            </w:r>
            <w: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t>《关于鄂尔多斯市汇金达清洁溶剂油有限公司地下水污染治理承诺的报告》（鄂蒙苏字</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w:t>
            </w:r>
            <w: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t>2025</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w:t>
            </w:r>
            <w: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t>22号），</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详见附件7</w:t>
            </w:r>
            <w: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t>。</w:t>
            </w:r>
          </w:p>
        </w:tc>
      </w:tr>
    </w:tbl>
    <w:p>
      <w:pPr>
        <w:pStyle w:val="22"/>
        <w:jc w:val="center"/>
        <w:rPr>
          <w:rFonts w:hint="default" w:ascii="Times New Roman" w:hAnsi="Times New Roman" w:eastAsia="黑体" w:cs="Times New Roman"/>
          <w:snapToGrid w:val="0"/>
          <w:color w:val="000000" w:themeColor="text1"/>
          <w:sz w:val="36"/>
          <w:szCs w:val="36"/>
          <w:highlight w:val="none"/>
          <w14:textFill>
            <w14:solidFill>
              <w14:schemeClr w14:val="tx1"/>
            </w14:solidFill>
          </w14:textFill>
        </w:rPr>
        <w:sectPr>
          <w:footerReference r:id="rId12" w:type="default"/>
          <w:pgSz w:w="11906" w:h="16838"/>
          <w:pgMar w:top="1134" w:right="1134" w:bottom="1134" w:left="1531" w:header="851" w:footer="850" w:gutter="0"/>
          <w:pgBorders>
            <w:top w:val="none" w:sz="0" w:space="0"/>
            <w:left w:val="none" w:sz="0" w:space="0"/>
            <w:bottom w:val="none" w:sz="0" w:space="0"/>
            <w:right w:val="none" w:sz="0" w:space="0"/>
          </w:pgBorders>
          <w:pgNumType w:fmt="numberInDash"/>
          <w:cols w:space="0" w:num="1"/>
          <w:rtlGutter w:val="0"/>
          <w:docGrid w:linePitch="312" w:charSpace="0"/>
        </w:sectPr>
      </w:pPr>
    </w:p>
    <w:p>
      <w:pPr>
        <w:pStyle w:val="22"/>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三、区域环境质量现状、环境保护目标及评价标准</w:t>
      </w:r>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5"/>
        <w:gridCol w:w="90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区域</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环境</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质量</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现状</w:t>
            </w:r>
          </w:p>
        </w:tc>
        <w:tc>
          <w:tcPr>
            <w:tcW w:w="8160" w:type="dxa"/>
            <w:noWrap w:val="0"/>
            <w:vAlign w:val="center"/>
          </w:tcPr>
          <w:p>
            <w:pPr>
              <w:adjustRightInd w:val="0"/>
              <w:snapToGrid w:val="0"/>
              <w:jc w:val="left"/>
              <w:rPr>
                <w:rFonts w:hint="default" w:ascii="Times New Roman" w:hAnsi="Times New Roman" w:cs="Times New Roman"/>
                <w:b/>
                <w:bCs/>
                <w:color w:val="000000" w:themeColor="text1"/>
                <w:kern w:val="0"/>
                <w:szCs w:val="21"/>
                <w:highlight w:val="none"/>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一</w:t>
            </w:r>
            <w:r>
              <w:rPr>
                <w:rFonts w:hint="default" w:ascii="Times New Roman" w:hAnsi="Times New Roman" w:cs="Times New Roman"/>
                <w:b/>
                <w:bCs/>
                <w:color w:val="000000" w:themeColor="text1"/>
                <w:kern w:val="0"/>
                <w:szCs w:val="21"/>
                <w:highlight w:val="none"/>
                <w14:textFill>
                  <w14:solidFill>
                    <w14:schemeClr w14:val="tx1"/>
                  </w14:solidFill>
                </w14:textFill>
              </w:rPr>
              <w:t>、环境空气质量现状</w:t>
            </w:r>
          </w:p>
          <w:p>
            <w:pPr>
              <w:adjustRightInd w:val="0"/>
              <w:snapToGrid w:val="0"/>
              <w:jc w:val="left"/>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1、</w:t>
            </w:r>
            <w:r>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t>区域环境质量达标分析</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环境影响评价技术导则大气环境》（HJ2.2-2018），项目所在区域达标判定，优先采用国家或地方生态环境主管部门公开发布的评价基准年环境质量公告或环境质量报告中的数据或结论，其中评价基准年为近3年中数据相对完整的1个日历年作为评价基准年。</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根据2025年5月29日内蒙古自治区生态环境厅发布的《2024年内蒙古自治区生态环境状况公报》，2024年全区环境空气六项污染物年均浓度均达标。</w:t>
            </w:r>
            <w:r>
              <w:rPr>
                <w:rFonts w:hint="eastAsia"/>
                <w:color w:val="000000" w:themeColor="text1"/>
                <w14:textFill>
                  <w14:solidFill>
                    <w14:schemeClr w14:val="tx1"/>
                  </w14:solidFill>
                </w14:textFill>
              </w:rPr>
              <w:t>判断项目区为达标区</w:t>
            </w:r>
            <w:r>
              <w:rPr>
                <w:rFonts w:hint="eastAsia"/>
                <w:color w:val="000000" w:themeColor="text1"/>
                <w:highlight w:val="none"/>
                <w:lang w:val="en-US" w:eastAsia="zh-CN"/>
                <w14:textFill>
                  <w14:solidFill>
                    <w14:schemeClr w14:val="tx1"/>
                  </w14:solidFill>
                </w14:textFill>
              </w:rPr>
              <w:t>。</w:t>
            </w:r>
          </w:p>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w:t>
            </w:r>
            <w:r>
              <w:rPr>
                <w:rFonts w:hint="default"/>
                <w:b/>
                <w:bCs/>
                <w:color w:val="000000" w:themeColor="text1"/>
                <w:highlight w:val="none"/>
                <w:lang w:val="en-US" w:eastAsia="zh-CN"/>
                <w14:textFill>
                  <w14:solidFill>
                    <w14:schemeClr w14:val="tx1"/>
                  </w14:solidFill>
                </w14:textFill>
              </w:rPr>
              <w:t>其他污染物环境质量现状监测</w:t>
            </w:r>
          </w:p>
          <w:p>
            <w:pPr>
              <w:bidi w:val="0"/>
              <w:rPr>
                <w:rFonts w:hint="eastAsia"/>
                <w:color w:val="000000" w:themeColor="text1"/>
                <w:sz w:val="24"/>
                <w:szCs w:val="24"/>
                <w:highlight w:val="none"/>
                <w:lang w:eastAsia="zh-CN"/>
                <w14:textFill>
                  <w14:solidFill>
                    <w14:schemeClr w14:val="tx1"/>
                  </w14:solidFill>
                </w14:textFill>
              </w:rPr>
            </w:pPr>
            <w:r>
              <w:rPr>
                <w:rFonts w:hint="default"/>
                <w:color w:val="000000" w:themeColor="text1"/>
                <w:sz w:val="24"/>
                <w:szCs w:val="24"/>
                <w:highlight w:val="none"/>
                <w14:textFill>
                  <w14:solidFill>
                    <w14:schemeClr w14:val="tx1"/>
                  </w14:solidFill>
                </w14:textFill>
              </w:rPr>
              <w:t>根据《建设项目环境影响报告表编制技术指南（污染影响类）（试行）》排放国家、地方环境空气质量标准中有标准限值要求的特征污染物时，引用建设项目周边5千米范围内近3年的现有监测数据，无相关数据的选择当季主导风向下风向1个点位补充不少于3天的监测数据。本项目运营期特征污染物是非甲烷总烃</w:t>
            </w:r>
            <w:r>
              <w:rPr>
                <w:rFonts w:hint="eastAsia"/>
                <w:color w:val="000000" w:themeColor="text1"/>
                <w:sz w:val="24"/>
                <w:szCs w:val="24"/>
                <w:highlight w:val="none"/>
                <w:lang w:eastAsia="zh-CN"/>
                <w14:textFill>
                  <w14:solidFill>
                    <w14:schemeClr w14:val="tx1"/>
                  </w14:solidFill>
                </w14:textFill>
              </w:rPr>
              <w:t>。</w:t>
            </w:r>
          </w:p>
          <w:p>
            <w:pPr>
              <w:adjustRightInd w:val="0"/>
              <w:snapToGrid w:val="0"/>
              <w:jc w:val="left"/>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非甲烷总烃引用《鄂尔多斯蒙苏经济开发区国土空间规划-圣园煤化工产业园环境影响报告书》中的环境空气监测数据，引用点位为榆树湾，位于本项目北侧1.89km处，引用数据监测时间为</w:t>
            </w:r>
            <w:r>
              <w:rPr>
                <w:rFonts w:ascii="Times New Roman" w:hAnsi="Times New Roman" w:eastAsia="宋体" w:cs="Times New Roman"/>
                <w:color w:val="000000" w:themeColor="text1"/>
                <w:sz w:val="24"/>
                <w:szCs w:val="24"/>
                <w14:textFill>
                  <w14:solidFill>
                    <w14:schemeClr w14:val="tx1"/>
                  </w14:solidFill>
                </w14:textFill>
              </w:rPr>
              <w:t>采样时间为2023年10月25日至10月31日。</w:t>
            </w:r>
            <w:r>
              <w:rPr>
                <w:rFonts w:hint="eastAsia"/>
                <w:color w:val="000000" w:themeColor="text1"/>
                <w:highlight w:val="none"/>
                <w:lang w:val="en-US" w:eastAsia="zh-CN"/>
                <w14:textFill>
                  <w14:solidFill>
                    <w14:schemeClr w14:val="tx1"/>
                  </w14:solidFill>
                </w14:textFill>
              </w:rPr>
              <w:t>数据结果如下。</w:t>
            </w:r>
          </w:p>
          <w:p>
            <w:pPr>
              <w:adjustRightInd w:val="0"/>
              <w:snapToGrid w:val="0"/>
              <w:ind w:left="0" w:leftChars="0" w:firstLine="0" w:firstLineChars="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表3-1 环境空气监测结果</w:t>
            </w:r>
          </w:p>
          <w:tbl>
            <w:tblPr>
              <w:tblStyle w:val="27"/>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06"/>
              <w:gridCol w:w="1146"/>
              <w:gridCol w:w="1154"/>
              <w:gridCol w:w="947"/>
              <w:gridCol w:w="1437"/>
              <w:gridCol w:w="996"/>
              <w:gridCol w:w="790"/>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1306"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监测点名称</w:t>
                  </w:r>
                </w:p>
              </w:tc>
              <w:tc>
                <w:tcPr>
                  <w:tcW w:w="1146"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监测因子</w:t>
                  </w:r>
                </w:p>
              </w:tc>
              <w:tc>
                <w:tcPr>
                  <w:tcW w:w="1154"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平均时间</w:t>
                  </w:r>
                </w:p>
              </w:tc>
              <w:tc>
                <w:tcPr>
                  <w:tcW w:w="947"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评价标准(μg/m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437"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监测浓度范围</w:t>
                  </w:r>
                </w:p>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14:textFill>
                        <w14:solidFill>
                          <w14:schemeClr w14:val="tx1"/>
                        </w14:solidFill>
                      </w14:textFill>
                    </w:rPr>
                    <w:t>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996"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最大浓度占标率(%)</w:t>
                  </w:r>
                </w:p>
              </w:tc>
              <w:tc>
                <w:tcPr>
                  <w:tcW w:w="790"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超标率</w:t>
                  </w:r>
                </w:p>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660"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p>
                  <w:pPr>
                    <w:keepNext w:val="0"/>
                    <w:keepLines w:val="0"/>
                    <w:pageBreakBefore w:val="0"/>
                    <w:widowControl w:val="0"/>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06" w:type="dxa"/>
                  <w:tcBorders>
                    <w:top w:val="single" w:color="auto" w:sz="4" w:space="0"/>
                    <w:left w:val="single" w:color="auto" w:sz="4" w:space="0"/>
                    <w:right w:val="single" w:color="auto" w:sz="4" w:space="0"/>
                  </w:tcBorders>
                  <w:noWrap w:val="0"/>
                  <w:vAlign w:val="center"/>
                </w:tcPr>
                <w:p>
                  <w:pPr>
                    <w:keepNext w:val="0"/>
                    <w:keepLines w:val="0"/>
                    <w:pageBreakBefore w:val="0"/>
                    <w:widowControl w:val="0"/>
                    <w:tabs>
                      <w:tab w:val="left" w:pos="3580"/>
                    </w:tabs>
                    <w:kinsoku/>
                    <w:wordWrap/>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榆树湾</w:t>
                  </w:r>
                </w:p>
              </w:tc>
              <w:tc>
                <w:tcPr>
                  <w:tcW w:w="11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left" w:pos="3580"/>
                    </w:tabs>
                    <w:kinsoku/>
                    <w:wordWrap/>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非甲烷总烃</w:t>
                  </w:r>
                </w:p>
              </w:tc>
              <w:tc>
                <w:tcPr>
                  <w:tcW w:w="11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left" w:pos="3580"/>
                    </w:tabs>
                    <w:kinsoku/>
                    <w:wordWrap/>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1h平均</w:t>
                  </w:r>
                </w:p>
              </w:tc>
              <w:tc>
                <w:tcPr>
                  <w:tcW w:w="9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left" w:pos="3580"/>
                    </w:tabs>
                    <w:kinsoku/>
                    <w:wordWrap/>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2000</w:t>
                  </w:r>
                </w:p>
              </w:tc>
              <w:tc>
                <w:tcPr>
                  <w:tcW w:w="14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left" w:pos="3580"/>
                    </w:tabs>
                    <w:kinsoku/>
                    <w:wordWrap/>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0.53~0.77</w:t>
                  </w:r>
                </w:p>
              </w:tc>
              <w:tc>
                <w:tcPr>
                  <w:tcW w:w="99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left" w:pos="3580"/>
                    </w:tabs>
                    <w:kinsoku/>
                    <w:wordWrap/>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38</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79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left" w:pos="3580"/>
                    </w:tabs>
                    <w:kinsoku/>
                    <w:wordWrap/>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w:t>
                  </w:r>
                </w:p>
              </w:tc>
              <w:tc>
                <w:tcPr>
                  <w:tcW w:w="6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left" w:pos="3580"/>
                    </w:tabs>
                    <w:kinsoku/>
                    <w:wordWrap/>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bl>
          <w:p>
            <w:pPr>
              <w:adjustRightInd w:val="0"/>
              <w:snapToGrid w:val="0"/>
              <w:jc w:val="left"/>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根据检测结果显示，本项目厂址下风向非甲烷总烃1h浓度平均值满足《大气污染物综合排放标准详解》（国家环境保护局科技标准司）标准限值，项目区域大气环境质量良好。</w:t>
            </w:r>
          </w:p>
          <w:p>
            <w:pPr>
              <w:adjustRightInd w:val="0"/>
              <w:snapToGrid w:val="0"/>
              <w:jc w:val="left"/>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t>2、声环境质量现状</w:t>
            </w:r>
          </w:p>
          <w:p>
            <w:pPr>
              <w:adjustRightInd w:val="0"/>
              <w:snapToGrid w:val="0"/>
              <w:jc w:val="left"/>
              <w:rPr>
                <w:rFonts w:hint="default" w:ascii="Times New Roman" w:hAnsi="Times New Roman"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根据《建设项目环境影响报告表编制技术指南（污染影响类）（试行）》，厂界外周边50米范围内存在声环境保护目标的建设项目，应监测保护目标声环境质量现状并评价达标情况。根据现场踏勘本项目厂界范围50米范围内无声环境保护目标，因此本次不对声环境质量现状进行评价。</w:t>
            </w:r>
          </w:p>
          <w:p>
            <w:pPr>
              <w:adjustRightInd w:val="0"/>
              <w:snapToGrid w:val="0"/>
              <w:jc w:val="left"/>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t>3、地下水环境质量现状</w:t>
            </w:r>
          </w:p>
          <w:p>
            <w:pPr>
              <w:bidi w:val="0"/>
              <w:rPr>
                <w:rFonts w:hint="default" w:ascii="宋体" w:hAnsi="宋体" w:eastAsia="宋体"/>
                <w:color w:val="000000" w:themeColor="text1"/>
                <w:sz w:val="24"/>
                <w:szCs w:val="24"/>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本次评价引用</w:t>
            </w:r>
            <w:r>
              <w:rPr>
                <w:rFonts w:hint="eastAsia"/>
                <w:color w:val="000000" w:themeColor="text1"/>
                <w:lang w:eastAsia="zh-CN"/>
                <w14:textFill>
                  <w14:solidFill>
                    <w14:schemeClr w14:val="tx1"/>
                  </w14:solidFill>
                </w14:textFill>
              </w:rPr>
              <w:t>《鄂尔多斯市汇金达清洁溶剂油有限公司地下水检测》（</w:t>
            </w:r>
            <w:r>
              <w:rPr>
                <w:rFonts w:hint="eastAsia"/>
                <w:color w:val="000000" w:themeColor="text1"/>
                <w:lang w:val="en-US" w:eastAsia="zh-CN"/>
                <w14:textFill>
                  <w14:solidFill>
                    <w14:schemeClr w14:val="tx1"/>
                  </w14:solidFill>
                </w14:textFill>
              </w:rPr>
              <w:t>详见附件6</w:t>
            </w:r>
            <w:r>
              <w:rPr>
                <w:rFonts w:hint="eastAsia"/>
                <w:color w:val="000000" w:themeColor="text1"/>
                <w:lang w:eastAsia="zh-CN"/>
                <w14:textFill>
                  <w14:solidFill>
                    <w14:schemeClr w14:val="tx1"/>
                  </w14:solidFill>
                </w14:textFill>
              </w:rPr>
              <w:t>），</w:t>
            </w:r>
            <w:r>
              <w:rPr>
                <w:rFonts w:hint="eastAsia" w:ascii="宋体" w:hAnsi="宋体"/>
                <w:color w:val="000000" w:themeColor="text1"/>
                <w:sz w:val="24"/>
                <w:szCs w:val="24"/>
                <w:lang w:val="en-US" w:eastAsia="zh-CN"/>
                <w14:textFill>
                  <w14:solidFill>
                    <w14:schemeClr w14:val="tx1"/>
                  </w14:solidFill>
                </w14:textFill>
              </w:rPr>
              <w:t>内蒙古蒙际环境检测有限公司于2025年08月28日对该区域进行了</w:t>
            </w:r>
            <w:r>
              <w:rPr>
                <w:rFonts w:hint="default" w:ascii="Times New Roman" w:hAnsi="Times New Roman" w:eastAsia="宋体" w:cs="Times New Roman"/>
                <w:color w:val="000000" w:themeColor="text1"/>
                <w:sz w:val="24"/>
                <w:szCs w:val="24"/>
                <w14:textFill>
                  <w14:solidFill>
                    <w14:schemeClr w14:val="tx1"/>
                  </w14:solidFill>
                </w14:textFill>
              </w:rPr>
              <w:t>地下水监测。</w:t>
            </w:r>
            <w:r>
              <w:rPr>
                <w:rFonts w:hint="eastAsia" w:cs="Times New Roman"/>
                <w:color w:val="000000" w:themeColor="text1"/>
                <w:sz w:val="24"/>
                <w:szCs w:val="24"/>
                <w:lang w:val="en-US" w:eastAsia="zh-CN"/>
                <w14:textFill>
                  <w14:solidFill>
                    <w14:schemeClr w14:val="tx1"/>
                  </w14:solidFill>
                </w14:textFill>
              </w:rPr>
              <w:t>部分</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监测点位情况见表3-2，引用点位布点图见图3-1。监测结果见表3-3。</w:t>
            </w:r>
          </w:p>
          <w:p>
            <w:pPr>
              <w:bidi w:val="0"/>
              <w:rPr>
                <w:rFonts w:hint="default" w:ascii="宋体" w:hAnsi="宋体"/>
                <w:color w:val="000000" w:themeColor="text1"/>
                <w:sz w:val="24"/>
                <w:szCs w:val="24"/>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监测因子：氨氮、溶解性总固体、硫酸盐、氯化物、锰、*钠、*色度、高锰酸盐指数、铝、硝酸盐氮、挥发酚、苯、甲苯、乙苯、对二甲苯、邻二甲苯、间二甲苯、苯乙烯、总硬度、1,2-二氯丙烷、*石油烃(C</w:t>
            </w:r>
            <w:r>
              <w:rPr>
                <w:rFonts w:hint="default" w:ascii="Times New Roman" w:hAnsi="Times New Roman" w:cs="Times New Roman"/>
                <w:color w:val="000000" w:themeColor="text1"/>
                <w:sz w:val="24"/>
                <w:szCs w:val="24"/>
                <w:vertAlign w:val="subscript"/>
                <w:lang w:val="en-US" w:eastAsia="zh-CN"/>
                <w14:textFill>
                  <w14:solidFill>
                    <w14:schemeClr w14:val="tx1"/>
                  </w14:solidFill>
                </w14:textFill>
              </w:rPr>
              <w:t>10~40</w:t>
            </w:r>
            <w:r>
              <w:rPr>
                <w:rFonts w:hint="eastAsia" w:ascii="宋体" w:hAnsi="宋体"/>
                <w:color w:val="000000" w:themeColor="text1"/>
                <w:sz w:val="24"/>
                <w:szCs w:val="24"/>
                <w:lang w:val="en-US" w:eastAsia="zh-CN"/>
                <w14:textFill>
                  <w14:solidFill>
                    <w14:schemeClr w14:val="tx1"/>
                  </w14:solidFill>
                </w14:textFill>
              </w:rPr>
              <w:t>)、苯并[a]蒽、二苯并a,h蒽</w:t>
            </w:r>
            <w:r>
              <w:rPr>
                <w:rFonts w:hint="default" w:ascii="Times New Roman" w:hAnsi="Times New Roman" w:eastAsia="宋体" w:cs="Times New Roman"/>
                <w:color w:val="000000" w:themeColor="text1"/>
                <w:sz w:val="24"/>
                <w:lang w:bidi="ar"/>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40" w:lineRule="exact"/>
              <w:ind w:firstLine="481" w:firstLineChars="200"/>
              <w:jc w:val="center"/>
              <w:textAlignment w:val="auto"/>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w:t>
            </w:r>
            <w:r>
              <w:rPr>
                <w:rFonts w:hint="eastAsia" w:ascii="Times New Roman" w:hAnsi="Times New Roman" w:eastAsia="宋体" w:cs="Times New Roman"/>
                <w:b/>
                <w:color w:val="000000" w:themeColor="text1"/>
                <w:sz w:val="24"/>
                <w:lang w:val="en-US" w:eastAsia="zh-CN"/>
                <w14:textFill>
                  <w14:solidFill>
                    <w14:schemeClr w14:val="tx1"/>
                  </w14:solidFill>
                </w14:textFill>
              </w:rPr>
              <w:t>3-2</w:t>
            </w:r>
            <w:r>
              <w:rPr>
                <w:rFonts w:hint="default" w:ascii="Times New Roman" w:hAnsi="Times New Roman" w:eastAsia="宋体" w:cs="Times New Roman"/>
                <w:b/>
                <w:color w:val="000000" w:themeColor="text1"/>
                <w:sz w:val="24"/>
                <w14:textFill>
                  <w14:solidFill>
                    <w14:schemeClr w14:val="tx1"/>
                  </w14:solidFill>
                </w14:textFill>
              </w:rPr>
              <w:t xml:space="preserve">  地下水</w:t>
            </w:r>
            <w:r>
              <w:rPr>
                <w:rFonts w:hint="eastAsia" w:cs="Times New Roman"/>
                <w:b/>
                <w:color w:val="000000" w:themeColor="text1"/>
                <w:sz w:val="24"/>
                <w:lang w:val="en-US" w:eastAsia="zh-CN"/>
                <w14:textFill>
                  <w14:solidFill>
                    <w14:schemeClr w14:val="tx1"/>
                  </w14:solidFill>
                </w14:textFill>
              </w:rPr>
              <w:t>引用</w:t>
            </w:r>
            <w:r>
              <w:rPr>
                <w:rFonts w:hint="default" w:ascii="Times New Roman" w:hAnsi="Times New Roman" w:eastAsia="宋体" w:cs="Times New Roman"/>
                <w:b/>
                <w:color w:val="000000" w:themeColor="text1"/>
                <w:sz w:val="24"/>
                <w14:textFill>
                  <w14:solidFill>
                    <w14:schemeClr w14:val="tx1"/>
                  </w14:solidFill>
                </w14:textFill>
              </w:rPr>
              <w:t>监测点一览表</w:t>
            </w:r>
          </w:p>
          <w:tbl>
            <w:tblPr>
              <w:tblStyle w:val="27"/>
              <w:tblW w:w="87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1235"/>
              <w:gridCol w:w="1660"/>
              <w:gridCol w:w="1395"/>
              <w:gridCol w:w="1396"/>
              <w:gridCol w:w="955"/>
              <w:gridCol w:w="11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6" w:hRule="atLeast"/>
                <w:tblHeader/>
                <w:jc w:val="center"/>
              </w:trPr>
              <w:tc>
                <w:tcPr>
                  <w:tcW w:w="924"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t>序号</w:t>
                  </w:r>
                </w:p>
              </w:tc>
              <w:tc>
                <w:tcPr>
                  <w:tcW w:w="123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b/>
                      <w:bCs/>
                      <w:color w:val="000000" w:themeColor="text1"/>
                      <w:position w:val="-10"/>
                      <w:sz w:val="21"/>
                      <w:szCs w:val="21"/>
                      <w:highlight w:val="none"/>
                      <w:lang w:val="en-US" w:eastAsia="zh-CN"/>
                      <w14:textFill>
                        <w14:solidFill>
                          <w14:schemeClr w14:val="tx1"/>
                        </w14:solidFill>
                      </w14:textFill>
                    </w:rPr>
                    <w:t>点位名称</w:t>
                  </w:r>
                </w:p>
              </w:tc>
              <w:tc>
                <w:tcPr>
                  <w:tcW w:w="166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20" w:leftChars="-50" w:right="-120" w:rightChars="-50" w:firstLine="0" w:firstLineChars="0"/>
                    <w:jc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t>位置</w:t>
                  </w:r>
                </w:p>
              </w:tc>
              <w:tc>
                <w:tcPr>
                  <w:tcW w:w="139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ascii="宋体" w:hAnsi="宋体" w:eastAsia="宋体" w:cs="宋体"/>
                      <w:b/>
                      <w:bCs/>
                      <w:i w:val="0"/>
                      <w:iCs w:val="0"/>
                      <w:color w:val="000000" w:themeColor="text1"/>
                      <w:kern w:val="0"/>
                      <w:sz w:val="22"/>
                      <w:szCs w:val="22"/>
                      <w:u w:val="none"/>
                      <w:lang w:val="en-US" w:eastAsia="zh-CN" w:bidi="ar"/>
                      <w14:textFill>
                        <w14:solidFill>
                          <w14:schemeClr w14:val="tx1"/>
                        </w14:solidFill>
                      </w14:textFill>
                    </w:rPr>
                    <w:t>井深（</w:t>
                  </w:r>
                  <w:r>
                    <w:rPr>
                      <w:rFonts w:hint="default" w:ascii="Times New Roman" w:hAnsi="Times New Roman" w:eastAsia="宋体" w:cs="Times New Roman"/>
                      <w:b/>
                      <w:bCs/>
                      <w:i w:val="0"/>
                      <w:iCs w:val="0"/>
                      <w:color w:val="000000" w:themeColor="text1"/>
                      <w:kern w:val="0"/>
                      <w:sz w:val="22"/>
                      <w:szCs w:val="22"/>
                      <w:u w:val="none"/>
                      <w:lang w:val="en-US" w:eastAsia="zh-CN" w:bidi="ar"/>
                      <w14:textFill>
                        <w14:solidFill>
                          <w14:schemeClr w14:val="tx1"/>
                        </w14:solidFill>
                      </w14:textFill>
                    </w:rPr>
                    <w:t>m</w:t>
                  </w:r>
                  <w:r>
                    <w:rPr>
                      <w:rFonts w:hint="eastAsia" w:ascii="宋体" w:hAnsi="宋体" w:eastAsia="宋体" w:cs="宋体"/>
                      <w:b/>
                      <w:bCs/>
                      <w:i w:val="0"/>
                      <w:iCs w:val="0"/>
                      <w:color w:val="000000" w:themeColor="text1"/>
                      <w:kern w:val="0"/>
                      <w:sz w:val="22"/>
                      <w:szCs w:val="22"/>
                      <w:u w:val="none"/>
                      <w:lang w:val="en-US" w:eastAsia="zh-CN" w:bidi="ar"/>
                      <w14:textFill>
                        <w14:solidFill>
                          <w14:schemeClr w14:val="tx1"/>
                        </w14:solidFill>
                      </w14:textFill>
                    </w:rPr>
                    <w:t>）</w:t>
                  </w:r>
                </w:p>
              </w:tc>
              <w:tc>
                <w:tcPr>
                  <w:tcW w:w="139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ascii="宋体" w:hAnsi="宋体" w:eastAsia="宋体" w:cs="宋体"/>
                      <w:b/>
                      <w:bCs/>
                      <w:i w:val="0"/>
                      <w:iCs w:val="0"/>
                      <w:color w:val="000000" w:themeColor="text1"/>
                      <w:kern w:val="0"/>
                      <w:sz w:val="22"/>
                      <w:szCs w:val="22"/>
                      <w:u w:val="none"/>
                      <w:lang w:val="en-US" w:eastAsia="zh-CN" w:bidi="ar"/>
                      <w14:textFill>
                        <w14:solidFill>
                          <w14:schemeClr w14:val="tx1"/>
                        </w14:solidFill>
                      </w14:textFill>
                    </w:rPr>
                    <w:t>水位埋深（</w:t>
                  </w:r>
                  <w:r>
                    <w:rPr>
                      <w:rFonts w:hint="default" w:ascii="Times New Roman" w:hAnsi="Times New Roman" w:eastAsia="宋体" w:cs="Times New Roman"/>
                      <w:b/>
                      <w:bCs/>
                      <w:i w:val="0"/>
                      <w:iCs w:val="0"/>
                      <w:color w:val="000000" w:themeColor="text1"/>
                      <w:kern w:val="0"/>
                      <w:sz w:val="22"/>
                      <w:szCs w:val="22"/>
                      <w:u w:val="none"/>
                      <w:lang w:val="en-US" w:eastAsia="zh-CN" w:bidi="ar"/>
                      <w14:textFill>
                        <w14:solidFill>
                          <w14:schemeClr w14:val="tx1"/>
                        </w14:solidFill>
                      </w14:textFill>
                    </w:rPr>
                    <w:t>m</w:t>
                  </w:r>
                  <w:r>
                    <w:rPr>
                      <w:rFonts w:hint="eastAsia" w:ascii="宋体" w:hAnsi="宋体" w:eastAsia="宋体" w:cs="宋体"/>
                      <w:b/>
                      <w:bCs/>
                      <w:i w:val="0"/>
                      <w:iCs w:val="0"/>
                      <w:color w:val="000000" w:themeColor="text1"/>
                      <w:kern w:val="0"/>
                      <w:sz w:val="22"/>
                      <w:szCs w:val="22"/>
                      <w:u w:val="none"/>
                      <w:lang w:val="en-US" w:eastAsia="zh-CN" w:bidi="ar"/>
                      <w14:textFill>
                        <w14:solidFill>
                          <w14:schemeClr w14:val="tx1"/>
                        </w14:solidFill>
                      </w14:textFill>
                    </w:rPr>
                    <w:t>）</w:t>
                  </w:r>
                </w:p>
              </w:tc>
              <w:tc>
                <w:tcPr>
                  <w:tcW w:w="95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t>水井功能</w:t>
                  </w:r>
                </w:p>
              </w:tc>
              <w:tc>
                <w:tcPr>
                  <w:tcW w:w="1171"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cs="Times New Roman" w:eastAsiaTheme="minorEastAsia"/>
                      <w:b/>
                      <w:bCs/>
                      <w:color w:val="000000" w:themeColor="text1"/>
                      <w:position w:val="-10"/>
                      <w:sz w:val="21"/>
                      <w:szCs w:val="21"/>
                      <w:highlight w:val="none"/>
                      <w:lang w:val="en-US" w:eastAsia="zh-CN"/>
                      <w14:textFill>
                        <w14:solidFill>
                          <w14:schemeClr w14:val="tx1"/>
                        </w14:solidFill>
                      </w14:textFill>
                    </w:rPr>
                    <w:t>与项目位置关系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924"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1</w:t>
                  </w:r>
                </w:p>
              </w:tc>
              <w:tc>
                <w:tcPr>
                  <w:tcW w:w="123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CS1</w:t>
                  </w:r>
                </w:p>
              </w:tc>
              <w:tc>
                <w:tcPr>
                  <w:tcW w:w="166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E110.390447°、W39.349006°</w:t>
                  </w:r>
                </w:p>
              </w:tc>
              <w:tc>
                <w:tcPr>
                  <w:tcW w:w="139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25.1</w:t>
                  </w:r>
                </w:p>
              </w:tc>
              <w:tc>
                <w:tcPr>
                  <w:tcW w:w="139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8.71</w:t>
                  </w:r>
                </w:p>
              </w:tc>
              <w:tc>
                <w:tcPr>
                  <w:tcW w:w="9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监控井</w:t>
                  </w:r>
                </w:p>
              </w:tc>
              <w:tc>
                <w:tcPr>
                  <w:tcW w:w="117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cs="Times New Roman" w:eastAsiaTheme="minorEastAsia"/>
                      <w:b w:val="0"/>
                      <w:bCs w:val="0"/>
                      <w:color w:val="000000" w:themeColor="text1"/>
                      <w:position w:val="-6"/>
                      <w:sz w:val="21"/>
                      <w:szCs w:val="21"/>
                      <w:highlight w:val="none"/>
                      <w:lang w:val="en-US" w:eastAsia="zh-CN"/>
                      <w14:textFill>
                        <w14:solidFill>
                          <w14:schemeClr w14:val="tx1"/>
                        </w14:solidFill>
                      </w14:textFill>
                    </w:rPr>
                    <w:t>项目厂界南侧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924"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2</w:t>
                  </w:r>
                </w:p>
              </w:tc>
              <w:tc>
                <w:tcPr>
                  <w:tcW w:w="123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 xml:space="preserve">CS2  </w:t>
                  </w:r>
                </w:p>
              </w:tc>
              <w:tc>
                <w:tcPr>
                  <w:tcW w:w="166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E110.390796°、W39.349043°</w:t>
                  </w:r>
                </w:p>
              </w:tc>
              <w:tc>
                <w:tcPr>
                  <w:tcW w:w="139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25.2</w:t>
                  </w:r>
                </w:p>
              </w:tc>
              <w:tc>
                <w:tcPr>
                  <w:tcW w:w="139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8.9</w:t>
                  </w:r>
                </w:p>
              </w:tc>
              <w:tc>
                <w:tcPr>
                  <w:tcW w:w="9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监控井</w:t>
                  </w:r>
                </w:p>
              </w:tc>
              <w:tc>
                <w:tcPr>
                  <w:tcW w:w="117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cs="Times New Roman" w:eastAsiaTheme="minorEastAsia"/>
                      <w:b w:val="0"/>
                      <w:bCs w:val="0"/>
                      <w:color w:val="000000" w:themeColor="text1"/>
                      <w:position w:val="-6"/>
                      <w:sz w:val="21"/>
                      <w:szCs w:val="21"/>
                      <w:highlight w:val="none"/>
                      <w:lang w:val="en-US" w:eastAsia="zh-CN"/>
                      <w14:textFill>
                        <w14:solidFill>
                          <w14:schemeClr w14:val="tx1"/>
                        </w14:solidFill>
                      </w14:textFill>
                    </w:rPr>
                    <w:t>项目厂界南侧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924"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3</w:t>
                  </w:r>
                </w:p>
              </w:tc>
              <w:tc>
                <w:tcPr>
                  <w:tcW w:w="123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val="0"/>
                      <w:bCs w:val="0"/>
                      <w:color w:val="000000" w:themeColor="text1"/>
                      <w:position w:val="-6"/>
                      <w:sz w:val="21"/>
                      <w:szCs w:val="21"/>
                      <w:highlight w:val="yellow"/>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 xml:space="preserve">W14 </w:t>
                  </w:r>
                </w:p>
              </w:tc>
              <w:tc>
                <w:tcPr>
                  <w:tcW w:w="166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E110.389980°、W39.350243°</w:t>
                  </w:r>
                </w:p>
              </w:tc>
              <w:tc>
                <w:tcPr>
                  <w:tcW w:w="139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25</w:t>
                  </w:r>
                </w:p>
              </w:tc>
              <w:tc>
                <w:tcPr>
                  <w:tcW w:w="139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7</w:t>
                  </w:r>
                </w:p>
              </w:tc>
              <w:tc>
                <w:tcPr>
                  <w:tcW w:w="9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监控井</w:t>
                  </w:r>
                </w:p>
              </w:tc>
              <w:tc>
                <w:tcPr>
                  <w:tcW w:w="117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cs="Times New Roman" w:eastAsiaTheme="minorEastAsia"/>
                      <w:b w:val="0"/>
                      <w:bCs w:val="0"/>
                      <w:color w:val="000000" w:themeColor="text1"/>
                      <w:position w:val="-6"/>
                      <w:sz w:val="21"/>
                      <w:szCs w:val="21"/>
                      <w:highlight w:val="none"/>
                      <w:lang w:val="en-US" w:eastAsia="zh-CN"/>
                      <w14:textFill>
                        <w14:solidFill>
                          <w14:schemeClr w14:val="tx1"/>
                        </w14:solidFill>
                      </w14:textFill>
                    </w:rPr>
                    <w:t>项目罐区一南侧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924"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4</w:t>
                  </w:r>
                </w:p>
              </w:tc>
              <w:tc>
                <w:tcPr>
                  <w:tcW w:w="123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val="0"/>
                      <w:bCs w:val="0"/>
                      <w:color w:val="000000" w:themeColor="text1"/>
                      <w:position w:val="-6"/>
                      <w:sz w:val="21"/>
                      <w:szCs w:val="21"/>
                      <w:highlight w:val="yellow"/>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W31</w:t>
                  </w:r>
                </w:p>
              </w:tc>
              <w:tc>
                <w:tcPr>
                  <w:tcW w:w="166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E110.390726°、W39.350886°</w:t>
                  </w:r>
                </w:p>
              </w:tc>
              <w:tc>
                <w:tcPr>
                  <w:tcW w:w="139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25</w:t>
                  </w:r>
                </w:p>
              </w:tc>
              <w:tc>
                <w:tcPr>
                  <w:tcW w:w="139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6.9</w:t>
                  </w:r>
                </w:p>
              </w:tc>
              <w:tc>
                <w:tcPr>
                  <w:tcW w:w="9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监控井</w:t>
                  </w:r>
                </w:p>
              </w:tc>
              <w:tc>
                <w:tcPr>
                  <w:tcW w:w="117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cs="Times New Roman" w:eastAsiaTheme="minorEastAsia"/>
                      <w:b w:val="0"/>
                      <w:bCs w:val="0"/>
                      <w:color w:val="000000" w:themeColor="text1"/>
                      <w:position w:val="-6"/>
                      <w:sz w:val="21"/>
                      <w:szCs w:val="21"/>
                      <w:highlight w:val="none"/>
                      <w:lang w:val="en-US" w:eastAsia="zh-CN"/>
                      <w14:textFill>
                        <w14:solidFill>
                          <w14:schemeClr w14:val="tx1"/>
                        </w14:solidFill>
                      </w14:textFill>
                    </w:rPr>
                    <w:t>项目罐区东侧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0" w:hRule="atLeast"/>
                <w:jc w:val="center"/>
              </w:trPr>
              <w:tc>
                <w:tcPr>
                  <w:tcW w:w="924"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5</w:t>
                  </w:r>
                </w:p>
              </w:tc>
              <w:tc>
                <w:tcPr>
                  <w:tcW w:w="123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 xml:space="preserve">W28  </w:t>
                  </w:r>
                </w:p>
              </w:tc>
              <w:tc>
                <w:tcPr>
                  <w:tcW w:w="166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120" w:leftChars="-50" w:right="-120" w:rightChars="-50" w:firstLine="0" w:firstLineChars="0"/>
                    <w:jc w:val="center"/>
                    <w:textAlignment w:val="center"/>
                    <w:rPr>
                      <w:rFonts w:hint="default"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E110.391371°、W39.351505°</w:t>
                  </w:r>
                </w:p>
              </w:tc>
              <w:tc>
                <w:tcPr>
                  <w:tcW w:w="139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25</w:t>
                  </w:r>
                </w:p>
              </w:tc>
              <w:tc>
                <w:tcPr>
                  <w:tcW w:w="139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9</w:t>
                  </w:r>
                </w:p>
              </w:tc>
              <w:tc>
                <w:tcPr>
                  <w:tcW w:w="9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t>监控井</w:t>
                  </w:r>
                </w:p>
              </w:tc>
              <w:tc>
                <w:tcPr>
                  <w:tcW w:w="117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eastAsiaTheme="minorEastAsia"/>
                      <w:b w:val="0"/>
                      <w:bCs w:val="0"/>
                      <w:color w:val="000000" w:themeColor="text1"/>
                      <w:position w:val="-6"/>
                      <w:sz w:val="21"/>
                      <w:szCs w:val="21"/>
                      <w:highlight w:val="none"/>
                      <w:lang w:val="en-US" w:eastAsia="zh-CN"/>
                      <w14:textFill>
                        <w14:solidFill>
                          <w14:schemeClr w14:val="tx1"/>
                        </w14:solidFill>
                      </w14:textFill>
                    </w:rPr>
                  </w:pPr>
                  <w:r>
                    <w:rPr>
                      <w:rFonts w:hint="eastAsia" w:cs="Times New Roman" w:eastAsiaTheme="minorEastAsia"/>
                      <w:b w:val="0"/>
                      <w:bCs w:val="0"/>
                      <w:color w:val="000000" w:themeColor="text1"/>
                      <w:position w:val="-6"/>
                      <w:sz w:val="21"/>
                      <w:szCs w:val="21"/>
                      <w:highlight w:val="none"/>
                      <w:lang w:val="en-US" w:eastAsia="zh-CN"/>
                      <w14:textFill>
                        <w14:solidFill>
                          <w14:schemeClr w14:val="tx1"/>
                        </w14:solidFill>
                      </w14:textFill>
                    </w:rPr>
                    <w:t>项目罐区东侧</w:t>
                  </w:r>
                </w:p>
              </w:tc>
            </w:tr>
          </w:tbl>
          <w:p>
            <w:pPr>
              <w:bidi w:val="0"/>
              <w:ind w:left="0" w:leftChars="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41900" cy="3006725"/>
                  <wp:effectExtent l="0" t="0" r="6350" b="3175"/>
                  <wp:docPr id="25"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true"/>
                          </pic:cNvPicPr>
                        </pic:nvPicPr>
                        <pic:blipFill>
                          <a:blip r:embed="rId57"/>
                          <a:stretch>
                            <a:fillRect/>
                          </a:stretch>
                        </pic:blipFill>
                        <pic:spPr>
                          <a:xfrm>
                            <a:off x="0" y="0"/>
                            <a:ext cx="5041900" cy="3006725"/>
                          </a:xfrm>
                          <a:prstGeom prst="rect">
                            <a:avLst/>
                          </a:prstGeom>
                          <a:noFill/>
                          <a:ln>
                            <a:noFill/>
                          </a:ln>
                        </pic:spPr>
                      </pic:pic>
                    </a:graphicData>
                  </a:graphic>
                </wp:inline>
              </w:drawing>
            </w:r>
          </w:p>
          <w:p>
            <w:pPr>
              <w:bidi w:val="0"/>
              <w:ind w:left="0" w:leftChars="0" w:firstLine="0" w:firstLineChars="0"/>
              <w:jc w:val="center"/>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图3-1 引用数据地下水布点图</w:t>
            </w:r>
          </w:p>
          <w:p>
            <w:pPr>
              <w:spacing w:line="440" w:lineRule="exact"/>
              <w:ind w:firstLine="482"/>
              <w:jc w:val="center"/>
              <w:rPr>
                <w:rFonts w:hint="default" w:ascii="Times New Roman" w:hAnsi="Times New Roman" w:eastAsia="宋体" w:cs="Times New Roman"/>
                <w:b/>
                <w:color w:val="000000" w:themeColor="text1"/>
                <w:sz w:val="24"/>
                <w:lang w:val="en-US" w:eastAsia="zh-CN"/>
                <w14:textFill>
                  <w14:solidFill>
                    <w14:schemeClr w14:val="tx1"/>
                  </w14:solidFill>
                </w14:textFill>
              </w:rPr>
            </w:pPr>
            <w:r>
              <w:rPr>
                <w:rFonts w:hint="eastAsia" w:cs="Times New Roman"/>
                <w:b/>
                <w:color w:val="000000" w:themeColor="text1"/>
                <w:sz w:val="24"/>
                <w:lang w:val="en-US" w:eastAsia="zh-CN"/>
                <w14:textFill>
                  <w14:solidFill>
                    <w14:schemeClr w14:val="tx1"/>
                  </w14:solidFill>
                </w14:textFill>
              </w:rPr>
              <w:t>表3-3 地下水监测方法</w:t>
            </w:r>
          </w:p>
          <w:tbl>
            <w:tblPr>
              <w:tblStyle w:val="27"/>
              <w:tblW w:w="89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
              <w:gridCol w:w="1380"/>
              <w:gridCol w:w="3203"/>
              <w:gridCol w:w="2691"/>
              <w:gridCol w:w="1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blHeader/>
                <w:jc w:val="center"/>
              </w:trPr>
              <w:tc>
                <w:tcPr>
                  <w:tcW w:w="606" w:type="dxa"/>
                  <w:noWrap w:val="0"/>
                  <w:vAlign w:val="center"/>
                </w:tcPr>
                <w:p>
                  <w:pPr>
                    <w:keepNext w:val="0"/>
                    <w:keepLines w:val="0"/>
                    <w:pageBreakBefore w:val="0"/>
                    <w:widowControl w:val="0"/>
                    <w:tabs>
                      <w:tab w:val="left" w:pos="946"/>
                      <w:tab w:val="left" w:pos="5595"/>
                    </w:tabs>
                    <w:kinsoku/>
                    <w:wordWrap/>
                    <w:overflowPunct/>
                    <w:topLinePunct w:val="0"/>
                    <w:autoSpaceDE/>
                    <w:autoSpaceDN/>
                    <w:bidi w:val="0"/>
                    <w:adjustRightInd w:val="0"/>
                    <w:snapToGrid w:val="0"/>
                    <w:spacing w:line="240" w:lineRule="auto"/>
                    <w:ind w:left="0" w:right="0" w:rightChars="0" w:firstLine="0" w:firstLineChars="0"/>
                    <w:jc w:val="center"/>
                    <w:textAlignment w:val="auto"/>
                    <w:outlineLvl w:val="9"/>
                    <w:rPr>
                      <w:rFonts w:hint="default" w:ascii="Times New Roman" w:hAnsi="Times New Roman" w:cs="Times New Roman" w:eastAsiaTheme="minorEastAsia"/>
                      <w:b/>
                      <w:bCs/>
                      <w:color w:val="000000" w:themeColor="text1"/>
                      <w:position w:val="-10"/>
                      <w:sz w:val="21"/>
                      <w:szCs w:val="21"/>
                      <w:highlight w:val="none"/>
                      <w:lang w:eastAsia="zh-CN"/>
                      <w14:textFill>
                        <w14:solidFill>
                          <w14:schemeClr w14:val="tx1"/>
                        </w14:solidFill>
                      </w14:textFill>
                    </w:rPr>
                  </w:pPr>
                  <w:r>
                    <w:rPr>
                      <w:rFonts w:hint="default" w:ascii="Times New Roman" w:hAnsi="Times New Roman" w:cs="Times New Roman" w:eastAsiaTheme="minorEastAsia"/>
                      <w:b/>
                      <w:bCs/>
                      <w:color w:val="000000" w:themeColor="text1"/>
                      <w:position w:val="-10"/>
                      <w:sz w:val="21"/>
                      <w:szCs w:val="21"/>
                      <w:highlight w:val="none"/>
                      <w:lang w:eastAsia="zh-CN"/>
                      <w14:textFill>
                        <w14:solidFill>
                          <w14:schemeClr w14:val="tx1"/>
                        </w14:solidFill>
                      </w14:textFill>
                    </w:rPr>
                    <w:t>序号</w:t>
                  </w:r>
                </w:p>
              </w:tc>
              <w:tc>
                <w:tcPr>
                  <w:tcW w:w="1380"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b/>
                      <w:bCs/>
                      <w:color w:val="000000" w:themeColor="text1"/>
                      <w:position w:val="-10"/>
                      <w:sz w:val="21"/>
                      <w:szCs w:val="21"/>
                      <w:highlight w:val="none"/>
                      <w:lang w:eastAsia="zh-CN"/>
                      <w14:textFill>
                        <w14:solidFill>
                          <w14:schemeClr w14:val="tx1"/>
                        </w14:solidFill>
                      </w14:textFill>
                    </w:rPr>
                  </w:pPr>
                  <w:r>
                    <w:rPr>
                      <w:rFonts w:hint="default" w:ascii="Times New Roman" w:hAnsi="Times New Roman" w:cs="Times New Roman" w:eastAsiaTheme="minorEastAsia"/>
                      <w:b/>
                      <w:bCs/>
                      <w:color w:val="000000" w:themeColor="text1"/>
                      <w:position w:val="-10"/>
                      <w:sz w:val="21"/>
                      <w:szCs w:val="21"/>
                      <w:highlight w:val="none"/>
                      <w:lang w:eastAsia="zh-CN"/>
                      <w14:textFill>
                        <w14:solidFill>
                          <w14:schemeClr w14:val="tx1"/>
                        </w14:solidFill>
                      </w14:textFill>
                    </w:rPr>
                    <w:t>分析项目</w:t>
                  </w:r>
                </w:p>
              </w:tc>
              <w:tc>
                <w:tcPr>
                  <w:tcW w:w="320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b/>
                      <w:bCs/>
                      <w:color w:val="000000" w:themeColor="text1"/>
                      <w:position w:val="-10"/>
                      <w:sz w:val="21"/>
                      <w:szCs w:val="21"/>
                      <w:highlight w:val="none"/>
                      <w14:textFill>
                        <w14:solidFill>
                          <w14:schemeClr w14:val="tx1"/>
                        </w14:solidFill>
                      </w14:textFill>
                    </w:rPr>
                  </w:pPr>
                  <w:r>
                    <w:rPr>
                      <w:rFonts w:hint="default" w:ascii="Times New Roman" w:hAnsi="Times New Roman" w:cs="Times New Roman" w:eastAsiaTheme="minorEastAsia"/>
                      <w:b/>
                      <w:bCs/>
                      <w:color w:val="000000" w:themeColor="text1"/>
                      <w:position w:val="-10"/>
                      <w:sz w:val="21"/>
                      <w:szCs w:val="21"/>
                      <w:highlight w:val="none"/>
                      <w:lang w:eastAsia="zh-CN"/>
                      <w14:textFill>
                        <w14:solidFill>
                          <w14:schemeClr w14:val="tx1"/>
                        </w14:solidFill>
                      </w14:textFill>
                    </w:rPr>
                    <w:t>分析依据（方法）名称及编号</w:t>
                  </w:r>
                </w:p>
              </w:tc>
              <w:tc>
                <w:tcPr>
                  <w:tcW w:w="269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b/>
                      <w:bCs/>
                      <w:color w:val="000000" w:themeColor="text1"/>
                      <w:position w:val="-10"/>
                      <w:sz w:val="21"/>
                      <w:szCs w:val="21"/>
                      <w:highlight w:val="none"/>
                      <w:lang w:eastAsia="zh-CN"/>
                      <w14:textFill>
                        <w14:solidFill>
                          <w14:schemeClr w14:val="tx1"/>
                        </w14:solidFill>
                      </w14:textFill>
                    </w:rPr>
                  </w:pPr>
                  <w: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t>仪器设备及编号</w:t>
                  </w:r>
                </w:p>
              </w:tc>
              <w:tc>
                <w:tcPr>
                  <w:tcW w:w="103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b/>
                      <w:bCs/>
                      <w:color w:val="000000" w:themeColor="text1"/>
                      <w:position w:val="-10"/>
                      <w:sz w:val="21"/>
                      <w:szCs w:val="21"/>
                      <w:highlight w:val="none"/>
                      <w:lang w:eastAsia="zh-CN"/>
                      <w14:textFill>
                        <w14:solidFill>
                          <w14:schemeClr w14:val="tx1"/>
                        </w14:solidFill>
                      </w14:textFill>
                    </w:rPr>
                  </w:pPr>
                  <w: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606"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1</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铝</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水质 32种元素的测定 电感耦合等离子体发射光谱法</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HJ 776-2015</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lang w:val="en-US" w:bidi="mn-Mong-CN"/>
                      <w14:textFill>
                        <w14:solidFill>
                          <w14:schemeClr w14:val="tx1"/>
                        </w14:solidFill>
                      </w14:textFill>
                    </w:rPr>
                    <w:t>电感耦合等离子体原子发射光谱仪</w:t>
                  </w:r>
                  <w:r>
                    <w:rPr>
                      <w:rFonts w:hint="default" w:ascii="Times New Roman" w:hAnsi="Times New Roman" w:eastAsia="宋体" w:cs="Times New Roman"/>
                      <w:bCs/>
                      <w:color w:val="000000" w:themeColor="text1"/>
                      <w:kern w:val="0"/>
                      <w:sz w:val="21"/>
                      <w:szCs w:val="21"/>
                      <w:highlight w:val="none"/>
                      <w:lang w:val="en-US" w:eastAsia="zh-CN" w:bidi="mn-Mong-CN"/>
                      <w14:textFill>
                        <w14:solidFill>
                          <w14:schemeClr w14:val="tx1"/>
                        </w14:solidFill>
                      </w14:textFill>
                    </w:rPr>
                    <w:t>Plasma 2000</w:t>
                  </w:r>
                  <w:r>
                    <w:rPr>
                      <w:rFonts w:hint="eastAsia" w:ascii="Times New Roman" w:hAnsi="Times New Roman" w:eastAsia="宋体" w:cs="Times New Roman"/>
                      <w:bCs/>
                      <w:color w:val="000000" w:themeColor="text1"/>
                      <w:kern w:val="0"/>
                      <w:sz w:val="21"/>
                      <w:szCs w:val="21"/>
                      <w:highlight w:val="none"/>
                      <w:lang w:val="en-US" w:eastAsia="zh-CN" w:bidi="mn-Mong-CN"/>
                      <w14:textFill>
                        <w14:solidFill>
                          <w14:schemeClr w14:val="tx1"/>
                        </w14:solidFill>
                      </w14:textFill>
                    </w:rPr>
                    <w:t xml:space="preserve"> </w:t>
                  </w: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QA055</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0.07</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06"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2</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总硬度</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钙和镁总量的测定 EDTA滴定法》GB 7477-87</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酸式滴定管MJ-YQ-060-01</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5.0</w:t>
                  </w: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606"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3</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氨氮</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氨氮的测定 纳氏试剂分光光度方法》 HJ 535-2009</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紫外可见分光光度计UV5500PC MJ-YQ-001-01</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0.025</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6" w:hRule="atLeast"/>
                <w:jc w:val="center"/>
              </w:trPr>
              <w:tc>
                <w:tcPr>
                  <w:tcW w:w="606"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4</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溶解性总固体</w:t>
                  </w:r>
                </w:p>
              </w:tc>
              <w:tc>
                <w:tcPr>
                  <w:tcW w:w="320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 xml:space="preserve">《生活饮用水标准检验方法 </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第4部分：</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感官性状和物理指标》</w:t>
                  </w:r>
                </w:p>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GB/T 5750.4-20</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23</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11.1溶解性总固体 称量法</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电热鼓风干燥箱101-1EBS MJ-YQ-031-01电子天平</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PTX-FA110S</w:t>
                  </w:r>
                </w:p>
                <w:p>
                  <w:pPr>
                    <w:pStyle w:val="14"/>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MJ-YQ-022-02</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06"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5</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氯化物</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氯化物的测定 硝酸银滴定法》GB 11896-89</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606"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6</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锰</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铁、锰的测定 火焰原子吸收分光光度法》GB 11911-89</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bidi="ar"/>
                      <w14:textFill>
                        <w14:solidFill>
                          <w14:schemeClr w14:val="tx1"/>
                        </w14:solidFill>
                      </w14:textFill>
                    </w:rPr>
                    <w:t>原子吸收分光光度计AAS9000</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 xml:space="preserve"> </w:t>
                  </w:r>
                  <w:r>
                    <w:rPr>
                      <w:rFonts w:hint="default" w:ascii="Times New Roman" w:hAnsi="Times New Roman" w:cs="Times New Roman" w:eastAsiaTheme="minorEastAsia"/>
                      <w:color w:val="000000" w:themeColor="text1"/>
                      <w:sz w:val="21"/>
                      <w:szCs w:val="21"/>
                      <w:highlight w:val="none"/>
                      <w:lang w:bidi="ar"/>
                      <w14:textFill>
                        <w14:solidFill>
                          <w14:schemeClr w14:val="tx1"/>
                        </w14:solidFill>
                      </w14:textFill>
                    </w:rPr>
                    <w:t>MJ-YQ-034-01</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0.01</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9"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t>7</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色度</w:t>
                  </w:r>
                </w:p>
              </w:tc>
              <w:tc>
                <w:tcPr>
                  <w:tcW w:w="320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 xml:space="preserve">《生活饮用水标准检验方法 </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第4部分：</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感官性状和物理指标》GB/T 5750.4-20</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23</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.1铂-钴标准比色法 ）</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5度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8</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高锰酸盐指数</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pacing w:val="0"/>
                      <w:w w:val="100"/>
                      <w:kern w:val="2"/>
                      <w:position w:val="0"/>
                      <w:sz w:val="21"/>
                      <w:szCs w:val="21"/>
                      <w:highlight w:val="none"/>
                      <w:u w:val="none"/>
                      <w:shd w:val="clear"/>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pacing w:val="0"/>
                      <w:w w:val="100"/>
                      <w:kern w:val="2"/>
                      <w:position w:val="0"/>
                      <w:sz w:val="21"/>
                      <w:szCs w:val="21"/>
                      <w:highlight w:val="none"/>
                      <w:u w:val="none"/>
                      <w:shd w:val="clear"/>
                      <w:lang w:val="en-US" w:eastAsia="zh-CN" w:bidi="ar-SA"/>
                      <w14:textFill>
                        <w14:solidFill>
                          <w14:schemeClr w14:val="tx1"/>
                        </w14:solidFill>
                      </w14:textFill>
                    </w:rPr>
                    <w:t>《水质</w:t>
                  </w:r>
                  <w:r>
                    <w:rPr>
                      <w:rFonts w:hint="eastAsia" w:ascii="Times New Roman" w:hAnsi="Times New Roman" w:cs="Times New Roman" w:eastAsiaTheme="minorEastAsia"/>
                      <w:color w:val="000000" w:themeColor="text1"/>
                      <w:spacing w:val="0"/>
                      <w:w w:val="100"/>
                      <w:kern w:val="2"/>
                      <w:position w:val="0"/>
                      <w:sz w:val="21"/>
                      <w:szCs w:val="21"/>
                      <w:highlight w:val="none"/>
                      <w:u w:val="none"/>
                      <w:shd w:val="clear"/>
                      <w:lang w:val="en-US" w:eastAsia="zh-CN" w:bidi="ar-SA"/>
                      <w14:textFill>
                        <w14:solidFill>
                          <w14:schemeClr w14:val="tx1"/>
                        </w14:solidFill>
                      </w14:textFill>
                    </w:rPr>
                    <w:t xml:space="preserve"> 高锰酸盐指数</w:t>
                  </w:r>
                  <w:r>
                    <w:rPr>
                      <w:rFonts w:hint="default" w:ascii="Times New Roman" w:hAnsi="Times New Roman" w:cs="Times New Roman" w:eastAsiaTheme="minorEastAsia"/>
                      <w:color w:val="000000" w:themeColor="text1"/>
                      <w:spacing w:val="0"/>
                      <w:w w:val="100"/>
                      <w:kern w:val="2"/>
                      <w:position w:val="0"/>
                      <w:sz w:val="21"/>
                      <w:szCs w:val="21"/>
                      <w:highlight w:val="none"/>
                      <w:u w:val="none"/>
                      <w:shd w:val="clear"/>
                      <w:lang w:val="en-US" w:eastAsia="zh-CN" w:bidi="ar-SA"/>
                      <w14:textFill>
                        <w14:solidFill>
                          <w14:schemeClr w14:val="tx1"/>
                        </w14:solidFill>
                      </w14:textFill>
                    </w:rPr>
                    <w:t>的测定》</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eastAsiaTheme="minorEastAsia"/>
                      <w:color w:val="000000" w:themeColor="text1"/>
                      <w:spacing w:val="0"/>
                      <w:w w:val="100"/>
                      <w:kern w:val="2"/>
                      <w:position w:val="0"/>
                      <w:sz w:val="21"/>
                      <w:szCs w:val="21"/>
                      <w:highlight w:val="none"/>
                      <w:u w:val="none"/>
                      <w:shd w:val="clear"/>
                      <w:lang w:val="en-US" w:eastAsia="zh-CN" w:bidi="ar-SA"/>
                      <w14:textFill>
                        <w14:solidFill>
                          <w14:schemeClr w14:val="tx1"/>
                        </w14:solidFill>
                      </w14:textFill>
                    </w:rPr>
                    <w:t>GB 11892-89</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9</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硝酸盐氮</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硝酸盐氮的测定紫外分光光度法（试行）》HJ/T 346-2007</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紫外可见分光光度计UV5500PC MJ-YQ-001-01</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0.08</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mg/L</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10</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钠</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《水质 32种元素的测定 电感耦合等离子体发射光谱法》HJ</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 xml:space="preserve"> </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776-2015</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lang w:val="en-US" w:bidi="mn-Mong-CN"/>
                      <w14:textFill>
                        <w14:solidFill>
                          <w14:schemeClr w14:val="tx1"/>
                        </w14:solidFill>
                      </w14:textFill>
                    </w:rPr>
                    <w:t>电感耦合等离子体原子发射光谱仪</w:t>
                  </w:r>
                  <w:r>
                    <w:rPr>
                      <w:rFonts w:hint="default" w:ascii="Times New Roman" w:hAnsi="Times New Roman" w:eastAsia="宋体" w:cs="Times New Roman"/>
                      <w:bCs/>
                      <w:color w:val="000000" w:themeColor="text1"/>
                      <w:kern w:val="0"/>
                      <w:sz w:val="21"/>
                      <w:szCs w:val="21"/>
                      <w:highlight w:val="none"/>
                      <w:lang w:val="en-US" w:eastAsia="zh-CN" w:bidi="mn-Mong-CN"/>
                      <w14:textFill>
                        <w14:solidFill>
                          <w14:schemeClr w14:val="tx1"/>
                        </w14:solidFill>
                      </w14:textFill>
                    </w:rPr>
                    <w:t>Plasma 2000</w:t>
                  </w:r>
                  <w:r>
                    <w:rPr>
                      <w:rFonts w:hint="eastAsia" w:ascii="Times New Roman" w:hAnsi="Times New Roman" w:eastAsia="宋体" w:cs="Times New Roman"/>
                      <w:bCs/>
                      <w:color w:val="000000" w:themeColor="text1"/>
                      <w:kern w:val="0"/>
                      <w:sz w:val="21"/>
                      <w:szCs w:val="21"/>
                      <w:highlight w:val="none"/>
                      <w:lang w:val="en-US" w:eastAsia="zh-CN" w:bidi="mn-Mong-CN"/>
                      <w14:textFill>
                        <w14:solidFill>
                          <w14:schemeClr w14:val="tx1"/>
                        </w14:solidFill>
                      </w14:textFill>
                    </w:rPr>
                    <w:t xml:space="preserve"> </w:t>
                  </w: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QA055</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0.12</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11</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挥发酚</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挥发酚的测定 4-氨基安替比林分光光度法》HJ 503-2009</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紫外可见分光光度计UV5500PC  MJ-YQ-001-01</w:t>
                  </w:r>
                </w:p>
              </w:tc>
              <w:tc>
                <w:tcPr>
                  <w:tcW w:w="10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center"/>
                    <w:rPr>
                      <w:rFonts w:hint="eastAsia"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0.0003</w:t>
                  </w:r>
                </w:p>
                <w:p>
                  <w:pPr>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12</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苯</w:t>
                  </w:r>
                </w:p>
              </w:tc>
              <w:tc>
                <w:tcPr>
                  <w:tcW w:w="320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t>《水质 苯系物的测定 顶空/气相色谱法》GB 1067-2019</w:t>
                  </w:r>
                </w:p>
              </w:tc>
              <w:tc>
                <w:tcPr>
                  <w:tcW w:w="2691"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气相色谱仪GC-2014C MJ-YQ-002-01</w:t>
                  </w:r>
                </w:p>
              </w:tc>
              <w:tc>
                <w:tcPr>
                  <w:tcW w:w="10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2μg/L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13</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甲苯</w:t>
                  </w:r>
                </w:p>
              </w:tc>
              <w:tc>
                <w:tcPr>
                  <w:tcW w:w="320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p>
              </w:tc>
              <w:tc>
                <w:tcPr>
                  <w:tcW w:w="269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tc>
              <w:tc>
                <w:tcPr>
                  <w:tcW w:w="10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2μg/L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14</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乙苯</w:t>
                  </w:r>
                </w:p>
              </w:tc>
              <w:tc>
                <w:tcPr>
                  <w:tcW w:w="320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p>
              </w:tc>
              <w:tc>
                <w:tcPr>
                  <w:tcW w:w="269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tc>
              <w:tc>
                <w:tcPr>
                  <w:tcW w:w="10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2μg/L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15</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对二甲苯</w:t>
                  </w:r>
                </w:p>
              </w:tc>
              <w:tc>
                <w:tcPr>
                  <w:tcW w:w="320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p>
              </w:tc>
              <w:tc>
                <w:tcPr>
                  <w:tcW w:w="269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tc>
              <w:tc>
                <w:tcPr>
                  <w:tcW w:w="10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2μg/L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16</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邻二甲苯</w:t>
                  </w:r>
                </w:p>
              </w:tc>
              <w:tc>
                <w:tcPr>
                  <w:tcW w:w="320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p>
              </w:tc>
              <w:tc>
                <w:tcPr>
                  <w:tcW w:w="269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tc>
              <w:tc>
                <w:tcPr>
                  <w:tcW w:w="10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2μg/L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17</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间二甲苯</w:t>
                  </w:r>
                </w:p>
              </w:tc>
              <w:tc>
                <w:tcPr>
                  <w:tcW w:w="320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p>
              </w:tc>
              <w:tc>
                <w:tcPr>
                  <w:tcW w:w="269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tc>
              <w:tc>
                <w:tcPr>
                  <w:tcW w:w="10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2μg/L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18</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苯乙烯</w:t>
                  </w:r>
                </w:p>
              </w:tc>
              <w:tc>
                <w:tcPr>
                  <w:tcW w:w="320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p>
              </w:tc>
              <w:tc>
                <w:tcPr>
                  <w:tcW w:w="269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tc>
              <w:tc>
                <w:tcPr>
                  <w:tcW w:w="103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3μg/L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19</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硫酸盐</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硫酸盐的测定 铬酸钡分光光度法（试行）》HJ/T 342-2007</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紫外可见分光光度计UV5500PC MJ-YQ-001-01</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*1,2-二氯丙烷</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挥发性有机物的测定 吹扫捕集/气相色谱-质谱法》</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HJ 639-</w:t>
                  </w:r>
                  <w:r>
                    <w:rPr>
                      <w:rFonts w:hint="eastAsia"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2</w:t>
                  </w: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012</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气相色谱质谱联用仪GC138N-MS8300 QA062</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1.2</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21</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*苯并[a]蒽</w:t>
                  </w:r>
                </w:p>
              </w:tc>
              <w:tc>
                <w:tcPr>
                  <w:tcW w:w="320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《水和废水监测分析方法》（第四版增补版）第四篇第三章 二、半挥发性有机物</w:t>
                  </w:r>
                </w:p>
              </w:tc>
              <w:tc>
                <w:tcPr>
                  <w:tcW w:w="2691"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气相色谱质谱联用仪GC38N-MS8300 QA0</w:t>
                  </w:r>
                  <w:r>
                    <w:rPr>
                      <w:rFonts w:hint="eastAsia"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73</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7.8</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22</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*二苯并a,h蒽</w:t>
                  </w:r>
                </w:p>
              </w:tc>
              <w:tc>
                <w:tcPr>
                  <w:tcW w:w="320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tc>
              <w:tc>
                <w:tcPr>
                  <w:tcW w:w="2691"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23</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苯胺类</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苯胺类化合物的测定N-(1-萘基）乙二胺偶氮分光光度法》</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GB 11889-89</w:t>
                  </w:r>
                </w:p>
              </w:tc>
              <w:tc>
                <w:tcPr>
                  <w:tcW w:w="26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紫外可见分光光度计UV5500PC MJ-YQ-001-01</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0.0</w:t>
                  </w:r>
                  <w:r>
                    <w:rPr>
                      <w:rFonts w:hint="eastAsia"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3</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jc w:val="center"/>
              </w:trPr>
              <w:tc>
                <w:tcPr>
                  <w:tcW w:w="60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24</w:t>
                  </w:r>
                </w:p>
              </w:tc>
              <w:tc>
                <w:tcPr>
                  <w:tcW w:w="138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可萃取性</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石油烃(C</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10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40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32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《水质 可萃取性</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石油烃(C</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10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40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的测定 气相色谱法》HJ 894-2017</w:t>
                  </w:r>
                </w:p>
              </w:tc>
              <w:tc>
                <w:tcPr>
                  <w:tcW w:w="269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气相色谱仪</w:t>
                  </w:r>
                </w:p>
                <w:p>
                  <w:pPr>
                    <w:keepNext w:val="0"/>
                    <w:keepLines w:val="0"/>
                    <w:pageBreakBefore w:val="0"/>
                    <w:kinsoku/>
                    <w:wordWrap/>
                    <w:overflowPunct/>
                    <w:topLinePunct w:val="0"/>
                    <w:autoSpaceDE/>
                    <w:autoSpaceDN/>
                    <w:bidi w:val="0"/>
                    <w:adjustRightInd w:val="0"/>
                    <w:snapToGrid w:val="0"/>
                    <w:spacing w:line="240" w:lineRule="auto"/>
                    <w:ind w:lef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（全自动热解析仪）</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（顶空进样器）</w:t>
                  </w: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GC112</w:t>
                  </w:r>
                  <w:r>
                    <w:rPr>
                      <w:rFonts w:hint="eastAsia"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A</w:t>
                  </w: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 xml:space="preserve"> QA0</w:t>
                  </w:r>
                  <w:r>
                    <w:rPr>
                      <w:rFonts w:hint="eastAsia"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38</w:t>
                  </w:r>
                </w:p>
              </w:tc>
              <w:tc>
                <w:tcPr>
                  <w:tcW w:w="103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0.01</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bl>
          <w:p>
            <w:pPr>
              <w:spacing w:line="440" w:lineRule="exact"/>
              <w:ind w:firstLine="482"/>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w:t>
            </w:r>
            <w:r>
              <w:rPr>
                <w:rFonts w:hint="eastAsia" w:ascii="Times New Roman" w:hAnsi="Times New Roman" w:eastAsia="宋体" w:cs="Times New Roman"/>
                <w:b/>
                <w:color w:val="000000" w:themeColor="text1"/>
                <w:sz w:val="24"/>
                <w:lang w:val="en-US" w:eastAsia="zh-CN"/>
                <w14:textFill>
                  <w14:solidFill>
                    <w14:schemeClr w14:val="tx1"/>
                  </w14:solidFill>
                </w14:textFill>
              </w:rPr>
              <w:t>3-</w:t>
            </w:r>
            <w:r>
              <w:rPr>
                <w:rFonts w:hint="eastAsia" w:cs="Times New Roman"/>
                <w:b/>
                <w:color w:val="000000" w:themeColor="text1"/>
                <w:sz w:val="24"/>
                <w:lang w:val="en-US" w:eastAsia="zh-CN"/>
                <w14:textFill>
                  <w14:solidFill>
                    <w14:schemeClr w14:val="tx1"/>
                  </w14:solidFill>
                </w14:textFill>
              </w:rPr>
              <w:t>4</w:t>
            </w:r>
            <w:r>
              <w:rPr>
                <w:rFonts w:hint="default" w:ascii="Times New Roman" w:hAnsi="Times New Roman" w:eastAsia="宋体" w:cs="Times New Roman"/>
                <w:b/>
                <w:color w:val="000000" w:themeColor="text1"/>
                <w:sz w:val="24"/>
                <w14:textFill>
                  <w14:solidFill>
                    <w14:schemeClr w14:val="tx1"/>
                  </w14:solidFill>
                </w14:textFill>
              </w:rPr>
              <w:t xml:space="preserve"> 地下水水质监测及评价结果</w:t>
            </w:r>
          </w:p>
          <w:tbl>
            <w:tblPr>
              <w:tblStyle w:val="27"/>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979"/>
              <w:gridCol w:w="1142"/>
              <w:gridCol w:w="1142"/>
              <w:gridCol w:w="1142"/>
              <w:gridCol w:w="1142"/>
              <w:gridCol w:w="1142"/>
              <w:gridCol w:w="883"/>
              <w:gridCol w:w="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blHeader/>
                <w:jc w:val="center"/>
              </w:trPr>
              <w:tc>
                <w:tcPr>
                  <w:tcW w:w="501"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position w:val="-10"/>
                      <w:sz w:val="21"/>
                      <w:szCs w:val="21"/>
                      <w:highlight w:val="none"/>
                      <w:lang w:eastAsia="zh-CN"/>
                      <w14:textFill>
                        <w14:solidFill>
                          <w14:schemeClr w14:val="tx1"/>
                        </w14:solidFill>
                      </w14:textFill>
                    </w:rPr>
                    <w:t>序号</w:t>
                  </w:r>
                </w:p>
              </w:tc>
              <w:tc>
                <w:tcPr>
                  <w:tcW w:w="979"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position w:val="-10"/>
                      <w:sz w:val="21"/>
                      <w:szCs w:val="21"/>
                      <w:highlight w:val="none"/>
                      <w:lang w:eastAsia="zh-CN"/>
                      <w14:textFill>
                        <w14:solidFill>
                          <w14:schemeClr w14:val="tx1"/>
                        </w14:solidFill>
                      </w14:textFill>
                    </w:rPr>
                    <w:t>分析项目</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CS1</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CS2</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W14</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W31</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pP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W28</w:t>
                  </w:r>
                </w:p>
              </w:tc>
              <w:tc>
                <w:tcPr>
                  <w:tcW w:w="883"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b/>
                      <w:bCs/>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b/>
                      <w:bCs/>
                      <w:color w:val="000000" w:themeColor="text1"/>
                      <w:kern w:val="2"/>
                      <w:position w:val="-10"/>
                      <w:sz w:val="21"/>
                      <w:szCs w:val="21"/>
                      <w:highlight w:val="none"/>
                      <w:lang w:val="en-US" w:eastAsia="zh-CN" w:bidi="ar-SA"/>
                      <w14:textFill>
                        <w14:solidFill>
                          <w14:schemeClr w14:val="tx1"/>
                        </w14:solidFill>
                      </w14:textFill>
                    </w:rPr>
                    <w:t>标准限值</w:t>
                  </w:r>
                </w:p>
              </w:tc>
              <w:tc>
                <w:tcPr>
                  <w:tcW w:w="762"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b/>
                      <w:bCs/>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b/>
                      <w:bCs/>
                      <w:color w:val="000000" w:themeColor="text1"/>
                      <w:position w:val="-10"/>
                      <w:sz w:val="21"/>
                      <w:szCs w:val="21"/>
                      <w:highlight w:val="none"/>
                      <w:lang w:val="en-US" w:eastAsia="zh-CN"/>
                      <w14:textFill>
                        <w14:solidFill>
                          <w14:schemeClr w14:val="tx1"/>
                        </w14:solidFill>
                      </w14:textFill>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1</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铝</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0.07L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0.07L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0.07L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0.07L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0.07L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≤0.2</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2</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总硬度</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101</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181</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359</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380</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169</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≤450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3</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氨氮</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0.462</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0.553</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1.46</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0.975</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0.529</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≤0.5</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501"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4</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溶解性总固体</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489</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864</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1229</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1323</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684</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≤1000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5</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硫酸盐</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highlight w:val="none"/>
                      <w:u w:val="none"/>
                      <w:lang w:val="en-US" w:eastAsia="zh-CN" w:bidi="ar"/>
                      <w14:textFill>
                        <w14:solidFill>
                          <w14:schemeClr w14:val="tx1"/>
                        </w14:solidFill>
                      </w14:textFill>
                    </w:rPr>
                    <w:t xml:space="preserve">52.0 </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197</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347</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309</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139</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≤250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6</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氯化物</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28.2</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84.2</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346</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273</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91.2</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≤250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7</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锰</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0.01L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0.01L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0.01L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0.01L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0.01L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≤0.10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色度</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≤15</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9</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高锰酸盐指数</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25.1</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4.61</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8.89</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 xml:space="preserve">7.27 </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 xml:space="preserve">7.11 </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≤3.0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10</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硝酸盐氮</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5.01</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20.7</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21.5</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21.1</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12.6</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≤20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苯</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≤10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12</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甲苯</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≤700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13</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乙苯</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≤300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14</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对二甲苯</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883"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≤500（二甲苯总量）</w:t>
                  </w:r>
                </w:p>
              </w:tc>
              <w:tc>
                <w:tcPr>
                  <w:tcW w:w="762"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15</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间二甲苯</w:t>
                  </w:r>
                </w:p>
              </w:tc>
              <w:tc>
                <w:tcPr>
                  <w:tcW w:w="1142"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88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762"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16</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邻二甲苯</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2L</w:t>
                  </w:r>
                </w:p>
              </w:tc>
              <w:tc>
                <w:tcPr>
                  <w:tcW w:w="883"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762"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17</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苯乙烯</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3L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≤20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18</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钠</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24.7</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118</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168</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219</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71.6</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≤200</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19</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挥发酚</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 xml:space="preserve">1.40 </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0.0047</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0.0005</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0.0004</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 xml:space="preserve">0.0010 </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≤0.002</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20</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1,2-二氯丙烷</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1.2×10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1.2×10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1.2×10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1.2×10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1.2×10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≤0.005</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21</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苯并[a]蒽</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7.8×10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7.8×10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7.8×10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7.8×10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7.8×10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22</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二苯并a,h蒽</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2.5×10</w:t>
                  </w:r>
                  <w:r>
                    <w:rPr>
                      <w:rFonts w:hint="default" w:ascii="Times New Roman" w:hAnsi="Times New Roman" w:eastAsia="宋体" w:cs="Times New Roman"/>
                      <w:i w:val="0"/>
                      <w:iCs w:val="0"/>
                      <w:color w:val="000000" w:themeColor="text1"/>
                      <w:kern w:val="0"/>
                      <w:sz w:val="21"/>
                      <w:szCs w:val="21"/>
                      <w:u w:val="non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23</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苯胺类</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0.03L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0.03L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0.03L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0.03L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0"/>
                      <w:szCs w:val="20"/>
                      <w:u w:val="none"/>
                      <w:lang w:val="en-US" w:eastAsia="zh-CN" w:bidi="ar"/>
                      <w14:textFill>
                        <w14:solidFill>
                          <w14:schemeClr w14:val="tx1"/>
                        </w14:solidFill>
                      </w14:textFill>
                    </w:rPr>
                    <w:t>0.03L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01"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24</w:t>
                  </w:r>
                </w:p>
              </w:tc>
              <w:tc>
                <w:tcPr>
                  <w:tcW w:w="979"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可萃取性</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石油烃(C</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10~40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0.01L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0.01L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0.01L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0.01L</w:t>
                  </w:r>
                </w:p>
              </w:tc>
              <w:tc>
                <w:tcPr>
                  <w:tcW w:w="114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0.01L</w:t>
                  </w:r>
                </w:p>
              </w:tc>
              <w:tc>
                <w:tcPr>
                  <w:tcW w:w="883"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highlight w:val="none"/>
                      <w:u w:val="none"/>
                      <w:lang w:val="en-US" w:eastAsia="zh-CN" w:bidi="ar"/>
                      <w14:textFill>
                        <w14:solidFill>
                          <w14:schemeClr w14:val="tx1"/>
                        </w14:solidFill>
                      </w14:textFill>
                    </w:rPr>
                    <w:t>—</w:t>
                  </w:r>
                </w:p>
              </w:tc>
              <w:tc>
                <w:tcPr>
                  <w:tcW w:w="762"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position w:val="-10"/>
                      <w:sz w:val="21"/>
                      <w:szCs w:val="21"/>
                      <w:highlight w:val="none"/>
                      <w:lang w:val="en-US" w:eastAsia="zh-CN" w:bidi="ar-SA"/>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501" w:type="dxa"/>
                  <w:noWrap w:val="0"/>
                  <w:vAlign w:val="center"/>
                </w:tcPr>
                <w:p>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position w:val="-10"/>
                      <w:sz w:val="21"/>
                      <w:szCs w:val="21"/>
                      <w:highlight w:val="none"/>
                      <w:lang w:val="en-US" w:eastAsia="zh-CN"/>
                      <w14:textFill>
                        <w14:solidFill>
                          <w14:schemeClr w14:val="tx1"/>
                        </w14:solidFill>
                      </w14:textFill>
                    </w:rPr>
                    <w:t>备注</w:t>
                  </w:r>
                </w:p>
              </w:tc>
              <w:tc>
                <w:tcPr>
                  <w:tcW w:w="8334" w:type="dxa"/>
                  <w:gridSpan w:val="8"/>
                  <w:noWrap w:val="0"/>
                  <w:vAlign w:val="center"/>
                </w:tcPr>
                <w:p>
                  <w:pPr>
                    <w:pStyle w:val="14"/>
                    <w:keepNext w:val="0"/>
                    <w:keepLines w:val="0"/>
                    <w:pageBreakBefore w:val="0"/>
                    <w:kinsoku/>
                    <w:wordWrap/>
                    <w:overflowPunct/>
                    <w:topLinePunct w:val="0"/>
                    <w:autoSpaceDE/>
                    <w:autoSpaceDN/>
                    <w:bidi w:val="0"/>
                    <w:adjustRightInd/>
                    <w:spacing w:line="240" w:lineRule="auto"/>
                    <w:ind w:firstLine="0" w:firstLineChars="0"/>
                    <w:jc w:val="both"/>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标准限值执行《地下水质量</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标准</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GB</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/T 14848-2017 Ⅲ类</w:t>
                  </w:r>
                  <w:r>
                    <w:rPr>
                      <w:rFonts w:hint="eastAsia" w:cs="Times New Roman"/>
                      <w:color w:val="000000" w:themeColor="text1"/>
                      <w:sz w:val="21"/>
                      <w:szCs w:val="21"/>
                      <w:highlight w:val="none"/>
                      <w:lang w:val="en-US" w:eastAsia="zh-CN"/>
                      <w14:textFill>
                        <w14:solidFill>
                          <w14:schemeClr w14:val="tx1"/>
                        </w14:solidFill>
                      </w14:textFill>
                    </w:rPr>
                    <w:t>，部分指标留作背景值</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r>
          </w:tbl>
          <w:p>
            <w:pPr>
              <w:bidi w:val="0"/>
              <w:spacing w:line="360" w:lineRule="auto"/>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根据引用监测数据结果，项目区评价区除部分点位溶解性总固体、硫酸盐、氯化物、高锰酸盐指数、硝酸盐氮存在超标外</w:t>
            </w:r>
            <w:r>
              <w:rPr>
                <w:rFonts w:hint="eastAsia"/>
                <w:color w:val="000000" w:themeColor="text1"/>
                <w:sz w:val="24"/>
                <w:szCs w:val="24"/>
                <w:highlight w:val="none"/>
                <w:lang w:val="en-US" w:eastAsia="zh-CN"/>
                <w14:textFill>
                  <w14:solidFill>
                    <w14:schemeClr w14:val="tx1"/>
                  </w14:solidFill>
                </w14:textFill>
              </w:rPr>
              <w:t>，其他监测因子均满足《地下水质量标准》（GB/T14848-2017）III类标准，</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可萃取性</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石油烃(C</w:t>
            </w:r>
            <w:r>
              <w:rPr>
                <w:rFonts w:hint="default" w:ascii="Times New Roman" w:hAnsi="Times New Roman" w:cs="Times New Roman"/>
                <w:color w:val="000000" w:themeColor="text1"/>
                <w:sz w:val="24"/>
                <w:szCs w:val="24"/>
                <w:highlight w:val="none"/>
                <w:vertAlign w:val="subscript"/>
                <w:lang w:val="en-US" w:eastAsia="zh-CN"/>
                <w14:textFill>
                  <w14:solidFill>
                    <w14:schemeClr w14:val="tx1"/>
                  </w14:solidFill>
                </w14:textFill>
              </w:rPr>
              <w:t>10~40</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不做评价</w:t>
            </w:r>
            <w:r>
              <w:rPr>
                <w:rFonts w:hint="eastAsia"/>
                <w:color w:val="000000" w:themeColor="text1"/>
                <w:sz w:val="24"/>
                <w:szCs w:val="24"/>
                <w:highlight w:val="none"/>
                <w:lang w:val="en-US" w:eastAsia="zh-CN"/>
                <w14:textFill>
                  <w14:solidFill>
                    <w14:schemeClr w14:val="tx1"/>
                  </w14:solidFill>
                </w14:textFill>
              </w:rPr>
              <w:t>。</w:t>
            </w:r>
          </w:p>
          <w:p>
            <w:pPr>
              <w:bidi w:val="0"/>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目前，大多</w:t>
            </w:r>
            <w:r>
              <w:rPr>
                <w:rFonts w:hint="eastAsia"/>
                <w:color w:val="000000" w:themeColor="text1"/>
                <w:highlight w:val="none"/>
                <w:lang w:val="en-US" w:eastAsia="zh-CN"/>
                <w14:textFill>
                  <w14:solidFill>
                    <w14:schemeClr w14:val="tx1"/>
                  </w14:solidFill>
                </w14:textFill>
              </w:rPr>
              <w:t>数监测因子结果下游井优于上游原因为，抽水井集中在厂区下游边界和厂区内部，企业上游无抽水井。修复管控工程于2024年1月开始抽水，截止到2025年12月底，抽水井累计抽水76889m³，企业内的污染地下水均被抽水井抽出至污水处理处置，管控效果较好，污染地下水基本未扩散至下游，因此下游监测井水质较好。而上游监测井位于上游企业的下游，可能受上游企业的生产活动影响，或上游地下水水质影响，导致上游监测井水质变差。</w:t>
            </w:r>
          </w:p>
          <w:p>
            <w:pPr>
              <w:bidi w:val="0"/>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超标原因已在现有工程原有污染问题作出分析，目前鄂尔多斯市汇金达清洁溶剂油有限公司已按地下水管控方案进行了管控工程的建设，现地下水污染管控已逐步稳定，区域地下水质量逐步向好趋势转变。</w:t>
            </w:r>
          </w:p>
          <w:p>
            <w:pPr>
              <w:pStyle w:val="6"/>
              <w:spacing w:line="360" w:lineRule="auto"/>
              <w:rPr>
                <w:rFonts w:hint="eastAsia"/>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5、土壤环境现状质量</w:t>
            </w:r>
          </w:p>
          <w:p>
            <w:pPr>
              <w:bidi w:val="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本次评价引用</w:t>
            </w:r>
            <w:r>
              <w:rPr>
                <w:rFonts w:hint="eastAsia"/>
                <w:color w:val="000000" w:themeColor="text1"/>
                <w:lang w:eastAsia="zh-CN"/>
                <w14:textFill>
                  <w14:solidFill>
                    <w14:schemeClr w14:val="tx1"/>
                  </w14:solidFill>
                </w14:textFill>
              </w:rPr>
              <w:t>《鄂尔多斯市汇金达清洁溶剂油有限公司</w:t>
            </w:r>
            <w:r>
              <w:rPr>
                <w:rFonts w:hint="eastAsia"/>
                <w:color w:val="000000" w:themeColor="text1"/>
                <w:lang w:val="en-US" w:eastAsia="zh-CN"/>
                <w14:textFill>
                  <w14:solidFill>
                    <w14:schemeClr w14:val="tx1"/>
                  </w14:solidFill>
                </w14:textFill>
              </w:rPr>
              <w:t>土壤</w:t>
            </w:r>
            <w:r>
              <w:rPr>
                <w:rFonts w:hint="eastAsia"/>
                <w:color w:val="000000" w:themeColor="text1"/>
                <w:lang w:eastAsia="zh-CN"/>
                <w14:textFill>
                  <w14:solidFill>
                    <w14:schemeClr w14:val="tx1"/>
                  </w14:solidFill>
                </w14:textFill>
              </w:rPr>
              <w:t>检测》（</w:t>
            </w:r>
            <w:r>
              <w:rPr>
                <w:rFonts w:hint="eastAsia"/>
                <w:color w:val="000000" w:themeColor="text1"/>
                <w:lang w:val="en-US" w:eastAsia="zh-CN"/>
                <w14:textFill>
                  <w14:solidFill>
                    <w14:schemeClr w14:val="tx1"/>
                  </w14:solidFill>
                </w14:textFill>
              </w:rPr>
              <w:t>详见附件6</w:t>
            </w:r>
            <w:r>
              <w:rPr>
                <w:rFonts w:hint="eastAsia"/>
                <w:color w:val="000000" w:themeColor="text1"/>
                <w:lang w:eastAsia="zh-CN"/>
                <w14:textFill>
                  <w14:solidFill>
                    <w14:schemeClr w14:val="tx1"/>
                  </w14:solidFill>
                </w14:textFill>
              </w:rPr>
              <w:t>），</w:t>
            </w:r>
            <w:r>
              <w:rPr>
                <w:rFonts w:hint="eastAsia" w:ascii="宋体" w:hAnsi="宋体"/>
                <w:color w:val="000000" w:themeColor="text1"/>
                <w:sz w:val="24"/>
                <w:szCs w:val="24"/>
                <w:lang w:val="en-US" w:eastAsia="zh-CN"/>
                <w14:textFill>
                  <w14:solidFill>
                    <w14:schemeClr w14:val="tx1"/>
                  </w14:solidFill>
                </w14:textFill>
              </w:rPr>
              <w:t>内蒙古碧蓝环境科技有限公司于2024年6月20日-7月3日对鄂尔多斯市汇金达清洁溶剂油有限公司土壤进行了</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土壤</w:t>
            </w:r>
            <w:r>
              <w:rPr>
                <w:rFonts w:hint="default" w:ascii="Times New Roman" w:hAnsi="Times New Roman" w:eastAsia="宋体" w:cs="Times New Roman"/>
                <w:color w:val="000000" w:themeColor="text1"/>
                <w:sz w:val="24"/>
                <w:szCs w:val="24"/>
                <w14:textFill>
                  <w14:solidFill>
                    <w14:schemeClr w14:val="tx1"/>
                  </w14:solidFill>
                </w14:textFill>
              </w:rPr>
              <w:t>监测</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数据</w:t>
            </w:r>
            <w:r>
              <w:rPr>
                <w:rFonts w:hint="default" w:ascii="Times New Roman" w:hAnsi="Times New Roman" w:eastAsia="宋体" w:cs="Times New Roman"/>
                <w:color w:val="000000" w:themeColor="text1"/>
                <w:sz w:val="24"/>
                <w:szCs w:val="24"/>
                <w14:textFill>
                  <w14:solidFill>
                    <w14:schemeClr w14:val="tx1"/>
                  </w14:solidFill>
                </w14:textFill>
              </w:rPr>
              <w:t>。</w:t>
            </w:r>
          </w:p>
          <w:p>
            <w:pPr>
              <w:bidi w:val="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sz w:val="24"/>
                <w:szCs w:val="20"/>
                <w:lang w:val="en-US" w:eastAsia="zh-CN"/>
                <w14:textFill>
                  <w14:solidFill>
                    <w14:schemeClr w14:val="tx1"/>
                  </w14:solidFill>
                </w14:textFill>
              </w:rPr>
              <w:t>引用点位</w:t>
            </w:r>
            <w:r>
              <w:rPr>
                <w:rFonts w:hint="default" w:ascii="Times New Roman" w:hAnsi="Times New Roman" w:eastAsia="宋体" w:cs="Times New Roman"/>
                <w:color w:val="000000" w:themeColor="text1"/>
                <w:sz w:val="24"/>
                <w:szCs w:val="20"/>
                <w14:textFill>
                  <w14:solidFill>
                    <w14:schemeClr w14:val="tx1"/>
                  </w14:solidFill>
                </w14:textFill>
              </w:rPr>
              <w:t>共布设</w:t>
            </w:r>
            <w:r>
              <w:rPr>
                <w:rFonts w:hint="eastAsia" w:ascii="Times New Roman" w:hAnsi="Times New Roman" w:eastAsia="宋体" w:cs="Times New Roman"/>
                <w:color w:val="000000" w:themeColor="text1"/>
                <w:sz w:val="24"/>
                <w:szCs w:val="20"/>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0"/>
                <w14:textFill>
                  <w14:solidFill>
                    <w14:schemeClr w14:val="tx1"/>
                  </w14:solidFill>
                </w14:textFill>
              </w:rPr>
              <w:t>个监</w:t>
            </w:r>
            <w:r>
              <w:commentReference w:id="61"/>
            </w:r>
            <w:r>
              <w:rPr>
                <w:rFonts w:hint="default" w:ascii="Times New Roman" w:hAnsi="Times New Roman" w:eastAsia="宋体" w:cs="Times New Roman"/>
                <w:color w:val="000000" w:themeColor="text1"/>
                <w:sz w:val="24"/>
                <w:szCs w:val="20"/>
                <w14:textFill>
                  <w14:solidFill>
                    <w14:schemeClr w14:val="tx1"/>
                  </w14:solidFill>
                </w14:textFill>
              </w:rPr>
              <w:t>测点（</w:t>
            </w:r>
            <w:r>
              <w:rPr>
                <w:rFonts w:hint="eastAsia" w:ascii="Times New Roman" w:hAnsi="Times New Roman" w:eastAsia="宋体" w:cs="Times New Roman"/>
                <w:color w:val="000000" w:themeColor="text1"/>
                <w:sz w:val="24"/>
                <w:szCs w:val="20"/>
                <w:lang w:val="en-US" w:eastAsia="zh-CN"/>
                <w14:textFill>
                  <w14:solidFill>
                    <w14:schemeClr w14:val="tx1"/>
                  </w14:solidFill>
                </w14:textFill>
              </w:rPr>
              <w:t>厂区中心1个</w:t>
            </w:r>
            <w:r>
              <w:rPr>
                <w:rFonts w:hint="default" w:ascii="Times New Roman" w:hAnsi="Times New Roman" w:eastAsia="宋体" w:cs="Times New Roman"/>
                <w:color w:val="000000" w:themeColor="text1"/>
                <w:sz w:val="24"/>
                <w:szCs w:val="20"/>
                <w14:textFill>
                  <w14:solidFill>
                    <w14:schemeClr w14:val="tx1"/>
                  </w14:solidFill>
                </w14:textFill>
              </w:rPr>
              <w:t>监测点、</w:t>
            </w:r>
            <w:r>
              <w:rPr>
                <w:rFonts w:hint="eastAsia" w:ascii="Times New Roman" w:hAnsi="Times New Roman" w:eastAsia="宋体" w:cs="Times New Roman"/>
                <w:color w:val="000000" w:themeColor="text1"/>
                <w:sz w:val="24"/>
                <w:szCs w:val="20"/>
                <w:lang w:val="en-US" w:eastAsia="zh-CN"/>
                <w14:textFill>
                  <w14:solidFill>
                    <w14:schemeClr w14:val="tx1"/>
                  </w14:solidFill>
                </w14:textFill>
              </w:rPr>
              <w:t>厂界</w:t>
            </w:r>
            <w:r>
              <w:rPr>
                <w:rFonts w:hint="eastAsia"/>
                <w:color w:val="000000" w:themeColor="text1"/>
                <w:lang w:val="en-US" w:eastAsia="zh-CN"/>
                <w14:textFill>
                  <w14:solidFill>
                    <w14:schemeClr w14:val="tx1"/>
                  </w14:solidFill>
                </w14:textFill>
              </w:rPr>
              <w:t>外</w:t>
            </w:r>
            <w:r>
              <w:rPr>
                <w:rFonts w:hint="eastAsia" w:ascii="Times New Roman" w:hAnsi="Times New Roman" w:eastAsia="宋体" w:cs="Times New Roman"/>
                <w:color w:val="000000" w:themeColor="text1"/>
                <w:sz w:val="24"/>
                <w:szCs w:val="20"/>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0"/>
                <w14:textFill>
                  <w14:solidFill>
                    <w14:schemeClr w14:val="tx1"/>
                  </w14:solidFill>
                </w14:textFill>
              </w:rPr>
              <w:t>个监测点）</w:t>
            </w:r>
            <w:r>
              <w:rPr>
                <w:rFonts w:hint="eastAsia" w:cs="Times New Roman"/>
                <w:color w:val="000000" w:themeColor="text1"/>
                <w:sz w:val="24"/>
                <w:szCs w:val="20"/>
                <w:lang w:eastAsia="zh-CN"/>
                <w14:textFill>
                  <w14:solidFill>
                    <w14:schemeClr w14:val="tx1"/>
                  </w14:solidFill>
                </w14:textFill>
              </w:rPr>
              <w:t>，</w:t>
            </w:r>
            <w:r>
              <w:rPr>
                <w:rFonts w:hint="eastAsia" w:cs="Times New Roman"/>
                <w:color w:val="000000" w:themeColor="text1"/>
                <w:sz w:val="24"/>
                <w:szCs w:val="20"/>
                <w:lang w:val="en-US" w:eastAsia="zh-CN"/>
                <w14:textFill>
                  <w14:solidFill>
                    <w14:schemeClr w14:val="tx1"/>
                  </w14:solidFill>
                </w14:textFill>
              </w:rPr>
              <w:t>监测布点图详见图3-2</w:t>
            </w:r>
            <w:r>
              <w:rPr>
                <w:rFonts w:hint="eastAsia" w:cs="Times New Roman"/>
                <w:color w:val="000000" w:themeColor="text1"/>
                <w:sz w:val="24"/>
                <w:szCs w:val="24"/>
                <w:lang w:eastAsia="zh-CN"/>
                <w14:textFill>
                  <w14:solidFill>
                    <w14:schemeClr w14:val="tx1"/>
                  </w14:solidFill>
                </w14:textFill>
              </w:rPr>
              <w:t>。</w:t>
            </w:r>
          </w:p>
          <w:p>
            <w:pPr>
              <w:pStyle w:val="6"/>
              <w:spacing w:line="360" w:lineRule="auto"/>
              <w:ind w:left="0" w:leftChars="0" w:firstLine="420" w:firstLineChars="200"/>
              <w:jc w:val="center"/>
              <w:rPr>
                <w:rFonts w:hint="eastAsia"/>
                <w:b/>
                <w:bCs/>
                <w:color w:val="000000" w:themeColor="text1"/>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036185" cy="3137535"/>
                  <wp:effectExtent l="0" t="0" r="12065" b="5715"/>
                  <wp:docPr id="2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true"/>
                          </pic:cNvPicPr>
                        </pic:nvPicPr>
                        <pic:blipFill>
                          <a:blip r:embed="rId58"/>
                          <a:stretch>
                            <a:fillRect/>
                          </a:stretch>
                        </pic:blipFill>
                        <pic:spPr>
                          <a:xfrm>
                            <a:off x="0" y="0"/>
                            <a:ext cx="5036185" cy="3137535"/>
                          </a:xfrm>
                          <a:prstGeom prst="rect">
                            <a:avLst/>
                          </a:prstGeom>
                          <a:noFill/>
                          <a:ln>
                            <a:noFill/>
                          </a:ln>
                        </pic:spPr>
                      </pic:pic>
                    </a:graphicData>
                  </a:graphic>
                </wp:inline>
              </w:drawing>
            </w:r>
          </w:p>
          <w:p>
            <w:pPr>
              <w:pStyle w:val="6"/>
              <w:spacing w:line="360" w:lineRule="auto"/>
              <w:ind w:left="0" w:leftChars="0" w:firstLine="421" w:firstLineChars="200"/>
              <w:jc w:val="center"/>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图3-2 引用数据土壤布点图</w:t>
            </w:r>
          </w:p>
          <w:p>
            <w:pPr>
              <w:pStyle w:val="6"/>
              <w:spacing w:line="360" w:lineRule="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监测结果见表3-</w:t>
            </w:r>
            <w:r>
              <w:rPr>
                <w:rFonts w:hint="eastAsia" w:cs="Times New Roman"/>
                <w:color w:val="000000" w:themeColor="text1"/>
                <w:sz w:val="24"/>
                <w:szCs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pPr>
              <w:pStyle w:val="6"/>
              <w:spacing w:line="360" w:lineRule="auto"/>
              <w:jc w:val="center"/>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表3-</w:t>
            </w:r>
            <w:r>
              <w:rPr>
                <w:rFonts w:hint="eastAsia" w:cs="Times New Roman"/>
                <w:b/>
                <w:bCs/>
                <w:color w:val="000000" w:themeColor="text1"/>
                <w:sz w:val="24"/>
                <w:szCs w:val="24"/>
                <w:lang w:val="en-US" w:eastAsia="zh-CN"/>
                <w14:textFill>
                  <w14:solidFill>
                    <w14:schemeClr w14:val="tx1"/>
                  </w14:solidFill>
                </w14:textFill>
              </w:rPr>
              <w:t>5</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 xml:space="preserve"> 引用</w:t>
            </w:r>
            <w:r>
              <w:rPr>
                <w:rFonts w:hint="default" w:ascii="Times New Roman" w:hAnsi="Times New Roman" w:eastAsia="宋体" w:cs="Times New Roman"/>
                <w:b/>
                <w:bCs/>
                <w:color w:val="000000" w:themeColor="text1"/>
                <w:sz w:val="24"/>
                <w:szCs w:val="20"/>
                <w:highlight w:val="none"/>
                <w14:textFill>
                  <w14:solidFill>
                    <w14:schemeClr w14:val="tx1"/>
                  </w14:solidFill>
                </w14:textFill>
              </w:rPr>
              <w:t>土壤环境监测结果及评价</w:t>
            </w:r>
            <w:r>
              <w:rPr>
                <w:rFonts w:hint="eastAsia" w:ascii="Times New Roman" w:hAnsi="Times New Roman" w:eastAsia="宋体" w:cs="Times New Roman"/>
                <w:b/>
                <w:bCs/>
                <w:color w:val="000000" w:themeColor="text1"/>
                <w:sz w:val="24"/>
                <w:szCs w:val="20"/>
                <w:highlight w:val="none"/>
                <w:lang w:val="en-US" w:eastAsia="zh-CN"/>
                <w14:textFill>
                  <w14:solidFill>
                    <w14:schemeClr w14:val="tx1"/>
                  </w14:solidFill>
                </w14:textFill>
              </w:rPr>
              <w:t>情况</w:t>
            </w:r>
          </w:p>
          <w:tbl>
            <w:tblPr>
              <w:tblStyle w:val="99"/>
              <w:tblW w:w="87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97"/>
              <w:gridCol w:w="1097"/>
              <w:gridCol w:w="1097"/>
              <w:gridCol w:w="1097"/>
              <w:gridCol w:w="1097"/>
              <w:gridCol w:w="1099"/>
              <w:gridCol w:w="1097"/>
              <w:gridCol w:w="1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Merge w:val="restart"/>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2"/>
                      <w:sz w:val="21"/>
                      <w:szCs w:val="21"/>
                      <w14:textFill>
                        <w14:solidFill>
                          <w14:schemeClr w14:val="tx1"/>
                        </w14:solidFill>
                      </w14:textFill>
                    </w:rPr>
                    <w:t>分析项目</w:t>
                  </w:r>
                </w:p>
              </w:tc>
              <w:tc>
                <w:tcPr>
                  <w:tcW w:w="5487" w:type="dxa"/>
                  <w:gridSpan w:val="5"/>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pacing w:val="-12"/>
                      <w:sz w:val="21"/>
                      <w:szCs w:val="21"/>
                      <w14:textFill>
                        <w14:solidFill>
                          <w14:schemeClr w14:val="tx1"/>
                        </w14:solidFill>
                      </w14:textFill>
                    </w:rPr>
                  </w:pPr>
                  <w:r>
                    <w:rPr>
                      <w:rFonts w:hint="default" w:ascii="Times New Roman" w:hAnsi="Times New Roman" w:cs="Times New Roman"/>
                      <w:color w:val="000000" w:themeColor="text1"/>
                      <w:spacing w:val="-12"/>
                      <w:sz w:val="21"/>
                      <w:szCs w:val="21"/>
                      <w14:textFill>
                        <w14:solidFill>
                          <w14:schemeClr w14:val="tx1"/>
                        </w14:solidFill>
                      </w14:textFill>
                    </w:rPr>
                    <w:t>测 定</w:t>
                  </w:r>
                  <w:r>
                    <w:rPr>
                      <w:rFonts w:hint="default" w:ascii="Times New Roman" w:hAnsi="Times New Roman" w:cs="Times New Roman"/>
                      <w:color w:val="000000" w:themeColor="text1"/>
                      <w:spacing w:val="-8"/>
                      <w:sz w:val="21"/>
                      <w:szCs w:val="21"/>
                      <w14:textFill>
                        <w14:solidFill>
                          <w14:schemeClr w14:val="tx1"/>
                        </w14:solidFill>
                      </w14:textFill>
                    </w:rPr>
                    <w:t xml:space="preserve"> </w:t>
                  </w:r>
                  <w:r>
                    <w:rPr>
                      <w:rFonts w:hint="default" w:ascii="Times New Roman" w:hAnsi="Times New Roman" w:cs="Times New Roman"/>
                      <w:color w:val="000000" w:themeColor="text1"/>
                      <w:spacing w:val="-12"/>
                      <w:sz w:val="21"/>
                      <w:szCs w:val="21"/>
                      <w14:textFill>
                        <w14:solidFill>
                          <w14:schemeClr w14:val="tx1"/>
                        </w14:solidFill>
                      </w14:textFill>
                    </w:rPr>
                    <w:t>结</w:t>
                  </w:r>
                  <w:r>
                    <w:rPr>
                      <w:rFonts w:hint="default" w:ascii="Times New Roman" w:hAnsi="Times New Roman" w:cs="Times New Roman"/>
                      <w:color w:val="000000" w:themeColor="text1"/>
                      <w:spacing w:val="-13"/>
                      <w:sz w:val="21"/>
                      <w:szCs w:val="21"/>
                      <w14:textFill>
                        <w14:solidFill>
                          <w14:schemeClr w14:val="tx1"/>
                        </w14:solidFill>
                      </w14:textFill>
                    </w:rPr>
                    <w:t xml:space="preserve"> </w:t>
                  </w:r>
                  <w:r>
                    <w:rPr>
                      <w:rFonts w:hint="default" w:ascii="Times New Roman" w:hAnsi="Times New Roman" w:cs="Times New Roman"/>
                      <w:color w:val="000000" w:themeColor="text1"/>
                      <w:spacing w:val="-12"/>
                      <w:sz w:val="21"/>
                      <w:szCs w:val="21"/>
                      <w14:textFill>
                        <w14:solidFill>
                          <w14:schemeClr w14:val="tx1"/>
                        </w14:solidFill>
                      </w14:textFill>
                    </w:rPr>
                    <w:t>果</w:t>
                  </w:r>
                </w:p>
              </w:tc>
              <w:tc>
                <w:tcPr>
                  <w:tcW w:w="1097" w:type="dxa"/>
                  <w:vMerge w:val="restart"/>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标准值</w:t>
                  </w:r>
                </w:p>
              </w:tc>
              <w:tc>
                <w:tcPr>
                  <w:tcW w:w="1097" w:type="dxa"/>
                  <w:vMerge w:val="restart"/>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Merge w:val="continue"/>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cs="Times New Roman"/>
                      <w:color w:val="000000" w:themeColor="text1"/>
                      <w:spacing w:val="-12"/>
                      <w:sz w:val="21"/>
                      <w:szCs w:val="21"/>
                      <w:lang w:val="en-US" w:eastAsia="zh-CN"/>
                      <w14:textFill>
                        <w14:solidFill>
                          <w14:schemeClr w14:val="tx1"/>
                        </w14:solidFill>
                      </w14:textFill>
                    </w:rPr>
                    <w:t>东厂界</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cs="Times New Roman"/>
                      <w:color w:val="000000" w:themeColor="text1"/>
                      <w:spacing w:val="-12"/>
                      <w:sz w:val="21"/>
                      <w:szCs w:val="21"/>
                      <w:lang w:val="en-US" w:eastAsia="zh-CN"/>
                      <w14:textFill>
                        <w14:solidFill>
                          <w14:schemeClr w14:val="tx1"/>
                        </w14:solidFill>
                      </w14:textFill>
                    </w:rPr>
                    <w:t>南厂界</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cs="Times New Roman"/>
                      <w:color w:val="000000" w:themeColor="text1"/>
                      <w:spacing w:val="-12"/>
                      <w:sz w:val="21"/>
                      <w:szCs w:val="21"/>
                      <w:lang w:val="en-US" w:eastAsia="zh-CN"/>
                      <w14:textFill>
                        <w14:solidFill>
                          <w14:schemeClr w14:val="tx1"/>
                        </w14:solidFill>
                      </w14:textFill>
                    </w:rPr>
                    <w:t>西厂界</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eastAsia="宋体"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cs="Times New Roman"/>
                      <w:color w:val="000000" w:themeColor="text1"/>
                      <w:spacing w:val="-12"/>
                      <w:sz w:val="21"/>
                      <w:szCs w:val="21"/>
                      <w:lang w:val="en-US" w:eastAsia="zh-CN"/>
                      <w14:textFill>
                        <w14:solidFill>
                          <w14:schemeClr w14:val="tx1"/>
                        </w14:solidFill>
                      </w14:textFill>
                    </w:rPr>
                    <w:t>北厂界</w:t>
                  </w:r>
                </w:p>
              </w:tc>
              <w:tc>
                <w:tcPr>
                  <w:tcW w:w="109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pacing w:val="-12"/>
                      <w:sz w:val="21"/>
                      <w:szCs w:val="21"/>
                      <w:lang w:val="en-US" w:eastAsia="zh-CN"/>
                      <w14:textFill>
                        <w14:solidFill>
                          <w14:schemeClr w14:val="tx1"/>
                        </w14:solidFill>
                      </w14:textFill>
                    </w:rPr>
                  </w:pPr>
                  <w:r>
                    <w:rPr>
                      <w:rFonts w:hint="default" w:ascii="Times New Roman" w:hAnsi="Times New Roman" w:cs="Times New Roman"/>
                      <w:color w:val="000000" w:themeColor="text1"/>
                      <w:spacing w:val="-12"/>
                      <w:sz w:val="21"/>
                      <w:szCs w:val="21"/>
                      <w:lang w:val="en-US" w:eastAsia="zh-CN"/>
                      <w14:textFill>
                        <w14:solidFill>
                          <w14:schemeClr w14:val="tx1"/>
                        </w14:solidFill>
                      </w14:textFill>
                    </w:rPr>
                    <w:t>厂区中心</w:t>
                  </w:r>
                </w:p>
              </w:tc>
              <w:tc>
                <w:tcPr>
                  <w:tcW w:w="1097" w:type="dxa"/>
                  <w:vMerge w:val="continue"/>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pacing w:val="-12"/>
                      <w:sz w:val="21"/>
                      <w:szCs w:val="21"/>
                      <w14:textFill>
                        <w14:solidFill>
                          <w14:schemeClr w14:val="tx1"/>
                        </w14:solidFill>
                      </w14:textFill>
                    </w:rPr>
                  </w:pPr>
                </w:p>
              </w:tc>
              <w:tc>
                <w:tcPr>
                  <w:tcW w:w="1097" w:type="dxa"/>
                  <w:vMerge w:val="continue"/>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pacing w:val="-12"/>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2"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
                      <w:sz w:val="21"/>
                      <w:szCs w:val="21"/>
                      <w14:textFill>
                        <w14:solidFill>
                          <w14:schemeClr w14:val="tx1"/>
                        </w14:solidFill>
                      </w14:textFill>
                    </w:rPr>
                    <w:t>干物质(风干土)%</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99.4</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99.3</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99.6</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99.5</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99.3</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4"/>
                      <w:sz w:val="21"/>
                      <w:szCs w:val="21"/>
                      <w14:textFill>
                        <w14:solidFill>
                          <w14:schemeClr w14:val="tx1"/>
                        </w14:solidFill>
                      </w14:textFill>
                    </w:rPr>
                    <w:t>—</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5"/>
                      <w:sz w:val="21"/>
                      <w:szCs w:val="21"/>
                      <w14:textFill>
                        <w14:solidFill>
                          <w14:schemeClr w14:val="tx1"/>
                        </w14:solidFill>
                      </w14:textFill>
                    </w:rPr>
                    <w:t>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2"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水分(风干土)%</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0.4</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0.7</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0.4</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0.5</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0.7</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5"/>
                      <w:sz w:val="21"/>
                      <w:szCs w:val="21"/>
                      <w14:textFill>
                        <w14:solidFill>
                          <w14:schemeClr w14:val="tx1"/>
                        </w14:solidFill>
                      </w14:textFill>
                    </w:rPr>
                    <w:t>一</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5"/>
                      <w:sz w:val="21"/>
                      <w:szCs w:val="21"/>
                      <w14:textFill>
                        <w14:solidFill>
                          <w14:schemeClr w14:val="tx1"/>
                        </w14:solidFill>
                      </w14:textFill>
                    </w:rPr>
                    <w:t>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2"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
                      <w:sz w:val="21"/>
                      <w:szCs w:val="21"/>
                      <w14:textFill>
                        <w14:solidFill>
                          <w14:schemeClr w14:val="tx1"/>
                        </w14:solidFill>
                      </w14:textFill>
                    </w:rPr>
                    <w:t>干物质(新鲜土)%</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99.2</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97.0</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96.0</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95.4</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97.2</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4"/>
                      <w:sz w:val="21"/>
                      <w:szCs w:val="21"/>
                      <w14:textFill>
                        <w14:solidFill>
                          <w14:schemeClr w14:val="tx1"/>
                        </w14:solidFill>
                      </w14:textFill>
                    </w:rPr>
                    <w:t>—</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5"/>
                      <w:sz w:val="21"/>
                      <w:szCs w:val="21"/>
                      <w14:textFill>
                        <w14:solidFill>
                          <w14:schemeClr w14:val="tx1"/>
                        </w14:solidFill>
                      </w14:textFill>
                    </w:rPr>
                    <w:t>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2"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水分(新鲜土)%</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0.8</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3.1</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4.2</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4.8</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2.9</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5"/>
                      <w:sz w:val="21"/>
                      <w:szCs w:val="21"/>
                      <w14:textFill>
                        <w14:solidFill>
                          <w14:schemeClr w14:val="tx1"/>
                        </w14:solidFill>
                      </w14:textFill>
                    </w:rPr>
                    <w:t>一</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5"/>
                      <w:sz w:val="21"/>
                      <w:szCs w:val="21"/>
                      <w14:textFill>
                        <w14:solidFill>
                          <w14:schemeClr w14:val="tx1"/>
                        </w14:solidFill>
                      </w14:textFill>
                    </w:rPr>
                    <w:t>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砷</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0.733</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0.639</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0.857</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0.691</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0.700</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8"/>
                      <w:sz w:val="21"/>
                      <w:szCs w:val="21"/>
                      <w14:textFill>
                        <w14:solidFill>
                          <w14:schemeClr w14:val="tx1"/>
                        </w14:solidFill>
                      </w14:textFill>
                    </w:rPr>
                    <w:t>≤60</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汞</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8"/>
                      <w:sz w:val="21"/>
                      <w:szCs w:val="21"/>
                      <w14:textFill>
                        <w14:solidFill>
                          <w14:schemeClr w14:val="tx1"/>
                        </w14:solidFill>
                      </w14:textFill>
                    </w:rPr>
                    <w:t>≤38</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铜</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≤18000</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铅</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≤800</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镉</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0.04</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0.01</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0.02</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0.04</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0.06</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8"/>
                      <w:sz w:val="21"/>
                      <w:szCs w:val="21"/>
                      <w14:textFill>
                        <w14:solidFill>
                          <w14:schemeClr w14:val="tx1"/>
                        </w14:solidFill>
                      </w14:textFill>
                    </w:rPr>
                    <w:t>≤65</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镍</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≤900</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≤4</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甲苯</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≤1200</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2"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
                      <w:sz w:val="21"/>
                      <w:szCs w:val="21"/>
                      <w14:textFill>
                        <w14:solidFill>
                          <w14:schemeClr w14:val="tx1"/>
                        </w14:solidFill>
                      </w14:textFill>
                    </w:rPr>
                    <w:t>间，对-二甲苯</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≤570</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邻二甲苯</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未检出</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≤640</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石油类</w:t>
                  </w:r>
                </w:p>
              </w:tc>
              <w:tc>
                <w:tcPr>
                  <w:tcW w:w="109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1355</w:t>
                  </w:r>
                </w:p>
              </w:tc>
              <w:tc>
                <w:tcPr>
                  <w:tcW w:w="1097" w:type="dxa"/>
                  <w:shd w:val="clear" w:color="auto" w:fill="auto"/>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cs="Times New Roman"/>
                      <w:color w:val="000000" w:themeColor="text1"/>
                      <w:sz w:val="21"/>
                      <w:szCs w:val="21"/>
                      <w:lang w:val="en-US" w:eastAsia="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376</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30</w:t>
                  </w:r>
                </w:p>
              </w:tc>
              <w:tc>
                <w:tcPr>
                  <w:tcW w:w="1097"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97</w:t>
                  </w:r>
                </w:p>
              </w:tc>
              <w:tc>
                <w:tcPr>
                  <w:tcW w:w="1099" w:type="dxa"/>
                  <w:shd w:val="clear" w:color="auto" w:fill="auto"/>
                  <w:vAlign w:val="center"/>
                </w:tcPr>
                <w:p>
                  <w:pPr>
                    <w:pStyle w:val="96"/>
                    <w:keepNext w:val="0"/>
                    <w:keepLines w:val="0"/>
                    <w:pageBreakBefore w:val="0"/>
                    <w:wordWrap/>
                    <w:overflowPunct/>
                    <w:topLinePunct w:val="0"/>
                    <w:bidi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1545</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5"/>
                      <w:sz w:val="21"/>
                      <w:szCs w:val="21"/>
                      <w14:textFill>
                        <w14:solidFill>
                          <w14:schemeClr w14:val="tx1"/>
                        </w14:solidFill>
                      </w14:textFill>
                    </w:rPr>
                    <w:t>一</w:t>
                  </w:r>
                </w:p>
              </w:tc>
              <w:tc>
                <w:tcPr>
                  <w:tcW w:w="1097" w:type="dxa"/>
                  <w:vAlign w:val="center"/>
                </w:tcPr>
                <w:p>
                  <w:pPr>
                    <w:pStyle w:val="96"/>
                    <w:keepNext w:val="0"/>
                    <w:keepLines w:val="0"/>
                    <w:pageBreakBefore w:val="0"/>
                    <w:wordWrap/>
                    <w:overflowPunct/>
                    <w:topLinePunct w:val="0"/>
                    <w:bidi w:val="0"/>
                    <w:adjustRightInd w:val="0"/>
                    <w:snapToGrid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position w:val="-5"/>
                      <w:sz w:val="21"/>
                      <w:szCs w:val="21"/>
                      <w14:textFill>
                        <w14:solidFill>
                          <w14:schemeClr w14:val="tx1"/>
                        </w14:solidFill>
                      </w14:textFill>
                    </w:rPr>
                    <w:t>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8778" w:type="dxa"/>
                  <w:gridSpan w:val="8"/>
                  <w:vAlign w:val="center"/>
                </w:tcPr>
                <w:p>
                  <w:pPr>
                    <w:keepNext w:val="0"/>
                    <w:keepLines w:val="0"/>
                    <w:pageBreakBefore w:val="0"/>
                    <w:wordWrap/>
                    <w:overflowPunct/>
                    <w:topLinePunct w:val="0"/>
                    <w:bidi w:val="0"/>
                    <w:adjustRightInd w:val="0"/>
                    <w:snapToGrid w:val="0"/>
                    <w:spacing w:line="240" w:lineRule="auto"/>
                    <w:ind w:left="0" w:firstLine="0" w:firstLineChars="0"/>
                    <w:jc w:val="center"/>
                    <w:rPr>
                      <w:rFonts w:hint="default" w:ascii="Times New Roman" w:hAnsi="Times New Roman" w:eastAsia="宋体" w:cs="Times New Roman"/>
                      <w:color w:val="000000" w:themeColor="text1"/>
                      <w:position w:val="-5"/>
                      <w:sz w:val="21"/>
                      <w:szCs w:val="21"/>
                      <w:lang w:val="en-US" w:eastAsia="zh-CN"/>
                      <w14:textFill>
                        <w14:solidFill>
                          <w14:schemeClr w14:val="tx1"/>
                        </w14:solidFill>
                      </w14:textFill>
                    </w:rPr>
                  </w:pPr>
                  <w:r>
                    <w:rPr>
                      <w:rFonts w:hint="default" w:ascii="Times New Roman" w:hAnsi="Times New Roman" w:cs="Times New Roman"/>
                      <w:color w:val="000000" w:themeColor="text1"/>
                      <w:position w:val="-5"/>
                      <w:sz w:val="21"/>
                      <w:szCs w:val="21"/>
                      <w:lang w:val="en-US" w:eastAsia="zh-CN"/>
                      <w14:textFill>
                        <w14:solidFill>
                          <w14:schemeClr w14:val="tx1"/>
                        </w14:solidFill>
                      </w14:textFill>
                    </w:rPr>
                    <w:t>注</w:t>
                  </w:r>
                  <w:r>
                    <w:rPr>
                      <w:rFonts w:hint="default" w:ascii="Times New Roman" w:hAnsi="Times New Roman" w:eastAsia="宋体" w:cs="Times New Roman"/>
                      <w:color w:val="000000" w:themeColor="text1"/>
                      <w:spacing w:val="-2"/>
                      <w:sz w:val="21"/>
                      <w:szCs w:val="21"/>
                      <w14:textFill>
                        <w14:solidFill>
                          <w14:schemeClr w14:val="tx1"/>
                        </w14:solidFill>
                      </w14:textFill>
                    </w:rPr>
                    <w:t>执行《土壤环境质量</w:t>
                  </w:r>
                  <w:r>
                    <w:rPr>
                      <w:rFonts w:hint="default" w:ascii="Times New Roman" w:hAnsi="Times New Roman" w:eastAsia="宋体" w:cs="Times New Roman"/>
                      <w:color w:val="000000" w:themeColor="text1"/>
                      <w:spacing w:val="-2"/>
                      <w:sz w:val="2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14:textFill>
                        <w14:solidFill>
                          <w14:schemeClr w14:val="tx1"/>
                        </w14:solidFill>
                      </w14:textFill>
                    </w:rPr>
                    <w:t>建设用地士壤污染风险管控标准》GB36600-2018(筛选</w:t>
                  </w:r>
                  <w:r>
                    <w:rPr>
                      <w:rFonts w:hint="default" w:ascii="Times New Roman" w:hAnsi="Times New Roman" w:eastAsia="宋体" w:cs="Times New Roman"/>
                      <w:color w:val="000000" w:themeColor="text1"/>
                      <w:spacing w:val="-2"/>
                      <w:sz w:val="21"/>
                      <w:szCs w:val="21"/>
                      <w:u w:val="single" w:color="auto"/>
                      <w14:textFill>
                        <w14:solidFill>
                          <w14:schemeClr w14:val="tx1"/>
                        </w14:solidFill>
                      </w14:textFill>
                    </w:rPr>
                    <w:t>值</w:t>
                  </w:r>
                  <w:r>
                    <w:rPr>
                      <w:rFonts w:hint="default" w:ascii="Times New Roman" w:hAnsi="Times New Roman" w:eastAsia="宋体" w:cs="Times New Roman"/>
                      <w:color w:val="000000" w:themeColor="text1"/>
                      <w:spacing w:val="-2"/>
                      <w:sz w:val="21"/>
                      <w:szCs w:val="21"/>
                      <w14:textFill>
                        <w14:solidFill>
                          <w14:schemeClr w14:val="tx1"/>
                        </w14:solidFill>
                      </w14:textFill>
                    </w:rPr>
                    <w:t>中第二类用地)</w:t>
                  </w:r>
                </w:p>
              </w:tc>
            </w:tr>
          </w:tbl>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baseline"/>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 xml:space="preserve">由上表中的监测结果可知，项目土壤的各项因子均满足《土壤环境质量  </w:t>
            </w:r>
          </w:p>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baseline"/>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建设用地土壤污染风险管控标准（试行）》（GB36600-2018）表1和表2中第二类用地标准，区域土壤环境质量良好。</w:t>
            </w:r>
          </w:p>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baseline"/>
              <w:rPr>
                <w:rFonts w:hint="eastAsia" w:cs="Times New Roman"/>
                <w:color w:val="000000" w:themeColor="text1"/>
                <w:sz w:val="24"/>
                <w:szCs w:val="24"/>
                <w:lang w:val="en-US" w:eastAsia="zh-CN"/>
                <w14:textFill>
                  <w14:solidFill>
                    <w14:schemeClr w14:val="tx1"/>
                  </w14:solidFill>
                </w14:textFill>
              </w:rPr>
            </w:pPr>
            <w:commentRangeStart w:id="62"/>
            <w:r>
              <w:rPr>
                <w:rFonts w:hint="eastAsia" w:cs="Times New Roman"/>
                <w:color w:val="000000" w:themeColor="text1"/>
                <w:sz w:val="24"/>
                <w:szCs w:val="24"/>
                <w:lang w:val="en-US" w:eastAsia="zh-CN"/>
                <w14:textFill>
                  <w14:solidFill>
                    <w14:schemeClr w14:val="tx1"/>
                  </w14:solidFill>
                </w14:textFill>
              </w:rPr>
              <w:t>评价期间，</w:t>
            </w:r>
            <w:r>
              <w:commentReference w:id="63"/>
            </w:r>
            <w:r>
              <w:rPr>
                <w:rFonts w:hint="eastAsia" w:cs="Times New Roman"/>
                <w:color w:val="000000" w:themeColor="text1"/>
                <w:sz w:val="24"/>
                <w:szCs w:val="24"/>
                <w:lang w:val="en-US" w:eastAsia="zh-CN"/>
                <w14:textFill>
                  <w14:solidFill>
                    <w14:schemeClr w14:val="tx1"/>
                  </w14:solidFill>
                </w14:textFill>
              </w:rPr>
              <w:t>建设单位</w:t>
            </w:r>
            <w:r>
              <w:rPr>
                <w:rFonts w:hint="eastAsia" w:cs="Times New Roman"/>
                <w:color w:val="FF0000"/>
                <w:sz w:val="24"/>
                <w:szCs w:val="24"/>
                <w:lang w:val="en-US" w:eastAsia="zh-CN"/>
              </w:rPr>
              <w:t>于2026年1月12日</w:t>
            </w:r>
            <w:r>
              <w:rPr>
                <w:rFonts w:hint="eastAsia" w:cs="Times New Roman"/>
                <w:color w:val="000000" w:themeColor="text1"/>
                <w:sz w:val="24"/>
                <w:szCs w:val="24"/>
                <w:lang w:val="en-US" w:eastAsia="zh-CN"/>
                <w14:textFill>
                  <w14:solidFill>
                    <w14:schemeClr w14:val="tx1"/>
                  </w14:solidFill>
                </w14:textFill>
              </w:rPr>
              <w:t>委托内蒙古耀翊环保有限公司对厂区内罐区、装卸区、厂区进行了补充监测，具体监测点位及监测因子见下表，补充监测布点图见图3-3，</w:t>
            </w:r>
            <w:r>
              <w:rPr>
                <w:rFonts w:hint="eastAsia" w:cs="Times New Roman"/>
                <w:color w:val="FF0000"/>
                <w:sz w:val="24"/>
                <w:szCs w:val="24"/>
                <w:lang w:val="en-US" w:eastAsia="zh-CN"/>
              </w:rPr>
              <w:t>检测报告见附件10。</w:t>
            </w:r>
            <w:commentRangeEnd w:id="62"/>
            <w:r>
              <w:commentReference w:id="62"/>
            </w:r>
          </w:p>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firstLine="481" w:firstLineChars="200"/>
              <w:jc w:val="center"/>
              <w:textAlignment w:val="baseline"/>
              <w:rPr>
                <w:rFonts w:hint="eastAsia"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表3-6 补充监测信息一览表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4"/>
              <w:gridCol w:w="4489"/>
              <w:gridCol w:w="2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259" w:type="pct"/>
                  <w:noWrap w:val="0"/>
                  <w:vAlign w:val="center"/>
                </w:tcPr>
                <w:p>
                  <w:pPr>
                    <w:pStyle w:val="111"/>
                    <w:rPr>
                      <w:rFonts w:hint="eastAsia" w:ascii="宋体" w:hAnsi="宋体" w:eastAsia="宋体" w:cs="宋体"/>
                      <w:b w:val="0"/>
                      <w:bCs/>
                      <w:sz w:val="21"/>
                      <w:szCs w:val="21"/>
                    </w:rPr>
                  </w:pPr>
                  <w:r>
                    <w:rPr>
                      <w:rFonts w:hint="eastAsia" w:ascii="宋体" w:hAnsi="宋体" w:eastAsia="宋体" w:cs="宋体"/>
                      <w:b w:val="0"/>
                      <w:bCs/>
                      <w:sz w:val="21"/>
                      <w:szCs w:val="21"/>
                    </w:rPr>
                    <w:t>检测点位</w:t>
                  </w:r>
                </w:p>
              </w:tc>
              <w:tc>
                <w:tcPr>
                  <w:tcW w:w="2552" w:type="pct"/>
                  <w:noWrap w:val="0"/>
                  <w:vAlign w:val="center"/>
                </w:tcPr>
                <w:p>
                  <w:pPr>
                    <w:pStyle w:val="111"/>
                    <w:rPr>
                      <w:rFonts w:hint="eastAsia" w:ascii="宋体" w:hAnsi="宋体" w:eastAsia="宋体" w:cs="宋体"/>
                      <w:b w:val="0"/>
                      <w:bCs/>
                      <w:sz w:val="21"/>
                      <w:szCs w:val="21"/>
                    </w:rPr>
                  </w:pPr>
                  <w:r>
                    <w:rPr>
                      <w:rFonts w:hint="eastAsia" w:ascii="宋体" w:hAnsi="宋体" w:eastAsia="宋体" w:cs="宋体"/>
                      <w:b w:val="0"/>
                      <w:bCs/>
                      <w:sz w:val="21"/>
                      <w:szCs w:val="21"/>
                    </w:rPr>
                    <w:t>检测项目</w:t>
                  </w:r>
                </w:p>
              </w:tc>
              <w:tc>
                <w:tcPr>
                  <w:tcW w:w="1188" w:type="pct"/>
                  <w:noWrap w:val="0"/>
                  <w:vAlign w:val="center"/>
                </w:tcPr>
                <w:p>
                  <w:pPr>
                    <w:pStyle w:val="111"/>
                    <w:rPr>
                      <w:rFonts w:hint="eastAsia" w:ascii="宋体" w:hAnsi="宋体" w:eastAsia="宋体" w:cs="宋体"/>
                      <w:b w:val="0"/>
                      <w:bCs/>
                      <w:sz w:val="21"/>
                      <w:szCs w:val="21"/>
                    </w:rPr>
                  </w:pPr>
                  <w:r>
                    <w:rPr>
                      <w:rFonts w:hint="eastAsia" w:ascii="宋体" w:hAnsi="宋体" w:eastAsia="宋体" w:cs="宋体"/>
                      <w:b w:val="0"/>
                      <w:bCs/>
                      <w:sz w:val="21"/>
                      <w:szCs w:val="21"/>
                    </w:rPr>
                    <w:t>检测频次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 w:hRule="atLeast"/>
              </w:trPr>
              <w:tc>
                <w:tcPr>
                  <w:tcW w:w="1259" w:type="pct"/>
                  <w:noWrap w:val="0"/>
                  <w:vAlign w:val="center"/>
                </w:tcPr>
                <w:p>
                  <w:pPr>
                    <w:spacing w:line="240" w:lineRule="auto"/>
                    <w:ind w:left="0" w:leftChars="0" w:firstLine="0" w:firstLineChars="0"/>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kern w:val="2"/>
                      <w:sz w:val="21"/>
                      <w:szCs w:val="21"/>
                      <w:lang w:val="en-US" w:eastAsia="zh-CN" w:bidi="ar-SA"/>
                    </w:rPr>
                    <w:t>1#</w:t>
                  </w:r>
                  <w:r>
                    <w:rPr>
                      <w:rFonts w:hint="eastAsia" w:ascii="宋体" w:hAnsi="宋体" w:eastAsia="宋体" w:cs="宋体"/>
                      <w:b w:val="0"/>
                      <w:bCs w:val="0"/>
                      <w:color w:val="auto"/>
                      <w:sz w:val="21"/>
                      <w:szCs w:val="21"/>
                      <w:lang w:val="en-US" w:eastAsia="zh-CN"/>
                    </w:rPr>
                    <w:t>罐区表层样</w:t>
                  </w:r>
                </w:p>
              </w:tc>
              <w:tc>
                <w:tcPr>
                  <w:tcW w:w="2552" w:type="pct"/>
                  <w:vMerge w:val="restart"/>
                  <w:noWrap w:val="0"/>
                  <w:vAlign w:val="center"/>
                </w:tcPr>
                <w:p>
                  <w:pPr>
                    <w:pStyle w:val="111"/>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000000"/>
                      <w:spacing w:val="-11"/>
                      <w:sz w:val="21"/>
                      <w:szCs w:val="21"/>
                      <w:lang w:val="en-US" w:eastAsia="zh-CN"/>
                    </w:rPr>
                    <w:t>pH</w:t>
                  </w:r>
                  <w:r>
                    <w:rPr>
                      <w:rFonts w:hint="eastAsia" w:ascii="宋体" w:hAnsi="宋体" w:eastAsia="宋体" w:cs="宋体"/>
                      <w:b w:val="0"/>
                      <w:bCs/>
                      <w:color w:val="0000FF"/>
                      <w:spacing w:val="-11"/>
                      <w:sz w:val="21"/>
                      <w:szCs w:val="21"/>
                      <w:lang w:val="en-US" w:eastAsia="zh-CN"/>
                    </w:rPr>
                    <w:t>、</w:t>
                  </w:r>
                  <w:r>
                    <w:rPr>
                      <w:rFonts w:hint="eastAsia" w:ascii="宋体" w:hAnsi="宋体" w:eastAsia="宋体" w:cs="宋体"/>
                      <w:b w:val="0"/>
                      <w:bCs/>
                      <w:color w:val="auto"/>
                      <w:spacing w:val="-11"/>
                      <w:sz w:val="21"/>
                      <w:szCs w:val="21"/>
                      <w:lang w:val="en-US" w:eastAsia="zh-CN"/>
                    </w:rPr>
                    <w:t>砷、镉、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对二甲苯、邻二甲苯、硝基苯、苯胺、2-氯酚、苯并（a）蒽、苯并（a）芘、苯并（b）荧蒽、苯并（k）荧蒽、䓛、二苯并（a,h）蒽、茚并（1,2,3-cd）芘、萘、石油烃、阳离子交换量、氧化还原电位、容重、水溶性盐总量</w:t>
                  </w:r>
                </w:p>
              </w:tc>
              <w:tc>
                <w:tcPr>
                  <w:tcW w:w="1188" w:type="pct"/>
                  <w:vMerge w:val="restart"/>
                  <w:noWrap w:val="0"/>
                  <w:vAlign w:val="center"/>
                </w:tcPr>
                <w:p>
                  <w:pPr>
                    <w:pStyle w:val="111"/>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1次/天，检测1天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 w:hRule="atLeast"/>
              </w:trPr>
              <w:tc>
                <w:tcPr>
                  <w:tcW w:w="1259" w:type="pct"/>
                  <w:noWrap w:val="0"/>
                  <w:vAlign w:val="center"/>
                </w:tcPr>
                <w:p>
                  <w:pPr>
                    <w:spacing w:line="240" w:lineRule="auto"/>
                    <w:ind w:left="0" w:leftChars="0" w:firstLine="0" w:firstLineChars="0"/>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kern w:val="2"/>
                      <w:sz w:val="21"/>
                      <w:szCs w:val="21"/>
                      <w:lang w:val="en-US" w:eastAsia="zh-CN" w:bidi="ar-SA"/>
                    </w:rPr>
                    <w:t>1#</w:t>
                  </w:r>
                  <w:r>
                    <w:rPr>
                      <w:rFonts w:hint="eastAsia" w:ascii="宋体" w:hAnsi="宋体" w:eastAsia="宋体" w:cs="宋体"/>
                      <w:b w:val="0"/>
                      <w:bCs w:val="0"/>
                      <w:color w:val="auto"/>
                      <w:sz w:val="21"/>
                      <w:szCs w:val="21"/>
                      <w:lang w:val="en-US" w:eastAsia="zh-CN"/>
                    </w:rPr>
                    <w:t>罐区中层样</w:t>
                  </w:r>
                </w:p>
              </w:tc>
              <w:tc>
                <w:tcPr>
                  <w:tcW w:w="2552"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c>
                <w:tcPr>
                  <w:tcW w:w="1188"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 w:hRule="atLeast"/>
              </w:trPr>
              <w:tc>
                <w:tcPr>
                  <w:tcW w:w="1259" w:type="pct"/>
                  <w:noWrap w:val="0"/>
                  <w:vAlign w:val="center"/>
                </w:tcPr>
                <w:p>
                  <w:pPr>
                    <w:spacing w:line="240" w:lineRule="auto"/>
                    <w:ind w:left="0" w:leftChars="0" w:firstLine="0" w:firstLineChars="0"/>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kern w:val="2"/>
                      <w:sz w:val="21"/>
                      <w:szCs w:val="21"/>
                      <w:lang w:val="en-US" w:eastAsia="zh-CN" w:bidi="ar-SA"/>
                    </w:rPr>
                    <w:t>1#</w:t>
                  </w:r>
                  <w:r>
                    <w:rPr>
                      <w:rFonts w:hint="eastAsia" w:ascii="宋体" w:hAnsi="宋体" w:eastAsia="宋体" w:cs="宋体"/>
                      <w:b w:val="0"/>
                      <w:bCs w:val="0"/>
                      <w:color w:val="auto"/>
                      <w:sz w:val="21"/>
                      <w:szCs w:val="21"/>
                      <w:lang w:val="en-US" w:eastAsia="zh-CN"/>
                    </w:rPr>
                    <w:t>罐区深层样</w:t>
                  </w:r>
                </w:p>
              </w:tc>
              <w:tc>
                <w:tcPr>
                  <w:tcW w:w="2552"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c>
                <w:tcPr>
                  <w:tcW w:w="1188"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259" w:type="pct"/>
                  <w:noWrap w:val="0"/>
                  <w:vAlign w:val="center"/>
                </w:tcPr>
                <w:p>
                  <w:pPr>
                    <w:spacing w:line="240" w:lineRule="auto"/>
                    <w:ind w:left="0" w:leftChars="0" w:firstLine="0" w:firstLineChars="0"/>
                    <w:jc w:val="center"/>
                    <w:rPr>
                      <w:rFonts w:hint="eastAsia" w:ascii="宋体" w:hAnsi="宋体" w:eastAsia="宋体" w:cs="宋体"/>
                      <w:b w:val="0"/>
                      <w:bCs/>
                      <w:kern w:val="2"/>
                      <w:sz w:val="21"/>
                      <w:szCs w:val="21"/>
                      <w:lang w:val="en-US" w:eastAsia="zh-CN" w:bidi="ar-SA"/>
                    </w:rPr>
                  </w:pPr>
                  <w:r>
                    <w:rPr>
                      <w:rFonts w:hint="eastAsia" w:ascii="宋体" w:hAnsi="宋体" w:eastAsia="宋体" w:cs="宋体"/>
                      <w:sz w:val="21"/>
                      <w:szCs w:val="21"/>
                      <w:lang w:val="en-US" w:eastAsia="zh-CN"/>
                    </w:rPr>
                    <w:t>2#装卸区</w:t>
                  </w:r>
                  <w:r>
                    <w:rPr>
                      <w:rFonts w:hint="eastAsia" w:ascii="宋体" w:hAnsi="宋体" w:eastAsia="宋体" w:cs="宋体"/>
                      <w:b w:val="0"/>
                      <w:bCs w:val="0"/>
                      <w:color w:val="auto"/>
                      <w:sz w:val="21"/>
                      <w:szCs w:val="21"/>
                      <w:lang w:val="en-US" w:eastAsia="zh-CN"/>
                    </w:rPr>
                    <w:t>表层样</w:t>
                  </w:r>
                </w:p>
              </w:tc>
              <w:tc>
                <w:tcPr>
                  <w:tcW w:w="2552" w:type="pct"/>
                  <w:vMerge w:val="restart"/>
                  <w:noWrap w:val="0"/>
                  <w:vAlign w:val="center"/>
                </w:tcPr>
                <w:p>
                  <w:pPr>
                    <w:pStyle w:val="111"/>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石油烃、阳离子交换量、氧化还原电位、容重、水溶性盐总量</w:t>
                  </w:r>
                </w:p>
              </w:tc>
              <w:tc>
                <w:tcPr>
                  <w:tcW w:w="1188"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259" w:type="pct"/>
                  <w:noWrap w:val="0"/>
                  <w:vAlign w:val="center"/>
                </w:tcPr>
                <w:p>
                  <w:pPr>
                    <w:spacing w:line="240" w:lineRule="auto"/>
                    <w:ind w:left="0" w:leftChars="0" w:firstLine="0" w:firstLineChars="0"/>
                    <w:jc w:val="center"/>
                    <w:rPr>
                      <w:rFonts w:hint="eastAsia" w:ascii="宋体" w:hAnsi="宋体" w:eastAsia="宋体" w:cs="宋体"/>
                      <w:b w:val="0"/>
                      <w:bCs/>
                      <w:kern w:val="2"/>
                      <w:sz w:val="21"/>
                      <w:szCs w:val="21"/>
                      <w:lang w:val="en-US" w:eastAsia="zh-CN" w:bidi="ar-SA"/>
                    </w:rPr>
                  </w:pPr>
                  <w:r>
                    <w:rPr>
                      <w:rFonts w:hint="eastAsia" w:ascii="宋体" w:hAnsi="宋体" w:eastAsia="宋体" w:cs="宋体"/>
                      <w:sz w:val="21"/>
                      <w:szCs w:val="21"/>
                      <w:lang w:val="en-US" w:eastAsia="zh-CN"/>
                    </w:rPr>
                    <w:t>2#装卸区</w:t>
                  </w:r>
                  <w:r>
                    <w:rPr>
                      <w:rFonts w:hint="eastAsia" w:ascii="宋体" w:hAnsi="宋体" w:eastAsia="宋体" w:cs="宋体"/>
                      <w:b w:val="0"/>
                      <w:bCs w:val="0"/>
                      <w:color w:val="auto"/>
                      <w:sz w:val="21"/>
                      <w:szCs w:val="21"/>
                      <w:lang w:val="en-US" w:eastAsia="zh-CN"/>
                    </w:rPr>
                    <w:t>中层样</w:t>
                  </w:r>
                </w:p>
              </w:tc>
              <w:tc>
                <w:tcPr>
                  <w:tcW w:w="2552"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c>
                <w:tcPr>
                  <w:tcW w:w="1188"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259" w:type="pct"/>
                  <w:noWrap w:val="0"/>
                  <w:vAlign w:val="center"/>
                </w:tcPr>
                <w:p>
                  <w:pPr>
                    <w:spacing w:line="240" w:lineRule="auto"/>
                    <w:ind w:left="0" w:leftChars="0" w:firstLine="0" w:firstLineChars="0"/>
                    <w:jc w:val="center"/>
                    <w:rPr>
                      <w:rFonts w:hint="eastAsia" w:ascii="宋体" w:hAnsi="宋体" w:eastAsia="宋体" w:cs="宋体"/>
                      <w:b w:val="0"/>
                      <w:bCs/>
                      <w:kern w:val="2"/>
                      <w:sz w:val="21"/>
                      <w:szCs w:val="21"/>
                      <w:lang w:val="en-US" w:eastAsia="zh-CN" w:bidi="ar-SA"/>
                    </w:rPr>
                  </w:pPr>
                  <w:r>
                    <w:rPr>
                      <w:rFonts w:hint="eastAsia" w:ascii="宋体" w:hAnsi="宋体" w:eastAsia="宋体" w:cs="宋体"/>
                      <w:sz w:val="21"/>
                      <w:szCs w:val="21"/>
                      <w:lang w:val="en-US" w:eastAsia="zh-CN"/>
                    </w:rPr>
                    <w:t>2#装卸区</w:t>
                  </w:r>
                  <w:r>
                    <w:rPr>
                      <w:rFonts w:hint="eastAsia" w:ascii="宋体" w:hAnsi="宋体" w:eastAsia="宋体" w:cs="宋体"/>
                      <w:b w:val="0"/>
                      <w:bCs w:val="0"/>
                      <w:color w:val="auto"/>
                      <w:sz w:val="21"/>
                      <w:szCs w:val="21"/>
                      <w:lang w:val="en-US" w:eastAsia="zh-CN"/>
                    </w:rPr>
                    <w:t>深层样</w:t>
                  </w:r>
                </w:p>
              </w:tc>
              <w:tc>
                <w:tcPr>
                  <w:tcW w:w="2552"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c>
                <w:tcPr>
                  <w:tcW w:w="1188"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259" w:type="pct"/>
                  <w:noWrap w:val="0"/>
                  <w:vAlign w:val="center"/>
                </w:tcPr>
                <w:p>
                  <w:pPr>
                    <w:spacing w:line="240" w:lineRule="auto"/>
                    <w:ind w:left="0" w:leftChars="0" w:firstLine="0" w:firstLineChars="0"/>
                    <w:jc w:val="center"/>
                    <w:rPr>
                      <w:rFonts w:hint="eastAsia" w:ascii="宋体" w:hAnsi="宋体" w:eastAsia="宋体" w:cs="宋体"/>
                      <w:b w:val="0"/>
                      <w:bCs/>
                      <w:kern w:val="2"/>
                      <w:sz w:val="21"/>
                      <w:szCs w:val="21"/>
                      <w:lang w:val="en-US" w:eastAsia="zh-CN" w:bidi="ar-SA"/>
                    </w:rPr>
                  </w:pPr>
                  <w:r>
                    <w:rPr>
                      <w:rFonts w:hint="eastAsia" w:ascii="宋体" w:hAnsi="宋体" w:eastAsia="宋体" w:cs="宋体"/>
                      <w:sz w:val="21"/>
                      <w:szCs w:val="21"/>
                      <w:lang w:val="en-US" w:eastAsia="zh-CN"/>
                    </w:rPr>
                    <w:t>3#厂外</w:t>
                  </w:r>
                  <w:r>
                    <w:rPr>
                      <w:rFonts w:hint="eastAsia" w:ascii="宋体" w:hAnsi="宋体" w:eastAsia="宋体" w:cs="宋体"/>
                      <w:b w:val="0"/>
                      <w:bCs w:val="0"/>
                      <w:color w:val="auto"/>
                      <w:sz w:val="21"/>
                      <w:szCs w:val="21"/>
                      <w:lang w:val="en-US" w:eastAsia="zh-CN"/>
                    </w:rPr>
                    <w:t>表层样</w:t>
                  </w:r>
                </w:p>
              </w:tc>
              <w:tc>
                <w:tcPr>
                  <w:tcW w:w="2552" w:type="pct"/>
                  <w:noWrap w:val="0"/>
                  <w:vAlign w:val="center"/>
                </w:tcPr>
                <w:p>
                  <w:pPr>
                    <w:pStyle w:val="111"/>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石油烃、阳离子交换量、氧化还原电位、容重、水溶性盐总量</w:t>
                  </w:r>
                </w:p>
              </w:tc>
              <w:tc>
                <w:tcPr>
                  <w:tcW w:w="1188"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259" w:type="pct"/>
                  <w:noWrap w:val="0"/>
                  <w:vAlign w:val="center"/>
                </w:tcPr>
                <w:p>
                  <w:pPr>
                    <w:spacing w:line="240" w:lineRule="auto"/>
                    <w:ind w:left="0" w:leftChars="0" w:firstLine="0" w:firstLineChars="0"/>
                    <w:jc w:val="center"/>
                    <w:rPr>
                      <w:rFonts w:hint="eastAsia" w:ascii="宋体" w:hAnsi="宋体" w:eastAsia="宋体" w:cs="宋体"/>
                      <w:b w:val="0"/>
                      <w:bCs/>
                      <w:kern w:val="2"/>
                      <w:sz w:val="21"/>
                      <w:szCs w:val="21"/>
                      <w:lang w:val="en-US" w:eastAsia="zh-CN" w:bidi="ar-SA"/>
                    </w:rPr>
                  </w:pPr>
                  <w:r>
                    <w:rPr>
                      <w:rFonts w:hint="eastAsia" w:ascii="宋体" w:hAnsi="宋体" w:eastAsia="宋体" w:cs="宋体"/>
                      <w:sz w:val="21"/>
                      <w:szCs w:val="21"/>
                      <w:lang w:val="en-US" w:eastAsia="zh-CN"/>
                    </w:rPr>
                    <w:t>4#厂外</w:t>
                  </w:r>
                  <w:r>
                    <w:rPr>
                      <w:rFonts w:hint="eastAsia" w:ascii="宋体" w:hAnsi="宋体" w:eastAsia="宋体" w:cs="宋体"/>
                      <w:b w:val="0"/>
                      <w:bCs w:val="0"/>
                      <w:color w:val="auto"/>
                      <w:sz w:val="21"/>
                      <w:szCs w:val="21"/>
                      <w:lang w:val="en-US" w:eastAsia="zh-CN"/>
                    </w:rPr>
                    <w:t>表层样</w:t>
                  </w:r>
                </w:p>
              </w:tc>
              <w:tc>
                <w:tcPr>
                  <w:tcW w:w="2552" w:type="pct"/>
                  <w:noWrap w:val="0"/>
                  <w:vAlign w:val="center"/>
                </w:tcPr>
                <w:p>
                  <w:pPr>
                    <w:pStyle w:val="111"/>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000000"/>
                      <w:spacing w:val="-17"/>
                      <w:sz w:val="21"/>
                      <w:szCs w:val="21"/>
                      <w:lang w:val="en-US" w:eastAsia="zh-CN"/>
                    </w:rPr>
                    <w:t>pH、</w:t>
                  </w:r>
                  <w:r>
                    <w:rPr>
                      <w:rFonts w:hint="eastAsia" w:ascii="宋体" w:hAnsi="宋体" w:eastAsia="宋体" w:cs="宋体"/>
                      <w:b w:val="0"/>
                      <w:bCs/>
                      <w:color w:val="auto"/>
                      <w:spacing w:val="-17"/>
                      <w:sz w:val="21"/>
                      <w:szCs w:val="21"/>
                      <w:lang w:val="en-US" w:eastAsia="zh-CN"/>
                    </w:rPr>
                    <w:t>镉、铬、汞、砷、铅、铜、镍、锌、石油烃、阳离子交换量、氧化还原电位、容重、水溶性盐总量</w:t>
                  </w:r>
                </w:p>
              </w:tc>
              <w:tc>
                <w:tcPr>
                  <w:tcW w:w="1188" w:type="pct"/>
                  <w:vMerge w:val="continue"/>
                  <w:noWrap w:val="0"/>
                  <w:vAlign w:val="center"/>
                </w:tcPr>
                <w:p>
                  <w:pPr>
                    <w:pStyle w:val="111"/>
                    <w:jc w:val="center"/>
                    <w:rPr>
                      <w:rFonts w:hint="eastAsia" w:ascii="宋体" w:hAnsi="宋体" w:eastAsia="宋体" w:cs="宋体"/>
                      <w:b w:val="0"/>
                      <w:bCs/>
                      <w:color w:val="auto"/>
                      <w:sz w:val="21"/>
                      <w:szCs w:val="21"/>
                      <w:lang w:val="en-US" w:eastAsia="zh-CN"/>
                    </w:rPr>
                  </w:pPr>
                </w:p>
              </w:tc>
            </w:tr>
          </w:tbl>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baseline"/>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drawing>
                <wp:inline distT="0" distB="0" distL="114300" distR="114300">
                  <wp:extent cx="5640705" cy="3580130"/>
                  <wp:effectExtent l="0" t="0" r="17145" b="1270"/>
                  <wp:docPr id="38"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true"/>
                          </pic:cNvPicPr>
                        </pic:nvPicPr>
                        <pic:blipFill>
                          <a:blip r:embed="rId59"/>
                          <a:stretch>
                            <a:fillRect/>
                          </a:stretch>
                        </pic:blipFill>
                        <pic:spPr>
                          <a:xfrm>
                            <a:off x="0" y="0"/>
                            <a:ext cx="5640705" cy="3580130"/>
                          </a:xfrm>
                          <a:prstGeom prst="rect">
                            <a:avLst/>
                          </a:prstGeom>
                          <a:noFill/>
                          <a:ln>
                            <a:noFill/>
                          </a:ln>
                        </pic:spPr>
                      </pic:pic>
                    </a:graphicData>
                  </a:graphic>
                </wp:inline>
              </w:drawing>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图3-3  补充监测布点图</w:t>
            </w:r>
          </w:p>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firstLine="481" w:firstLineChars="200"/>
              <w:jc w:val="center"/>
              <w:textAlignment w:val="baseline"/>
              <w:rPr>
                <w:rFonts w:hint="eastAsia"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表3-7 补充监测结果一览表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3"/>
              <w:gridCol w:w="1683"/>
              <w:gridCol w:w="936"/>
              <w:gridCol w:w="169"/>
              <w:gridCol w:w="543"/>
              <w:gridCol w:w="400"/>
              <w:gridCol w:w="267"/>
              <w:gridCol w:w="638"/>
              <w:gridCol w:w="70"/>
              <w:gridCol w:w="832"/>
              <w:gridCol w:w="173"/>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0" w:type="pct"/>
                  <w:vMerge w:val="restar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样品编号</w:t>
                  </w:r>
                </w:p>
              </w:tc>
              <w:tc>
                <w:tcPr>
                  <w:tcW w:w="954" w:type="pct"/>
                  <w:vMerge w:val="restar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检测项目</w:t>
                  </w:r>
                </w:p>
              </w:tc>
              <w:tc>
                <w:tcPr>
                  <w:tcW w:w="529" w:type="pct"/>
                  <w:vMerge w:val="restar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单位</w:t>
                  </w:r>
                </w:p>
              </w:tc>
              <w:tc>
                <w:tcPr>
                  <w:tcW w:w="1163" w:type="pct"/>
                  <w:gridSpan w:val="5"/>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1#罐区</w:t>
                  </w:r>
                  <w:r>
                    <w:rPr>
                      <w:rFonts w:hint="default" w:ascii="Times New Roman" w:hAnsi="Times New Roman" w:cs="Times New Roman"/>
                      <w:b/>
                      <w:bCs/>
                      <w:color w:val="000000"/>
                      <w:sz w:val="21"/>
                      <w:szCs w:val="21"/>
                      <w:lang w:val="en-US" w:eastAsia="zh-CN"/>
                    </w:rPr>
                    <w:t>测定结果</w:t>
                  </w:r>
                </w:p>
              </w:tc>
              <w:tc>
                <w:tcPr>
                  <w:tcW w:w="609" w:type="pct"/>
                  <w:gridSpan w:val="3"/>
                  <w:vMerge w:val="restar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标准</w:t>
                  </w:r>
                </w:p>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r>
                    <w:rPr>
                      <w:rFonts w:hint="default" w:ascii="Times New Roman" w:hAnsi="Times New Roman" w:cs="Times New Roman"/>
                      <w:b/>
                      <w:bCs/>
                      <w:color w:val="000000"/>
                      <w:sz w:val="21"/>
                      <w:szCs w:val="21"/>
                      <w:lang w:val="en-US" w:eastAsia="zh-CN"/>
                    </w:rPr>
                    <w:t>限值</w:t>
                  </w:r>
                </w:p>
              </w:tc>
              <w:tc>
                <w:tcPr>
                  <w:tcW w:w="792" w:type="pct"/>
                  <w:vMerge w:val="restart"/>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r>
                    <w:rPr>
                      <w:color w:val="FF0000"/>
                    </w:rPr>
                    <w:commentReference w:id="64"/>
                  </w:r>
                  <w:r>
                    <w:rPr>
                      <w:color w:val="FF0000"/>
                    </w:rPr>
                    <w:commentReference w:id="65"/>
                  </w:r>
                  <w:r>
                    <w:rPr>
                      <w:rFonts w:hint="eastAsia" w:ascii="Times New Roman" w:hAnsi="Times New Roman" w:cs="Times New Roman"/>
                      <w:b/>
                      <w:bCs/>
                      <w:color w:val="FF0000"/>
                      <w:sz w:val="21"/>
                      <w:szCs w:val="21"/>
                      <w:lang w:val="en-US" w:eastAsia="zh-CN"/>
                    </w:rPr>
                    <w:t>单因子指数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954"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529"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表层样</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中层样</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深层样</w:t>
                  </w:r>
                </w:p>
              </w:tc>
              <w:tc>
                <w:tcPr>
                  <w:tcW w:w="609" w:type="pct"/>
                  <w:gridSpan w:val="3"/>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p>
              </w:tc>
              <w:tc>
                <w:tcPr>
                  <w:tcW w:w="792" w:type="pct"/>
                  <w:vMerge w:val="continue"/>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restart"/>
                  <w:noWrap w:val="0"/>
                  <w:vAlign w:val="center"/>
                </w:tcPr>
                <w:p>
                  <w:pPr>
                    <w:snapToGrid w:val="0"/>
                    <w:spacing w:line="240" w:lineRule="auto"/>
                    <w:ind w:firstLine="0" w:firstLineChars="0"/>
                    <w:jc w:val="center"/>
                    <w:rPr>
                      <w:rFonts w:hint="eastAsia" w:cs="Times New Roman"/>
                      <w:color w:val="000000"/>
                      <w:spacing w:val="0"/>
                      <w:kern w:val="2"/>
                      <w:sz w:val="21"/>
                      <w:szCs w:val="21"/>
                      <w:shd w:val="clear" w:color="auto" w:fill="auto"/>
                      <w:lang w:val="en-US" w:eastAsia="zh-CN"/>
                    </w:rPr>
                  </w:pPr>
                  <w:r>
                    <w:rPr>
                      <w:rFonts w:hint="eastAsia" w:cs="Times New Roman"/>
                      <w:color w:val="000000"/>
                      <w:spacing w:val="0"/>
                      <w:kern w:val="2"/>
                      <w:sz w:val="21"/>
                      <w:szCs w:val="21"/>
                      <w:shd w:val="clear" w:color="auto" w:fill="auto"/>
                      <w:lang w:val="en-US" w:eastAsia="zh-CN"/>
                    </w:rPr>
                    <w:t>YY/XM-2026-034-</w:t>
                  </w:r>
                </w:p>
                <w:p>
                  <w:pPr>
                    <w:snapToGrid w:val="0"/>
                    <w:spacing w:line="240" w:lineRule="auto"/>
                    <w:ind w:firstLine="0" w:firstLineChars="0"/>
                    <w:jc w:val="center"/>
                    <w:rPr>
                      <w:rFonts w:hint="eastAsia" w:cs="Times New Roman"/>
                      <w:color w:val="000000"/>
                      <w:spacing w:val="0"/>
                      <w:kern w:val="2"/>
                      <w:sz w:val="21"/>
                      <w:szCs w:val="21"/>
                      <w:shd w:val="clear" w:color="auto" w:fill="auto"/>
                      <w:lang w:val="en-US" w:eastAsia="zh-CN"/>
                    </w:rPr>
                  </w:pPr>
                  <w:r>
                    <w:rPr>
                      <w:rFonts w:hint="eastAsia" w:cs="Times New Roman"/>
                      <w:color w:val="000000"/>
                      <w:spacing w:val="0"/>
                      <w:kern w:val="2"/>
                      <w:sz w:val="21"/>
                      <w:szCs w:val="21"/>
                      <w:shd w:val="clear" w:color="auto" w:fill="auto"/>
                      <w:lang w:val="en-US" w:eastAsia="zh-CN"/>
                    </w:rPr>
                    <w:t>（TR01-TR03）-</w:t>
                  </w:r>
                </w:p>
                <w:p>
                  <w:pPr>
                    <w:snapToGrid w:val="0"/>
                    <w:spacing w:line="240" w:lineRule="auto"/>
                    <w:ind w:firstLine="0" w:firstLineChars="0"/>
                    <w:jc w:val="center"/>
                    <w:rPr>
                      <w:rFonts w:hint="default" w:cs="Times New Roman"/>
                      <w:color w:val="000000"/>
                      <w:spacing w:val="0"/>
                      <w:kern w:val="2"/>
                      <w:sz w:val="21"/>
                      <w:szCs w:val="21"/>
                      <w:shd w:val="clear" w:color="auto" w:fill="auto"/>
                      <w:lang w:val="en-US" w:eastAsia="zh-CN"/>
                    </w:rPr>
                  </w:pPr>
                  <w:r>
                    <w:rPr>
                      <w:rFonts w:hint="eastAsia" w:cs="Times New Roman"/>
                      <w:color w:val="000000"/>
                      <w:spacing w:val="0"/>
                      <w:kern w:val="2"/>
                      <w:sz w:val="21"/>
                      <w:szCs w:val="21"/>
                      <w:highlight w:val="none"/>
                      <w:shd w:val="clear" w:color="auto" w:fill="auto"/>
                      <w:lang w:val="en-US" w:eastAsia="zh-CN"/>
                    </w:rPr>
                    <w:t>（01-04）-01</w:t>
                  </w: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eastAsia" w:ascii="Times New Roman" w:hAnsi="Times New Roman" w:cs="Times New Roman"/>
                      <w:color w:val="000000"/>
                      <w:spacing w:val="0"/>
                      <w:sz w:val="21"/>
                      <w:szCs w:val="21"/>
                      <w:lang w:val="en-US" w:eastAsia="zh-CN"/>
                    </w:rPr>
                    <w:t>pH</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eastAsia" w:ascii="Times New Roman" w:hAnsi="Times New Roman" w:cs="Times New Roman"/>
                      <w:color w:val="000000"/>
                      <w:spacing w:val="0"/>
                      <w:sz w:val="21"/>
                      <w:szCs w:val="21"/>
                      <w:lang w:val="en-US" w:eastAsia="zh-CN"/>
                    </w:rPr>
                    <w:t>无量纲</w:t>
                  </w: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8.4</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8.5</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8.4</w:t>
                  </w:r>
                </w:p>
              </w:tc>
              <w:tc>
                <w:tcPr>
                  <w:tcW w:w="609"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cs="Times New Roman"/>
                      <w:color w:val="FF0000"/>
                      <w:kern w:val="2"/>
                      <w:sz w:val="21"/>
                      <w:szCs w:val="21"/>
                      <w:lang w:val="en-US" w:eastAsia="zh-CN" w:bidi="ar-SA"/>
                    </w:rPr>
                  </w:pPr>
                  <w:r>
                    <w:rPr>
                      <w:rFonts w:hint="eastAsia" w:ascii="Times New Roman" w:hAnsi="Times New Roman" w:cs="Times New Roman"/>
                      <w:color w:val="FF0000"/>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snapToGrid w:val="0"/>
                    <w:spacing w:line="240" w:lineRule="auto"/>
                    <w:ind w:firstLine="0" w:firstLineChars="0"/>
                    <w:jc w:val="center"/>
                    <w:rPr>
                      <w:rFonts w:hint="eastAsia" w:cs="Times New Roman"/>
                      <w:color w:val="000000"/>
                      <w:spacing w:val="-28"/>
                      <w:kern w:val="2"/>
                      <w:sz w:val="21"/>
                      <w:szCs w:val="21"/>
                      <w:shd w:val="clear" w:color="auto" w:fill="auto"/>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default" w:ascii="Times New Roman" w:hAnsi="Times New Roman" w:cs="Times New Roman"/>
                      <w:color w:val="000000"/>
                      <w:spacing w:val="0"/>
                      <w:sz w:val="21"/>
                      <w:szCs w:val="21"/>
                      <w:lang w:val="en-US" w:eastAsia="zh-CN"/>
                    </w:rPr>
                    <w:t>铜</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sz w:val="21"/>
                      <w:szCs w:val="21"/>
                      <w:lang w:val="en-US" w:eastAsia="zh-CN"/>
                    </w:rPr>
                    <w:t>mg/kg</w:t>
                  </w: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23</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17</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16</w:t>
                  </w:r>
                </w:p>
              </w:tc>
              <w:tc>
                <w:tcPr>
                  <w:tcW w:w="609" w:type="pct"/>
                  <w:gridSpan w:val="3"/>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18000</w:t>
                  </w:r>
                </w:p>
              </w:tc>
              <w:tc>
                <w:tcPr>
                  <w:tcW w:w="792" w:type="pct"/>
                  <w:noWrap w:val="0"/>
                  <w:vAlign w:val="top"/>
                </w:tcPr>
                <w:p>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top"/>
                    <w:rPr>
                      <w:rFonts w:hint="default" w:ascii="Times New Roman" w:hAnsi="Times New Roman" w:eastAsia="仿宋" w:cs="Times New Roman"/>
                      <w:color w:val="FF0000"/>
                      <w:kern w:val="0"/>
                      <w:sz w:val="21"/>
                      <w:szCs w:val="21"/>
                      <w:lang w:val="en-US" w:eastAsia="zh-CN" w:bidi="ar-SA"/>
                    </w:rPr>
                  </w:pPr>
                  <w:r>
                    <w:rPr>
                      <w:rFonts w:hint="default" w:ascii="Times New Roman" w:hAnsi="Times New Roman" w:eastAsia="宋体" w:cs="Times New Roman"/>
                      <w:i w:val="0"/>
                      <w:iCs w:val="0"/>
                      <w:color w:val="FF0000"/>
                      <w:kern w:val="0"/>
                      <w:sz w:val="22"/>
                      <w:szCs w:val="22"/>
                      <w:u w:val="none"/>
                      <w:lang w:val="en-US" w:eastAsia="zh-CN" w:bidi="ar"/>
                    </w:rPr>
                    <w:t>0.0009~0.0013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snapToGrid w:val="0"/>
                    <w:spacing w:line="240" w:lineRule="auto"/>
                    <w:ind w:firstLine="0" w:firstLineChars="0"/>
                    <w:jc w:val="center"/>
                    <w:rPr>
                      <w:rFonts w:hint="eastAsia" w:cs="Times New Roman"/>
                      <w:color w:val="000000"/>
                      <w:kern w:val="2"/>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铅</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sz w:val="21"/>
                      <w:szCs w:val="21"/>
                      <w:lang w:val="en-US" w:eastAsia="zh-CN"/>
                    </w:rPr>
                    <w:t>mg/kg</w:t>
                  </w: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21</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19</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18</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kern w:val="0"/>
                      <w:sz w:val="21"/>
                      <w:szCs w:val="21"/>
                      <w:lang w:val="en-US" w:eastAsia="zh-CN" w:bidi="ar-SA"/>
                    </w:rPr>
                  </w:pPr>
                  <w:r>
                    <w:rPr>
                      <w:rFonts w:hint="eastAsia" w:ascii="Times New Roman" w:hAnsi="Times New Roman" w:cs="Times New Roman"/>
                      <w:color w:val="000000"/>
                      <w:sz w:val="21"/>
                      <w:szCs w:val="21"/>
                      <w:lang w:val="en-US" w:eastAsia="zh-CN"/>
                    </w:rPr>
                    <w:t>800</w:t>
                  </w:r>
                </w:p>
              </w:tc>
              <w:tc>
                <w:tcPr>
                  <w:tcW w:w="792" w:type="pct"/>
                  <w:noWrap w:val="0"/>
                  <w:vAlign w:val="top"/>
                </w:tcPr>
                <w:p>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top"/>
                    <w:rPr>
                      <w:rFonts w:hint="default" w:ascii="Times New Roman" w:hAnsi="Times New Roman" w:eastAsia="仿宋" w:cs="Times New Roman"/>
                      <w:color w:val="FF0000"/>
                      <w:kern w:val="0"/>
                      <w:sz w:val="21"/>
                      <w:szCs w:val="21"/>
                      <w:lang w:val="en-US" w:eastAsia="zh-CN" w:bidi="ar-SA"/>
                    </w:rPr>
                  </w:pPr>
                  <w:r>
                    <w:rPr>
                      <w:rFonts w:hint="default" w:ascii="Times New Roman" w:hAnsi="Times New Roman" w:eastAsia="宋体" w:cs="Times New Roman"/>
                      <w:i w:val="0"/>
                      <w:iCs w:val="0"/>
                      <w:color w:val="FF0000"/>
                      <w:kern w:val="0"/>
                      <w:sz w:val="22"/>
                      <w:szCs w:val="22"/>
                      <w:u w:val="none"/>
                      <w:lang w:val="en-US" w:eastAsia="zh-CN" w:bidi="ar"/>
                    </w:rPr>
                    <w:t>0.0225~0.0263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snapToGrid w:val="0"/>
                    <w:spacing w:line="240" w:lineRule="auto"/>
                    <w:ind w:firstLine="0" w:firstLineChars="0"/>
                    <w:jc w:val="center"/>
                    <w:rPr>
                      <w:rFonts w:hint="eastAsia" w:cs="Times New Roman"/>
                      <w:color w:val="000000"/>
                      <w:kern w:val="2"/>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镍</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sz w:val="21"/>
                      <w:szCs w:val="21"/>
                      <w:lang w:val="en-US" w:eastAsia="zh-CN"/>
                    </w:rPr>
                    <w:t>mg/kg</w:t>
                  </w: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30</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28</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25</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kern w:val="0"/>
                      <w:sz w:val="21"/>
                      <w:szCs w:val="21"/>
                      <w:lang w:val="en-US" w:eastAsia="zh-CN" w:bidi="ar-SA"/>
                    </w:rPr>
                  </w:pPr>
                  <w:r>
                    <w:rPr>
                      <w:rFonts w:hint="eastAsia" w:ascii="Times New Roman" w:hAnsi="Times New Roman" w:cs="Times New Roman"/>
                      <w:color w:val="000000"/>
                      <w:sz w:val="21"/>
                      <w:szCs w:val="21"/>
                      <w:lang w:val="en-US" w:eastAsia="zh-CN"/>
                    </w:rPr>
                    <w:t>900</w:t>
                  </w:r>
                </w:p>
              </w:tc>
              <w:tc>
                <w:tcPr>
                  <w:tcW w:w="792" w:type="pct"/>
                  <w:noWrap w:val="0"/>
                  <w:vAlign w:val="top"/>
                </w:tcPr>
                <w:p>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top"/>
                    <w:rPr>
                      <w:rFonts w:hint="default" w:ascii="Times New Roman" w:hAnsi="Times New Roman" w:eastAsia="仿宋" w:cs="Times New Roman"/>
                      <w:color w:val="FF0000"/>
                      <w:kern w:val="0"/>
                      <w:sz w:val="21"/>
                      <w:szCs w:val="21"/>
                      <w:lang w:val="en-US" w:eastAsia="zh-CN" w:bidi="ar-SA"/>
                    </w:rPr>
                  </w:pPr>
                  <w:r>
                    <w:rPr>
                      <w:rFonts w:hint="default" w:ascii="Times New Roman" w:hAnsi="Times New Roman" w:eastAsia="宋体" w:cs="Times New Roman"/>
                      <w:i w:val="0"/>
                      <w:iCs w:val="0"/>
                      <w:color w:val="FF0000"/>
                      <w:kern w:val="0"/>
                      <w:sz w:val="22"/>
                      <w:szCs w:val="22"/>
                      <w:u w:val="none"/>
                      <w:lang w:val="en-US" w:eastAsia="zh-CN" w:bidi="ar"/>
                    </w:rPr>
                    <w:t>0.0278~0.0311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snapToGrid w:val="0"/>
                    <w:spacing w:line="240" w:lineRule="auto"/>
                    <w:ind w:firstLine="0" w:firstLineChars="0"/>
                    <w:jc w:val="center"/>
                    <w:rPr>
                      <w:rFonts w:hint="eastAsia" w:cs="Times New Roman"/>
                      <w:color w:val="000000"/>
                      <w:kern w:val="2"/>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铬</w:t>
                  </w:r>
                </w:p>
              </w:tc>
              <w:tc>
                <w:tcPr>
                  <w:tcW w:w="529" w:type="pct"/>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auto"/>
                      <w:spacing w:val="-17"/>
                      <w:kern w:val="2"/>
                      <w:sz w:val="21"/>
                      <w:szCs w:val="21"/>
                      <w:lang w:val="en-US" w:eastAsia="zh-CN" w:bidi="ar-SA"/>
                    </w:rPr>
                  </w:pPr>
                  <w:r>
                    <w:rPr>
                      <w:rFonts w:hint="eastAsia" w:ascii="Times New Roman" w:hAnsi="Times New Roman" w:cs="Times New Roman"/>
                      <w:bCs/>
                      <w:color w:val="auto"/>
                      <w:spacing w:val="-17"/>
                      <w:sz w:val="21"/>
                      <w:szCs w:val="21"/>
                      <w:lang w:val="en-US" w:eastAsia="zh-CN"/>
                    </w:rPr>
                    <w:t>mg/kg</w:t>
                  </w: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20</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17</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15</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kern w:val="0"/>
                      <w:sz w:val="21"/>
                      <w:szCs w:val="21"/>
                      <w:lang w:val="en-US" w:eastAsia="zh-CN" w:bidi="ar-SA"/>
                    </w:rPr>
                  </w:pPr>
                  <w:r>
                    <w:rPr>
                      <w:rFonts w:hint="eastAsia" w:ascii="Times New Roman" w:hAnsi="Times New Roman" w:cs="Times New Roman"/>
                      <w:color w:val="000000"/>
                      <w:kern w:val="0"/>
                      <w:sz w:val="21"/>
                      <w:szCs w:val="21"/>
                      <w:lang w:val="en-US" w:eastAsia="zh-CN" w:bidi="ar-SA"/>
                    </w:rPr>
                    <w:t>/</w:t>
                  </w:r>
                </w:p>
              </w:tc>
              <w:tc>
                <w:tcPr>
                  <w:tcW w:w="792" w:type="pct"/>
                  <w:noWrap w:val="0"/>
                  <w:vAlign w:val="center"/>
                </w:tcPr>
                <w:p>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top"/>
                    <w:rPr>
                      <w:rFonts w:hint="default" w:ascii="Times New Roman" w:hAnsi="Times New Roman" w:eastAsia="仿宋" w:cs="Times New Roman"/>
                      <w:color w:val="FF0000"/>
                      <w:kern w:val="0"/>
                      <w:sz w:val="21"/>
                      <w:szCs w:val="21"/>
                      <w:lang w:val="en-US" w:eastAsia="zh-CN" w:bidi="ar-SA"/>
                    </w:rPr>
                  </w:pPr>
                  <w:r>
                    <w:rPr>
                      <w:rFonts w:hint="default" w:ascii="Times New Roman" w:hAnsi="Times New Roman" w:eastAsia="宋体" w:cs="Times New Roman"/>
                      <w:i w:val="0"/>
                      <w:iCs w:val="0"/>
                      <w:color w:val="FF0000"/>
                      <w:kern w:val="0"/>
                      <w:sz w:val="22"/>
                      <w:szCs w:val="22"/>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snapToGrid w:val="0"/>
                    <w:spacing w:line="240" w:lineRule="auto"/>
                    <w:ind w:firstLine="0" w:firstLineChars="0"/>
                    <w:jc w:val="center"/>
                    <w:rPr>
                      <w:rFonts w:hint="eastAsia" w:cs="Times New Roman"/>
                      <w:color w:val="000000"/>
                      <w:kern w:val="2"/>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镉</w:t>
                  </w:r>
                </w:p>
              </w:tc>
              <w:tc>
                <w:tcPr>
                  <w:tcW w:w="529" w:type="pct"/>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000000"/>
                      <w:spacing w:val="-17"/>
                      <w:kern w:val="2"/>
                      <w:sz w:val="21"/>
                      <w:szCs w:val="21"/>
                      <w:lang w:val="en-US" w:eastAsia="zh-CN" w:bidi="ar-SA"/>
                    </w:rPr>
                  </w:pPr>
                  <w:r>
                    <w:rPr>
                      <w:rFonts w:hint="eastAsia" w:ascii="Times New Roman" w:hAnsi="Times New Roman" w:cs="Times New Roman"/>
                      <w:bCs/>
                      <w:color w:val="000000"/>
                      <w:spacing w:val="-17"/>
                      <w:sz w:val="21"/>
                      <w:szCs w:val="21"/>
                      <w:lang w:val="en-US" w:eastAsia="zh-CN"/>
                    </w:rPr>
                    <w:t>mg/kg</w:t>
                  </w: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0.28</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0.26</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0.24</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kern w:val="0"/>
                      <w:sz w:val="21"/>
                      <w:szCs w:val="21"/>
                      <w:lang w:val="en-US" w:eastAsia="zh-CN" w:bidi="ar-SA"/>
                    </w:rPr>
                  </w:pPr>
                  <w:r>
                    <w:rPr>
                      <w:rFonts w:hint="eastAsia" w:ascii="Times New Roman" w:hAnsi="Times New Roman" w:cs="Times New Roman"/>
                      <w:color w:val="000000"/>
                      <w:sz w:val="21"/>
                      <w:szCs w:val="21"/>
                      <w:lang w:val="en-US" w:eastAsia="zh-CN"/>
                    </w:rPr>
                    <w:t>65</w:t>
                  </w:r>
                </w:p>
              </w:tc>
              <w:tc>
                <w:tcPr>
                  <w:tcW w:w="792" w:type="pct"/>
                  <w:noWrap w:val="0"/>
                  <w:vAlign w:val="center"/>
                </w:tcPr>
                <w:p>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top"/>
                    <w:rPr>
                      <w:rFonts w:hint="default" w:ascii="Times New Roman" w:hAnsi="Times New Roman" w:eastAsia="仿宋" w:cs="Times New Roman"/>
                      <w:color w:val="FF0000"/>
                      <w:kern w:val="0"/>
                      <w:sz w:val="21"/>
                      <w:szCs w:val="21"/>
                      <w:lang w:val="en-US" w:eastAsia="zh-CN" w:bidi="ar-SA"/>
                    </w:rPr>
                  </w:pPr>
                  <w:r>
                    <w:rPr>
                      <w:rFonts w:hint="default" w:ascii="Times New Roman" w:hAnsi="Times New Roman" w:eastAsia="宋体" w:cs="Times New Roman"/>
                      <w:i w:val="0"/>
                      <w:iCs w:val="0"/>
                      <w:color w:val="FF0000"/>
                      <w:kern w:val="0"/>
                      <w:sz w:val="22"/>
                      <w:szCs w:val="22"/>
                      <w:u w:val="none"/>
                      <w:lang w:val="en-US" w:eastAsia="zh-CN" w:bidi="ar"/>
                    </w:rPr>
                    <w:t>0.0037~0.0043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snapToGrid w:val="0"/>
                    <w:spacing w:line="240" w:lineRule="auto"/>
                    <w:ind w:firstLine="0" w:firstLineChars="0"/>
                    <w:jc w:val="center"/>
                    <w:rPr>
                      <w:rFonts w:hint="eastAsia" w:cs="Times New Roman"/>
                      <w:color w:val="000000"/>
                      <w:kern w:val="2"/>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default" w:ascii="Times New Roman" w:hAnsi="Times New Roman" w:cs="Times New Roman"/>
                      <w:color w:val="000000"/>
                      <w:spacing w:val="0"/>
                      <w:sz w:val="21"/>
                      <w:szCs w:val="21"/>
                      <w:lang w:val="en-US" w:eastAsia="zh-CN"/>
                    </w:rPr>
                    <w:t>汞</w:t>
                  </w:r>
                </w:p>
              </w:tc>
              <w:tc>
                <w:tcPr>
                  <w:tcW w:w="529" w:type="pct"/>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000000"/>
                      <w:spacing w:val="-17"/>
                      <w:kern w:val="2"/>
                      <w:sz w:val="21"/>
                      <w:szCs w:val="21"/>
                      <w:lang w:val="en-US" w:eastAsia="zh-CN" w:bidi="ar-SA"/>
                    </w:rPr>
                  </w:pPr>
                  <w:r>
                    <w:rPr>
                      <w:rFonts w:hint="eastAsia" w:ascii="Times New Roman" w:hAnsi="Times New Roman" w:cs="Times New Roman"/>
                      <w:bCs/>
                      <w:color w:val="000000"/>
                      <w:spacing w:val="-17"/>
                      <w:sz w:val="21"/>
                      <w:szCs w:val="21"/>
                      <w:lang w:val="en-US" w:eastAsia="zh-CN"/>
                    </w:rPr>
                    <w:t>mg/kg</w:t>
                  </w: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 xml:space="preserve">0.016 </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0.012</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0.011</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kern w:val="0"/>
                      <w:sz w:val="21"/>
                      <w:szCs w:val="21"/>
                      <w:lang w:val="en-US" w:eastAsia="zh-CN" w:bidi="ar-SA"/>
                    </w:rPr>
                  </w:pPr>
                  <w:r>
                    <w:rPr>
                      <w:rFonts w:hint="eastAsia" w:ascii="Times New Roman" w:hAnsi="Times New Roman" w:cs="Times New Roman"/>
                      <w:color w:val="000000"/>
                      <w:sz w:val="21"/>
                      <w:szCs w:val="21"/>
                      <w:lang w:val="en-US" w:eastAsia="zh-CN"/>
                    </w:rPr>
                    <w:t>38</w:t>
                  </w:r>
                </w:p>
              </w:tc>
              <w:tc>
                <w:tcPr>
                  <w:tcW w:w="792" w:type="pct"/>
                  <w:noWrap w:val="0"/>
                  <w:vAlign w:val="top"/>
                </w:tcPr>
                <w:p>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top"/>
                    <w:rPr>
                      <w:rFonts w:hint="default" w:ascii="Times New Roman" w:hAnsi="Times New Roman" w:eastAsia="仿宋" w:cs="Times New Roman"/>
                      <w:color w:val="FF0000"/>
                      <w:kern w:val="0"/>
                      <w:sz w:val="21"/>
                      <w:szCs w:val="21"/>
                      <w:lang w:val="en-US" w:eastAsia="zh-CN" w:bidi="ar-SA"/>
                    </w:rPr>
                  </w:pPr>
                  <w:r>
                    <w:rPr>
                      <w:rFonts w:hint="default" w:ascii="Times New Roman" w:hAnsi="Times New Roman" w:eastAsia="宋体" w:cs="Times New Roman"/>
                      <w:i w:val="0"/>
                      <w:iCs w:val="0"/>
                      <w:color w:val="FF0000"/>
                      <w:kern w:val="0"/>
                      <w:sz w:val="22"/>
                      <w:szCs w:val="22"/>
                      <w:u w:val="none"/>
                      <w:lang w:val="en-US" w:eastAsia="zh-CN" w:bidi="ar"/>
                    </w:rPr>
                    <w:t>0.0003~0.0004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snapToGrid w:val="0"/>
                    <w:spacing w:line="240" w:lineRule="auto"/>
                    <w:ind w:firstLine="0" w:firstLineChars="0"/>
                    <w:jc w:val="center"/>
                    <w:rPr>
                      <w:rFonts w:hint="eastAsia" w:cs="Times New Roman"/>
                      <w:color w:val="000000"/>
                      <w:kern w:val="2"/>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default" w:ascii="Times New Roman" w:hAnsi="Times New Roman" w:cs="Times New Roman"/>
                      <w:color w:val="000000"/>
                      <w:spacing w:val="0"/>
                      <w:sz w:val="21"/>
                      <w:szCs w:val="21"/>
                      <w:lang w:val="en-US" w:eastAsia="zh-CN"/>
                    </w:rPr>
                    <w:t>砷</w:t>
                  </w:r>
                </w:p>
              </w:tc>
              <w:tc>
                <w:tcPr>
                  <w:tcW w:w="529" w:type="pct"/>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000000"/>
                      <w:spacing w:val="-17"/>
                      <w:kern w:val="2"/>
                      <w:sz w:val="21"/>
                      <w:szCs w:val="21"/>
                      <w:lang w:val="en-US" w:eastAsia="zh-CN" w:bidi="ar-SA"/>
                    </w:rPr>
                  </w:pPr>
                  <w:r>
                    <w:rPr>
                      <w:rFonts w:hint="eastAsia" w:ascii="Times New Roman" w:hAnsi="Times New Roman" w:cs="Times New Roman"/>
                      <w:bCs/>
                      <w:color w:val="000000"/>
                      <w:spacing w:val="-17"/>
                      <w:sz w:val="21"/>
                      <w:szCs w:val="21"/>
                      <w:lang w:val="en-US" w:eastAsia="zh-CN"/>
                    </w:rPr>
                    <w:t>mg/kg</w:t>
                  </w: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1.88</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1.75</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1.61</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kern w:val="0"/>
                      <w:sz w:val="21"/>
                      <w:szCs w:val="21"/>
                      <w:lang w:val="en-US" w:eastAsia="zh-CN" w:bidi="ar-SA"/>
                    </w:rPr>
                  </w:pPr>
                  <w:r>
                    <w:rPr>
                      <w:rFonts w:hint="eastAsia" w:ascii="Times New Roman" w:hAnsi="Times New Roman" w:cs="Times New Roman"/>
                      <w:color w:val="000000"/>
                      <w:sz w:val="21"/>
                      <w:szCs w:val="21"/>
                      <w:lang w:val="en-US" w:eastAsia="zh-CN"/>
                    </w:rPr>
                    <w:t>60</w:t>
                  </w:r>
                </w:p>
              </w:tc>
              <w:tc>
                <w:tcPr>
                  <w:tcW w:w="792" w:type="pct"/>
                  <w:noWrap w:val="0"/>
                  <w:vAlign w:val="top"/>
                </w:tcPr>
                <w:p>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top"/>
                    <w:rPr>
                      <w:rFonts w:hint="default" w:ascii="Times New Roman" w:hAnsi="Times New Roman" w:eastAsia="仿宋" w:cs="Times New Roman"/>
                      <w:color w:val="FF0000"/>
                      <w:kern w:val="0"/>
                      <w:sz w:val="21"/>
                      <w:szCs w:val="21"/>
                      <w:lang w:val="en-US" w:eastAsia="zh-CN" w:bidi="ar-SA"/>
                    </w:rPr>
                  </w:pPr>
                  <w:r>
                    <w:rPr>
                      <w:rFonts w:hint="default" w:ascii="Times New Roman" w:hAnsi="Times New Roman" w:eastAsia="宋体" w:cs="Times New Roman"/>
                      <w:i w:val="0"/>
                      <w:iCs w:val="0"/>
                      <w:color w:val="FF0000"/>
                      <w:kern w:val="0"/>
                      <w:sz w:val="22"/>
                      <w:szCs w:val="22"/>
                      <w:u w:val="none"/>
                      <w:lang w:val="en-US" w:eastAsia="zh-CN" w:bidi="ar"/>
                    </w:rPr>
                    <w:t>0.0268~0.0313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snapToGrid w:val="0"/>
                    <w:spacing w:line="240" w:lineRule="auto"/>
                    <w:ind w:firstLine="0" w:firstLineChars="0"/>
                    <w:jc w:val="center"/>
                    <w:rPr>
                      <w:rFonts w:hint="eastAsia" w:cs="Times New Roman"/>
                      <w:color w:val="000000"/>
                      <w:kern w:val="2"/>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四氯化碳</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000000"/>
                      <w:kern w:val="0"/>
                      <w:sz w:val="21"/>
                      <w:szCs w:val="21"/>
                      <w:lang w:val="en-US" w:eastAsia="zh-CN" w:bidi="ar-SA"/>
                    </w:rPr>
                  </w:pPr>
                  <w:r>
                    <w:rPr>
                      <w:rFonts w:hint="eastAsia" w:ascii="Times New Roman" w:hAnsi="Times New Roman" w:cs="Times New Roman"/>
                      <w:color w:val="000000"/>
                      <w:kern w:val="0"/>
                      <w:sz w:val="21"/>
                      <w:szCs w:val="21"/>
                      <w:lang w:val="en-US" w:eastAsia="zh-CN" w:bidi="ar-SA"/>
                    </w:rPr>
                    <w:t>2.8×10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snapToGrid w:val="0"/>
                    <w:spacing w:line="240" w:lineRule="auto"/>
                    <w:ind w:firstLine="0" w:firstLineChars="0"/>
                    <w:jc w:val="center"/>
                    <w:rPr>
                      <w:rFonts w:hint="eastAsia" w:cs="Times New Roman"/>
                      <w:color w:val="000000"/>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氯仿</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kern w:val="0"/>
                      <w:sz w:val="21"/>
                      <w:szCs w:val="21"/>
                      <w:lang w:val="en-US" w:eastAsia="zh-CN" w:bidi="ar-SA"/>
                    </w:rPr>
                  </w:pPr>
                  <w:r>
                    <w:rPr>
                      <w:rFonts w:hint="eastAsia" w:ascii="Times New Roman" w:hAnsi="Times New Roman" w:cs="Times New Roman"/>
                      <w:color w:val="000000"/>
                      <w:kern w:val="0"/>
                      <w:sz w:val="21"/>
                      <w:szCs w:val="21"/>
                      <w:lang w:val="en-US" w:eastAsia="zh-CN" w:bidi="ar-SA"/>
                    </w:rPr>
                    <w:t>9×10</w:t>
                  </w:r>
                  <w:r>
                    <w:rPr>
                      <w:rFonts w:hint="eastAsia" w:ascii="Times New Roman" w:hAnsi="Times New Roman" w:cs="Times New Roman"/>
                      <w:color w:val="000000"/>
                      <w:kern w:val="0"/>
                      <w:sz w:val="21"/>
                      <w:szCs w:val="21"/>
                      <w:vertAlign w:val="superscript"/>
                      <w:lang w:val="en-US" w:eastAsia="zh-CN" w:bidi="ar-SA"/>
                    </w:rPr>
                    <w:t>2</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autoSpaceDE w:val="0"/>
                    <w:autoSpaceDN w:val="0"/>
                    <w:adjustRightInd w:val="0"/>
                    <w:snapToGrid w:val="0"/>
                    <w:spacing w:line="240" w:lineRule="auto"/>
                    <w:ind w:firstLine="0" w:firstLineChars="0"/>
                    <w:jc w:val="center"/>
                    <w:outlineLvl w:val="1"/>
                    <w:rPr>
                      <w:rFonts w:hint="eastAsia" w:cs="Times New Roman"/>
                      <w:color w:val="000000"/>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1,1-二氯乙烷</w:t>
                  </w:r>
                </w:p>
              </w:tc>
              <w:tc>
                <w:tcPr>
                  <w:tcW w:w="529" w:type="pct"/>
                  <w:noWrap w:val="0"/>
                  <w:vAlign w:val="center"/>
                </w:tcPr>
                <w:p>
                  <w:pPr>
                    <w:adjustRightInd w:val="0"/>
                    <w:snapToGrid w:val="0"/>
                    <w:spacing w:line="240" w:lineRule="auto"/>
                    <w:ind w:firstLine="0" w:firstLineChars="0"/>
                    <w:jc w:val="center"/>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9</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autoSpaceDE w:val="0"/>
                    <w:autoSpaceDN w:val="0"/>
                    <w:adjustRightInd w:val="0"/>
                    <w:snapToGrid w:val="0"/>
                    <w:spacing w:line="240" w:lineRule="auto"/>
                    <w:ind w:firstLine="0" w:firstLineChars="0"/>
                    <w:jc w:val="center"/>
                    <w:outlineLvl w:val="1"/>
                    <w:rPr>
                      <w:rFonts w:hint="eastAsia" w:cs="Times New Roman"/>
                      <w:color w:val="000000"/>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1,2-二氯乙烷</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Cs/>
                      <w:color w:val="000000"/>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1,1-二氯乙烯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6.6</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Cs/>
                      <w:color w:val="000000"/>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顺-1,2-二氯乙烯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5.96</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5</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反-1,2-二氯乙烯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5.4</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二氯甲烷</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6.16</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5</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1,2-二氯丙烷</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1,1,1,2-四氯乙烷</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1,1,2,2-四氯乙烷</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6.8</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四氯乙烯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5.3</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1,1,1-三氯乙烷</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8.4</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5</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1,1,2-三氯乙烷</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2.8</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三氯乙烯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2.8</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1,2,3-三氯丙烷</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5×10</w:t>
                  </w:r>
                  <w:r>
                    <w:rPr>
                      <w:rFonts w:hint="eastAsia" w:ascii="Times New Roman" w:hAnsi="Times New Roman" w:cs="Times New Roman"/>
                      <w:color w:val="000000"/>
                      <w:sz w:val="21"/>
                      <w:szCs w:val="21"/>
                      <w:vertAlign w:val="superscript"/>
                      <w:lang w:val="en-US" w:eastAsia="zh-CN"/>
                    </w:rPr>
                    <w:t>2</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氯乙烯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4.3×10</w:t>
                  </w:r>
                  <w:r>
                    <w:rPr>
                      <w:rFonts w:hint="eastAsia" w:ascii="Times New Roman" w:hAnsi="Times New Roman" w:cs="Times New Roman"/>
                      <w:color w:val="000000"/>
                      <w:sz w:val="21"/>
                      <w:szCs w:val="21"/>
                      <w:vertAlign w:val="superscript"/>
                      <w:lang w:val="en-US" w:eastAsia="zh-CN"/>
                    </w:rPr>
                    <w:t>2</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kern w:val="0"/>
                      <w:sz w:val="21"/>
                      <w:szCs w:val="21"/>
                      <w:lang w:val="en-US" w:eastAsia="zh-CN" w:bidi="ar-SA"/>
                    </w:rPr>
                    <w:t>4×10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氯苯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2.7</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5</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1,2-二氯苯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5.6</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5</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1,4-二氯苯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乙苯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2.8</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苯乙烯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0"/>
                      <w:sz w:val="21"/>
                      <w:szCs w:val="21"/>
                      <w:lang w:val="en-US" w:eastAsia="zh-CN"/>
                    </w:rPr>
                  </w:pPr>
                  <w:r>
                    <w:rPr>
                      <w:rFonts w:hint="eastAsia" w:ascii="Times New Roman" w:hAnsi="Times New Roman" w:cs="Times New Roman"/>
                      <w:color w:val="000000"/>
                      <w:spacing w:val="0"/>
                      <w:sz w:val="21"/>
                      <w:szCs w:val="21"/>
                      <w:lang w:val="en-US" w:eastAsia="zh-CN"/>
                    </w:rPr>
                    <w:t>1.29</w:t>
                  </w:r>
                  <w:r>
                    <w:rPr>
                      <w:rFonts w:hint="eastAsia" w:ascii="Times New Roman" w:hAnsi="Times New Roman" w:cs="Times New Roman"/>
                      <w:color w:val="000000"/>
                      <w:spacing w:val="0"/>
                      <w:kern w:val="0"/>
                      <w:sz w:val="21"/>
                      <w:szCs w:val="21"/>
                      <w:lang w:val="en-US" w:eastAsia="zh-CN" w:bidi="ar-SA"/>
                    </w:rPr>
                    <w:t>×10</w:t>
                  </w:r>
                  <w:r>
                    <w:rPr>
                      <w:rFonts w:hint="eastAsia" w:ascii="Times New Roman" w:hAnsi="Times New Roman" w:cs="Times New Roman"/>
                      <w:color w:val="000000"/>
                      <w:spacing w:val="0"/>
                      <w:kern w:val="0"/>
                      <w:sz w:val="21"/>
                      <w:szCs w:val="21"/>
                      <w:vertAlign w:val="superscript"/>
                      <w:lang w:val="en-US" w:eastAsia="zh-CN" w:bidi="ar-SA"/>
                    </w:rPr>
                    <w:t>6</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spacing w:val="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甲苯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0"/>
                      <w:sz w:val="21"/>
                      <w:szCs w:val="21"/>
                      <w:lang w:val="en-US" w:eastAsia="zh-CN"/>
                    </w:rPr>
                  </w:pPr>
                  <w:r>
                    <w:rPr>
                      <w:rFonts w:hint="eastAsia" w:ascii="Times New Roman" w:hAnsi="Times New Roman" w:cs="Times New Roman"/>
                      <w:color w:val="000000"/>
                      <w:spacing w:val="0"/>
                      <w:sz w:val="21"/>
                      <w:szCs w:val="21"/>
                      <w:lang w:val="en-US" w:eastAsia="zh-CN"/>
                    </w:rPr>
                    <w:t>1.2</w:t>
                  </w:r>
                  <w:r>
                    <w:rPr>
                      <w:rFonts w:hint="eastAsia" w:ascii="Times New Roman" w:hAnsi="Times New Roman" w:cs="Times New Roman"/>
                      <w:color w:val="000000"/>
                      <w:spacing w:val="0"/>
                      <w:kern w:val="0"/>
                      <w:sz w:val="21"/>
                      <w:szCs w:val="21"/>
                      <w:lang w:val="en-US" w:eastAsia="zh-CN" w:bidi="ar-SA"/>
                    </w:rPr>
                    <w:t>×10</w:t>
                  </w:r>
                  <w:r>
                    <w:rPr>
                      <w:rFonts w:hint="eastAsia" w:ascii="Times New Roman" w:hAnsi="Times New Roman" w:cs="Times New Roman"/>
                      <w:color w:val="000000"/>
                      <w:spacing w:val="0"/>
                      <w:kern w:val="0"/>
                      <w:sz w:val="21"/>
                      <w:szCs w:val="21"/>
                      <w:vertAlign w:val="superscript"/>
                      <w:lang w:val="en-US" w:eastAsia="zh-CN" w:bidi="ar-SA"/>
                    </w:rPr>
                    <w:t>6</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spacing w:val="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default" w:ascii="Times New Roman" w:hAnsi="Times New Roman" w:cs="Times New Roman"/>
                      <w:color w:val="000000"/>
                      <w:spacing w:val="0"/>
                      <w:sz w:val="21"/>
                      <w:szCs w:val="21"/>
                      <w:lang w:val="en-US" w:eastAsia="zh-CN"/>
                    </w:rPr>
                    <w:t>间,对二甲苯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5.7</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5</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eastAsia" w:ascii="Times New Roman" w:hAnsi="Times New Roman" w:cs="Times New Roman"/>
                      <w:color w:val="000000"/>
                      <w:spacing w:val="0"/>
                      <w:sz w:val="21"/>
                      <w:szCs w:val="21"/>
                      <w:lang w:val="en-US" w:eastAsia="zh-CN"/>
                    </w:rPr>
                    <w:t>邻二甲苯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6.4</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5</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default" w:ascii="Times New Roman" w:hAnsi="Times New Roman" w:cs="Times New Roman"/>
                      <w:color w:val="000000"/>
                      <w:spacing w:val="0"/>
                      <w:sz w:val="21"/>
                      <w:szCs w:val="21"/>
                      <w:lang w:val="en-US" w:eastAsia="zh-CN"/>
                    </w:rPr>
                    <w:t>苯并（a）蒽</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1.5</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default" w:ascii="Times New Roman" w:hAnsi="Times New Roman" w:cs="Times New Roman"/>
                      <w:color w:val="000000"/>
                      <w:spacing w:val="0"/>
                      <w:sz w:val="21"/>
                      <w:szCs w:val="21"/>
                      <w:lang w:val="en-US" w:eastAsia="zh-CN"/>
                    </w:rPr>
                    <w:t>苯并（a）芘</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1.5</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default" w:ascii="Times New Roman" w:hAnsi="Times New Roman" w:cs="Times New Roman"/>
                      <w:color w:val="000000"/>
                      <w:spacing w:val="0"/>
                      <w:sz w:val="21"/>
                      <w:szCs w:val="21"/>
                      <w:lang w:val="en-US" w:eastAsia="zh-CN"/>
                    </w:rPr>
                    <w:t>苯并（b）荧蒽</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1.5</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default" w:ascii="Times New Roman" w:hAnsi="Times New Roman" w:cs="Times New Roman"/>
                      <w:color w:val="000000"/>
                      <w:spacing w:val="0"/>
                      <w:sz w:val="21"/>
                      <w:szCs w:val="21"/>
                      <w:lang w:val="en-US" w:eastAsia="zh-CN"/>
                    </w:rPr>
                    <w:t>苯并（k）荧蒽</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1.51</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5</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eastAsia" w:ascii="Times New Roman" w:hAnsi="Times New Roman" w:cs="Times New Roman"/>
                      <w:color w:val="000000"/>
                      <w:spacing w:val="0"/>
                      <w:sz w:val="21"/>
                      <w:szCs w:val="21"/>
                      <w:lang w:val="en-US" w:eastAsia="zh-CN"/>
                    </w:rPr>
                    <w:t>䓛</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0"/>
                      <w:sz w:val="21"/>
                      <w:szCs w:val="21"/>
                      <w:lang w:val="en-US" w:eastAsia="zh-CN"/>
                    </w:rPr>
                  </w:pPr>
                  <w:r>
                    <w:rPr>
                      <w:rFonts w:hint="eastAsia" w:ascii="Times New Roman" w:hAnsi="Times New Roman" w:cs="Times New Roman"/>
                      <w:color w:val="000000"/>
                      <w:spacing w:val="0"/>
                      <w:sz w:val="21"/>
                      <w:szCs w:val="21"/>
                      <w:lang w:val="en-US" w:eastAsia="zh-CN"/>
                    </w:rPr>
                    <w:t>1.293</w:t>
                  </w:r>
                  <w:r>
                    <w:rPr>
                      <w:rFonts w:hint="eastAsia" w:ascii="Times New Roman" w:hAnsi="Times New Roman" w:cs="Times New Roman"/>
                      <w:color w:val="000000"/>
                      <w:spacing w:val="0"/>
                      <w:kern w:val="0"/>
                      <w:sz w:val="21"/>
                      <w:szCs w:val="21"/>
                      <w:lang w:val="en-US" w:eastAsia="zh-CN" w:bidi="ar-SA"/>
                    </w:rPr>
                    <w:t>×10</w:t>
                  </w:r>
                  <w:r>
                    <w:rPr>
                      <w:rFonts w:hint="eastAsia" w:ascii="Times New Roman" w:hAnsi="Times New Roman" w:cs="Times New Roman"/>
                      <w:color w:val="000000"/>
                      <w:spacing w:val="0"/>
                      <w:kern w:val="0"/>
                      <w:sz w:val="21"/>
                      <w:szCs w:val="21"/>
                      <w:vertAlign w:val="superscript"/>
                      <w:lang w:val="en-US" w:eastAsia="zh-CN" w:bidi="ar-SA"/>
                    </w:rPr>
                    <w:t>6</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spacing w:val="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default" w:ascii="Times New Roman" w:hAnsi="Times New Roman" w:cs="Times New Roman"/>
                      <w:color w:val="000000"/>
                      <w:spacing w:val="0"/>
                      <w:sz w:val="21"/>
                      <w:szCs w:val="21"/>
                      <w:lang w:val="en-US" w:eastAsia="zh-CN"/>
                    </w:rPr>
                    <w:t>二苯并（a,h）蒽</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1.5</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3</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default" w:ascii="Times New Roman" w:hAnsi="Times New Roman" w:cs="Times New Roman"/>
                      <w:color w:val="000000"/>
                      <w:spacing w:val="0"/>
                      <w:sz w:val="21"/>
                      <w:szCs w:val="21"/>
                      <w:lang w:val="en-US" w:eastAsia="zh-CN"/>
                    </w:rPr>
                    <w:t>茚并（1,2,3-c,d）芘</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1.5</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eastAsia" w:ascii="Times New Roman" w:hAnsi="Times New Roman" w:cs="Times New Roman"/>
                      <w:color w:val="000000"/>
                      <w:spacing w:val="0"/>
                      <w:sz w:val="21"/>
                      <w:szCs w:val="21"/>
                      <w:lang w:val="en-US" w:eastAsia="zh-CN"/>
                    </w:rPr>
                    <w:t>萘</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7</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0"/>
                      <w:sz w:val="21"/>
                      <w:szCs w:val="21"/>
                      <w:lang w:val="en-US" w:eastAsia="zh-CN"/>
                    </w:rPr>
                  </w:pPr>
                  <w:r>
                    <w:rPr>
                      <w:rFonts w:hint="eastAsia" w:ascii="Times New Roman" w:hAnsi="Times New Roman" w:cs="Times New Roman"/>
                      <w:color w:val="000000"/>
                      <w:spacing w:val="0"/>
                      <w:sz w:val="21"/>
                      <w:szCs w:val="21"/>
                      <w:lang w:val="en-US" w:eastAsia="zh-CN"/>
                    </w:rPr>
                    <w:t>氯甲烷</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default" w:ascii="Times New Roman" w:hAnsi="Times New Roman" w:cs="Times New Roman"/>
                      <w:color w:val="000000"/>
                      <w:spacing w:val="-17"/>
                      <w:sz w:val="21"/>
                      <w:szCs w:val="21"/>
                    </w:rPr>
                    <w:t>µ</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3.7</w:t>
                  </w:r>
                  <w:r>
                    <w:rPr>
                      <w:rFonts w:hint="eastAsia" w:ascii="Times New Roman" w:hAnsi="Times New Roman" w:cs="Times New Roman"/>
                      <w:color w:val="000000"/>
                      <w:kern w:val="0"/>
                      <w:sz w:val="21"/>
                      <w:szCs w:val="21"/>
                      <w:lang w:val="en-US" w:eastAsia="zh-CN" w:bidi="ar-SA"/>
                    </w:rPr>
                    <w:t>×10</w:t>
                  </w:r>
                  <w:r>
                    <w:rPr>
                      <w:rFonts w:hint="eastAsia" w:ascii="Times New Roman" w:hAnsi="Times New Roman" w:cs="Times New Roman"/>
                      <w:color w:val="000000"/>
                      <w:kern w:val="0"/>
                      <w:sz w:val="21"/>
                      <w:szCs w:val="21"/>
                      <w:vertAlign w:val="superscript"/>
                      <w:lang w:val="en-US" w:eastAsia="zh-CN" w:bidi="ar-SA"/>
                    </w:rPr>
                    <w:t>4</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硝基苯</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sz w:val="21"/>
                      <w:szCs w:val="21"/>
                      <w:lang w:val="en-US" w:eastAsia="zh-CN"/>
                    </w:rPr>
                    <w:t>m</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17"/>
                      <w:sz w:val="21"/>
                      <w:szCs w:val="21"/>
                      <w:lang w:val="en-US" w:eastAsia="zh-CN"/>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17"/>
                      <w:sz w:val="21"/>
                      <w:szCs w:val="21"/>
                      <w:lang w:val="en-US" w:eastAsia="zh-CN"/>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76</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苯胺</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sz w:val="21"/>
                      <w:szCs w:val="21"/>
                      <w:lang w:val="en-US" w:eastAsia="zh-CN"/>
                    </w:rPr>
                    <w:t>m</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17"/>
                      <w:sz w:val="21"/>
                      <w:szCs w:val="21"/>
                      <w:lang w:val="en-US" w:eastAsia="zh-CN"/>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17"/>
                      <w:sz w:val="21"/>
                      <w:szCs w:val="21"/>
                      <w:lang w:val="en-US" w:eastAsia="zh-CN"/>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260</w:t>
                  </w:r>
                </w:p>
              </w:tc>
              <w:tc>
                <w:tcPr>
                  <w:tcW w:w="792" w:type="pct"/>
                  <w:noWrap w:val="0"/>
                  <w:vAlign w:val="center"/>
                </w:tcPr>
                <w:p>
                  <w:pPr>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FF0000"/>
                      <w:kern w:val="0"/>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2-氯酚</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sz w:val="21"/>
                      <w:szCs w:val="21"/>
                      <w:lang w:val="en-US" w:eastAsia="zh-CN"/>
                    </w:rPr>
                    <w:t>m</w:t>
                  </w:r>
                  <w:r>
                    <w:rPr>
                      <w:rFonts w:hint="eastAsia" w:ascii="Times New Roman" w:hAnsi="Times New Roman" w:cs="Times New Roman"/>
                      <w:color w:val="000000"/>
                      <w:spacing w:val="-17"/>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未检出</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000000"/>
                      <w:kern w:val="0"/>
                      <w:sz w:val="21"/>
                      <w:szCs w:val="21"/>
                      <w:lang w:val="en-US" w:eastAsia="zh-CN" w:bidi="ar-SA"/>
                    </w:rPr>
                  </w:pPr>
                  <w:r>
                    <w:rPr>
                      <w:rFonts w:hint="eastAsia" w:ascii="Times New Roman" w:hAnsi="Times New Roman" w:cs="Times New Roman"/>
                      <w:color w:val="000000"/>
                      <w:spacing w:val="-20"/>
                      <w:sz w:val="21"/>
                      <w:szCs w:val="21"/>
                      <w:lang w:val="en-US" w:eastAsia="zh-CN"/>
                    </w:rPr>
                    <w:t>2256</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cs="Times New Roman"/>
                      <w:color w:val="FF0000"/>
                      <w:kern w:val="2"/>
                      <w:sz w:val="21"/>
                      <w:szCs w:val="21"/>
                      <w:lang w:val="en-US" w:eastAsia="zh-CN" w:bidi="ar-SA"/>
                    </w:rPr>
                  </w:pPr>
                  <w:r>
                    <w:rPr>
                      <w:rFonts w:hint="eastAsia" w:ascii="Times New Roman" w:hAnsi="Times New Roman" w:cs="Times New Roman"/>
                      <w:color w:val="FF0000"/>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0"/>
                      <w:sz w:val="21"/>
                      <w:szCs w:val="21"/>
                      <w:lang w:val="en-US" w:eastAsia="zh-CN"/>
                    </w:rPr>
                  </w:pPr>
                  <w:r>
                    <w:rPr>
                      <w:rFonts w:hint="eastAsia" w:cs="Times New Roman"/>
                      <w:b w:val="0"/>
                      <w:bCs/>
                      <w:sz w:val="21"/>
                      <w:szCs w:val="21"/>
                      <w:lang w:val="en-US" w:eastAsia="zh-CN"/>
                    </w:rPr>
                    <w:t>石油烃</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17"/>
                      <w:sz w:val="21"/>
                      <w:szCs w:val="21"/>
                      <w:lang w:val="en-US" w:eastAsia="zh-CN"/>
                    </w:rPr>
                  </w:pP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84</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76</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49</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20"/>
                      <w:sz w:val="21"/>
                      <w:szCs w:val="21"/>
                      <w:lang w:val="en-US" w:eastAsia="zh-CN"/>
                    </w:rPr>
                  </w:pPr>
                  <w:r>
                    <w:rPr>
                      <w:rFonts w:hint="eastAsia" w:ascii="Times New Roman" w:hAnsi="Times New Roman" w:cs="Times New Roman"/>
                      <w:color w:val="000000"/>
                      <w:spacing w:val="-20"/>
                      <w:sz w:val="21"/>
                      <w:szCs w:val="21"/>
                      <w:lang w:val="en-US" w:eastAsia="zh-CN"/>
                    </w:rPr>
                    <w:t>4500</w:t>
                  </w:r>
                </w:p>
              </w:tc>
              <w:tc>
                <w:tcPr>
                  <w:tcW w:w="792" w:type="pct"/>
                  <w:shd w:val="clear" w:color="auto" w:fill="auto"/>
                  <w:noWrap w:val="0"/>
                  <w:vAlign w:val="top"/>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cs="Times New Roman"/>
                      <w:color w:val="FF0000"/>
                      <w:kern w:val="2"/>
                      <w:sz w:val="21"/>
                      <w:szCs w:val="21"/>
                      <w:lang w:val="en-US" w:eastAsia="zh-CN" w:bidi="ar-SA"/>
                    </w:rPr>
                  </w:pPr>
                  <w:r>
                    <w:rPr>
                      <w:rFonts w:hint="default" w:ascii="Times New Roman" w:hAnsi="Times New Roman" w:cs="Times New Roman"/>
                      <w:color w:val="FF0000"/>
                      <w:kern w:val="2"/>
                      <w:sz w:val="21"/>
                      <w:szCs w:val="21"/>
                      <w:lang w:val="en-US" w:eastAsia="zh-CN" w:bidi="ar-SA"/>
                    </w:rPr>
                    <w:t>0.0109~0.0187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0"/>
                      <w:sz w:val="21"/>
                      <w:szCs w:val="21"/>
                      <w:lang w:val="en-US" w:eastAsia="zh-CN"/>
                    </w:rPr>
                  </w:pPr>
                  <w:r>
                    <w:rPr>
                      <w:rFonts w:hint="eastAsia" w:cs="Times New Roman"/>
                      <w:b w:val="0"/>
                      <w:bCs/>
                      <w:sz w:val="21"/>
                      <w:szCs w:val="21"/>
                      <w:lang w:val="en-US" w:eastAsia="zh-CN"/>
                    </w:rPr>
                    <w:t>阳离子交换量</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17"/>
                      <w:sz w:val="21"/>
                      <w:szCs w:val="21"/>
                      <w:lang w:val="en-US" w:eastAsia="zh-CN"/>
                    </w:rPr>
                  </w:pPr>
                  <w:r>
                    <w:rPr>
                      <w:rFonts w:hint="eastAsia" w:ascii="Times New Roman" w:hAnsi="Times New Roman" w:cs="Times New Roman"/>
                      <w:color w:val="auto"/>
                      <w:spacing w:val="0"/>
                      <w:sz w:val="21"/>
                      <w:szCs w:val="21"/>
                      <w:highlight w:val="none"/>
                      <w:lang w:val="en-US" w:eastAsia="zh-CN"/>
                    </w:rPr>
                    <w:t>cmol+/kg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2.3</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2.8</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2.5</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20"/>
                      <w:sz w:val="21"/>
                      <w:szCs w:val="21"/>
                      <w:lang w:val="en-US" w:eastAsia="zh-CN"/>
                    </w:rPr>
                  </w:pPr>
                  <w:r>
                    <w:rPr>
                      <w:rFonts w:hint="eastAsia" w:ascii="Times New Roman" w:hAnsi="Times New Roman" w:cs="Times New Roman"/>
                      <w:color w:val="000000"/>
                      <w:spacing w:val="-20"/>
                      <w:sz w:val="21"/>
                      <w:szCs w:val="21"/>
                      <w:lang w:val="en-US" w:eastAsia="zh-CN"/>
                    </w:rPr>
                    <w:t>/</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0"/>
                      <w:sz w:val="21"/>
                      <w:szCs w:val="21"/>
                      <w:lang w:val="en-US" w:eastAsia="zh-CN"/>
                    </w:rPr>
                  </w:pPr>
                  <w:r>
                    <w:rPr>
                      <w:rFonts w:hint="eastAsia" w:cs="Times New Roman"/>
                      <w:b w:val="0"/>
                      <w:bCs/>
                      <w:sz w:val="21"/>
                      <w:szCs w:val="21"/>
                      <w:lang w:val="en-US" w:eastAsia="zh-CN"/>
                    </w:rPr>
                    <w:t>氧化还原电位</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17"/>
                      <w:sz w:val="21"/>
                      <w:szCs w:val="21"/>
                      <w:lang w:val="en-US" w:eastAsia="zh-CN"/>
                    </w:rPr>
                  </w:pPr>
                  <w:r>
                    <w:rPr>
                      <w:rFonts w:hint="eastAsia" w:ascii="Times New Roman" w:hAnsi="Times New Roman" w:cs="Times New Roman"/>
                      <w:color w:val="auto"/>
                      <w:spacing w:val="0"/>
                      <w:sz w:val="21"/>
                      <w:szCs w:val="21"/>
                      <w:highlight w:val="none"/>
                      <w:lang w:val="en-US" w:eastAsia="zh-CN"/>
                    </w:rPr>
                    <w:t>mV</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432</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428</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425</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0"/>
                      <w:sz w:val="21"/>
                      <w:szCs w:val="21"/>
                      <w:lang w:val="en-US" w:eastAsia="zh-CN"/>
                    </w:rPr>
                  </w:pPr>
                  <w:r>
                    <w:rPr>
                      <w:rFonts w:hint="eastAsia" w:cs="Times New Roman"/>
                      <w:b w:val="0"/>
                      <w:bCs/>
                      <w:sz w:val="21"/>
                      <w:szCs w:val="21"/>
                      <w:lang w:val="en-US" w:eastAsia="zh-CN"/>
                    </w:rPr>
                    <w:t>容重</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auto"/>
                      <w:spacing w:val="0"/>
                      <w:kern w:val="2"/>
                      <w:sz w:val="21"/>
                      <w:szCs w:val="21"/>
                      <w:highlight w:val="none"/>
                      <w:lang w:val="en-US" w:eastAsia="zh-CN" w:bidi="ar-SA"/>
                    </w:rPr>
                  </w:pPr>
                  <w:r>
                    <w:rPr>
                      <w:rFonts w:hint="eastAsia" w:ascii="Times New Roman" w:hAnsi="Times New Roman" w:cs="Times New Roman"/>
                      <w:color w:val="auto"/>
                      <w:spacing w:val="0"/>
                      <w:sz w:val="21"/>
                      <w:szCs w:val="21"/>
                      <w:highlight w:val="none"/>
                      <w:lang w:val="en-US" w:eastAsia="zh-CN"/>
                    </w:rPr>
                    <w:t>g/cm</w:t>
                  </w:r>
                  <w:r>
                    <w:rPr>
                      <w:rFonts w:hint="eastAsia" w:ascii="Times New Roman" w:hAnsi="Times New Roman" w:cs="Times New Roman"/>
                      <w:color w:val="auto"/>
                      <w:spacing w:val="0"/>
                      <w:sz w:val="21"/>
                      <w:szCs w:val="21"/>
                      <w:highlight w:val="none"/>
                      <w:vertAlign w:val="superscript"/>
                      <w:lang w:val="en-US" w:eastAsia="zh-CN"/>
                    </w:rPr>
                    <w:t>3</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1.38</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1.40</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1.44</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pacing w:val="-20"/>
                      <w:sz w:val="21"/>
                      <w:szCs w:val="21"/>
                      <w:lang w:val="en-US" w:eastAsia="zh-CN"/>
                    </w:rPr>
                  </w:pPr>
                  <w:r>
                    <w:rPr>
                      <w:rFonts w:hint="eastAsia" w:ascii="Times New Roman" w:hAnsi="Times New Roman" w:cs="Times New Roman"/>
                      <w:color w:val="000000"/>
                      <w:spacing w:val="-20"/>
                      <w:sz w:val="21"/>
                      <w:szCs w:val="21"/>
                      <w:lang w:val="en-US" w:eastAsia="zh-CN"/>
                    </w:rPr>
                    <w:t>/</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color w:val="000000"/>
                      <w:spacing w:val="-11"/>
                      <w:sz w:val="21"/>
                      <w:szCs w:val="21"/>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color w:val="000000"/>
                      <w:spacing w:val="0"/>
                      <w:sz w:val="21"/>
                      <w:szCs w:val="21"/>
                      <w:lang w:val="en-US" w:eastAsia="zh-CN"/>
                    </w:rPr>
                  </w:pPr>
                  <w:r>
                    <w:rPr>
                      <w:rFonts w:hint="eastAsia" w:cs="Times New Roman"/>
                      <w:b w:val="0"/>
                      <w:bCs/>
                      <w:sz w:val="21"/>
                      <w:szCs w:val="21"/>
                      <w:lang w:val="en-US" w:eastAsia="zh-CN"/>
                    </w:rPr>
                    <w:t>水溶性盐总量</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auto"/>
                      <w:spacing w:val="0"/>
                      <w:kern w:val="2"/>
                      <w:sz w:val="21"/>
                      <w:szCs w:val="21"/>
                      <w:highlight w:val="none"/>
                      <w:lang w:val="en-US" w:eastAsia="zh-CN" w:bidi="ar-SA"/>
                    </w:rPr>
                  </w:pPr>
                  <w:r>
                    <w:rPr>
                      <w:rFonts w:hint="default" w:ascii="Times New Roman" w:hAnsi="Times New Roman" w:cs="Times New Roman"/>
                      <w:color w:val="auto"/>
                      <w:spacing w:val="0"/>
                      <w:sz w:val="21"/>
                      <w:szCs w:val="21"/>
                      <w:highlight w:val="none"/>
                      <w:lang w:val="en-US" w:eastAsia="zh-CN"/>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3.8</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spacing w:val="-17"/>
                      <w:sz w:val="21"/>
                      <w:szCs w:val="21"/>
                      <w:lang w:val="en-US" w:eastAsia="zh-CN"/>
                    </w:rPr>
                  </w:pPr>
                  <w:r>
                    <w:rPr>
                      <w:rFonts w:hint="eastAsia" w:ascii="Times New Roman" w:hAnsi="Times New Roman" w:cs="Times New Roman"/>
                      <w:color w:val="000000"/>
                      <w:spacing w:val="-17"/>
                      <w:sz w:val="21"/>
                      <w:szCs w:val="21"/>
                      <w:lang w:val="en-US" w:eastAsia="zh-CN"/>
                    </w:rPr>
                    <w:t>3.4</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3.0</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color w:val="000000"/>
                      <w:spacing w:val="-20"/>
                      <w:sz w:val="21"/>
                      <w:szCs w:val="21"/>
                      <w:lang w:val="en-US" w:eastAsia="zh-CN"/>
                    </w:rPr>
                  </w:pPr>
                  <w:r>
                    <w:rPr>
                      <w:rFonts w:hint="eastAsia" w:ascii="Times New Roman" w:hAnsi="Times New Roman" w:cs="Times New Roman"/>
                      <w:color w:val="000000"/>
                      <w:spacing w:val="-20"/>
                      <w:sz w:val="21"/>
                      <w:szCs w:val="21"/>
                      <w:lang w:val="en-US" w:eastAsia="zh-CN"/>
                    </w:rPr>
                    <w:t>/</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5000" w:type="pct"/>
                  <w:gridSpan w:val="12"/>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eastAsia" w:ascii="Times New Roman" w:hAnsi="Times New Roman" w:eastAsia="仿宋" w:cs="Times New Roman"/>
                      <w:color w:val="FF0000"/>
                      <w:kern w:val="2"/>
                      <w:sz w:val="21"/>
                      <w:szCs w:val="21"/>
                      <w:lang w:val="en-US" w:eastAsia="zh-CN" w:bidi="ar-SA"/>
                    </w:rPr>
                  </w:pPr>
                  <w:r>
                    <w:rPr>
                      <w:rFonts w:hint="eastAsia" w:cs="Times New Roman"/>
                      <w:b w:val="0"/>
                      <w:bCs/>
                      <w:color w:val="FF0000"/>
                      <w:sz w:val="21"/>
                      <w:szCs w:val="21"/>
                      <w:lang w:val="en-US" w:eastAsia="zh-CN"/>
                    </w:rPr>
                    <w:t>执行</w:t>
                  </w:r>
                  <w:r>
                    <w:rPr>
                      <w:rFonts w:hint="default" w:cs="Times New Roman"/>
                      <w:b w:val="0"/>
                      <w:bCs/>
                      <w:color w:val="FF0000"/>
                      <w:sz w:val="21"/>
                      <w:szCs w:val="21"/>
                      <w:lang w:val="en-US" w:eastAsia="zh-CN"/>
                    </w:rPr>
                    <w:t>《土壤环境质量 建设用地土壤污染风险管控标准（试行）》（GB36600-2018）第二类用地筛选值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0" w:type="pct"/>
                  <w:vMerge w:val="restar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样品编号</w:t>
                  </w:r>
                </w:p>
              </w:tc>
              <w:tc>
                <w:tcPr>
                  <w:tcW w:w="954" w:type="pct"/>
                  <w:vMerge w:val="restar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检测项目</w:t>
                  </w:r>
                </w:p>
              </w:tc>
              <w:tc>
                <w:tcPr>
                  <w:tcW w:w="529" w:type="pct"/>
                  <w:vMerge w:val="restar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单位</w:t>
                  </w:r>
                </w:p>
              </w:tc>
              <w:tc>
                <w:tcPr>
                  <w:tcW w:w="1163" w:type="pct"/>
                  <w:gridSpan w:val="5"/>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2#装卸区测定结果</w:t>
                  </w:r>
                </w:p>
              </w:tc>
              <w:tc>
                <w:tcPr>
                  <w:tcW w:w="609" w:type="pct"/>
                  <w:gridSpan w:val="3"/>
                  <w:vMerge w:val="restar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标准</w:t>
                  </w:r>
                </w:p>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r>
                    <w:rPr>
                      <w:rFonts w:hint="default" w:ascii="Times New Roman" w:hAnsi="Times New Roman" w:cs="Times New Roman"/>
                      <w:b/>
                      <w:bCs/>
                      <w:color w:val="000000"/>
                      <w:sz w:val="21"/>
                      <w:szCs w:val="21"/>
                      <w:lang w:val="en-US" w:eastAsia="zh-CN"/>
                    </w:rPr>
                    <w:t>限值</w:t>
                  </w:r>
                </w:p>
              </w:tc>
              <w:tc>
                <w:tcPr>
                  <w:tcW w:w="792" w:type="pct"/>
                  <w:vMerge w:val="restart"/>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r>
                    <w:rPr>
                      <w:rFonts w:hint="eastAsia" w:ascii="Times New Roman" w:hAnsi="Times New Roman" w:cs="Times New Roman"/>
                      <w:b/>
                      <w:bCs/>
                      <w:color w:val="FF0000"/>
                      <w:sz w:val="21"/>
                      <w:szCs w:val="21"/>
                      <w:lang w:val="en-US" w:eastAsia="zh-CN"/>
                    </w:rPr>
                    <w:t>单因子指标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954"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529"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418"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表层样</w:t>
                  </w:r>
                </w:p>
              </w:tc>
              <w:tc>
                <w:tcPr>
                  <w:tcW w:w="387"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中层样</w:t>
                  </w:r>
                </w:p>
              </w:tc>
              <w:tc>
                <w:tcPr>
                  <w:tcW w:w="356"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深层样</w:t>
                  </w:r>
                </w:p>
              </w:tc>
              <w:tc>
                <w:tcPr>
                  <w:tcW w:w="609" w:type="pct"/>
                  <w:gridSpan w:val="3"/>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p>
              </w:tc>
              <w:tc>
                <w:tcPr>
                  <w:tcW w:w="792" w:type="pct"/>
                  <w:vMerge w:val="continue"/>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0" w:type="pct"/>
                  <w:vMerge w:val="restart"/>
                  <w:noWrap w:val="0"/>
                  <w:vAlign w:val="center"/>
                </w:tcPr>
                <w:p>
                  <w:pPr>
                    <w:snapToGrid w:val="0"/>
                    <w:spacing w:line="240" w:lineRule="auto"/>
                    <w:ind w:firstLine="0" w:firstLineChars="0"/>
                    <w:jc w:val="center"/>
                    <w:rPr>
                      <w:rFonts w:hint="eastAsia" w:cs="Times New Roman"/>
                      <w:color w:val="000000"/>
                      <w:spacing w:val="0"/>
                      <w:kern w:val="2"/>
                      <w:sz w:val="21"/>
                      <w:szCs w:val="21"/>
                      <w:shd w:val="clear" w:color="auto" w:fill="auto"/>
                      <w:lang w:val="en-US" w:eastAsia="zh-CN"/>
                    </w:rPr>
                  </w:pPr>
                  <w:r>
                    <w:rPr>
                      <w:rFonts w:hint="eastAsia" w:cs="Times New Roman"/>
                      <w:color w:val="000000"/>
                      <w:spacing w:val="0"/>
                      <w:kern w:val="2"/>
                      <w:sz w:val="21"/>
                      <w:szCs w:val="21"/>
                      <w:shd w:val="clear" w:color="auto" w:fill="auto"/>
                      <w:lang w:val="en-US" w:eastAsia="zh-CN"/>
                    </w:rPr>
                    <w:t>YY/XM-2026-034-</w:t>
                  </w:r>
                </w:p>
                <w:p>
                  <w:pPr>
                    <w:snapToGrid w:val="0"/>
                    <w:spacing w:line="240" w:lineRule="auto"/>
                    <w:ind w:firstLine="0" w:firstLineChars="0"/>
                    <w:jc w:val="center"/>
                    <w:rPr>
                      <w:rFonts w:hint="eastAsia" w:cs="Times New Roman"/>
                      <w:color w:val="000000"/>
                      <w:spacing w:val="0"/>
                      <w:kern w:val="2"/>
                      <w:sz w:val="21"/>
                      <w:szCs w:val="21"/>
                      <w:shd w:val="clear" w:color="auto" w:fill="auto"/>
                      <w:lang w:val="en-US" w:eastAsia="zh-CN"/>
                    </w:rPr>
                  </w:pPr>
                  <w:r>
                    <w:rPr>
                      <w:rFonts w:hint="eastAsia" w:cs="Times New Roman"/>
                      <w:color w:val="000000"/>
                      <w:spacing w:val="0"/>
                      <w:kern w:val="2"/>
                      <w:sz w:val="21"/>
                      <w:szCs w:val="21"/>
                      <w:shd w:val="clear" w:color="auto" w:fill="auto"/>
                      <w:lang w:val="en-US" w:eastAsia="zh-CN"/>
                    </w:rPr>
                    <w:t>（TR04-TR06）-</w:t>
                  </w:r>
                </w:p>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cs="Times New Roman"/>
                      <w:color w:val="000000"/>
                      <w:spacing w:val="0"/>
                      <w:kern w:val="2"/>
                      <w:sz w:val="21"/>
                      <w:szCs w:val="21"/>
                      <w:highlight w:val="none"/>
                      <w:shd w:val="clear" w:color="auto" w:fill="auto"/>
                      <w:lang w:val="en-US" w:eastAsia="zh-CN"/>
                    </w:rPr>
                    <w:t>（01-03）-01</w:t>
                  </w: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石油烃</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72</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65</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55</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4500</w:t>
                  </w:r>
                </w:p>
              </w:tc>
              <w:tc>
                <w:tcPr>
                  <w:tcW w:w="792" w:type="pct"/>
                  <w:shd w:val="clear" w:color="auto" w:fill="auto"/>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FF0000"/>
                      <w:spacing w:val="-17"/>
                      <w:kern w:val="2"/>
                      <w:sz w:val="21"/>
                      <w:szCs w:val="21"/>
                      <w:lang w:val="en-US" w:eastAsia="zh-CN" w:bidi="ar-SA"/>
                    </w:rPr>
                  </w:pPr>
                  <w:r>
                    <w:rPr>
                      <w:rFonts w:hint="default" w:ascii="Times New Roman" w:hAnsi="Times New Roman" w:cs="Times New Roman"/>
                      <w:color w:val="FF0000"/>
                      <w:spacing w:val="-17"/>
                      <w:kern w:val="2"/>
                      <w:sz w:val="21"/>
                      <w:szCs w:val="21"/>
                      <w:lang w:val="en-US" w:eastAsia="zh-CN" w:bidi="ar-SA"/>
                    </w:rPr>
                    <w:t>0.0122~0.0160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阳离子交换量</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auto"/>
                      <w:spacing w:val="0"/>
                      <w:sz w:val="21"/>
                      <w:szCs w:val="21"/>
                      <w:highlight w:val="none"/>
                      <w:lang w:val="en-US" w:eastAsia="zh-CN"/>
                    </w:rPr>
                    <w:t>cmol+/kg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2.8</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2.2</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2.5</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792"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FF0000"/>
                      <w:spacing w:val="-17"/>
                      <w:kern w:val="2"/>
                      <w:sz w:val="21"/>
                      <w:szCs w:val="21"/>
                      <w:lang w:val="en-US" w:eastAsia="zh-CN" w:bidi="ar-SA"/>
                    </w:rPr>
                  </w:pPr>
                  <w:r>
                    <w:rPr>
                      <w:rFonts w:hint="eastAsia" w:ascii="Times New Roman" w:hAnsi="Times New Roman" w:cs="Times New Roman"/>
                      <w:color w:val="FF0000"/>
                      <w:spacing w:val="-17"/>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highlight w:val="none"/>
                      <w:lang w:val="en-US" w:eastAsia="zh-CN" w:bidi="ar-SA"/>
                    </w:rPr>
                  </w:pPr>
                  <w:r>
                    <w:rPr>
                      <w:rFonts w:hint="eastAsia" w:cs="Times New Roman"/>
                      <w:b w:val="0"/>
                      <w:bCs/>
                      <w:sz w:val="21"/>
                      <w:szCs w:val="21"/>
                      <w:highlight w:val="none"/>
                      <w:lang w:val="en-US" w:eastAsia="zh-CN"/>
                    </w:rPr>
                    <w:t>氧化还原电位</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highlight w:val="none"/>
                      <w:lang w:val="en-US" w:eastAsia="zh-CN" w:bidi="ar-SA"/>
                    </w:rPr>
                  </w:pPr>
                  <w:r>
                    <w:rPr>
                      <w:rFonts w:hint="eastAsia" w:ascii="Times New Roman" w:hAnsi="Times New Roman" w:cs="Times New Roman"/>
                      <w:color w:val="auto"/>
                      <w:spacing w:val="0"/>
                      <w:sz w:val="21"/>
                      <w:szCs w:val="21"/>
                      <w:highlight w:val="none"/>
                      <w:lang w:val="en-US" w:eastAsia="zh-CN"/>
                    </w:rPr>
                    <w:t>mV</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435</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431</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427</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容重</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0"/>
                      <w:kern w:val="2"/>
                      <w:sz w:val="21"/>
                      <w:szCs w:val="21"/>
                      <w:highlight w:val="none"/>
                      <w:lang w:val="en-US" w:eastAsia="zh-CN" w:bidi="ar-SA"/>
                    </w:rPr>
                  </w:pPr>
                  <w:r>
                    <w:rPr>
                      <w:rFonts w:hint="eastAsia" w:ascii="Times New Roman" w:hAnsi="Times New Roman" w:cs="Times New Roman"/>
                      <w:color w:val="auto"/>
                      <w:spacing w:val="0"/>
                      <w:sz w:val="21"/>
                      <w:szCs w:val="21"/>
                      <w:highlight w:val="none"/>
                      <w:lang w:val="en-US" w:eastAsia="zh-CN"/>
                    </w:rPr>
                    <w:t>g/cm</w:t>
                  </w:r>
                  <w:r>
                    <w:rPr>
                      <w:rFonts w:hint="eastAsia" w:ascii="Times New Roman" w:hAnsi="Times New Roman" w:cs="Times New Roman"/>
                      <w:color w:val="auto"/>
                      <w:spacing w:val="0"/>
                      <w:sz w:val="21"/>
                      <w:szCs w:val="21"/>
                      <w:highlight w:val="none"/>
                      <w:vertAlign w:val="superscript"/>
                      <w:lang w:val="en-US" w:eastAsia="zh-CN"/>
                    </w:rPr>
                    <w:t>3</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1.56</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1.47</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1.68</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0"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p>
              </w:tc>
              <w:tc>
                <w:tcPr>
                  <w:tcW w:w="954"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水溶性盐总量</w:t>
                  </w:r>
                </w:p>
              </w:tc>
              <w:tc>
                <w:tcPr>
                  <w:tcW w:w="529"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0"/>
                      <w:kern w:val="2"/>
                      <w:sz w:val="21"/>
                      <w:szCs w:val="21"/>
                      <w:highlight w:val="none"/>
                      <w:lang w:val="en-US" w:eastAsia="zh-CN" w:bidi="ar-SA"/>
                    </w:rPr>
                  </w:pPr>
                  <w:r>
                    <w:rPr>
                      <w:rFonts w:hint="default" w:ascii="Times New Roman" w:hAnsi="Times New Roman" w:cs="Times New Roman"/>
                      <w:color w:val="auto"/>
                      <w:spacing w:val="0"/>
                      <w:sz w:val="21"/>
                      <w:szCs w:val="21"/>
                      <w:highlight w:val="none"/>
                      <w:lang w:val="en-US" w:eastAsia="zh-CN"/>
                    </w:rPr>
                    <w:t>g/kg</w:t>
                  </w:r>
                </w:p>
              </w:tc>
              <w:tc>
                <w:tcPr>
                  <w:tcW w:w="418"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3.9</w:t>
                  </w:r>
                </w:p>
              </w:tc>
              <w:tc>
                <w:tcPr>
                  <w:tcW w:w="387"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kern w:val="2"/>
                      <w:sz w:val="21"/>
                      <w:szCs w:val="21"/>
                      <w:lang w:val="en-US" w:eastAsia="zh-CN" w:bidi="ar-SA"/>
                    </w:rPr>
                    <w:t>3.5</w:t>
                  </w:r>
                </w:p>
              </w:tc>
              <w:tc>
                <w:tcPr>
                  <w:tcW w:w="356"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kern w:val="2"/>
                      <w:sz w:val="21"/>
                      <w:szCs w:val="21"/>
                      <w:lang w:val="en-US" w:eastAsia="zh-CN" w:bidi="ar-SA"/>
                    </w:rPr>
                  </w:pPr>
                  <w:r>
                    <w:rPr>
                      <w:rFonts w:hint="eastAsia" w:ascii="Times New Roman" w:hAnsi="Times New Roman" w:cs="Times New Roman"/>
                      <w:color w:val="000000"/>
                      <w:kern w:val="2"/>
                      <w:sz w:val="21"/>
                      <w:szCs w:val="21"/>
                      <w:lang w:val="en-US" w:eastAsia="zh-CN" w:bidi="ar-SA"/>
                    </w:rPr>
                    <w:t>3.2</w:t>
                  </w:r>
                </w:p>
              </w:tc>
              <w:tc>
                <w:tcPr>
                  <w:tcW w:w="609"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792" w:type="pct"/>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5000" w:type="pct"/>
                  <w:gridSpan w:val="12"/>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r>
                    <w:rPr>
                      <w:rFonts w:hint="eastAsia" w:cs="Times New Roman"/>
                      <w:b w:val="0"/>
                      <w:bCs/>
                      <w:color w:val="FF0000"/>
                      <w:sz w:val="21"/>
                      <w:szCs w:val="21"/>
                      <w:lang w:val="en-US" w:eastAsia="zh-CN"/>
                    </w:rPr>
                    <w:t>执行</w:t>
                  </w:r>
                  <w:r>
                    <w:rPr>
                      <w:rFonts w:hint="default" w:cs="Times New Roman"/>
                      <w:b w:val="0"/>
                      <w:bCs/>
                      <w:color w:val="FF0000"/>
                      <w:sz w:val="21"/>
                      <w:szCs w:val="21"/>
                      <w:lang w:val="en-US" w:eastAsia="zh-CN"/>
                    </w:rPr>
                    <w:t>《土壤环境质量 建设用地土壤污染风险管控标准（试行）》（GB36600-2018）第二类用地筛选值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检测点位</w:t>
                  </w:r>
                </w:p>
              </w:tc>
              <w:tc>
                <w:tcPr>
                  <w:tcW w:w="95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z w:val="21"/>
                      <w:szCs w:val="21"/>
                      <w:lang w:val="en-US" w:eastAsia="zh-CN"/>
                    </w:rPr>
                    <w:t>样品编号</w:t>
                  </w:r>
                </w:p>
              </w:tc>
              <w:tc>
                <w:tcPr>
                  <w:tcW w:w="640"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检测项目</w:t>
                  </w:r>
                </w:p>
              </w:tc>
              <w:tc>
                <w:tcPr>
                  <w:tcW w:w="532" w:type="pct"/>
                  <w:gridSpan w:val="2"/>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单位</w:t>
                  </w:r>
                </w:p>
              </w:tc>
              <w:tc>
                <w:tcPr>
                  <w:tcW w:w="558" w:type="pct"/>
                  <w:gridSpan w:val="3"/>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测定结果</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标准</w:t>
                  </w:r>
                </w:p>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r>
                    <w:rPr>
                      <w:rFonts w:hint="default" w:ascii="Times New Roman" w:hAnsi="Times New Roman" w:cs="Times New Roman"/>
                      <w:b/>
                      <w:bCs/>
                      <w:color w:val="000000"/>
                      <w:sz w:val="21"/>
                      <w:szCs w:val="21"/>
                      <w:lang w:val="en-US" w:eastAsia="zh-CN"/>
                    </w:rPr>
                    <w:t>限值</w:t>
                  </w:r>
                </w:p>
              </w:tc>
              <w:tc>
                <w:tcPr>
                  <w:tcW w:w="892" w:type="pct"/>
                  <w:gridSpan w:val="2"/>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r>
                    <w:rPr>
                      <w:rFonts w:hint="eastAsia" w:ascii="Times New Roman" w:hAnsi="Times New Roman" w:cs="Times New Roman"/>
                      <w:b/>
                      <w:bCs/>
                      <w:color w:val="FF0000"/>
                      <w:sz w:val="21"/>
                      <w:szCs w:val="21"/>
                      <w:lang w:val="en-US" w:eastAsia="zh-CN"/>
                    </w:rPr>
                    <w:t>单因子指标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restart"/>
                  <w:noWrap w:val="0"/>
                  <w:vAlign w:val="center"/>
                </w:tcPr>
                <w:p>
                  <w:pPr>
                    <w:spacing w:line="240" w:lineRule="auto"/>
                    <w:ind w:left="0" w:leftChars="0" w:firstLine="0" w:firstLineChars="0"/>
                    <w:jc w:val="center"/>
                    <w:rPr>
                      <w:rFonts w:hint="eastAsia" w:ascii="Times New Roman" w:hAnsi="Times New Roman" w:cs="Times New Roman"/>
                      <w:b/>
                      <w:bCs/>
                      <w:color w:val="000000"/>
                      <w:sz w:val="21"/>
                      <w:szCs w:val="21"/>
                      <w:lang w:val="en-US" w:eastAsia="zh-CN"/>
                    </w:rPr>
                  </w:pPr>
                  <w:r>
                    <w:rPr>
                      <w:rFonts w:hint="eastAsia" w:ascii="Times New Roman" w:hAnsi="Times New Roman" w:cs="Times New Roman"/>
                      <w:sz w:val="21"/>
                      <w:szCs w:val="21"/>
                      <w:lang w:val="en-US" w:eastAsia="zh-CN"/>
                    </w:rPr>
                    <w:t>3#厂外</w:t>
                  </w:r>
                  <w:r>
                    <w:rPr>
                      <w:rFonts w:hint="eastAsia"/>
                      <w:b w:val="0"/>
                      <w:bCs w:val="0"/>
                      <w:color w:val="auto"/>
                      <w:sz w:val="21"/>
                      <w:szCs w:val="21"/>
                      <w:lang w:val="en-US" w:eastAsia="zh-CN"/>
                    </w:rPr>
                    <w:t>表层样</w:t>
                  </w:r>
                </w:p>
              </w:tc>
              <w:tc>
                <w:tcPr>
                  <w:tcW w:w="951" w:type="pct"/>
                  <w:vMerge w:val="restart"/>
                  <w:noWrap w:val="0"/>
                  <w:vAlign w:val="center"/>
                </w:tcPr>
                <w:p>
                  <w:pPr>
                    <w:snapToGrid w:val="0"/>
                    <w:spacing w:line="240" w:lineRule="auto"/>
                    <w:ind w:firstLine="0" w:firstLineChars="0"/>
                    <w:jc w:val="center"/>
                    <w:rPr>
                      <w:rFonts w:hint="eastAsia" w:cs="Times New Roman"/>
                      <w:color w:val="000000"/>
                      <w:spacing w:val="0"/>
                      <w:kern w:val="2"/>
                      <w:sz w:val="21"/>
                      <w:szCs w:val="21"/>
                      <w:highlight w:val="none"/>
                      <w:shd w:val="clear" w:color="auto" w:fill="auto"/>
                      <w:lang w:val="en-US" w:eastAsia="zh-CN"/>
                    </w:rPr>
                  </w:pPr>
                  <w:r>
                    <w:rPr>
                      <w:rFonts w:hint="eastAsia" w:cs="Times New Roman"/>
                      <w:color w:val="000000"/>
                      <w:spacing w:val="0"/>
                      <w:kern w:val="2"/>
                      <w:sz w:val="21"/>
                      <w:szCs w:val="21"/>
                      <w:highlight w:val="none"/>
                      <w:shd w:val="clear" w:color="auto" w:fill="auto"/>
                      <w:lang w:val="en-US" w:eastAsia="zh-CN"/>
                    </w:rPr>
                    <w:t>YY/XM-2026-034-</w:t>
                  </w:r>
                </w:p>
                <w:p>
                  <w:pPr>
                    <w:snapToGrid w:val="0"/>
                    <w:spacing w:line="240" w:lineRule="auto"/>
                    <w:ind w:firstLine="0" w:firstLineChars="0"/>
                    <w:jc w:val="center"/>
                    <w:rPr>
                      <w:rFonts w:hint="eastAsia" w:cs="Times New Roman"/>
                      <w:color w:val="000000"/>
                      <w:spacing w:val="0"/>
                      <w:kern w:val="2"/>
                      <w:sz w:val="21"/>
                      <w:szCs w:val="21"/>
                      <w:highlight w:val="none"/>
                      <w:shd w:val="clear" w:color="auto" w:fill="auto"/>
                      <w:lang w:val="en-US" w:eastAsia="zh-CN"/>
                    </w:rPr>
                  </w:pPr>
                  <w:r>
                    <w:rPr>
                      <w:rFonts w:hint="eastAsia" w:cs="Times New Roman"/>
                      <w:color w:val="000000"/>
                      <w:spacing w:val="0"/>
                      <w:kern w:val="2"/>
                      <w:sz w:val="21"/>
                      <w:szCs w:val="21"/>
                      <w:highlight w:val="none"/>
                      <w:shd w:val="clear" w:color="auto" w:fill="auto"/>
                      <w:lang w:val="en-US" w:eastAsia="zh-CN"/>
                    </w:rPr>
                    <w:t>TR07-</w:t>
                  </w:r>
                </w:p>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highlight w:val="none"/>
                      <w:lang w:val="en-US" w:eastAsia="zh-CN"/>
                    </w:rPr>
                  </w:pPr>
                  <w:r>
                    <w:rPr>
                      <w:rFonts w:hint="eastAsia" w:cs="Times New Roman"/>
                      <w:color w:val="000000"/>
                      <w:spacing w:val="0"/>
                      <w:kern w:val="2"/>
                      <w:sz w:val="21"/>
                      <w:szCs w:val="21"/>
                      <w:highlight w:val="none"/>
                      <w:shd w:val="clear" w:color="auto" w:fill="auto"/>
                      <w:lang w:val="en-US" w:eastAsia="zh-CN"/>
                    </w:rPr>
                    <w:t>（01-03）-01</w:t>
                  </w: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石油烃</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78</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892" w:type="pct"/>
                  <w:gridSpan w:val="2"/>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阳离子交换量</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auto"/>
                      <w:spacing w:val="0"/>
                      <w:sz w:val="21"/>
                      <w:szCs w:val="21"/>
                      <w:highlight w:val="none"/>
                      <w:lang w:val="en-US" w:eastAsia="zh-CN"/>
                    </w:rPr>
                    <w:t>cmol+/kg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3.1</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892" w:type="pct"/>
                  <w:gridSpan w:val="2"/>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氧化还原电位</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auto"/>
                      <w:spacing w:val="0"/>
                      <w:sz w:val="21"/>
                      <w:szCs w:val="21"/>
                      <w:highlight w:val="none"/>
                      <w:lang w:val="en-US" w:eastAsia="zh-CN"/>
                    </w:rPr>
                    <w:t>mV</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457</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892" w:type="pct"/>
                  <w:gridSpan w:val="2"/>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容重</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0"/>
                      <w:kern w:val="2"/>
                      <w:sz w:val="21"/>
                      <w:szCs w:val="21"/>
                      <w:highlight w:val="none"/>
                      <w:lang w:val="en-US" w:eastAsia="zh-CN" w:bidi="ar-SA"/>
                    </w:rPr>
                  </w:pPr>
                  <w:r>
                    <w:rPr>
                      <w:rFonts w:hint="eastAsia" w:ascii="Times New Roman" w:hAnsi="Times New Roman" w:cs="Times New Roman"/>
                      <w:color w:val="auto"/>
                      <w:spacing w:val="0"/>
                      <w:sz w:val="21"/>
                      <w:szCs w:val="21"/>
                      <w:highlight w:val="none"/>
                      <w:lang w:val="en-US" w:eastAsia="zh-CN"/>
                    </w:rPr>
                    <w:t>g/cm</w:t>
                  </w:r>
                  <w:r>
                    <w:rPr>
                      <w:rFonts w:hint="eastAsia" w:ascii="Times New Roman" w:hAnsi="Times New Roman" w:cs="Times New Roman"/>
                      <w:color w:val="auto"/>
                      <w:spacing w:val="0"/>
                      <w:sz w:val="21"/>
                      <w:szCs w:val="21"/>
                      <w:highlight w:val="none"/>
                      <w:vertAlign w:val="superscript"/>
                      <w:lang w:val="en-US" w:eastAsia="zh-CN"/>
                    </w:rPr>
                    <w:t>3</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1.53</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892" w:type="pct"/>
                  <w:gridSpan w:val="2"/>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水溶性盐总量</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0"/>
                      <w:kern w:val="2"/>
                      <w:sz w:val="21"/>
                      <w:szCs w:val="21"/>
                      <w:highlight w:val="none"/>
                      <w:lang w:val="en-US" w:eastAsia="zh-CN" w:bidi="ar-SA"/>
                    </w:rPr>
                  </w:pPr>
                  <w:r>
                    <w:rPr>
                      <w:rFonts w:hint="default" w:ascii="Times New Roman" w:hAnsi="Times New Roman" w:cs="Times New Roman"/>
                      <w:color w:val="auto"/>
                      <w:spacing w:val="0"/>
                      <w:sz w:val="21"/>
                      <w:szCs w:val="21"/>
                      <w:highlight w:val="none"/>
                      <w:lang w:val="en-US" w:eastAsia="zh-CN"/>
                    </w:rPr>
                    <w:t>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3.5</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000000"/>
                      <w:spacing w:val="-20"/>
                      <w:kern w:val="0"/>
                      <w:sz w:val="21"/>
                      <w:szCs w:val="21"/>
                      <w:lang w:val="en-US" w:eastAsia="zh-CN" w:bidi="ar-SA"/>
                    </w:rPr>
                  </w:pPr>
                  <w:r>
                    <w:rPr>
                      <w:rFonts w:hint="eastAsia" w:ascii="Times New Roman" w:hAnsi="Times New Roman" w:cs="Times New Roman"/>
                      <w:color w:val="000000"/>
                      <w:spacing w:val="-20"/>
                      <w:sz w:val="21"/>
                      <w:szCs w:val="21"/>
                      <w:lang w:val="en-US" w:eastAsia="zh-CN"/>
                    </w:rPr>
                    <w:t>/</w:t>
                  </w:r>
                </w:p>
              </w:tc>
              <w:tc>
                <w:tcPr>
                  <w:tcW w:w="892" w:type="pct"/>
                  <w:gridSpan w:val="2"/>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eastAsia="仿宋" w:cs="Times New Roman"/>
                      <w:color w:val="FF0000"/>
                      <w:kern w:val="2"/>
                      <w:sz w:val="21"/>
                      <w:szCs w:val="21"/>
                      <w:lang w:val="en-US" w:eastAsia="zh-CN" w:bidi="ar-SA"/>
                    </w:rPr>
                  </w:pPr>
                  <w:r>
                    <w:rPr>
                      <w:rFonts w:hint="eastAsia" w:ascii="Times New Roman" w:hAnsi="Times New Roman"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vMerge w:val="restart"/>
                  <w:noWrap w:val="0"/>
                  <w:vAlign w:val="center"/>
                </w:tcPr>
                <w:p>
                  <w:pPr>
                    <w:spacing w:line="240" w:lineRule="auto"/>
                    <w:ind w:left="0" w:leftChars="0" w:firstLine="0" w:firstLineChars="0"/>
                    <w:jc w:val="center"/>
                    <w:rPr>
                      <w:rFonts w:hint="eastAsia" w:ascii="Times New Roman" w:hAnsi="Times New Roman" w:cs="Times New Roman"/>
                      <w:b/>
                      <w:bCs/>
                      <w:color w:val="000000"/>
                      <w:sz w:val="21"/>
                      <w:szCs w:val="21"/>
                      <w:lang w:val="en-US" w:eastAsia="zh-CN"/>
                    </w:rPr>
                  </w:pPr>
                  <w:r>
                    <w:rPr>
                      <w:rFonts w:hint="eastAsia" w:cs="Times New Roman"/>
                      <w:sz w:val="21"/>
                      <w:szCs w:val="21"/>
                      <w:lang w:val="en-US" w:eastAsia="zh-CN"/>
                    </w:rPr>
                    <w:t>4</w:t>
                  </w:r>
                  <w:r>
                    <w:rPr>
                      <w:rFonts w:hint="eastAsia" w:ascii="Times New Roman" w:hAnsi="Times New Roman" w:cs="Times New Roman"/>
                      <w:sz w:val="21"/>
                      <w:szCs w:val="21"/>
                      <w:lang w:val="en-US" w:eastAsia="zh-CN"/>
                    </w:rPr>
                    <w:t>#厂外</w:t>
                  </w:r>
                  <w:r>
                    <w:rPr>
                      <w:rFonts w:hint="eastAsia"/>
                      <w:b w:val="0"/>
                      <w:bCs w:val="0"/>
                      <w:color w:val="auto"/>
                      <w:sz w:val="21"/>
                      <w:szCs w:val="21"/>
                      <w:lang w:val="en-US" w:eastAsia="zh-CN"/>
                    </w:rPr>
                    <w:t>表层样</w:t>
                  </w:r>
                </w:p>
              </w:tc>
              <w:tc>
                <w:tcPr>
                  <w:tcW w:w="951" w:type="pct"/>
                  <w:vMerge w:val="restart"/>
                  <w:noWrap w:val="0"/>
                  <w:vAlign w:val="center"/>
                </w:tcPr>
                <w:p>
                  <w:pPr>
                    <w:snapToGrid w:val="0"/>
                    <w:spacing w:line="240" w:lineRule="auto"/>
                    <w:ind w:firstLine="0" w:firstLineChars="0"/>
                    <w:jc w:val="center"/>
                    <w:rPr>
                      <w:rFonts w:hint="eastAsia" w:cs="Times New Roman"/>
                      <w:color w:val="000000"/>
                      <w:spacing w:val="0"/>
                      <w:kern w:val="2"/>
                      <w:sz w:val="21"/>
                      <w:szCs w:val="21"/>
                      <w:highlight w:val="none"/>
                      <w:shd w:val="clear" w:color="auto" w:fill="auto"/>
                      <w:lang w:val="en-US" w:eastAsia="zh-CN"/>
                    </w:rPr>
                  </w:pPr>
                  <w:r>
                    <w:rPr>
                      <w:rFonts w:hint="eastAsia" w:cs="Times New Roman"/>
                      <w:color w:val="000000"/>
                      <w:spacing w:val="0"/>
                      <w:kern w:val="2"/>
                      <w:sz w:val="21"/>
                      <w:szCs w:val="21"/>
                      <w:highlight w:val="none"/>
                      <w:shd w:val="clear" w:color="auto" w:fill="auto"/>
                      <w:lang w:val="en-US" w:eastAsia="zh-CN"/>
                    </w:rPr>
                    <w:t>YY/XM-2026-034-</w:t>
                  </w:r>
                </w:p>
                <w:p>
                  <w:pPr>
                    <w:snapToGrid w:val="0"/>
                    <w:spacing w:line="240" w:lineRule="auto"/>
                    <w:ind w:firstLine="0" w:firstLineChars="0"/>
                    <w:jc w:val="center"/>
                    <w:rPr>
                      <w:rFonts w:hint="default" w:cs="Times New Roman"/>
                      <w:color w:val="000000"/>
                      <w:spacing w:val="0"/>
                      <w:kern w:val="2"/>
                      <w:sz w:val="21"/>
                      <w:szCs w:val="21"/>
                      <w:highlight w:val="none"/>
                      <w:shd w:val="clear" w:color="auto" w:fill="auto"/>
                      <w:lang w:val="en-US" w:eastAsia="zh-CN"/>
                    </w:rPr>
                  </w:pPr>
                  <w:r>
                    <w:rPr>
                      <w:rFonts w:hint="eastAsia" w:cs="Times New Roman"/>
                      <w:color w:val="000000"/>
                      <w:spacing w:val="0"/>
                      <w:kern w:val="2"/>
                      <w:sz w:val="21"/>
                      <w:szCs w:val="21"/>
                      <w:highlight w:val="none"/>
                      <w:shd w:val="clear" w:color="auto" w:fill="auto"/>
                      <w:lang w:val="en-US" w:eastAsia="zh-CN"/>
                    </w:rPr>
                    <w:t>TR08-</w:t>
                  </w:r>
                </w:p>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highlight w:val="none"/>
                      <w:lang w:val="en-US" w:eastAsia="zh-CN"/>
                    </w:rPr>
                  </w:pPr>
                  <w:r>
                    <w:rPr>
                      <w:rFonts w:hint="eastAsia" w:cs="Times New Roman"/>
                      <w:color w:val="000000"/>
                      <w:spacing w:val="0"/>
                      <w:kern w:val="2"/>
                      <w:sz w:val="21"/>
                      <w:szCs w:val="21"/>
                      <w:highlight w:val="none"/>
                      <w:shd w:val="clear" w:color="auto" w:fill="auto"/>
                      <w:lang w:val="en-US" w:eastAsia="zh-CN"/>
                    </w:rPr>
                    <w:t>（01-03）-01</w:t>
                  </w: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pH</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0"/>
                      <w:kern w:val="2"/>
                      <w:sz w:val="21"/>
                      <w:szCs w:val="21"/>
                      <w:lang w:val="en-US" w:eastAsia="zh-CN" w:bidi="ar-SA"/>
                    </w:rPr>
                  </w:pPr>
                  <w:r>
                    <w:rPr>
                      <w:rFonts w:hint="eastAsia" w:ascii="Times New Roman" w:hAnsi="Times New Roman" w:cs="Times New Roman"/>
                      <w:color w:val="000000"/>
                      <w:spacing w:val="0"/>
                      <w:sz w:val="21"/>
                      <w:szCs w:val="21"/>
                      <w:lang w:val="en-US" w:eastAsia="zh-CN"/>
                    </w:rPr>
                    <w:t>无量纲</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8.4</w:t>
                  </w:r>
                </w:p>
              </w:tc>
              <w:tc>
                <w:tcPr>
                  <w:tcW w:w="471"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kern w:val="2"/>
                      <w:sz w:val="21"/>
                      <w:szCs w:val="21"/>
                      <w:lang w:val="en-US" w:eastAsia="zh-CN" w:bidi="ar-SA"/>
                    </w:rPr>
                    <w:t>＞7.5</w:t>
                  </w:r>
                </w:p>
              </w:tc>
              <w:tc>
                <w:tcPr>
                  <w:tcW w:w="892" w:type="pct"/>
                  <w:gridSpan w:val="2"/>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eastAsia="仿宋" w:cs="Times New Roman"/>
                      <w:b w:val="0"/>
                      <w:bCs/>
                      <w:color w:val="FF0000"/>
                      <w:kern w:val="2"/>
                      <w:sz w:val="21"/>
                      <w:szCs w:val="21"/>
                      <w:lang w:val="en-US" w:eastAsia="zh-CN" w:bidi="ar-SA"/>
                    </w:rPr>
                  </w:pPr>
                  <w:r>
                    <w:rPr>
                      <w:rFonts w:hint="eastAsia" w:eastAsia="仿宋" w:cs="Times New Roman"/>
                      <w:b w:val="0"/>
                      <w:bCs/>
                      <w:color w:val="FF0000"/>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continue"/>
                  <w:noWrap w:val="0"/>
                  <w:vAlign w:val="center"/>
                </w:tcPr>
                <w:p>
                  <w:pPr>
                    <w:spacing w:line="240" w:lineRule="auto"/>
                    <w:ind w:left="0" w:leftChars="0" w:firstLine="0" w:firstLineChars="0"/>
                    <w:jc w:val="center"/>
                    <w:rPr>
                      <w:rFonts w:hint="eastAsia" w:cs="Times New Roman"/>
                      <w:sz w:val="21"/>
                      <w:szCs w:val="21"/>
                      <w:lang w:val="en-US" w:eastAsia="zh-CN"/>
                    </w:rPr>
                  </w:pPr>
                </w:p>
              </w:tc>
              <w:tc>
                <w:tcPr>
                  <w:tcW w:w="951" w:type="pct"/>
                  <w:vMerge w:val="continue"/>
                  <w:noWrap w:val="0"/>
                  <w:vAlign w:val="center"/>
                </w:tcPr>
                <w:p>
                  <w:pPr>
                    <w:pStyle w:val="10"/>
                    <w:adjustRightInd w:val="0"/>
                    <w:snapToGrid w:val="0"/>
                    <w:spacing w:before="0" w:beforeAutospacing="0" w:after="0" w:afterAutospacing="0" w:line="240" w:lineRule="auto"/>
                    <w:ind w:firstLine="0" w:firstLineChars="0"/>
                    <w:jc w:val="center"/>
                    <w:rPr>
                      <w:rFonts w:hint="eastAsia" w:cs="Times New Roman"/>
                      <w:color w:val="000000"/>
                      <w:spacing w:val="0"/>
                      <w:kern w:val="2"/>
                      <w:sz w:val="21"/>
                      <w:szCs w:val="21"/>
                      <w:highlight w:val="none"/>
                      <w:shd w:val="clear" w:color="auto" w:fill="auto"/>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镉</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sz w:val="21"/>
                      <w:szCs w:val="21"/>
                      <w:lang w:val="en-US" w:eastAsia="zh-CN"/>
                    </w:rPr>
                    <w:t>mg/kg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0.27</w:t>
                  </w:r>
                </w:p>
              </w:tc>
              <w:tc>
                <w:tcPr>
                  <w:tcW w:w="471" w:type="pct"/>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0.6</w:t>
                  </w:r>
                </w:p>
              </w:tc>
              <w:tc>
                <w:tcPr>
                  <w:tcW w:w="892"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cs="Times New Roman"/>
                      <w:b w:val="0"/>
                      <w:bCs/>
                      <w:sz w:val="21"/>
                      <w:szCs w:val="21"/>
                      <w:lang w:val="en-US" w:eastAsia="zh-CN"/>
                    </w:rPr>
                  </w:pPr>
                  <w:r>
                    <w:rPr>
                      <w:rFonts w:hint="default" w:ascii="Times New Roman" w:hAnsi="Times New Roman" w:cs="Times New Roman"/>
                      <w:b w:val="0"/>
                      <w:bCs/>
                      <w:sz w:val="21"/>
                      <w:szCs w:val="21"/>
                      <w:lang w:val="en-US" w:eastAsia="zh-CN"/>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铬</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sz w:val="21"/>
                      <w:szCs w:val="21"/>
                      <w:lang w:val="en-US" w:eastAsia="zh-CN"/>
                    </w:rPr>
                    <w:t>mg/kg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19</w:t>
                  </w:r>
                </w:p>
              </w:tc>
              <w:tc>
                <w:tcPr>
                  <w:tcW w:w="471"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250</w:t>
                  </w:r>
                </w:p>
              </w:tc>
              <w:tc>
                <w:tcPr>
                  <w:tcW w:w="89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default" w:ascii="Times New Roman" w:hAnsi="Times New Roman" w:cs="Times New Roman"/>
                      <w:b w:val="0"/>
                      <w:bCs/>
                      <w:sz w:val="21"/>
                      <w:szCs w:val="21"/>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汞</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000000"/>
                      <w:spacing w:val="-17"/>
                      <w:sz w:val="21"/>
                      <w:szCs w:val="21"/>
                      <w:lang w:val="en-US" w:eastAsia="zh-CN"/>
                    </w:rPr>
                    <w:t>mg/kg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 xml:space="preserve">0.013 </w:t>
                  </w:r>
                </w:p>
              </w:tc>
              <w:tc>
                <w:tcPr>
                  <w:tcW w:w="471"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3.4</w:t>
                  </w:r>
                </w:p>
              </w:tc>
              <w:tc>
                <w:tcPr>
                  <w:tcW w:w="89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default" w:ascii="Times New Roman" w:hAnsi="Times New Roman" w:cs="Times New Roman"/>
                      <w:b w:val="0"/>
                      <w:bCs/>
                      <w:sz w:val="21"/>
                      <w:szCs w:val="21"/>
                      <w:lang w:val="en-US" w:eastAsia="zh-CN"/>
                    </w:rPr>
                    <w:t>0.00</w:t>
                  </w:r>
                  <w:r>
                    <w:rPr>
                      <w:rFonts w:hint="eastAsia" w:ascii="Times New Roman" w:hAnsi="Times New Roman" w:cs="Times New Roman"/>
                      <w:b w:val="0"/>
                      <w:bCs/>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砷</w:t>
                  </w:r>
                </w:p>
              </w:tc>
              <w:tc>
                <w:tcPr>
                  <w:tcW w:w="532" w:type="pct"/>
                  <w:gridSpan w:val="2"/>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auto"/>
                      <w:spacing w:val="-17"/>
                      <w:kern w:val="2"/>
                      <w:sz w:val="21"/>
                      <w:szCs w:val="21"/>
                      <w:lang w:val="en-US" w:eastAsia="zh-CN" w:bidi="ar-SA"/>
                    </w:rPr>
                  </w:pPr>
                  <w:r>
                    <w:rPr>
                      <w:rFonts w:hint="eastAsia" w:ascii="Times New Roman" w:hAnsi="Times New Roman" w:cs="Times New Roman"/>
                      <w:bCs/>
                      <w:color w:val="auto"/>
                      <w:spacing w:val="-17"/>
                      <w:sz w:val="21"/>
                      <w:szCs w:val="21"/>
                      <w:lang w:val="en-US" w:eastAsia="zh-CN"/>
                    </w:rPr>
                    <w:t>mg/kg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1.81</w:t>
                  </w:r>
                </w:p>
              </w:tc>
              <w:tc>
                <w:tcPr>
                  <w:tcW w:w="471"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25</w:t>
                  </w:r>
                </w:p>
              </w:tc>
              <w:tc>
                <w:tcPr>
                  <w:tcW w:w="89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default" w:ascii="Times New Roman" w:hAnsi="Times New Roman" w:cs="Times New Roman"/>
                      <w:b w:val="0"/>
                      <w:bCs/>
                      <w:sz w:val="21"/>
                      <w:szCs w:val="21"/>
                      <w:lang w:val="en-US" w:eastAsia="zh-C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铅</w:t>
                  </w:r>
                </w:p>
              </w:tc>
              <w:tc>
                <w:tcPr>
                  <w:tcW w:w="532" w:type="pct"/>
                  <w:gridSpan w:val="2"/>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000000"/>
                      <w:spacing w:val="-17"/>
                      <w:kern w:val="2"/>
                      <w:sz w:val="21"/>
                      <w:szCs w:val="21"/>
                      <w:lang w:val="en-US" w:eastAsia="zh-CN" w:bidi="ar-SA"/>
                    </w:rPr>
                  </w:pPr>
                  <w:r>
                    <w:rPr>
                      <w:rFonts w:hint="eastAsia" w:ascii="Times New Roman" w:hAnsi="Times New Roman" w:cs="Times New Roman"/>
                      <w:bCs/>
                      <w:color w:val="000000"/>
                      <w:spacing w:val="-17"/>
                      <w:sz w:val="21"/>
                      <w:szCs w:val="21"/>
                      <w:lang w:val="en-US" w:eastAsia="zh-CN"/>
                    </w:rPr>
                    <w:t>mg/kg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21</w:t>
                  </w:r>
                </w:p>
              </w:tc>
              <w:tc>
                <w:tcPr>
                  <w:tcW w:w="471"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170</w:t>
                  </w:r>
                </w:p>
              </w:tc>
              <w:tc>
                <w:tcPr>
                  <w:tcW w:w="89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default" w:ascii="Times New Roman" w:hAnsi="Times New Roman" w:cs="Times New Roman"/>
                      <w:b w:val="0"/>
                      <w:bCs/>
                      <w:sz w:val="21"/>
                      <w:szCs w:val="21"/>
                      <w:lang w:val="en-US" w:eastAsia="zh-CN"/>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铜</w:t>
                  </w:r>
                </w:p>
              </w:tc>
              <w:tc>
                <w:tcPr>
                  <w:tcW w:w="532" w:type="pct"/>
                  <w:gridSpan w:val="2"/>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000000"/>
                      <w:spacing w:val="-17"/>
                      <w:kern w:val="2"/>
                      <w:sz w:val="21"/>
                      <w:szCs w:val="21"/>
                      <w:lang w:val="en-US" w:eastAsia="zh-CN" w:bidi="ar-SA"/>
                    </w:rPr>
                  </w:pPr>
                  <w:r>
                    <w:rPr>
                      <w:rFonts w:hint="eastAsia" w:ascii="Times New Roman" w:hAnsi="Times New Roman" w:cs="Times New Roman"/>
                      <w:bCs/>
                      <w:color w:val="000000"/>
                      <w:spacing w:val="-17"/>
                      <w:sz w:val="21"/>
                      <w:szCs w:val="21"/>
                      <w:lang w:val="en-US" w:eastAsia="zh-CN"/>
                    </w:rPr>
                    <w:t>mg/kg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22</w:t>
                  </w:r>
                </w:p>
              </w:tc>
              <w:tc>
                <w:tcPr>
                  <w:tcW w:w="471"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100</w:t>
                  </w:r>
                </w:p>
              </w:tc>
              <w:tc>
                <w:tcPr>
                  <w:tcW w:w="89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default" w:ascii="Times New Roman" w:hAnsi="Times New Roman" w:cs="Times New Roman"/>
                      <w:b w:val="0"/>
                      <w:bCs/>
                      <w:sz w:val="21"/>
                      <w:szCs w:val="21"/>
                      <w:lang w:val="en-US" w:eastAsia="zh-CN"/>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镍</w:t>
                  </w:r>
                </w:p>
              </w:tc>
              <w:tc>
                <w:tcPr>
                  <w:tcW w:w="532" w:type="pct"/>
                  <w:gridSpan w:val="2"/>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000000"/>
                      <w:spacing w:val="-17"/>
                      <w:kern w:val="2"/>
                      <w:sz w:val="21"/>
                      <w:szCs w:val="21"/>
                      <w:lang w:val="en-US" w:eastAsia="zh-CN" w:bidi="ar-SA"/>
                    </w:rPr>
                  </w:pPr>
                  <w:r>
                    <w:rPr>
                      <w:rFonts w:hint="eastAsia" w:ascii="Times New Roman" w:hAnsi="Times New Roman" w:cs="Times New Roman"/>
                      <w:bCs/>
                      <w:color w:val="000000"/>
                      <w:spacing w:val="-17"/>
                      <w:sz w:val="21"/>
                      <w:szCs w:val="21"/>
                      <w:lang w:val="en-US" w:eastAsia="zh-CN"/>
                    </w:rPr>
                    <w:t>mg/kg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29</w:t>
                  </w:r>
                </w:p>
              </w:tc>
              <w:tc>
                <w:tcPr>
                  <w:tcW w:w="471"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190</w:t>
                  </w:r>
                </w:p>
              </w:tc>
              <w:tc>
                <w:tcPr>
                  <w:tcW w:w="89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default" w:ascii="Times New Roman" w:hAnsi="Times New Roman" w:cs="Times New Roman"/>
                      <w:b w:val="0"/>
                      <w:bCs/>
                      <w:sz w:val="21"/>
                      <w:szCs w:val="21"/>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锌</w:t>
                  </w:r>
                </w:p>
              </w:tc>
              <w:tc>
                <w:tcPr>
                  <w:tcW w:w="532" w:type="pct"/>
                  <w:gridSpan w:val="2"/>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000000"/>
                      <w:spacing w:val="-17"/>
                      <w:kern w:val="2"/>
                      <w:sz w:val="21"/>
                      <w:szCs w:val="21"/>
                      <w:lang w:val="en-US" w:eastAsia="zh-CN" w:bidi="ar-SA"/>
                    </w:rPr>
                  </w:pPr>
                  <w:r>
                    <w:rPr>
                      <w:rFonts w:hint="eastAsia" w:ascii="Times New Roman" w:hAnsi="Times New Roman" w:cs="Times New Roman"/>
                      <w:bCs/>
                      <w:color w:val="000000"/>
                      <w:spacing w:val="-17"/>
                      <w:sz w:val="21"/>
                      <w:szCs w:val="21"/>
                      <w:lang w:val="en-US" w:eastAsia="zh-CN"/>
                    </w:rPr>
                    <w:t>mg/kg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18</w:t>
                  </w:r>
                </w:p>
              </w:tc>
              <w:tc>
                <w:tcPr>
                  <w:tcW w:w="471" w:type="pct"/>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300</w:t>
                  </w:r>
                </w:p>
              </w:tc>
              <w:tc>
                <w:tcPr>
                  <w:tcW w:w="89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default" w:ascii="Times New Roman" w:hAnsi="Times New Roman" w:cs="Times New Roman"/>
                      <w:b w:val="0"/>
                      <w:bCs/>
                      <w:sz w:val="21"/>
                      <w:szCs w:val="21"/>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石油烃</w:t>
                  </w:r>
                </w:p>
              </w:tc>
              <w:tc>
                <w:tcPr>
                  <w:tcW w:w="532" w:type="pct"/>
                  <w:gridSpan w:val="2"/>
                  <w:noWrap w:val="0"/>
                  <w:vAlign w:val="center"/>
                </w:tcPr>
                <w:p>
                  <w:pPr>
                    <w:adjustRightInd w:val="0"/>
                    <w:snapToGrid w:val="0"/>
                    <w:spacing w:line="240" w:lineRule="auto"/>
                    <w:ind w:firstLine="0" w:firstLineChars="0"/>
                    <w:jc w:val="center"/>
                    <w:rPr>
                      <w:rFonts w:hint="default" w:ascii="Times New Roman" w:hAnsi="Times New Roman" w:eastAsia="仿宋" w:cs="Times New Roman"/>
                      <w:bCs/>
                      <w:color w:val="000000"/>
                      <w:spacing w:val="-17"/>
                      <w:kern w:val="2"/>
                      <w:sz w:val="21"/>
                      <w:szCs w:val="21"/>
                      <w:lang w:val="en-US" w:eastAsia="zh-CN" w:bidi="ar-SA"/>
                    </w:rPr>
                  </w:pPr>
                  <w:r>
                    <w:rPr>
                      <w:rFonts w:hint="eastAsia" w:ascii="Times New Roman" w:hAnsi="Times New Roman" w:cs="Times New Roman"/>
                      <w:bCs/>
                      <w:color w:val="000000"/>
                      <w:spacing w:val="-17"/>
                      <w:sz w:val="21"/>
                      <w:szCs w:val="21"/>
                      <w:lang w:val="en-US" w:eastAsia="zh-CN"/>
                    </w:rPr>
                    <w:t>mg/kg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72</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r>
                    <w:rPr>
                      <w:rFonts w:hint="eastAsia" w:ascii="Times New Roman" w:hAnsi="Times New Roman" w:cs="Times New Roman"/>
                      <w:b/>
                      <w:bCs/>
                      <w:color w:val="000000"/>
                      <w:sz w:val="21"/>
                      <w:szCs w:val="21"/>
                      <w:lang w:val="en-US" w:eastAsia="zh-CN"/>
                    </w:rPr>
                    <w:t>/</w:t>
                  </w:r>
                </w:p>
              </w:tc>
              <w:tc>
                <w:tcPr>
                  <w:tcW w:w="892" w:type="pct"/>
                  <w:gridSpan w:val="2"/>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r>
                    <w:rPr>
                      <w:rFonts w:hint="eastAsia" w:ascii="Times New Roman" w:hAnsi="Times New Roman" w:cs="Times New Roman"/>
                      <w:b/>
                      <w:bCs/>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阳离子交换量</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lang w:val="en-US" w:eastAsia="zh-CN" w:bidi="ar-SA"/>
                    </w:rPr>
                  </w:pPr>
                  <w:r>
                    <w:rPr>
                      <w:rFonts w:hint="eastAsia" w:ascii="Times New Roman" w:hAnsi="Times New Roman" w:cs="Times New Roman"/>
                      <w:color w:val="auto"/>
                      <w:spacing w:val="0"/>
                      <w:sz w:val="21"/>
                      <w:szCs w:val="21"/>
                      <w:highlight w:val="none"/>
                      <w:lang w:val="en-US" w:eastAsia="zh-CN"/>
                    </w:rPr>
                    <w:t>cmol+/kg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2.7</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r>
                    <w:rPr>
                      <w:rFonts w:hint="eastAsia" w:ascii="Times New Roman" w:hAnsi="Times New Roman" w:cs="Times New Roman"/>
                      <w:b/>
                      <w:bCs/>
                      <w:color w:val="000000"/>
                      <w:sz w:val="21"/>
                      <w:szCs w:val="21"/>
                      <w:lang w:val="en-US" w:eastAsia="zh-CN"/>
                    </w:rPr>
                    <w:t>/</w:t>
                  </w:r>
                </w:p>
              </w:tc>
              <w:tc>
                <w:tcPr>
                  <w:tcW w:w="892" w:type="pct"/>
                  <w:gridSpan w:val="2"/>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r>
                    <w:rPr>
                      <w:rFonts w:hint="eastAsia" w:ascii="Times New Roman" w:hAnsi="Times New Roman" w:cs="Times New Roman"/>
                      <w:b/>
                      <w:bCs/>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0"/>
                      <w:kern w:val="2"/>
                      <w:sz w:val="21"/>
                      <w:szCs w:val="21"/>
                      <w:highlight w:val="none"/>
                      <w:lang w:val="en-US" w:eastAsia="zh-CN" w:bidi="ar-SA"/>
                    </w:rPr>
                  </w:pPr>
                  <w:r>
                    <w:rPr>
                      <w:rFonts w:hint="eastAsia" w:cs="Times New Roman"/>
                      <w:b w:val="0"/>
                      <w:bCs/>
                      <w:sz w:val="21"/>
                      <w:szCs w:val="21"/>
                      <w:highlight w:val="none"/>
                      <w:lang w:val="en-US" w:eastAsia="zh-CN"/>
                    </w:rPr>
                    <w:t>氧化还原电位</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000000"/>
                      <w:spacing w:val="-17"/>
                      <w:kern w:val="2"/>
                      <w:sz w:val="21"/>
                      <w:szCs w:val="21"/>
                      <w:highlight w:val="none"/>
                      <w:lang w:val="en-US" w:eastAsia="zh-CN" w:bidi="ar-SA"/>
                    </w:rPr>
                  </w:pPr>
                  <w:r>
                    <w:rPr>
                      <w:rFonts w:hint="eastAsia" w:ascii="Times New Roman" w:hAnsi="Times New Roman" w:cs="Times New Roman"/>
                      <w:color w:val="auto"/>
                      <w:spacing w:val="0"/>
                      <w:sz w:val="21"/>
                      <w:szCs w:val="21"/>
                      <w:highlight w:val="none"/>
                      <w:lang w:val="en-US" w:eastAsia="zh-CN"/>
                    </w:rPr>
                    <w:t>mV</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461</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r>
                    <w:rPr>
                      <w:rFonts w:hint="eastAsia" w:ascii="Times New Roman" w:hAnsi="Times New Roman" w:cs="Times New Roman"/>
                      <w:b/>
                      <w:bCs/>
                      <w:color w:val="000000"/>
                      <w:sz w:val="21"/>
                      <w:szCs w:val="21"/>
                      <w:lang w:val="en-US" w:eastAsia="zh-CN"/>
                    </w:rPr>
                    <w:t>/</w:t>
                  </w:r>
                </w:p>
              </w:tc>
              <w:tc>
                <w:tcPr>
                  <w:tcW w:w="892" w:type="pct"/>
                  <w:gridSpan w:val="2"/>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r>
                    <w:rPr>
                      <w:rFonts w:hint="eastAsia" w:ascii="Times New Roman" w:hAnsi="Times New Roman" w:cs="Times New Roman"/>
                      <w:b/>
                      <w:bCs/>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容重</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0"/>
                      <w:kern w:val="2"/>
                      <w:sz w:val="21"/>
                      <w:szCs w:val="21"/>
                      <w:highlight w:val="none"/>
                      <w:lang w:val="en-US" w:eastAsia="zh-CN" w:bidi="ar-SA"/>
                    </w:rPr>
                  </w:pPr>
                  <w:r>
                    <w:rPr>
                      <w:rFonts w:hint="eastAsia" w:ascii="Times New Roman" w:hAnsi="Times New Roman" w:cs="Times New Roman"/>
                      <w:color w:val="auto"/>
                      <w:spacing w:val="0"/>
                      <w:sz w:val="21"/>
                      <w:szCs w:val="21"/>
                      <w:highlight w:val="none"/>
                      <w:lang w:val="en-US" w:eastAsia="zh-CN"/>
                    </w:rPr>
                    <w:t>g/cm</w:t>
                  </w:r>
                  <w:r>
                    <w:rPr>
                      <w:rFonts w:hint="eastAsia" w:ascii="Times New Roman" w:hAnsi="Times New Roman" w:cs="Times New Roman"/>
                      <w:color w:val="auto"/>
                      <w:spacing w:val="0"/>
                      <w:sz w:val="21"/>
                      <w:szCs w:val="21"/>
                      <w:highlight w:val="none"/>
                      <w:vertAlign w:val="superscript"/>
                      <w:lang w:val="en-US" w:eastAsia="zh-CN"/>
                    </w:rPr>
                    <w:t>3</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1.62</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r>
                    <w:rPr>
                      <w:rFonts w:hint="eastAsia" w:ascii="Times New Roman" w:hAnsi="Times New Roman" w:cs="Times New Roman"/>
                      <w:b/>
                      <w:bCs/>
                      <w:color w:val="000000"/>
                      <w:sz w:val="21"/>
                      <w:szCs w:val="21"/>
                      <w:lang w:val="en-US" w:eastAsia="zh-CN"/>
                    </w:rPr>
                    <w:t>/</w:t>
                  </w:r>
                </w:p>
              </w:tc>
              <w:tc>
                <w:tcPr>
                  <w:tcW w:w="892" w:type="pct"/>
                  <w:gridSpan w:val="2"/>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r>
                    <w:rPr>
                      <w:rFonts w:hint="eastAsia" w:ascii="Times New Roman" w:hAnsi="Times New Roman" w:cs="Times New Roman"/>
                      <w:b/>
                      <w:bCs/>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blHeader/>
                <w:jc w:val="center"/>
              </w:trPr>
              <w:tc>
                <w:tcPr>
                  <w:tcW w:w="952"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951" w:type="pct"/>
                  <w:vMerge w:val="continue"/>
                  <w:noWrap w:val="0"/>
                  <w:vAlign w:val="top"/>
                </w:tcPr>
                <w:p>
                  <w:pPr>
                    <w:pStyle w:val="10"/>
                    <w:adjustRightInd w:val="0"/>
                    <w:snapToGrid w:val="0"/>
                    <w:spacing w:before="0" w:beforeAutospacing="0" w:after="0" w:afterAutospacing="0" w:line="240" w:lineRule="auto"/>
                    <w:ind w:firstLine="0" w:firstLineChars="0"/>
                    <w:jc w:val="center"/>
                    <w:rPr>
                      <w:rFonts w:hint="eastAsia" w:ascii="Times New Roman" w:hAnsi="Times New Roman" w:cs="Times New Roman"/>
                      <w:b/>
                      <w:bCs/>
                      <w:color w:val="000000"/>
                      <w:sz w:val="21"/>
                      <w:szCs w:val="21"/>
                      <w:lang w:val="en-US" w:eastAsia="zh-CN"/>
                    </w:rPr>
                  </w:pPr>
                </w:p>
              </w:tc>
              <w:tc>
                <w:tcPr>
                  <w:tcW w:w="640" w:type="pct"/>
                  <w:gridSpan w:val="2"/>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000000"/>
                      <w:spacing w:val="0"/>
                      <w:kern w:val="2"/>
                      <w:sz w:val="21"/>
                      <w:szCs w:val="21"/>
                      <w:lang w:val="en-US" w:eastAsia="zh-CN" w:bidi="ar-SA"/>
                    </w:rPr>
                  </w:pPr>
                  <w:r>
                    <w:rPr>
                      <w:rFonts w:hint="eastAsia" w:cs="Times New Roman"/>
                      <w:b w:val="0"/>
                      <w:bCs/>
                      <w:sz w:val="21"/>
                      <w:szCs w:val="21"/>
                      <w:lang w:val="en-US" w:eastAsia="zh-CN"/>
                    </w:rPr>
                    <w:t>水溶性盐总量</w:t>
                  </w:r>
                </w:p>
              </w:tc>
              <w:tc>
                <w:tcPr>
                  <w:tcW w:w="532" w:type="pct"/>
                  <w:gridSpan w:val="2"/>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0"/>
                      <w:kern w:val="2"/>
                      <w:sz w:val="21"/>
                      <w:szCs w:val="21"/>
                      <w:highlight w:val="none"/>
                      <w:lang w:val="en-US" w:eastAsia="zh-CN" w:bidi="ar-SA"/>
                    </w:rPr>
                  </w:pPr>
                  <w:r>
                    <w:rPr>
                      <w:rFonts w:hint="default" w:ascii="Times New Roman" w:hAnsi="Times New Roman" w:cs="Times New Roman"/>
                      <w:color w:val="auto"/>
                      <w:spacing w:val="0"/>
                      <w:sz w:val="21"/>
                      <w:szCs w:val="21"/>
                      <w:highlight w:val="none"/>
                      <w:lang w:val="en-US" w:eastAsia="zh-CN"/>
                    </w:rPr>
                    <w:t>g/kg</w:t>
                  </w:r>
                </w:p>
              </w:tc>
              <w:tc>
                <w:tcPr>
                  <w:tcW w:w="558" w:type="pct"/>
                  <w:gridSpan w:val="3"/>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3.4</w:t>
                  </w:r>
                </w:p>
              </w:tc>
              <w:tc>
                <w:tcPr>
                  <w:tcW w:w="471" w:type="pct"/>
                  <w:noWrap w:val="0"/>
                  <w:vAlign w:val="center"/>
                </w:tcPr>
                <w:p>
                  <w:pPr>
                    <w:pStyle w:val="1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000000"/>
                      <w:kern w:val="0"/>
                      <w:sz w:val="21"/>
                      <w:szCs w:val="21"/>
                      <w:lang w:val="en-US" w:eastAsia="zh-CN" w:bidi="ar-SA"/>
                    </w:rPr>
                  </w:pPr>
                  <w:r>
                    <w:rPr>
                      <w:rFonts w:hint="eastAsia" w:ascii="Times New Roman" w:hAnsi="Times New Roman" w:cs="Times New Roman"/>
                      <w:b/>
                      <w:bCs/>
                      <w:color w:val="000000"/>
                      <w:sz w:val="21"/>
                      <w:szCs w:val="21"/>
                      <w:lang w:val="en-US" w:eastAsia="zh-CN"/>
                    </w:rPr>
                    <w:t>/</w:t>
                  </w:r>
                </w:p>
              </w:tc>
              <w:tc>
                <w:tcPr>
                  <w:tcW w:w="892" w:type="pct"/>
                  <w:gridSpan w:val="2"/>
                  <w:noWrap w:val="0"/>
                  <w:vAlign w:val="center"/>
                </w:tcPr>
                <w:p>
                  <w:pPr>
                    <w:pStyle w:val="10"/>
                    <w:keepNext w:val="0"/>
                    <w:keepLines w:val="0"/>
                    <w:pageBreakBefore w:val="0"/>
                    <w:kinsoku/>
                    <w:wordWrap/>
                    <w:overflowPunct/>
                    <w:topLinePunct w:val="0"/>
                    <w:bidi w:val="0"/>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b/>
                      <w:bCs/>
                      <w:color w:val="FF0000"/>
                      <w:kern w:val="0"/>
                      <w:sz w:val="21"/>
                      <w:szCs w:val="21"/>
                      <w:lang w:val="en-US" w:eastAsia="zh-CN" w:bidi="ar-SA"/>
                    </w:rPr>
                  </w:pPr>
                  <w:r>
                    <w:rPr>
                      <w:rFonts w:hint="eastAsia" w:ascii="Times New Roman" w:hAnsi="Times New Roman" w:cs="Times New Roman"/>
                      <w:b/>
                      <w:bCs/>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5000" w:type="pct"/>
                  <w:gridSpan w:val="12"/>
                  <w:noWrap w:val="0"/>
                  <w:vAlign w:val="center"/>
                </w:tcPr>
                <w:p>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outlineLvl w:val="1"/>
                    <w:rPr>
                      <w:rFonts w:hint="default" w:ascii="Times New Roman" w:hAnsi="Times New Roman" w:cs="Times New Roman"/>
                      <w:b/>
                      <w:bCs/>
                      <w:color w:val="FF0000"/>
                      <w:sz w:val="21"/>
                      <w:szCs w:val="21"/>
                      <w:lang w:val="en-US" w:eastAsia="zh-CN"/>
                    </w:rPr>
                  </w:pPr>
                  <w:r>
                    <w:rPr>
                      <w:rFonts w:hint="eastAsia" w:ascii="Times New Roman" w:hAnsi="Times New Roman" w:cs="Times New Roman"/>
                      <w:b w:val="0"/>
                      <w:bCs/>
                      <w:color w:val="FF0000"/>
                      <w:sz w:val="21"/>
                      <w:szCs w:val="21"/>
                      <w:lang w:val="en-US" w:eastAsia="zh-CN"/>
                    </w:rPr>
                    <w:t>执行</w:t>
                  </w:r>
                  <w:r>
                    <w:rPr>
                      <w:rFonts w:hint="default" w:ascii="Times New Roman" w:hAnsi="Times New Roman" w:cs="Times New Roman"/>
                      <w:b w:val="0"/>
                      <w:bCs/>
                      <w:color w:val="FF0000"/>
                      <w:sz w:val="21"/>
                      <w:szCs w:val="21"/>
                      <w:lang w:val="en-US" w:eastAsia="zh-CN"/>
                    </w:rPr>
                    <w:t>《土壤环境质量 农用地土壤污染风险管控标准（试行）》（GB15618-2018）表1风险筛选值标准</w:t>
                  </w:r>
                </w:p>
              </w:tc>
            </w:tr>
          </w:tbl>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baseline"/>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根据监测结果，厂区内柱状样各监测指标满足《土壤环境质量 建设用地土壤污染风险管控标准（试行）》（GB36600-2018）第二类用地筛选值，厂区外表层样满足《土壤环境质量 农用地土壤污染风险管控标准（试行）》（GB15618-2018）表1风险筛选值标准。</w:t>
            </w:r>
          </w:p>
          <w:p>
            <w:pPr>
              <w:pStyle w:val="6"/>
              <w:spacing w:line="360" w:lineRule="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6、生态环境</w:t>
            </w:r>
          </w:p>
          <w:p>
            <w:pPr>
              <w:pStyle w:val="6"/>
              <w:spacing w:line="360" w:lineRule="auto"/>
              <w:rPr>
                <w:rFonts w:hint="default"/>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根据指南，产业园区外建设项目新增用地且用地范围内含有生态环境保护目标时，应进行生态现状调查。</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项目位于已批准规划环评的产业园区内且</w:t>
            </w:r>
            <w:r>
              <w:rPr>
                <w:rFonts w:hint="eastAsia" w:cs="Times New Roman"/>
                <w:color w:val="000000" w:themeColor="text1"/>
                <w:sz w:val="24"/>
                <w:szCs w:val="24"/>
                <w:lang w:val="en-US" w:eastAsia="zh-CN"/>
                <w14:textFill>
                  <w14:solidFill>
                    <w14:schemeClr w14:val="tx1"/>
                  </w14:solidFill>
                </w14:textFill>
              </w:rPr>
              <w:t>无新增占地，因此不需开展生态调查</w:t>
            </w:r>
            <w:r>
              <w:rPr>
                <w:rFonts w:hint="default" w:ascii="Times New Roman" w:hAnsi="Times New Roman" w:eastAsia="宋体" w:cs="Times New Roman"/>
                <w:color w:val="000000" w:themeColor="text1"/>
                <w:sz w:val="24"/>
                <w:szCs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环境</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保护</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目标</w:t>
            </w:r>
          </w:p>
        </w:tc>
        <w:tc>
          <w:tcPr>
            <w:tcW w:w="8160" w:type="dxa"/>
            <w:noWrap w:val="0"/>
            <w:vAlign w:val="center"/>
          </w:tcPr>
          <w:p>
            <w:pPr>
              <w:adjustRightInd w:val="0"/>
              <w:snapToGrid w:val="0"/>
              <w:jc w:val="both"/>
              <w:rPr>
                <w:rFonts w:hint="default" w:ascii="Times New Roman" w:hAnsi="Times New Roman" w:cs="Times New Roman"/>
                <w:color w:val="000000" w:themeColor="text1"/>
                <w:kern w:val="0"/>
                <w:szCs w:val="21"/>
                <w:highlight w:val="none"/>
                <w:lang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根据</w:t>
            </w:r>
            <w:r>
              <w:rPr>
                <w:rFonts w:hint="eastAsia" w:cs="Times New Roman"/>
                <w:color w:val="000000" w:themeColor="text1"/>
                <w:kern w:val="0"/>
                <w:szCs w:val="21"/>
                <w:highlight w:val="none"/>
                <w:lang w:eastAsia="zh-CN"/>
                <w14:textFill>
                  <w14:solidFill>
                    <w14:schemeClr w14:val="tx1"/>
                  </w14:solidFill>
                </w14:textFill>
              </w:rPr>
              <w:t>现场勘查</w:t>
            </w:r>
            <w:r>
              <w:rPr>
                <w:rFonts w:hint="default" w:ascii="Times New Roman" w:hAnsi="Times New Roman" w:cs="Times New Roman"/>
                <w:color w:val="000000" w:themeColor="text1"/>
                <w:kern w:val="0"/>
                <w:szCs w:val="21"/>
                <w:highlight w:val="none"/>
                <w14:textFill>
                  <w14:solidFill>
                    <w14:schemeClr w14:val="tx1"/>
                  </w14:solidFill>
                </w14:textFill>
              </w:rPr>
              <w:t>，本项目所在区域及其附近</w:t>
            </w:r>
            <w:r>
              <w:rPr>
                <w:rFonts w:hint="eastAsia" w:cs="Times New Roman"/>
                <w:color w:val="000000" w:themeColor="text1"/>
                <w:kern w:val="0"/>
                <w:szCs w:val="21"/>
                <w:highlight w:val="none"/>
                <w:lang w:val="en-US" w:eastAsia="zh-CN"/>
                <w14:textFill>
                  <w14:solidFill>
                    <w14:schemeClr w14:val="tx1"/>
                  </w14:solidFill>
                </w14:textFill>
              </w:rPr>
              <w:t>无</w:t>
            </w:r>
            <w:r>
              <w:rPr>
                <w:rFonts w:hint="default" w:ascii="Times New Roman" w:hAnsi="Times New Roman" w:cs="Times New Roman"/>
                <w:color w:val="000000" w:themeColor="text1"/>
                <w:kern w:val="0"/>
                <w:szCs w:val="21"/>
                <w:highlight w:val="none"/>
                <w14:textFill>
                  <w14:solidFill>
                    <w14:schemeClr w14:val="tx1"/>
                  </w14:solidFill>
                </w14:textFill>
              </w:rPr>
              <w:t>自然保护区、水源地、珍稀动植物资源等重点保护目标。根据项目性质及周围环境特征，本</w:t>
            </w:r>
            <w:r>
              <w:rPr>
                <w:rFonts w:hint="eastAsia" w:cs="Times New Roman"/>
                <w:color w:val="000000" w:themeColor="text1"/>
                <w:kern w:val="0"/>
                <w:szCs w:val="21"/>
                <w:highlight w:val="none"/>
                <w:lang w:val="en-US" w:eastAsia="zh-CN"/>
                <w14:textFill>
                  <w14:solidFill>
                    <w14:schemeClr w14:val="tx1"/>
                  </w14:solidFill>
                </w14:textFill>
              </w:rPr>
              <w:t>项目周围</w:t>
            </w:r>
            <w:r>
              <w:rPr>
                <w:rFonts w:hint="default" w:ascii="Times New Roman" w:hAnsi="Times New Roman" w:cs="Times New Roman"/>
                <w:color w:val="000000" w:themeColor="text1"/>
                <w:kern w:val="0"/>
                <w:szCs w:val="21"/>
                <w:highlight w:val="none"/>
                <w14:textFill>
                  <w14:solidFill>
                    <w14:schemeClr w14:val="tx1"/>
                  </w14:solidFill>
                </w14:textFill>
              </w:rPr>
              <w:t>保护目标见表3-</w:t>
            </w:r>
            <w:r>
              <w:rPr>
                <w:rFonts w:hint="eastAsia" w:cs="Times New Roman"/>
                <w:color w:val="000000" w:themeColor="text1"/>
                <w:kern w:val="0"/>
                <w:szCs w:val="21"/>
                <w:highlight w:val="none"/>
                <w:lang w:val="en-US" w:eastAsia="zh-CN"/>
                <w14:textFill>
                  <w14:solidFill>
                    <w14:schemeClr w14:val="tx1"/>
                  </w14:solidFill>
                </w14:textFill>
              </w:rPr>
              <w:t>6</w:t>
            </w:r>
            <w:r>
              <w:rPr>
                <w:rFonts w:hint="default" w:ascii="Times New Roman" w:hAnsi="Times New Roman" w:cs="Times New Roman"/>
                <w:color w:val="000000" w:themeColor="text1"/>
                <w:kern w:val="0"/>
                <w:szCs w:val="21"/>
                <w:highlight w:val="none"/>
                <w14:textFill>
                  <w14:solidFill>
                    <w14:schemeClr w14:val="tx1"/>
                  </w14:solidFill>
                </w14:textFill>
              </w:rPr>
              <w:t>。</w:t>
            </w:r>
          </w:p>
          <w:p>
            <w:pPr>
              <w:adjustRightInd w:val="0"/>
              <w:snapToGrid w:val="0"/>
              <w:ind w:left="0" w:leftChars="0" w:firstLine="0" w:firstLineChars="0"/>
              <w:jc w:val="center"/>
              <w:rPr>
                <w:rFonts w:hint="default" w:ascii="Times New Roman" w:hAnsi="Times New Roman" w:cs="Times New Roman"/>
                <w:b/>
                <w:bCs/>
                <w:color w:val="000000" w:themeColor="text1"/>
                <w:kern w:val="0"/>
                <w:szCs w:val="21"/>
                <w:highlight w:val="none"/>
                <w14:textFill>
                  <w14:solidFill>
                    <w14:schemeClr w14:val="tx1"/>
                  </w14:solidFill>
                </w14:textFill>
              </w:rPr>
            </w:pPr>
            <w:r>
              <w:rPr>
                <w:rFonts w:hint="default" w:ascii="Times New Roman" w:hAnsi="Times New Roman" w:cs="Times New Roman"/>
                <w:b/>
                <w:bCs/>
                <w:color w:val="000000" w:themeColor="text1"/>
                <w:kern w:val="0"/>
                <w:szCs w:val="21"/>
                <w:highlight w:val="none"/>
                <w14:textFill>
                  <w14:solidFill>
                    <w14:schemeClr w14:val="tx1"/>
                  </w14:solidFill>
                </w14:textFill>
              </w:rPr>
              <w:t>表3-</w:t>
            </w:r>
            <w:r>
              <w:rPr>
                <w:rFonts w:hint="eastAsia" w:cs="Times New Roman"/>
                <w:b/>
                <w:bCs/>
                <w:color w:val="000000" w:themeColor="text1"/>
                <w:kern w:val="0"/>
                <w:szCs w:val="21"/>
                <w:highlight w:val="none"/>
                <w:lang w:val="en-US" w:eastAsia="zh-CN"/>
                <w14:textFill>
                  <w14:solidFill>
                    <w14:schemeClr w14:val="tx1"/>
                  </w14:solidFill>
                </w14:textFill>
              </w:rPr>
              <w:t xml:space="preserve">6 </w:t>
            </w:r>
            <w:r>
              <w:rPr>
                <w:rFonts w:hint="default" w:ascii="Times New Roman" w:hAnsi="Times New Roman" w:cs="Times New Roman"/>
                <w:b/>
                <w:bCs/>
                <w:color w:val="000000" w:themeColor="text1"/>
                <w:kern w:val="0"/>
                <w:szCs w:val="21"/>
                <w:highlight w:val="none"/>
                <w14:textFill>
                  <w14:solidFill>
                    <w14:schemeClr w14:val="tx1"/>
                  </w14:solidFill>
                </w14:textFill>
              </w:rPr>
              <w:t>环境保护目标一览表</w:t>
            </w:r>
          </w:p>
          <w:tbl>
            <w:tblPr>
              <w:tblStyle w:val="27"/>
              <w:tblW w:w="8675"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1454"/>
              <w:gridCol w:w="771"/>
              <w:gridCol w:w="1386"/>
              <w:gridCol w:w="1051"/>
              <w:gridCol w:w="3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9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环境要素</w:t>
                  </w:r>
                </w:p>
              </w:tc>
              <w:tc>
                <w:tcPr>
                  <w:tcW w:w="145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环境保护对象名称</w:t>
                  </w:r>
                </w:p>
              </w:tc>
              <w:tc>
                <w:tcPr>
                  <w:tcW w:w="7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方位</w:t>
                  </w:r>
                </w:p>
              </w:tc>
              <w:tc>
                <w:tcPr>
                  <w:tcW w:w="13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与本项目距离（m）</w:t>
                  </w:r>
                </w:p>
              </w:tc>
              <w:tc>
                <w:tcPr>
                  <w:tcW w:w="10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规模</w:t>
                  </w:r>
                </w:p>
              </w:tc>
              <w:tc>
                <w:tcPr>
                  <w:tcW w:w="30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环境功能区划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9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环境空气</w:t>
                  </w:r>
                </w:p>
              </w:tc>
              <w:tc>
                <w:tcPr>
                  <w:tcW w:w="4662"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项目厂界外500m范围内无环境空气保护目标</w:t>
                  </w:r>
                </w:p>
              </w:tc>
              <w:tc>
                <w:tcPr>
                  <w:tcW w:w="30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《环境空气质量标准》</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GB3095-2012</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9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声环境</w:t>
                  </w:r>
                </w:p>
              </w:tc>
              <w:tc>
                <w:tcPr>
                  <w:tcW w:w="4662"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项目外50m范围内无声环境保护目标</w:t>
                  </w:r>
                </w:p>
              </w:tc>
              <w:tc>
                <w:tcPr>
                  <w:tcW w:w="30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《声环境质量标准》(GB3096-2008)</w:t>
                  </w:r>
                  <w:r>
                    <w:rPr>
                      <w:rFonts w:hint="eastAsia" w:cs="Times New Roman"/>
                      <w:color w:val="000000" w:themeColor="text1"/>
                      <w:kern w:val="0"/>
                      <w:szCs w:val="21"/>
                      <w:highlight w:val="none"/>
                      <w:lang w:eastAsia="zh-CN"/>
                      <w14:textFill>
                        <w14:solidFill>
                          <w14:schemeClr w14:val="tx1"/>
                        </w14:solidFill>
                      </w14:textFill>
                    </w:rPr>
                    <w:t>3类</w:t>
                  </w:r>
                  <w:r>
                    <w:rPr>
                      <w:rFonts w:hint="default" w:ascii="Times New Roman" w:hAnsi="Times New Roman" w:cs="Times New Roman"/>
                      <w:color w:val="000000" w:themeColor="text1"/>
                      <w:kern w:val="0"/>
                      <w:szCs w:val="21"/>
                      <w:highlight w:val="none"/>
                      <w14:textFill>
                        <w14:solidFill>
                          <w14:schemeClr w14:val="tx1"/>
                        </w14:solidFill>
                      </w14:textFill>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9" w:hRule="atLeast"/>
              </w:trPr>
              <w:tc>
                <w:tcPr>
                  <w:tcW w:w="9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水环境</w:t>
                  </w:r>
                </w:p>
              </w:tc>
              <w:tc>
                <w:tcPr>
                  <w:tcW w:w="4662"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项目外500m范围内无地下水集中式饮用水水源和热水、矿泉水、温水等特殊地下水资源</w:t>
                  </w:r>
                </w:p>
              </w:tc>
              <w:tc>
                <w:tcPr>
                  <w:tcW w:w="30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《地下水质量标准》（GB/T14848-2017）中Ⅲ类标准</w:t>
                  </w:r>
                </w:p>
              </w:tc>
            </w:tr>
          </w:tbl>
          <w:p>
            <w:pPr>
              <w:adjustRightInd w:val="0"/>
              <w:snapToGrid w:val="0"/>
              <w:jc w:val="both"/>
              <w:rPr>
                <w:rFonts w:hint="default" w:ascii="Times New Roman" w:hAnsi="Times New Roman" w:cs="Times New Roman"/>
                <w:color w:val="000000" w:themeColor="text1"/>
                <w:kern w:val="0"/>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800"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污染</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物排</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放控</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制标</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准</w:t>
            </w:r>
          </w:p>
        </w:tc>
        <w:tc>
          <w:tcPr>
            <w:tcW w:w="8160" w:type="dxa"/>
            <w:noWrap w:val="0"/>
            <w:vAlign w:val="center"/>
          </w:tcPr>
          <w:p>
            <w:pPr>
              <w:bidi w:val="0"/>
              <w:rPr>
                <w:rFonts w:hint="default"/>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一、</w:t>
            </w:r>
            <w:r>
              <w:rPr>
                <w:rFonts w:hint="default"/>
                <w:b/>
                <w:bCs/>
                <w:color w:val="000000" w:themeColor="text1"/>
                <w:highlight w:val="none"/>
                <w14:textFill>
                  <w14:solidFill>
                    <w14:schemeClr w14:val="tx1"/>
                  </w14:solidFill>
                </w14:textFill>
              </w:rPr>
              <w:t>大气污染物排放标准</w:t>
            </w:r>
          </w:p>
          <w:p>
            <w:pPr>
              <w:bidi w:val="0"/>
              <w:jc w:val="both"/>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14:textFill>
                  <w14:solidFill>
                    <w14:schemeClr w14:val="tx1"/>
                  </w14:solidFill>
                </w14:textFill>
              </w:rPr>
              <w:t>本项目施工期产生粉尘执行《大气污染物综合排放标准》（GB16297-1996）中的表2新污染源大气排放限值中无组织排放监控浓度限值</w:t>
            </w:r>
            <w:r>
              <w:rPr>
                <w:rFonts w:hint="default"/>
                <w:color w:val="000000" w:themeColor="text1"/>
                <w:highlight w:val="none"/>
                <w:lang w:val="en-US" w:eastAsia="zh-CN"/>
                <w14:textFill>
                  <w14:solidFill>
                    <w14:schemeClr w14:val="tx1"/>
                  </w14:solidFill>
                </w14:textFill>
              </w:rPr>
              <w:t>。</w:t>
            </w:r>
          </w:p>
          <w:p>
            <w:pPr>
              <w:keepNext w:val="0"/>
              <w:keepLines w:val="0"/>
              <w:widowControl/>
              <w:suppressLineNumbers w:val="0"/>
              <w:jc w:val="both"/>
              <w:rPr>
                <w:rFonts w:hint="default" w:ascii="Times New Roman" w:hAnsi="Times New Roman" w:eastAsia="宋体" w:cs="Times New Roman"/>
                <w:color w:val="000000" w:themeColor="text1"/>
                <w:sz w:val="24"/>
                <w:lang w:val="en-US" w:eastAsia="zh-CN"/>
                <w14:textFill>
                  <w14:solidFill>
                    <w14:schemeClr w14:val="tx1"/>
                  </w14:solidFill>
                </w14:textFill>
              </w:rPr>
            </w:pPr>
            <w:r>
              <w:rPr>
                <w:color w:val="000000" w:themeColor="text1"/>
                <w:spacing w:val="9"/>
                <w14:textFill>
                  <w14:solidFill>
                    <w14:schemeClr w14:val="tx1"/>
                  </w14:solidFill>
                </w14:textFill>
              </w:rPr>
              <w:t>本项目涉及</w:t>
            </w:r>
            <w:r>
              <w:rPr>
                <w:rFonts w:hint="eastAsia"/>
                <w:color w:val="000000" w:themeColor="text1"/>
                <w:spacing w:val="9"/>
                <w:lang w:val="en-US" w:eastAsia="zh-CN"/>
                <w14:textFill>
                  <w14:solidFill>
                    <w14:schemeClr w14:val="tx1"/>
                  </w14:solidFill>
                </w14:textFill>
              </w:rPr>
              <w:t>油品调和罐区</w:t>
            </w:r>
            <w:r>
              <w:rPr>
                <w:color w:val="000000" w:themeColor="text1"/>
                <w:spacing w:val="9"/>
                <w14:textFill>
                  <w14:solidFill>
                    <w14:schemeClr w14:val="tx1"/>
                  </w14:solidFill>
                </w14:textFill>
              </w:rPr>
              <w:t>，根据《储油库大</w:t>
            </w:r>
            <w:r>
              <w:rPr>
                <w:color w:val="000000" w:themeColor="text1"/>
                <w:spacing w:val="8"/>
                <w14:textFill>
                  <w14:solidFill>
                    <w14:schemeClr w14:val="tx1"/>
                  </w14:solidFill>
                </w14:textFill>
              </w:rPr>
              <w:t>气污染物排放标准》</w:t>
            </w:r>
            <w:r>
              <w:rPr>
                <w:rFonts w:hint="eastAsia"/>
                <w:color w:val="000000" w:themeColor="text1"/>
                <w:spacing w:val="8"/>
                <w:lang w:eastAsia="zh-CN"/>
                <w14:textFill>
                  <w14:solidFill>
                    <w14:schemeClr w14:val="tx1"/>
                  </w14:solidFill>
                </w14:textFill>
              </w:rPr>
              <w:t>（</w:t>
            </w:r>
            <w:r>
              <w:rPr>
                <w:rFonts w:ascii="Times New Roman" w:hAnsi="Times New Roman" w:eastAsia="Times New Roman" w:cs="Times New Roman"/>
                <w:color w:val="000000" w:themeColor="text1"/>
                <w14:textFill>
                  <w14:solidFill>
                    <w14:schemeClr w14:val="tx1"/>
                  </w14:solidFill>
                </w14:textFill>
              </w:rPr>
              <w:t>GB</w:t>
            </w:r>
            <w:r>
              <w:rPr>
                <w:rFonts w:ascii="Times New Roman" w:hAnsi="Times New Roman" w:eastAsia="Times New Roman" w:cs="Times New Roman"/>
                <w:color w:val="000000" w:themeColor="text1"/>
                <w:spacing w:val="9"/>
                <w14:textFill>
                  <w14:solidFill>
                    <w14:schemeClr w14:val="tx1"/>
                  </w14:solidFill>
                </w14:textFill>
              </w:rPr>
              <w:t>20950—2020</w:t>
            </w:r>
            <w:r>
              <w:rPr>
                <w:rFonts w:hint="eastAsia"/>
                <w:color w:val="000000" w:themeColor="text1"/>
                <w:spacing w:val="8"/>
                <w:lang w:eastAsia="zh-CN"/>
                <w14:textFill>
                  <w14:solidFill>
                    <w14:schemeClr w14:val="tx1"/>
                  </w14:solidFill>
                </w14:textFill>
              </w:rPr>
              <w:t>）</w:t>
            </w:r>
            <w:r>
              <w:rPr>
                <w:color w:val="000000" w:themeColor="text1"/>
                <w:spacing w:val="8"/>
                <w14:textFill>
                  <w14:solidFill>
                    <w14:schemeClr w14:val="tx1"/>
                  </w14:solidFill>
                </w14:textFill>
              </w:rPr>
              <w:t>适用范围要</w:t>
            </w:r>
            <w:r>
              <w:rPr>
                <w:color w:val="000000" w:themeColor="text1"/>
                <w:spacing w:val="4"/>
                <w14:textFill>
                  <w14:solidFill>
                    <w14:schemeClr w14:val="tx1"/>
                  </w14:solidFill>
                </w14:textFill>
              </w:rPr>
              <w:t>求：“本标准不适用于生产企业内罐区的油气排放管理</w:t>
            </w:r>
            <w:r>
              <w:rPr>
                <w:color w:val="000000" w:themeColor="text1"/>
                <w:spacing w:val="-70"/>
                <w14:textFill>
                  <w14:solidFill>
                    <w14:schemeClr w14:val="tx1"/>
                  </w14:solidFill>
                </w14:textFill>
              </w:rPr>
              <w:t xml:space="preserve"> </w:t>
            </w:r>
            <w:r>
              <w:rPr>
                <w:color w:val="000000" w:themeColor="text1"/>
                <w:spacing w:val="3"/>
                <w14:textFill>
                  <w14:solidFill>
                    <w14:schemeClr w14:val="tx1"/>
                  </w14:solidFill>
                </w14:textFill>
              </w:rPr>
              <w:t>”</w:t>
            </w:r>
            <w:r>
              <w:rPr>
                <w:rFonts w:hint="eastAsia"/>
                <w:color w:val="000000" w:themeColor="text1"/>
                <w:spacing w:val="3"/>
                <w:lang w:eastAsia="zh-CN"/>
                <w14:textFill>
                  <w14:solidFill>
                    <w14:schemeClr w14:val="tx1"/>
                  </w14:solidFill>
                </w14:textFill>
              </w:rPr>
              <w:t>，</w:t>
            </w:r>
            <w:r>
              <w:rPr>
                <w:rFonts w:hint="eastAsia"/>
                <w:color w:val="000000" w:themeColor="text1"/>
                <w:spacing w:val="3"/>
                <w:lang w:val="en-US" w:eastAsia="zh-CN"/>
                <w14:textFill>
                  <w14:solidFill>
                    <w14:schemeClr w14:val="tx1"/>
                  </w14:solidFill>
                </w14:textFill>
              </w:rPr>
              <w:t>因此本项目不适用该标准。</w:t>
            </w:r>
          </w:p>
          <w:p>
            <w:pPr>
              <w:keepNext w:val="0"/>
              <w:keepLines w:val="0"/>
              <w:widowControl/>
              <w:suppressLineNumbers w:val="0"/>
              <w:jc w:val="both"/>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营运期有组织非甲烷总烃</w:t>
            </w:r>
            <w:r>
              <w:rPr>
                <w:rFonts w:hint="default" w:ascii="Times New Roman" w:hAnsi="Times New Roman" w:eastAsia="宋体" w:cs="Times New Roman"/>
                <w:color w:val="000000" w:themeColor="text1"/>
                <w:sz w:val="24"/>
                <w14:textFill>
                  <w14:solidFill>
                    <w14:schemeClr w14:val="tx1"/>
                  </w14:solidFill>
                </w14:textFill>
              </w:rPr>
              <w:t>排放</w:t>
            </w:r>
            <w:r>
              <w:rPr>
                <w:rFonts w:hint="eastAsia" w:cs="Times New Roman"/>
                <w:color w:val="FF0000"/>
                <w:sz w:val="24"/>
                <w:lang w:val="en-US" w:eastAsia="zh-CN"/>
              </w:rPr>
              <w:t>参照</w:t>
            </w:r>
            <w:r>
              <w:rPr>
                <w:rFonts w:hint="default" w:ascii="Times New Roman" w:hAnsi="Times New Roman" w:eastAsia="宋体" w:cs="Times New Roman"/>
                <w:color w:val="000000" w:themeColor="text1"/>
                <w:sz w:val="24"/>
                <w14:textFill>
                  <w14:solidFill>
                    <w14:schemeClr w14:val="tx1"/>
                  </w14:solidFill>
                </w14:textFill>
              </w:rPr>
              <w:t>执行《</w:t>
            </w:r>
            <w:r>
              <w:rPr>
                <w:rFonts w:hint="eastAsia" w:cs="Times New Roman"/>
                <w:color w:val="000000" w:themeColor="text1"/>
                <w:sz w:val="24"/>
                <w:lang w:eastAsia="zh-CN"/>
                <w14:textFill>
                  <w14:solidFill>
                    <w14:schemeClr w14:val="tx1"/>
                  </w14:solidFill>
                </w14:textFill>
              </w:rPr>
              <w:t>石油炼制工业</w:t>
            </w:r>
            <w:r>
              <w:rPr>
                <w:rFonts w:hint="default" w:ascii="Times New Roman" w:hAnsi="Times New Roman" w:eastAsia="宋体" w:cs="Times New Roman"/>
                <w:color w:val="000000" w:themeColor="text1"/>
                <w:sz w:val="24"/>
                <w14:textFill>
                  <w14:solidFill>
                    <w14:schemeClr w14:val="tx1"/>
                  </w14:solidFill>
                </w14:textFill>
              </w:rPr>
              <w:t>污染物排放标准》（GB</w:t>
            </w:r>
            <w:r>
              <w:rPr>
                <w:rFonts w:hint="eastAsia" w:cs="Times New Roman"/>
                <w:color w:val="000000" w:themeColor="text1"/>
                <w:sz w:val="24"/>
                <w:lang w:eastAsia="zh-CN"/>
                <w14:textFill>
                  <w14:solidFill>
                    <w14:schemeClr w14:val="tx1"/>
                  </w14:solidFill>
                </w14:textFill>
              </w:rPr>
              <w:t>31570</w:t>
            </w:r>
            <w:r>
              <w:rPr>
                <w:rFonts w:hint="default" w:ascii="Times New Roman" w:hAnsi="Times New Roman" w:eastAsia="宋体" w:cs="Times New Roman"/>
                <w:color w:val="000000" w:themeColor="text1"/>
                <w:sz w:val="24"/>
                <w14:textFill>
                  <w14:solidFill>
                    <w14:schemeClr w14:val="tx1"/>
                  </w14:solidFill>
                </w14:textFill>
              </w:rPr>
              <w:t>-2015）</w:t>
            </w:r>
            <w:r>
              <w:rPr>
                <w:rFonts w:hint="eastAsia" w:ascii="Times New Roman" w:hAnsi="Times New Roman" w:eastAsia="宋体" w:cs="Times New Roman"/>
                <w:color w:val="000000" w:themeColor="text1"/>
                <w:sz w:val="24"/>
                <w:lang w:val="en-US" w:eastAsia="zh-CN"/>
                <w14:textFill>
                  <w14:solidFill>
                    <w14:schemeClr w14:val="tx1"/>
                  </w14:solidFill>
                </w14:textFill>
              </w:rPr>
              <w:t>及其修改单</w:t>
            </w:r>
            <w:r>
              <w:commentReference w:id="66"/>
            </w:r>
            <w:r>
              <w:rPr>
                <w:rFonts w:hint="eastAsia" w:cs="Times New Roman"/>
                <w:color w:val="FF0000"/>
                <w:sz w:val="24"/>
                <w:lang w:eastAsia="zh-CN"/>
              </w:rPr>
              <w:t>表3</w:t>
            </w:r>
            <w:r>
              <w:rPr>
                <w:rFonts w:hint="default" w:ascii="Times New Roman" w:hAnsi="Times New Roman" w:eastAsia="宋体" w:cs="Times New Roman"/>
                <w:color w:val="000000" w:themeColor="text1"/>
                <w:sz w:val="24"/>
                <w14:textFill>
                  <w14:solidFill>
                    <w14:schemeClr w14:val="tx1"/>
                  </w14:solidFill>
                </w14:textFill>
              </w:rPr>
              <w:t>中大气污染物排放限值；</w:t>
            </w:r>
            <w:r>
              <w:rPr>
                <w:rFonts w:hint="eastAsia" w:ascii="Times New Roman" w:hAnsi="Times New Roman" w:eastAsia="宋体" w:cs="Times New Roman"/>
                <w:color w:val="000000" w:themeColor="text1"/>
                <w:sz w:val="24"/>
                <w:lang w:val="en-US" w:eastAsia="zh-CN"/>
                <w14:textFill>
                  <w14:solidFill>
                    <w14:schemeClr w14:val="tx1"/>
                  </w14:solidFill>
                </w14:textFill>
              </w:rPr>
              <w:t>无组织排放非甲烷总烃</w:t>
            </w:r>
            <w:r>
              <w:rPr>
                <w:rFonts w:hint="default" w:ascii="Times New Roman" w:hAnsi="Times New Roman" w:eastAsia="宋体" w:cs="Times New Roman"/>
                <w:color w:val="000000" w:themeColor="text1"/>
                <w:sz w:val="24"/>
                <w:szCs w:val="24"/>
                <w:highlight w:val="none"/>
                <w14:textFill>
                  <w14:solidFill>
                    <w14:schemeClr w14:val="tx1"/>
                  </w14:solidFill>
                </w14:textFill>
              </w:rPr>
              <w:t>执行</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lang w:eastAsia="zh-CN"/>
                <w14:textFill>
                  <w14:solidFill>
                    <w14:schemeClr w14:val="tx1"/>
                  </w14:solidFill>
                </w14:textFill>
              </w:rPr>
              <w:t>石油炼制工业</w:t>
            </w:r>
            <w:r>
              <w:rPr>
                <w:rFonts w:hint="default" w:ascii="Times New Roman" w:hAnsi="Times New Roman" w:eastAsia="宋体" w:cs="Times New Roman"/>
                <w:color w:val="000000" w:themeColor="text1"/>
                <w:sz w:val="24"/>
                <w14:textFill>
                  <w14:solidFill>
                    <w14:schemeClr w14:val="tx1"/>
                  </w14:solidFill>
                </w14:textFill>
              </w:rPr>
              <w:t>污染物排放标准》（GB</w:t>
            </w:r>
            <w:r>
              <w:rPr>
                <w:rFonts w:hint="eastAsia" w:cs="Times New Roman"/>
                <w:color w:val="000000" w:themeColor="text1"/>
                <w:sz w:val="24"/>
                <w:lang w:eastAsia="zh-CN"/>
                <w14:textFill>
                  <w14:solidFill>
                    <w14:schemeClr w14:val="tx1"/>
                  </w14:solidFill>
                </w14:textFill>
              </w:rPr>
              <w:t>31570</w:t>
            </w:r>
            <w:r>
              <w:rPr>
                <w:rFonts w:hint="default" w:ascii="Times New Roman" w:hAnsi="Times New Roman" w:eastAsia="宋体" w:cs="Times New Roman"/>
                <w:color w:val="000000" w:themeColor="text1"/>
                <w:sz w:val="24"/>
                <w14:textFill>
                  <w14:solidFill>
                    <w14:schemeClr w14:val="tx1"/>
                  </w14:solidFill>
                </w14:textFill>
              </w:rPr>
              <w:t>-2015）</w:t>
            </w:r>
            <w:r>
              <w:rPr>
                <w:rFonts w:hint="eastAsia" w:ascii="Times New Roman" w:hAnsi="Times New Roman" w:eastAsia="宋体" w:cs="Times New Roman"/>
                <w:color w:val="000000" w:themeColor="text1"/>
                <w:sz w:val="24"/>
                <w:lang w:val="en-US" w:eastAsia="zh-CN"/>
                <w14:textFill>
                  <w14:solidFill>
                    <w14:schemeClr w14:val="tx1"/>
                  </w14:solidFill>
                </w14:textFill>
              </w:rPr>
              <w:t>及其修改单</w:t>
            </w:r>
            <w:r>
              <w:commentReference w:id="67"/>
            </w:r>
            <w:r>
              <w:rPr>
                <w:rFonts w:hint="eastAsia" w:cs="Times New Roman"/>
                <w:color w:val="FF0000"/>
                <w:sz w:val="24"/>
                <w:lang w:eastAsia="zh-CN"/>
              </w:rPr>
              <w:t>表5</w:t>
            </w:r>
            <w:r>
              <w:rPr>
                <w:rFonts w:hint="default" w:ascii="Times New Roman" w:hAnsi="Times New Roman" w:eastAsia="宋体" w:cs="Times New Roman"/>
                <w:color w:val="000000" w:themeColor="text1"/>
                <w:sz w:val="24"/>
                <w14:textFill>
                  <w14:solidFill>
                    <w14:schemeClr w14:val="tx1"/>
                  </w14:solidFill>
                </w14:textFill>
              </w:rPr>
              <w:t>中</w:t>
            </w:r>
            <w:r>
              <w:rPr>
                <w:rFonts w:hint="eastAsia" w:ascii="Times New Roman" w:hAnsi="Times New Roman" w:eastAsia="宋体" w:cs="Times New Roman"/>
                <w:color w:val="000000" w:themeColor="text1"/>
                <w:sz w:val="24"/>
                <w:lang w:val="en-US" w:eastAsia="zh-CN"/>
                <w14:textFill>
                  <w14:solidFill>
                    <w14:schemeClr w14:val="tx1"/>
                  </w14:solidFill>
                </w14:textFill>
              </w:rPr>
              <w:t>企业边界大气污染物浓度限值。</w:t>
            </w:r>
          </w:p>
          <w:p>
            <w:pPr>
              <w:keepNext w:val="0"/>
              <w:keepLines w:val="0"/>
              <w:widowControl/>
              <w:suppressLineNumbers w:val="0"/>
              <w:jc w:val="center"/>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default"/>
                <w:b/>
                <w:bCs/>
                <w:color w:val="000000" w:themeColor="text1"/>
                <w:highlight w:val="none"/>
                <w14:textFill>
                  <w14:solidFill>
                    <w14:schemeClr w14:val="tx1"/>
                  </w14:solidFill>
                </w14:textFill>
              </w:rPr>
              <w:t>表3-</w:t>
            </w:r>
            <w:r>
              <w:rPr>
                <w:rFonts w:hint="eastAsia"/>
                <w:b/>
                <w:bCs/>
                <w:color w:val="000000" w:themeColor="text1"/>
                <w:highlight w:val="none"/>
                <w:lang w:val="en-US" w:eastAsia="zh-CN"/>
                <w14:textFill>
                  <w14:solidFill>
                    <w14:schemeClr w14:val="tx1"/>
                  </w14:solidFill>
                </w14:textFill>
              </w:rPr>
              <w:t>7 废气污染物综合排放标准</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tbl>
            <w:tblPr>
              <w:tblStyle w:val="27"/>
              <w:tblW w:w="8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67"/>
              <w:gridCol w:w="1285"/>
              <w:gridCol w:w="857"/>
              <w:gridCol w:w="859"/>
              <w:gridCol w:w="1390"/>
              <w:gridCol w:w="3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80" w:hRule="atLeast"/>
                <w:jc w:val="center"/>
              </w:trPr>
              <w:tc>
                <w:tcPr>
                  <w:tcW w:w="867" w:type="dxa"/>
                  <w:vMerge w:val="restar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污染物</w:t>
                  </w:r>
                </w:p>
              </w:tc>
              <w:tc>
                <w:tcPr>
                  <w:tcW w:w="128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最高允许排放浓度(mg/m</w:t>
                  </w:r>
                  <w:r>
                    <w:rPr>
                      <w:rFonts w:hint="default" w:ascii="Times New Roman" w:hAnsi="Times New Roman" w:eastAsia="宋体" w:cs="Times New Roman"/>
                      <w:b/>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w:t>
                  </w:r>
                </w:p>
              </w:tc>
              <w:tc>
                <w:tcPr>
                  <w:tcW w:w="171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最高允许排放速率</w:t>
                  </w:r>
                </w:p>
              </w:tc>
              <w:tc>
                <w:tcPr>
                  <w:tcW w:w="13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无组织排放限值(mg/m</w:t>
                  </w:r>
                  <w:r>
                    <w:rPr>
                      <w:rFonts w:hint="default" w:ascii="Times New Roman" w:hAnsi="Times New Roman" w:eastAsia="宋体" w:cs="Times New Roman"/>
                      <w:b/>
                      <w:bCs/>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w:t>
                  </w:r>
                </w:p>
              </w:tc>
              <w:tc>
                <w:tcPr>
                  <w:tcW w:w="314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60" w:hRule="atLeast"/>
                <w:jc w:val="center"/>
              </w:trPr>
              <w:tc>
                <w:tcPr>
                  <w:tcW w:w="867" w:type="dxa"/>
                  <w:vMerge w:val="continue"/>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28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排气筒高度(m)</w:t>
                  </w:r>
                </w:p>
              </w:tc>
              <w:tc>
                <w:tcPr>
                  <w:tcW w:w="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排放速率(kg/h)</w:t>
                  </w:r>
                </w:p>
              </w:tc>
              <w:tc>
                <w:tcPr>
                  <w:tcW w:w="13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14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1" w:hRule="atLeast"/>
                <w:jc w:val="center"/>
              </w:trPr>
              <w:tc>
                <w:tcPr>
                  <w:tcW w:w="8398" w:type="dxa"/>
                  <w:gridSpan w:val="6"/>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833" w:hRule="atLeast"/>
                <w:jc w:val="center"/>
              </w:trPr>
              <w:tc>
                <w:tcPr>
                  <w:tcW w:w="867" w:type="dxa"/>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颗粒物</w:t>
                  </w:r>
                </w:p>
              </w:tc>
              <w:tc>
                <w:tcPr>
                  <w:tcW w:w="12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8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8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c>
                <w:tcPr>
                  <w:tcW w:w="31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《大气</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污染物综合排放标准》（GB16297-1996）表2二级标</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准及无组织排放监控浓度限值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1" w:hRule="atLeast"/>
                <w:jc w:val="center"/>
              </w:trPr>
              <w:tc>
                <w:tcPr>
                  <w:tcW w:w="8398" w:type="dxa"/>
                  <w:gridSpan w:val="6"/>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30" w:hRule="atLeast"/>
                <w:jc w:val="center"/>
              </w:trPr>
              <w:tc>
                <w:tcPr>
                  <w:tcW w:w="867" w:type="dxa"/>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非甲烷</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总烃</w:t>
                  </w:r>
                </w:p>
              </w:tc>
              <w:tc>
                <w:tcPr>
                  <w:tcW w:w="12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commentRangeStart w:id="68"/>
                  <w:commentRangeStart w:id="69"/>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120</w:t>
                  </w:r>
                  <w:commentRangeEnd w:id="68"/>
                  <w:r>
                    <w:commentReference w:id="68"/>
                  </w:r>
                  <w:commentRangeEnd w:id="69"/>
                  <w:r>
                    <w:commentReference w:id="69"/>
                  </w:r>
                </w:p>
              </w:tc>
              <w:tc>
                <w:tcPr>
                  <w:tcW w:w="171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w:t>
                  </w:r>
                  <w:commentRangeStart w:id="70"/>
                  <w:r>
                    <w:rPr>
                      <w:rFonts w:hint="default" w:ascii="Times New Roman" w:hAnsi="Times New Roman" w:eastAsia="宋体" w:cs="Times New Roman"/>
                      <w:color w:val="000000" w:themeColor="text1"/>
                      <w:sz w:val="21"/>
                      <w:szCs w:val="21"/>
                      <w:highlight w:val="none"/>
                      <w14:textFill>
                        <w14:solidFill>
                          <w14:schemeClr w14:val="tx1"/>
                        </w14:solidFill>
                      </w14:textFill>
                    </w:rPr>
                    <w:t>低去除</w:t>
                  </w:r>
                  <w:r>
                    <w:rPr>
                      <w:rFonts w:hint="default" w:ascii="Times New Roman" w:hAnsi="Times New Roman" w:eastAsia="宋体" w:cs="Times New Roman"/>
                      <w:color w:val="FF0000"/>
                      <w:sz w:val="21"/>
                      <w:szCs w:val="21"/>
                      <w:highlight w:val="none"/>
                    </w:rPr>
                    <w:t>率9</w:t>
                  </w:r>
                  <w:r>
                    <w:rPr>
                      <w:rFonts w:hint="eastAsia" w:ascii="Times New Roman" w:hAnsi="Times New Roman" w:eastAsia="宋体" w:cs="Times New Roman"/>
                      <w:color w:val="FF0000"/>
                      <w:sz w:val="21"/>
                      <w:szCs w:val="21"/>
                      <w:highlight w:val="none"/>
                      <w:lang w:val="en-US" w:eastAsia="zh-CN"/>
                    </w:rPr>
                    <w:t>5</w:t>
                  </w:r>
                  <w:r>
                    <w:rPr>
                      <w:rFonts w:hint="default" w:ascii="Times New Roman" w:hAnsi="Times New Roman" w:eastAsia="宋体" w:cs="Times New Roman"/>
                      <w:color w:val="FF0000"/>
                      <w:sz w:val="21"/>
                      <w:szCs w:val="21"/>
                      <w:highlight w:val="none"/>
                    </w:rPr>
                    <w:t>%</w:t>
                  </w:r>
                  <w:commentRangeEnd w:id="70"/>
                  <w:r>
                    <w:commentReference w:id="70"/>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31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eastAsia="zh-CN"/>
                      <w14:textFill>
                        <w14:solidFill>
                          <w14:schemeClr w14:val="tx1"/>
                        </w14:solidFill>
                      </w14:textFill>
                    </w:rPr>
                    <w:t>石油炼制工业</w:t>
                  </w:r>
                  <w:r>
                    <w:rPr>
                      <w:rFonts w:hint="default" w:ascii="Times New Roman" w:hAnsi="Times New Roman" w:eastAsia="宋体" w:cs="Times New Roman"/>
                      <w:color w:val="000000" w:themeColor="text1"/>
                      <w:sz w:val="21"/>
                      <w:szCs w:val="21"/>
                      <w:highlight w:val="none"/>
                      <w14:textFill>
                        <w14:solidFill>
                          <w14:schemeClr w14:val="tx1"/>
                        </w14:solidFill>
                      </w14:textFill>
                    </w:rPr>
                    <w:t>污染物排放标准》（GB</w:t>
                  </w:r>
                  <w:r>
                    <w:rPr>
                      <w:rFonts w:hint="eastAsia" w:cs="Times New Roman"/>
                      <w:color w:val="000000" w:themeColor="text1"/>
                      <w:sz w:val="21"/>
                      <w:szCs w:val="21"/>
                      <w:highlight w:val="none"/>
                      <w:lang w:eastAsia="zh-CN"/>
                      <w14:textFill>
                        <w14:solidFill>
                          <w14:schemeClr w14:val="tx1"/>
                        </w14:solidFill>
                      </w14:textFill>
                    </w:rPr>
                    <w:t>3</w:t>
                  </w:r>
                  <w:r>
                    <w:rPr>
                      <w:rFonts w:hint="eastAsia" w:cs="Times New Roman"/>
                      <w:color w:val="FF0000"/>
                      <w:sz w:val="21"/>
                      <w:szCs w:val="21"/>
                      <w:highlight w:val="none"/>
                      <w:lang w:eastAsia="zh-CN"/>
                    </w:rPr>
                    <w:t>1570</w:t>
                  </w:r>
                  <w:r>
                    <w:rPr>
                      <w:rFonts w:hint="default" w:ascii="Times New Roman" w:hAnsi="Times New Roman" w:eastAsia="宋体" w:cs="Times New Roman"/>
                      <w:color w:val="FF0000"/>
                      <w:sz w:val="21"/>
                      <w:szCs w:val="21"/>
                      <w:highlight w:val="none"/>
                    </w:rPr>
                    <w:t>-2015）</w:t>
                  </w:r>
                  <w:commentRangeStart w:id="71"/>
                  <w:r>
                    <w:rPr>
                      <w:rFonts w:hint="default" w:ascii="Times New Roman" w:hAnsi="Times New Roman" w:eastAsia="宋体" w:cs="Times New Roman"/>
                      <w:color w:val="FF0000"/>
                      <w:sz w:val="21"/>
                      <w:szCs w:val="21"/>
                      <w:highlight w:val="none"/>
                      <w:lang w:val="en-US" w:eastAsia="zh-CN"/>
                    </w:rPr>
                    <w:t>及其修改单</w:t>
                  </w:r>
                  <w:r>
                    <w:rPr>
                      <w:rFonts w:hint="default" w:ascii="Times New Roman" w:hAnsi="Times New Roman" w:eastAsia="宋体" w:cs="Times New Roman"/>
                      <w:color w:val="FF0000"/>
                      <w:sz w:val="21"/>
                      <w:szCs w:val="21"/>
                      <w:highlight w:val="none"/>
                    </w:rPr>
                    <w:t>表</w:t>
                  </w:r>
                  <w:r>
                    <w:rPr>
                      <w:rFonts w:hint="eastAsia" w:cs="Times New Roman"/>
                      <w:color w:val="FF0000"/>
                      <w:sz w:val="21"/>
                      <w:szCs w:val="21"/>
                      <w:highlight w:val="none"/>
                      <w:lang w:val="en-US" w:eastAsia="zh-CN"/>
                    </w:rPr>
                    <w:t>3</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表</w:t>
                  </w:r>
                  <w:r>
                    <w:rPr>
                      <w:rFonts w:hint="eastAsia" w:cs="Times New Roman"/>
                      <w:color w:val="FF0000"/>
                      <w:sz w:val="21"/>
                      <w:szCs w:val="21"/>
                      <w:highlight w:val="none"/>
                      <w:lang w:val="en-US" w:eastAsia="zh-CN"/>
                    </w:rPr>
                    <w:t>5</w:t>
                  </w:r>
                  <w:commentRangeEnd w:id="71"/>
                  <w:r>
                    <w:rPr>
                      <w:color w:val="FF0000"/>
                    </w:rPr>
                    <w:commentReference w:id="71"/>
                  </w:r>
                  <w:r>
                    <w:rPr>
                      <w:rFonts w:hint="default" w:ascii="Times New Roman" w:hAnsi="Times New Roman" w:eastAsia="宋体" w:cs="Times New Roman"/>
                      <w:color w:val="FF0000"/>
                      <w:sz w:val="21"/>
                      <w:szCs w:val="21"/>
                      <w:highlight w:val="none"/>
                    </w:rPr>
                    <w:t>大气污染</w:t>
                  </w:r>
                  <w:r>
                    <w:rPr>
                      <w:rFonts w:hint="default" w:ascii="Times New Roman" w:hAnsi="Times New Roman" w:eastAsia="宋体" w:cs="Times New Roman"/>
                      <w:color w:val="000000" w:themeColor="text1"/>
                      <w:sz w:val="21"/>
                      <w:szCs w:val="21"/>
                      <w:highlight w:val="none"/>
                      <w14:textFill>
                        <w14:solidFill>
                          <w14:schemeClr w14:val="tx1"/>
                        </w14:solidFill>
                      </w14:textFill>
                    </w:rPr>
                    <w:t>物排放限值</w:t>
                  </w:r>
                </w:p>
              </w:tc>
            </w:tr>
          </w:tbl>
          <w:p>
            <w:pPr>
              <w:keepNext w:val="0"/>
              <w:keepLines w:val="0"/>
              <w:widowControl/>
              <w:suppressLineNumbers w:val="0"/>
              <w:jc w:val="left"/>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厂区内有机废气无组织排放监控点浓度应符合《挥发性有机物无组织排放控制标准》（GB37822-2019）表A.1厂区内VOCs无组织排放限值要求。</w:t>
            </w:r>
          </w:p>
          <w:p>
            <w:pPr>
              <w:bidi w:val="0"/>
              <w:ind w:left="0" w:leftChars="0" w:firstLine="0" w:firstLineChars="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表3-8 厂区内无组织废气排放限值</w:t>
            </w:r>
          </w:p>
          <w:tbl>
            <w:tblPr>
              <w:tblStyle w:val="27"/>
              <w:tblW w:w="8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3"/>
              <w:gridCol w:w="1692"/>
              <w:gridCol w:w="3687"/>
              <w:gridCol w:w="2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污染物</w:t>
                  </w:r>
                </w:p>
              </w:tc>
              <w:tc>
                <w:tcPr>
                  <w:tcW w:w="1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排放限值（mg/m³）</w:t>
                  </w:r>
                </w:p>
              </w:tc>
              <w:tc>
                <w:tcPr>
                  <w:tcW w:w="36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限制含义</w:t>
                  </w:r>
                </w:p>
              </w:tc>
              <w:tc>
                <w:tcPr>
                  <w:tcW w:w="20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NMHC</w:t>
                  </w:r>
                </w:p>
              </w:tc>
              <w:tc>
                <w:tcPr>
                  <w:tcW w:w="1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c>
                <w:tcPr>
                  <w:tcW w:w="36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监控点处1h平均浓度</w:t>
                  </w:r>
                </w:p>
              </w:tc>
              <w:tc>
                <w:tcPr>
                  <w:tcW w:w="201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在厂房外设置监控点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p>
              </w:tc>
              <w:tc>
                <w:tcPr>
                  <w:tcW w:w="16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w:t>
                  </w:r>
                </w:p>
              </w:tc>
              <w:tc>
                <w:tcPr>
                  <w:tcW w:w="36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监控点处任意一次浓度值</w:t>
                  </w:r>
                </w:p>
              </w:tc>
              <w:tc>
                <w:tcPr>
                  <w:tcW w:w="201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p>
              </w:tc>
            </w:tr>
          </w:tbl>
          <w:p>
            <w:pPr>
              <w:keepNext w:val="0"/>
              <w:keepLines w:val="0"/>
              <w:pageBreakBefore w:val="0"/>
              <w:kinsoku/>
              <w:wordWrap/>
              <w:overflowPunct/>
              <w:topLinePunct w:val="0"/>
              <w:autoSpaceDE/>
              <w:autoSpaceDN/>
              <w:bidi w:val="0"/>
              <w:adjustRightInd/>
              <w:snapToGrid/>
              <w:spacing w:line="440" w:lineRule="exact"/>
              <w:ind w:firstLine="481" w:firstLineChars="200"/>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cs="Times New Roman"/>
                <w:b/>
                <w:bCs/>
                <w:color w:val="000000" w:themeColor="text1"/>
                <w:sz w:val="24"/>
                <w:highlight w:val="none"/>
                <w:lang w:val="en-US" w:eastAsia="zh-CN"/>
                <w14:textFill>
                  <w14:solidFill>
                    <w14:schemeClr w14:val="tx1"/>
                  </w14:solidFill>
                </w14:textFill>
              </w:rPr>
              <w:t>二、</w:t>
            </w:r>
            <w:r>
              <w:rPr>
                <w:rFonts w:hint="default" w:ascii="Times New Roman" w:hAnsi="Times New Roman" w:eastAsia="宋体" w:cs="Times New Roman"/>
                <w:b/>
                <w:bCs/>
                <w:color w:val="000000" w:themeColor="text1"/>
                <w:sz w:val="24"/>
                <w:highlight w:val="none"/>
                <w14:textFill>
                  <w14:solidFill>
                    <w14:schemeClr w14:val="tx1"/>
                  </w14:solidFill>
                </w14:textFill>
              </w:rPr>
              <w:t>废水</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废水排放执行</w:t>
            </w:r>
            <w:r>
              <w:rPr>
                <w:rFonts w:hint="default" w:ascii="Times New Roman" w:hAnsi="Times New Roman" w:cs="Times New Roman"/>
                <w:color w:val="000000" w:themeColor="text1"/>
                <w:sz w:val="24"/>
                <w:highlight w:val="none"/>
                <w:lang w:eastAsia="zh-CN"/>
                <w14:textFill>
                  <w14:solidFill>
                    <w14:schemeClr w14:val="tx1"/>
                  </w14:solidFill>
                </w14:textFill>
              </w:rPr>
              <w:t>《石油炼制工业污染物排放标准》（GB31570-2015）及其修改单表1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新建企业水污染物排放浓度限值</w:t>
            </w:r>
            <w:r>
              <w:rPr>
                <w:rFonts w:hint="eastAsia" w:cs="Times New Roman"/>
                <w:color w:val="000000" w:themeColor="text1"/>
                <w:sz w:val="24"/>
                <w:highlight w:val="none"/>
                <w:lang w:val="en-US" w:eastAsia="zh-CN"/>
                <w14:textFill>
                  <w14:solidFill>
                    <w14:schemeClr w14:val="tx1"/>
                  </w14:solidFill>
                </w14:textFill>
              </w:rPr>
              <w:t>及</w:t>
            </w:r>
            <w:r>
              <w:rPr>
                <w:rFonts w:hint="eastAsia" w:cs="Times New Roman"/>
                <w:color w:val="FF0000"/>
                <w:sz w:val="24"/>
                <w:highlight w:val="none"/>
                <w:lang w:val="en-US" w:eastAsia="zh-CN"/>
              </w:rPr>
              <w:t>《煤炭工业污染物排放标准》（GB20426-2006）表3标准限值（取自与鄂尔多斯市泰鑫煤炭有限公司签订的中水回用接收协议，详见附件8）</w:t>
            </w:r>
            <w:r>
              <w:rPr>
                <w:rFonts w:hint="default" w:ascii="Times New Roman" w:hAnsi="Times New Roman" w:eastAsia="宋体" w:cs="Times New Roman"/>
                <w:color w:val="FF0000"/>
                <w:sz w:val="24"/>
                <w:highlight w:val="none"/>
              </w:rPr>
              <w:t>。</w:t>
            </w:r>
            <w:commentRangeStart w:id="72"/>
            <w:commentRangeStart w:id="73"/>
            <w:r>
              <w:commentReference w:id="72"/>
            </w:r>
            <w:commentRangeEnd w:id="72"/>
            <w:commentRangeEnd w:id="73"/>
            <w:r>
              <w:commentReference w:id="73"/>
            </w:r>
          </w:p>
          <w:p>
            <w:pPr>
              <w:keepNext w:val="0"/>
              <w:keepLines w:val="0"/>
              <w:pageBreakBefore w:val="0"/>
              <w:widowControl/>
              <w:kinsoku/>
              <w:wordWrap/>
              <w:overflowPunct/>
              <w:topLinePunct w:val="0"/>
              <w:autoSpaceDE/>
              <w:autoSpaceDN/>
              <w:bidi w:val="0"/>
              <w:adjustRightInd/>
              <w:snapToGrid/>
              <w:spacing w:line="440" w:lineRule="exact"/>
              <w:ind w:firstLine="481" w:firstLineChars="200"/>
              <w:jc w:val="center"/>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w:t>
            </w:r>
            <w:r>
              <w:rPr>
                <w:rFonts w:hint="eastAsia" w:cs="Times New Roman"/>
                <w:b/>
                <w:bCs/>
                <w:color w:val="000000" w:themeColor="text1"/>
                <w:sz w:val="24"/>
                <w:highlight w:val="none"/>
                <w:lang w:val="en-US" w:eastAsia="zh-CN"/>
                <w14:textFill>
                  <w14:solidFill>
                    <w14:schemeClr w14:val="tx1"/>
                  </w14:solidFill>
                </w14:textFill>
              </w:rPr>
              <w:t>3-9</w:t>
            </w:r>
            <w:r>
              <w:rPr>
                <w:rFonts w:hint="default" w:ascii="Times New Roman" w:hAnsi="Times New Roman" w:eastAsia="宋体" w:cs="Times New Roman"/>
                <w:b/>
                <w:bCs/>
                <w:color w:val="000000" w:themeColor="text1"/>
                <w:sz w:val="24"/>
                <w:highlight w:val="none"/>
                <w14:textFill>
                  <w14:solidFill>
                    <w14:schemeClr w14:val="tx1"/>
                  </w14:solidFill>
                </w14:textFill>
              </w:rPr>
              <w:t xml:space="preserve"> 项目废水排放标准限值</w:t>
            </w:r>
          </w:p>
          <w:tbl>
            <w:tblPr>
              <w:tblStyle w:val="27"/>
              <w:tblW w:w="48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79"/>
              <w:gridCol w:w="1079"/>
              <w:gridCol w:w="1079"/>
              <w:gridCol w:w="1079"/>
              <w:gridCol w:w="1079"/>
              <w:gridCol w:w="1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blHeader/>
                <w:jc w:val="center"/>
              </w:trPr>
              <w:tc>
                <w:tcPr>
                  <w:tcW w:w="1815" w:type="pct"/>
                  <w:vMerge w:val="restart"/>
                  <w:tcBorders>
                    <w:tl2br w:val="single" w:color="auto" w:sz="4" w:space="0"/>
                  </w:tcBorders>
                  <w:noWrap w:val="0"/>
                  <w:vAlign w:val="center"/>
                </w:tcPr>
                <w:p>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righ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w:t>
                  </w:r>
                </w:p>
                <w:p>
                  <w:pPr>
                    <w:keepNext w:val="0"/>
                    <w:keepLines w:val="0"/>
                    <w:pageBreakBefore w:val="0"/>
                    <w:widowControl w:val="0"/>
                    <w:kinsoku/>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执行标准</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COD</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SS</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石油类</w:t>
                  </w:r>
                </w:p>
              </w:tc>
              <w:tc>
                <w:tcPr>
                  <w:tcW w:w="638"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blHeader/>
                <w:jc w:val="center"/>
              </w:trPr>
              <w:tc>
                <w:tcPr>
                  <w:tcW w:w="1815" w:type="pct"/>
                  <w:vMerge w:val="continue"/>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无量纲</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mg/L</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mg/L</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mg/L</w:t>
                  </w:r>
                </w:p>
              </w:tc>
              <w:tc>
                <w:tcPr>
                  <w:tcW w:w="638"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4" w:hRule="atLeast"/>
                <w:jc w:val="center"/>
              </w:trPr>
              <w:tc>
                <w:tcPr>
                  <w:tcW w:w="1815"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eastAsia="zh-CN"/>
                      <w14:textFill>
                        <w14:solidFill>
                          <w14:schemeClr w14:val="tx1"/>
                        </w14:solidFill>
                      </w14:textFill>
                    </w:rPr>
                    <w:t>石油炼制工业污染物排放标准</w:t>
                  </w:r>
                  <w:r>
                    <w:rPr>
                      <w:rFonts w:hint="default" w:ascii="Times New Roman" w:hAnsi="Times New Roman" w:eastAsia="宋体" w:cs="Times New Roman"/>
                      <w:color w:val="000000" w:themeColor="text1"/>
                      <w:sz w:val="21"/>
                      <w:szCs w:val="21"/>
                      <w:highlight w:val="none"/>
                      <w14:textFill>
                        <w14:solidFill>
                          <w14:schemeClr w14:val="tx1"/>
                        </w14:solidFill>
                      </w14:textFill>
                    </w:rPr>
                    <w:t>》（GB</w:t>
                  </w:r>
                  <w:r>
                    <w:rPr>
                      <w:rFonts w:hint="eastAsia" w:cs="Times New Roman"/>
                      <w:color w:val="000000" w:themeColor="text1"/>
                      <w:sz w:val="21"/>
                      <w:szCs w:val="21"/>
                      <w:highlight w:val="none"/>
                      <w:lang w:eastAsia="zh-CN"/>
                      <w14:textFill>
                        <w14:solidFill>
                          <w14:schemeClr w14:val="tx1"/>
                        </w14:solidFill>
                      </w14:textFill>
                    </w:rPr>
                    <w:t>31570-2015</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20</w:t>
                  </w:r>
                </w:p>
              </w:tc>
              <w:tc>
                <w:tcPr>
                  <w:tcW w:w="63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4" w:hRule="atLeast"/>
                <w:jc w:val="center"/>
              </w:trPr>
              <w:tc>
                <w:tcPr>
                  <w:tcW w:w="1815"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《煤炭工业污染物排放标准》（GB20426-2006）</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6～9</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7</w:t>
                  </w:r>
                  <w:r>
                    <w:rPr>
                      <w:rFonts w:hint="default" w:ascii="Times New Roman" w:hAnsi="Times New Roman" w:eastAsia="宋体" w:cs="Times New Roman"/>
                      <w:color w:val="FF0000"/>
                      <w:sz w:val="21"/>
                      <w:szCs w:val="21"/>
                      <w:highlight w:val="none"/>
                    </w:rPr>
                    <w:t>0</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7</w:t>
                  </w:r>
                  <w:r>
                    <w:rPr>
                      <w:rFonts w:hint="default" w:ascii="Times New Roman" w:hAnsi="Times New Roman" w:eastAsia="宋体" w:cs="Times New Roman"/>
                      <w:color w:val="FF0000"/>
                      <w:sz w:val="21"/>
                      <w:szCs w:val="21"/>
                      <w:highlight w:val="none"/>
                    </w:rPr>
                    <w:t>0</w:t>
                  </w:r>
                </w:p>
              </w:tc>
              <w:tc>
                <w:tcPr>
                  <w:tcW w:w="636"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eastAsia"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w:t>
                  </w:r>
                </w:p>
              </w:tc>
              <w:tc>
                <w:tcPr>
                  <w:tcW w:w="638"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eastAsia"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6" w:hRule="atLeast"/>
                <w:jc w:val="center"/>
              </w:trPr>
              <w:tc>
                <w:tcPr>
                  <w:tcW w:w="1815" w:type="pct"/>
                  <w:noWrap w:val="0"/>
                  <w:vAlign w:val="center"/>
                </w:tcPr>
                <w:p>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本次评价采用标准</w:t>
                  </w:r>
                </w:p>
              </w:tc>
              <w:tc>
                <w:tcPr>
                  <w:tcW w:w="6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6～9</w:t>
                  </w:r>
                </w:p>
              </w:tc>
              <w:tc>
                <w:tcPr>
                  <w:tcW w:w="6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6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70</w:t>
                  </w:r>
                </w:p>
              </w:tc>
              <w:tc>
                <w:tcPr>
                  <w:tcW w:w="6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w:t>
                  </w:r>
                </w:p>
              </w:tc>
              <w:tc>
                <w:tcPr>
                  <w:tcW w:w="63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eastAsia" w:cs="Times New Roman"/>
                      <w:color w:val="000000" w:themeColor="text1"/>
                      <w:sz w:val="21"/>
                      <w:szCs w:val="21"/>
                      <w:highlight w:val="none"/>
                      <w:lang w:val="en-US" w:eastAsia="zh-CN"/>
                      <w14:textFill>
                        <w14:solidFill>
                          <w14:schemeClr w14:val="tx1"/>
                        </w14:solidFill>
                      </w14:textFill>
                    </w:rPr>
                    <w:t>2</w:t>
                  </w:r>
                </w:p>
              </w:tc>
            </w:tr>
          </w:tbl>
          <w:p>
            <w:pPr>
              <w:bidi w:val="0"/>
              <w:rPr>
                <w:rFonts w:hint="default"/>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三、</w:t>
            </w:r>
            <w:r>
              <w:rPr>
                <w:rFonts w:hint="default"/>
                <w:b/>
                <w:bCs/>
                <w:color w:val="000000" w:themeColor="text1"/>
                <w:highlight w:val="none"/>
                <w14:textFill>
                  <w14:solidFill>
                    <w14:schemeClr w14:val="tx1"/>
                  </w14:solidFill>
                </w14:textFill>
              </w:rPr>
              <w:t>噪声排放标准</w:t>
            </w:r>
          </w:p>
          <w:p>
            <w:pPr>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本项目施</w:t>
            </w:r>
            <w:commentRangeStart w:id="74"/>
            <w:r>
              <w:rPr>
                <w:rFonts w:hint="default"/>
                <w:color w:val="000000" w:themeColor="text1"/>
                <w:highlight w:val="none"/>
                <w14:textFill>
                  <w14:solidFill>
                    <w14:schemeClr w14:val="tx1"/>
                  </w14:solidFill>
                </w14:textFill>
              </w:rPr>
              <w:t>工期施工场界噪声排放执行</w:t>
            </w:r>
            <w:r>
              <w:rPr>
                <w:rFonts w:hint="default"/>
                <w:color w:val="FF0000"/>
                <w:highlight w:val="none"/>
              </w:rPr>
              <w:t>《</w:t>
            </w:r>
            <w:r>
              <w:rPr>
                <w:rFonts w:hint="eastAsia"/>
                <w:color w:val="FF0000"/>
                <w:highlight w:val="none"/>
                <w:lang w:eastAsia="zh-CN"/>
              </w:rPr>
              <w:t>建筑施工噪声排放标准</w:t>
            </w:r>
            <w:r>
              <w:rPr>
                <w:rFonts w:hint="default"/>
                <w:color w:val="FF0000"/>
                <w:highlight w:val="none"/>
              </w:rPr>
              <w:t>》（GB</w:t>
            </w:r>
            <w:r>
              <w:rPr>
                <w:rFonts w:hint="eastAsia"/>
                <w:color w:val="FF0000"/>
                <w:highlight w:val="none"/>
                <w:lang w:eastAsia="zh-CN"/>
              </w:rPr>
              <w:t>12523-2025</w:t>
            </w:r>
            <w:r>
              <w:rPr>
                <w:rFonts w:hint="default"/>
                <w:color w:val="FF0000"/>
                <w:highlight w:val="none"/>
              </w:rPr>
              <w:t>）标</w:t>
            </w:r>
            <w:commentRangeEnd w:id="74"/>
            <w:r>
              <w:rPr>
                <w:color w:val="FF0000"/>
              </w:rPr>
              <w:commentReference w:id="74"/>
            </w:r>
            <w:r>
              <w:rPr>
                <w:rFonts w:hint="default"/>
                <w:color w:val="FF0000"/>
                <w:highlight w:val="none"/>
              </w:rPr>
              <w:t>准限值</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运营期</w:t>
            </w:r>
            <w:r>
              <w:rPr>
                <w:rFonts w:hint="default"/>
                <w:color w:val="000000" w:themeColor="text1"/>
                <w:highlight w:val="none"/>
                <w14:textFill>
                  <w14:solidFill>
                    <w14:schemeClr w14:val="tx1"/>
                  </w14:solidFill>
                </w14:textFill>
              </w:rPr>
              <w:t>项目厂界噪声排放执行《工业企业厂界环境噪声排放标准》（GB12348-2008）</w:t>
            </w:r>
            <w:r>
              <w:rPr>
                <w:rFonts w:hint="eastAsia"/>
                <w:color w:val="000000" w:themeColor="text1"/>
                <w:highlight w:val="none"/>
                <w:lang w:val="en-US" w:eastAsia="zh-CN"/>
                <w14:textFill>
                  <w14:solidFill>
                    <w14:schemeClr w14:val="tx1"/>
                  </w14:solidFill>
                </w14:textFill>
              </w:rPr>
              <w:t>3类</w:t>
            </w:r>
            <w:r>
              <w:rPr>
                <w:rFonts w:hint="default"/>
                <w:color w:val="000000" w:themeColor="text1"/>
                <w:highlight w:val="none"/>
                <w14:textFill>
                  <w14:solidFill>
                    <w14:schemeClr w14:val="tx1"/>
                  </w14:solidFill>
                </w14:textFill>
              </w:rPr>
              <w:t>标准，标准值详见下表。</w:t>
            </w:r>
          </w:p>
          <w:p>
            <w:pPr>
              <w:bidi w:val="0"/>
              <w:ind w:left="0" w:leftChars="0" w:firstLine="0" w:firstLineChars="0"/>
              <w:jc w:val="center"/>
              <w:rPr>
                <w:rFonts w:hint="default"/>
                <w:b/>
                <w:bCs/>
                <w:color w:val="000000" w:themeColor="text1"/>
                <w:highlight w:val="none"/>
                <w14:textFill>
                  <w14:solidFill>
                    <w14:schemeClr w14:val="tx1"/>
                  </w14:solidFill>
                </w14:textFill>
              </w:rPr>
            </w:pPr>
            <w:r>
              <w:rPr>
                <w:rFonts w:hint="default"/>
                <w:b/>
                <w:bCs/>
                <w:color w:val="000000" w:themeColor="text1"/>
                <w:highlight w:val="none"/>
                <w14:textFill>
                  <w14:solidFill>
                    <w14:schemeClr w14:val="tx1"/>
                  </w14:solidFill>
                </w14:textFill>
              </w:rPr>
              <w:t>表3-</w:t>
            </w:r>
            <w:r>
              <w:rPr>
                <w:rFonts w:hint="eastAsia"/>
                <w:b/>
                <w:bCs/>
                <w:color w:val="000000" w:themeColor="text1"/>
                <w:highlight w:val="none"/>
                <w:lang w:val="en-US" w:eastAsia="zh-CN"/>
                <w14:textFill>
                  <w14:solidFill>
                    <w14:schemeClr w14:val="tx1"/>
                  </w14:solidFill>
                </w14:textFill>
              </w:rPr>
              <w:t xml:space="preserve">10 </w:t>
            </w:r>
            <w:r>
              <w:rPr>
                <w:rFonts w:hint="default"/>
                <w:b/>
                <w:bCs/>
                <w:color w:val="000000" w:themeColor="text1"/>
                <w:highlight w:val="none"/>
                <w14:textFill>
                  <w14:solidFill>
                    <w14:schemeClr w14:val="tx1"/>
                  </w14:solidFill>
                </w14:textFill>
              </w:rPr>
              <w:t>《</w:t>
            </w:r>
            <w:r>
              <w:rPr>
                <w:rFonts w:hint="eastAsia"/>
                <w:b/>
                <w:bCs/>
                <w:color w:val="000000" w:themeColor="text1"/>
                <w:highlight w:val="none"/>
                <w:lang w:eastAsia="zh-CN"/>
                <w14:textFill>
                  <w14:solidFill>
                    <w14:schemeClr w14:val="tx1"/>
                  </w14:solidFill>
                </w14:textFill>
              </w:rPr>
              <w:t>建筑施工噪声排放标准</w:t>
            </w:r>
            <w:r>
              <w:rPr>
                <w:rFonts w:hint="default"/>
                <w:b/>
                <w:bCs/>
                <w:color w:val="000000" w:themeColor="text1"/>
                <w:highlight w:val="none"/>
                <w14:textFill>
                  <w14:solidFill>
                    <w14:schemeClr w14:val="tx1"/>
                  </w14:solidFill>
                </w14:textFill>
              </w:rPr>
              <w:t>》（GB</w:t>
            </w:r>
            <w:r>
              <w:rPr>
                <w:rFonts w:hint="eastAsia"/>
                <w:b/>
                <w:bCs/>
                <w:color w:val="000000" w:themeColor="text1"/>
                <w:highlight w:val="none"/>
                <w:lang w:eastAsia="zh-CN"/>
                <w14:textFill>
                  <w14:solidFill>
                    <w14:schemeClr w14:val="tx1"/>
                  </w14:solidFill>
                </w14:textFill>
              </w:rPr>
              <w:t>12523-2025</w:t>
            </w:r>
            <w:r>
              <w:rPr>
                <w:rFonts w:hint="default"/>
                <w:b/>
                <w:bCs/>
                <w:color w:val="000000" w:themeColor="text1"/>
                <w:highlight w:val="none"/>
                <w14:textFill>
                  <w14:solidFill>
                    <w14:schemeClr w14:val="tx1"/>
                  </w14:solidFill>
                </w14:textFill>
              </w:rPr>
              <w:t>）</w:t>
            </w:r>
          </w:p>
          <w:tbl>
            <w:tblPr>
              <w:tblStyle w:val="27"/>
              <w:tblW w:w="4901"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161"/>
              <w:gridCol w:w="447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63" w:hRule="atLeast"/>
                <w:jc w:val="center"/>
              </w:trPr>
              <w:tc>
                <w:tcPr>
                  <w:tcW w:w="5000" w:type="pct"/>
                  <w:gridSpan w:val="2"/>
                  <w:tcBorders>
                    <w:top w:val="single" w:color="auto" w:sz="4" w:space="0"/>
                    <w:left w:val="single" w:color="auto" w:sz="0"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噪声限值Leq[dB(A)]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13" w:hRule="atLeast"/>
                <w:jc w:val="center"/>
              </w:trPr>
              <w:tc>
                <w:tcPr>
                  <w:tcW w:w="241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昼间</w:t>
                  </w:r>
                </w:p>
              </w:tc>
              <w:tc>
                <w:tcPr>
                  <w:tcW w:w="259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83" w:hRule="atLeast"/>
                <w:jc w:val="center"/>
              </w:trPr>
              <w:tc>
                <w:tcPr>
                  <w:tcW w:w="241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70</w:t>
                  </w:r>
                </w:p>
              </w:tc>
              <w:tc>
                <w:tcPr>
                  <w:tcW w:w="259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55</w:t>
                  </w:r>
                </w:p>
              </w:tc>
            </w:tr>
          </w:tbl>
          <w:p>
            <w:pPr>
              <w:bidi w:val="0"/>
              <w:ind w:left="0" w:leftChars="0" w:firstLine="0" w:firstLineChars="0"/>
              <w:jc w:val="center"/>
              <w:rPr>
                <w:rFonts w:hint="default"/>
                <w:b/>
                <w:bCs/>
                <w:color w:val="000000" w:themeColor="text1"/>
                <w:highlight w:val="none"/>
                <w14:textFill>
                  <w14:solidFill>
                    <w14:schemeClr w14:val="tx1"/>
                  </w14:solidFill>
                </w14:textFill>
              </w:rPr>
            </w:pPr>
            <w:r>
              <w:rPr>
                <w:rFonts w:hint="default"/>
                <w:b/>
                <w:bCs/>
                <w:color w:val="000000" w:themeColor="text1"/>
                <w:highlight w:val="none"/>
                <w14:textFill>
                  <w14:solidFill>
                    <w14:schemeClr w14:val="tx1"/>
                  </w14:solidFill>
                </w14:textFill>
              </w:rPr>
              <w:t>表3-</w:t>
            </w:r>
            <w:r>
              <w:rPr>
                <w:rFonts w:hint="eastAsia"/>
                <w:b/>
                <w:bCs/>
                <w:color w:val="000000" w:themeColor="text1"/>
                <w:highlight w:val="none"/>
                <w:lang w:val="en-US" w:eastAsia="zh-CN"/>
                <w14:textFill>
                  <w14:solidFill>
                    <w14:schemeClr w14:val="tx1"/>
                  </w14:solidFill>
                </w14:textFill>
              </w:rPr>
              <w:t xml:space="preserve">11 </w:t>
            </w:r>
            <w:r>
              <w:rPr>
                <w:rFonts w:hint="default"/>
                <w:b/>
                <w:bCs/>
                <w:color w:val="000000" w:themeColor="text1"/>
                <w:highlight w:val="none"/>
                <w14:textFill>
                  <w14:solidFill>
                    <w14:schemeClr w14:val="tx1"/>
                  </w14:solidFill>
                </w14:textFill>
              </w:rPr>
              <w:t>《工业企业厂界环境噪声排放标准》（GB12348-2008）</w:t>
            </w:r>
          </w:p>
          <w:tbl>
            <w:tblPr>
              <w:tblStyle w:val="27"/>
              <w:tblW w:w="85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1"/>
              <w:gridCol w:w="3011"/>
              <w:gridCol w:w="28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651" w:type="dxa"/>
                  <w:tcBorders>
                    <w:top w:val="single" w:color="auto" w:sz="4" w:space="0"/>
                    <w:left w:val="single" w:color="auto" w:sz="0"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类别</w:t>
                  </w:r>
                </w:p>
              </w:tc>
              <w:tc>
                <w:tcPr>
                  <w:tcW w:w="3011"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昼间dB（A）</w:t>
                  </w:r>
                </w:p>
              </w:tc>
              <w:tc>
                <w:tcPr>
                  <w:tcW w:w="2897" w:type="dxa"/>
                  <w:tcBorders>
                    <w:top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651" w:type="dxa"/>
                  <w:tcBorders>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3类标准限值dB（A）</w:t>
                  </w:r>
                </w:p>
              </w:tc>
              <w:tc>
                <w:tcPr>
                  <w:tcW w:w="3011"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65</w:t>
                  </w:r>
                </w:p>
              </w:tc>
              <w:tc>
                <w:tcPr>
                  <w:tcW w:w="2897" w:type="dxa"/>
                  <w:tcBorders>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55</w:t>
                  </w:r>
                </w:p>
              </w:tc>
            </w:tr>
          </w:tbl>
          <w:p>
            <w:pPr>
              <w:bidi w:val="0"/>
              <w:rPr>
                <w:rFonts w:hint="default"/>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四、</w:t>
            </w:r>
            <w:r>
              <w:rPr>
                <w:rFonts w:hint="default"/>
                <w:b/>
                <w:bCs/>
                <w:color w:val="000000" w:themeColor="text1"/>
                <w:highlight w:val="none"/>
                <w14:textFill>
                  <w14:solidFill>
                    <w14:schemeClr w14:val="tx1"/>
                  </w14:solidFill>
                </w14:textFill>
              </w:rPr>
              <w:t>固体废物排放</w:t>
            </w:r>
          </w:p>
          <w:p>
            <w:pPr>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一般固体执行《一般工业固体废物贮存和填埋污染控制标准》</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GB18599-2020</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的有关规定要求。危险废物厂内暂存执行《危险废物贮存污染控制标准》（GB18597-20</w:t>
            </w:r>
            <w:r>
              <w:rPr>
                <w:rFonts w:hint="default"/>
                <w:color w:val="000000" w:themeColor="text1"/>
                <w:highlight w:val="none"/>
                <w:lang w:val="en-US" w:eastAsia="zh-CN"/>
                <w14:textFill>
                  <w14:solidFill>
                    <w14:schemeClr w14:val="tx1"/>
                  </w14:solidFill>
                </w14:textFill>
              </w:rPr>
              <w:t>23</w:t>
            </w:r>
            <w:r>
              <w:rPr>
                <w:rFonts w:hint="default"/>
                <w:color w:val="000000" w:themeColor="text1"/>
                <w:highlight w:val="none"/>
                <w14:textFill>
                  <w14:solidFill>
                    <w14:schemeClr w14:val="tx1"/>
                  </w14:solidFill>
                </w14:textFill>
              </w:rPr>
              <w:t>）标准</w:t>
            </w:r>
            <w:r>
              <w:rPr>
                <w:rFonts w:hint="default"/>
                <w:color w:val="000000" w:themeColor="text1"/>
                <w:highlight w:val="none"/>
                <w:lang w:val="en-US" w:eastAsia="zh-CN"/>
                <w14:textFill>
                  <w14:solidFill>
                    <w14:schemeClr w14:val="tx1"/>
                  </w14:solidFill>
                </w14:textFill>
              </w:rPr>
              <w:t>要求</w:t>
            </w:r>
            <w:r>
              <w:rPr>
                <w:rFonts w:hint="default"/>
                <w:color w:val="000000" w:themeColor="text1"/>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总量</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控制</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指标</w:t>
            </w:r>
          </w:p>
        </w:tc>
        <w:tc>
          <w:tcPr>
            <w:tcW w:w="8160" w:type="dxa"/>
            <w:noWrap w:val="0"/>
            <w:vAlign w:val="center"/>
          </w:tcPr>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根据国家的相关规定，现阶段我国进行总量控制的指标为SO</w:t>
            </w:r>
            <w:r>
              <w:rPr>
                <w:rFonts w:hint="default"/>
                <w:color w:val="000000" w:themeColor="text1"/>
                <w:highlight w:val="none"/>
                <w:vertAlign w:val="sub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w:t>
            </w:r>
            <w:r>
              <w:rPr>
                <w:rFonts w:hint="default"/>
                <w:color w:val="000000" w:themeColor="text1"/>
                <w:highlight w:val="none"/>
                <w14:textFill>
                  <w14:solidFill>
                    <w14:schemeClr w14:val="tx1"/>
                  </w14:solidFill>
                </w14:textFill>
              </w:rPr>
              <w:t>NO</w:t>
            </w:r>
            <w:r>
              <w:rPr>
                <w:rFonts w:hint="default"/>
                <w:color w:val="000000" w:themeColor="text1"/>
                <w:highlight w:val="none"/>
                <w:vertAlign w:val="subscript"/>
                <w14:textFill>
                  <w14:solidFill>
                    <w14:schemeClr w14:val="tx1"/>
                  </w14:solidFill>
                </w14:textFill>
              </w:rPr>
              <w:t>X</w:t>
            </w:r>
            <w:r>
              <w:rPr>
                <w:rFonts w:hint="default"/>
                <w:color w:val="000000" w:themeColor="text1"/>
                <w:highlight w:val="none"/>
                <w:lang w:val="en-US" w:eastAsia="zh-CN"/>
                <w14:textFill>
                  <w14:solidFill>
                    <w14:schemeClr w14:val="tx1"/>
                  </w14:solidFill>
                </w14:textFill>
              </w:rPr>
              <w:t>和COD、NH</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-N四项。</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根据自治区“十四五”环境保护规划，将VOCs新纳入总量控制指标。</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生产废水</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生活污水处理后排至鄂尔多斯市泰鑫煤炭有限公司洗煤综合利用，不直接排放</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因此无需申请COD、NH</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-N总量控制指标。</w:t>
            </w:r>
          </w:p>
          <w:p>
            <w:pPr>
              <w:bidi w:val="0"/>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本项目实施后污染物排放总量控制指标为非甲烷总</w:t>
            </w:r>
            <w:r>
              <w:commentReference w:id="75"/>
            </w:r>
            <w:r>
              <w:rPr>
                <w:rFonts w:hint="default" w:ascii="Times New Roman" w:hAnsi="Times New Roman" w:cs="Times New Roman"/>
                <w:color w:val="000000" w:themeColor="text1"/>
                <w:kern w:val="0"/>
                <w:szCs w:val="21"/>
                <w:highlight w:val="none"/>
                <w14:textFill>
                  <w14:solidFill>
                    <w14:schemeClr w14:val="tx1"/>
                  </w14:solidFill>
                </w14:textFill>
              </w:rPr>
              <w:t>烃，</w:t>
            </w:r>
            <w:r>
              <w:rPr>
                <w:rFonts w:hint="eastAsia" w:cs="Times New Roman"/>
                <w:color w:val="000000" w:themeColor="text1"/>
                <w:kern w:val="0"/>
                <w:szCs w:val="21"/>
                <w:highlight w:val="none"/>
                <w:lang w:val="en-US" w:eastAsia="zh-CN"/>
                <w14:textFill>
                  <w14:solidFill>
                    <w14:schemeClr w14:val="tx1"/>
                  </w14:solidFill>
                </w14:textFill>
              </w:rPr>
              <w:t>排</w:t>
            </w:r>
            <w:r>
              <w:rPr>
                <w:rFonts w:hint="default" w:ascii="Times New Roman" w:hAnsi="Times New Roman" w:cs="Times New Roman"/>
                <w:color w:val="000000" w:themeColor="text1"/>
                <w:kern w:val="0"/>
                <w:szCs w:val="21"/>
                <w:highlight w:val="none"/>
                <w14:textFill>
                  <w14:solidFill>
                    <w14:schemeClr w14:val="tx1"/>
                  </w14:solidFill>
                </w14:textFill>
              </w:rPr>
              <w:t>放量</w:t>
            </w:r>
            <w:r>
              <w:rPr>
                <w:rFonts w:hint="default" w:ascii="Times New Roman" w:hAnsi="Times New Roman" w:cs="Times New Roman"/>
                <w:color w:val="FF0000"/>
                <w:kern w:val="0"/>
                <w:szCs w:val="21"/>
                <w:highlight w:val="none"/>
              </w:rPr>
              <w:t>为1.</w:t>
            </w:r>
            <w:r>
              <w:rPr>
                <w:rFonts w:hint="eastAsia" w:cs="Times New Roman"/>
                <w:color w:val="FF0000"/>
                <w:kern w:val="0"/>
                <w:szCs w:val="21"/>
                <w:highlight w:val="none"/>
                <w:lang w:val="en-US" w:eastAsia="zh-CN"/>
              </w:rPr>
              <w:t>53</w:t>
            </w:r>
            <w:r>
              <w:rPr>
                <w:rFonts w:hint="default" w:ascii="Times New Roman" w:hAnsi="Times New Roman" w:cs="Times New Roman"/>
                <w:color w:val="FF0000"/>
                <w:kern w:val="0"/>
                <w:szCs w:val="21"/>
                <w:highlight w:val="none"/>
              </w:rPr>
              <w:t>t</w:t>
            </w:r>
            <w:r>
              <w:rPr>
                <w:color w:val="FF0000"/>
              </w:rPr>
              <w:commentReference w:id="76"/>
            </w:r>
            <w:r>
              <w:rPr>
                <w:rFonts w:hint="default" w:ascii="Times New Roman" w:hAnsi="Times New Roman" w:cs="Times New Roman"/>
                <w:color w:val="FF0000"/>
                <w:kern w:val="0"/>
                <w:szCs w:val="21"/>
                <w:highlight w:val="none"/>
              </w:rPr>
              <w:t>/a</w:t>
            </w:r>
            <w:r>
              <w:rPr>
                <w:rFonts w:hint="eastAsia" w:cs="Times New Roman"/>
                <w:color w:val="FF0000"/>
                <w:kern w:val="0"/>
                <w:szCs w:val="21"/>
                <w:highlight w:val="none"/>
                <w:lang w:eastAsia="zh-CN"/>
              </w:rPr>
              <w:t>，</w:t>
            </w:r>
            <w:r>
              <w:rPr>
                <w:rFonts w:hint="eastAsia" w:cs="Times New Roman"/>
                <w:color w:val="FF0000"/>
                <w:kern w:val="0"/>
                <w:szCs w:val="21"/>
                <w:highlight w:val="none"/>
                <w:lang w:val="en-US" w:eastAsia="zh-CN"/>
              </w:rPr>
              <w:t>其中有组织1.09t/a、无组织0.44t/a</w:t>
            </w:r>
            <w:r>
              <w:rPr>
                <w:rFonts w:hint="eastAsia" w:cs="Times New Roman"/>
                <w:color w:val="000000" w:themeColor="text1"/>
                <w:kern w:val="0"/>
                <w:szCs w:val="21"/>
                <w:highlight w:val="none"/>
                <w:lang w:eastAsia="zh-CN"/>
                <w14:textFill>
                  <w14:solidFill>
                    <w14:schemeClr w14:val="tx1"/>
                  </w14:solidFill>
                </w14:textFill>
              </w:rPr>
              <w:t>。</w:t>
            </w:r>
          </w:p>
        </w:tc>
      </w:tr>
    </w:tbl>
    <w:p>
      <w:pPr>
        <w:pStyle w:val="22"/>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eastAsia="黑体" w:cs="Times New Roman"/>
          <w:snapToGrid w:val="0"/>
          <w:color w:val="000000" w:themeColor="text1"/>
          <w:sz w:val="36"/>
          <w:szCs w:val="36"/>
          <w:highlight w:val="none"/>
          <w14:textFill>
            <w14:solidFill>
              <w14:schemeClr w14:val="tx1"/>
            </w14:solidFill>
          </w14:textFill>
        </w:rPr>
        <w:br w:type="page"/>
      </w:r>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四、主要环境影响和保护措施</w:t>
      </w:r>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68" w:hRule="atLeast"/>
          <w:jc w:val="center"/>
        </w:trPr>
        <w:tc>
          <w:tcPr>
            <w:tcW w:w="746"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施工期环境保护措施</w:t>
            </w:r>
          </w:p>
        </w:tc>
        <w:tc>
          <w:tcPr>
            <w:tcW w:w="8162" w:type="dxa"/>
            <w:noWrap w:val="0"/>
            <w:vAlign w:val="center"/>
          </w:tcPr>
          <w:p>
            <w:pPr>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本项目</w:t>
            </w:r>
            <w:r>
              <w:rPr>
                <w:rFonts w:hint="eastAsia"/>
                <w:color w:val="000000" w:themeColor="text1"/>
                <w:highlight w:val="none"/>
                <w:lang w:val="en-US" w:eastAsia="zh-CN"/>
                <w14:textFill>
                  <w14:solidFill>
                    <w14:schemeClr w14:val="tx1"/>
                  </w14:solidFill>
                </w14:textFill>
              </w:rPr>
              <w:t>土建工程主要为危废库建设、设备安装，施工期短暂</w:t>
            </w:r>
            <w:r>
              <w:rPr>
                <w:rFonts w:hint="default"/>
                <w:color w:val="000000" w:themeColor="text1"/>
                <w:highlight w:val="none"/>
                <w14:textFill>
                  <w14:solidFill>
                    <w14:schemeClr w14:val="tx1"/>
                  </w14:solidFill>
                </w14:textFill>
              </w:rPr>
              <w:t>，污染物产生量较小，通过对施工现场定期洒水抑尘、合理安排施工作业时间，加强施工管理等措施后，项目施工期污染物不会对周围环境产生明显影响。</w:t>
            </w:r>
          </w:p>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一</w:t>
            </w:r>
            <w:r>
              <w:rPr>
                <w:rFonts w:hint="default"/>
                <w:b/>
                <w:bCs/>
                <w:color w:val="000000" w:themeColor="text1"/>
                <w:highlight w:val="none"/>
                <w:lang w:val="en-US" w:eastAsia="zh-CN"/>
                <w14:textFill>
                  <w14:solidFill>
                    <w14:schemeClr w14:val="tx1"/>
                  </w14:solidFill>
                </w14:textFill>
              </w:rPr>
              <w:t>、施工期大气环境影响分析</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施工期</w:t>
            </w:r>
            <w:r>
              <w:rPr>
                <w:rFonts w:hint="eastAsia"/>
                <w:color w:val="000000" w:themeColor="text1"/>
                <w:highlight w:val="none"/>
                <w:lang w:val="en-US" w:eastAsia="zh-CN"/>
                <w14:textFill>
                  <w14:solidFill>
                    <w14:schemeClr w14:val="tx1"/>
                  </w14:solidFill>
                </w14:textFill>
              </w:rPr>
              <w:t>土建工程</w:t>
            </w:r>
            <w:r>
              <w:rPr>
                <w:rFonts w:hint="default"/>
                <w:color w:val="000000" w:themeColor="text1"/>
                <w:highlight w:val="none"/>
                <w:lang w:val="en-US" w:eastAsia="zh-CN"/>
                <w14:textFill>
                  <w14:solidFill>
                    <w14:schemeClr w14:val="tx1"/>
                  </w14:solidFill>
                </w14:textFill>
              </w:rPr>
              <w:t>会产生一定量的废气，若处置不当，不采取有效的防治措施，会对施工人员的身体健康产生不利影响，甚至因为装修废气不能有效散发出去，导致室内空气污染。因此建设单位须采取有效的防治措施将上述影响降至最低。具体如下：</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建设</w:t>
            </w:r>
            <w:r>
              <w:rPr>
                <w:rFonts w:hint="default"/>
                <w:color w:val="000000" w:themeColor="text1"/>
                <w:highlight w:val="none"/>
                <w:lang w:val="en-US" w:eastAsia="zh-CN"/>
                <w14:textFill>
                  <w14:solidFill>
                    <w14:schemeClr w14:val="tx1"/>
                  </w14:solidFill>
                </w14:textFill>
              </w:rPr>
              <w:t>过程要加强</w:t>
            </w:r>
            <w:r>
              <w:rPr>
                <w:rFonts w:hint="eastAsia"/>
                <w:color w:val="000000" w:themeColor="text1"/>
                <w:highlight w:val="none"/>
                <w:lang w:val="en-US" w:eastAsia="zh-CN"/>
                <w14:textFill>
                  <w14:solidFill>
                    <w14:schemeClr w14:val="tx1"/>
                  </w14:solidFill>
                </w14:textFill>
              </w:rPr>
              <w:t>扬尘管理</w:t>
            </w:r>
            <w:r>
              <w:rPr>
                <w:rFonts w:hint="default"/>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对施工现场各扬尘点及道路洒水，施工现场的沙土和其他易飞扬的细颗粒建筑材料必须密闭存放或覆盖，严禁露天放置</w:t>
            </w:r>
            <w:r>
              <w:rPr>
                <w:rFonts w:hint="default"/>
                <w:color w:val="000000" w:themeColor="text1"/>
                <w:highlight w:val="none"/>
                <w:lang w:val="en-US" w:eastAsia="zh-CN"/>
                <w14:textFill>
                  <w14:solidFill>
                    <w14:schemeClr w14:val="tx1"/>
                  </w14:solidFill>
                </w14:textFill>
              </w:rPr>
              <w:t>，对周围环境的影响可降至最低程度。</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（2）加强施工队伍的管理，提升施工人员自身素质，做到有序施工、文明施工，减少施工期环境污染影响。</w:t>
            </w:r>
          </w:p>
          <w:p>
            <w:pPr>
              <w:bidi w:val="0"/>
              <w:rPr>
                <w:rFonts w:hint="default"/>
                <w:color w:val="000000" w:themeColor="text1"/>
                <w:highlight w:val="none"/>
                <w14:textFill>
                  <w14:solidFill>
                    <w14:schemeClr w14:val="tx1"/>
                  </w14:solidFill>
                </w14:textFill>
              </w:rPr>
            </w:pPr>
            <w:r>
              <w:rPr>
                <w:rFonts w:hint="default"/>
                <w:color w:val="000000" w:themeColor="text1"/>
                <w:highlight w:val="none"/>
                <w:lang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3</w:t>
            </w:r>
            <w:r>
              <w:rPr>
                <w:rFonts w:hint="default"/>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项目建设过程中车辆进出场地低速慢行，大风天停止施工等措施，扬尘产生量得到明显降低。加之本项目无土建工程量，施工周期短，项目施工对周边环境影响较小。</w:t>
            </w:r>
          </w:p>
          <w:p>
            <w:pPr>
              <w:bidi w:val="0"/>
              <w:rPr>
                <w:rFonts w:hint="default"/>
                <w:b/>
                <w:bCs/>
                <w:color w:val="000000" w:themeColor="text1"/>
                <w:highlight w:val="none"/>
                <w:lang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二</w:t>
            </w:r>
            <w:r>
              <w:rPr>
                <w:rFonts w:hint="default"/>
                <w:b/>
                <w:bCs/>
                <w:color w:val="000000" w:themeColor="text1"/>
                <w:highlight w:val="none"/>
                <w:lang w:val="en-US" w:eastAsia="zh-CN"/>
                <w14:textFill>
                  <w14:solidFill>
                    <w14:schemeClr w14:val="tx1"/>
                  </w14:solidFill>
                </w14:textFill>
              </w:rPr>
              <w:t>、</w:t>
            </w:r>
            <w:r>
              <w:rPr>
                <w:rFonts w:hint="default"/>
                <w:b/>
                <w:bCs/>
                <w:color w:val="000000" w:themeColor="text1"/>
                <w:highlight w:val="none"/>
                <w14:textFill>
                  <w14:solidFill>
                    <w14:schemeClr w14:val="tx1"/>
                  </w14:solidFill>
                </w14:textFill>
              </w:rPr>
              <w:t>施工期噪声环境保护措施</w:t>
            </w:r>
          </w:p>
          <w:p>
            <w:pPr>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本项目施工期噪声主要包括建筑施工噪声和交通噪声两类。根据施工主要的噪声源有：</w:t>
            </w:r>
            <w:r>
              <w:rPr>
                <w:rFonts w:hint="eastAsia"/>
                <w:color w:val="000000" w:themeColor="text1"/>
                <w:highlight w:val="none"/>
                <w:lang w:val="en-US" w:eastAsia="zh-CN"/>
                <w14:textFill>
                  <w14:solidFill>
                    <w14:schemeClr w14:val="tx1"/>
                  </w14:solidFill>
                </w14:textFill>
              </w:rPr>
              <w:t>搅拌机</w:t>
            </w:r>
            <w:r>
              <w:rPr>
                <w:rFonts w:hint="default"/>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泵</w:t>
            </w:r>
            <w:r>
              <w:rPr>
                <w:rFonts w:hint="default"/>
                <w:color w:val="000000" w:themeColor="text1"/>
                <w:highlight w:val="none"/>
                <w14:textFill>
                  <w14:solidFill>
                    <w14:schemeClr w14:val="tx1"/>
                  </w14:solidFill>
                </w14:textFill>
              </w:rPr>
              <w:t>等。此外在整个施工过程中，以重型卡车为主的运输车辆所产生的交通噪声。项目</w:t>
            </w:r>
            <w:r>
              <w:rPr>
                <w:rFonts w:hint="eastAsia"/>
                <w:color w:val="000000" w:themeColor="text1"/>
                <w:highlight w:val="none"/>
                <w:lang w:val="en-US" w:eastAsia="zh-CN"/>
                <w14:textFill>
                  <w14:solidFill>
                    <w14:schemeClr w14:val="tx1"/>
                  </w14:solidFill>
                </w14:textFill>
              </w:rPr>
              <w:t>5</w:t>
            </w:r>
            <w:r>
              <w:rPr>
                <w:rFonts w:hint="default"/>
                <w:color w:val="000000" w:themeColor="text1"/>
                <w:highlight w:val="none"/>
                <w14:textFill>
                  <w14:solidFill>
                    <w14:schemeClr w14:val="tx1"/>
                  </w14:solidFill>
                </w14:textFill>
              </w:rPr>
              <w:t>0m范围内无居民等敏感点，施工期产生的噪声对当地环境影响不大。</w:t>
            </w:r>
          </w:p>
          <w:p>
            <w:pPr>
              <w:bidi w:val="0"/>
              <w:rPr>
                <w:rFonts w:hint="default"/>
                <w:b/>
                <w:bCs/>
                <w:color w:val="000000" w:themeColor="text1"/>
                <w:highlight w:val="none"/>
                <w:lang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三</w:t>
            </w:r>
            <w:r>
              <w:rPr>
                <w:rFonts w:hint="default"/>
                <w:b/>
                <w:bCs/>
                <w:color w:val="000000" w:themeColor="text1"/>
                <w:highlight w:val="none"/>
                <w:lang w:val="en-US" w:eastAsia="zh-CN"/>
                <w14:textFill>
                  <w14:solidFill>
                    <w14:schemeClr w14:val="tx1"/>
                  </w14:solidFill>
                </w14:textFill>
              </w:rPr>
              <w:t>、</w:t>
            </w:r>
            <w:r>
              <w:rPr>
                <w:rFonts w:hint="default"/>
                <w:b/>
                <w:bCs/>
                <w:color w:val="000000" w:themeColor="text1"/>
                <w:highlight w:val="none"/>
                <w14:textFill>
                  <w14:solidFill>
                    <w14:schemeClr w14:val="tx1"/>
                  </w14:solidFill>
                </w14:textFill>
              </w:rPr>
              <w:t>施工期水环境保护措施</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本项目施工期废水主要为施工生产废水和施工人员的生活污水。施工人员雇用当地居民，不设置施工营地。生活污水主要为施工队伍的盥洗废水，盥洗废水中主要污染物为COD、NH</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-N及SS，施工人员生活污水依托当地居民现有卫生设施解决。施工废水集中收集，定期排至临时沉淀池沉淀后回用于施工。</w:t>
            </w:r>
          </w:p>
          <w:p>
            <w:pPr>
              <w:bidi w:val="0"/>
              <w:rPr>
                <w:rFonts w:hint="default"/>
                <w:b/>
                <w:bCs/>
                <w:color w:val="000000" w:themeColor="text1"/>
                <w:highlight w:val="none"/>
                <w:lang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四</w:t>
            </w:r>
            <w:r>
              <w:rPr>
                <w:rFonts w:hint="default"/>
                <w:b/>
                <w:bCs/>
                <w:color w:val="000000" w:themeColor="text1"/>
                <w:highlight w:val="none"/>
                <w:lang w:val="en-US" w:eastAsia="zh-CN"/>
                <w14:textFill>
                  <w14:solidFill>
                    <w14:schemeClr w14:val="tx1"/>
                  </w14:solidFill>
                </w14:textFill>
              </w:rPr>
              <w:t>、</w:t>
            </w:r>
            <w:r>
              <w:rPr>
                <w:rFonts w:hint="default"/>
                <w:b/>
                <w:bCs/>
                <w:color w:val="000000" w:themeColor="text1"/>
                <w:highlight w:val="none"/>
                <w14:textFill>
                  <w14:solidFill>
                    <w14:schemeClr w14:val="tx1"/>
                  </w14:solidFill>
                </w14:textFill>
              </w:rPr>
              <w:t>施工期固废环境保护措施</w:t>
            </w:r>
          </w:p>
          <w:p>
            <w:pPr>
              <w:bidi w:val="0"/>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施工中产生的固体废物主要是建筑垃圾、地基挖掘产生的土方和生活垃圾。工程厂区地势平坦、无大型构筑物，挖方用于回填地基；建筑垃圾送市政部门指定地点填埋；生活垃圾产生量较小，暂存于垃圾箱，定期交由环卫部门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3" w:hRule="atLeast"/>
          <w:jc w:val="center"/>
        </w:trPr>
        <w:tc>
          <w:tcPr>
            <w:tcW w:w="746"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运营期环境影响和保护措施</w:t>
            </w:r>
          </w:p>
        </w:tc>
        <w:tc>
          <w:tcPr>
            <w:tcW w:w="8162" w:type="dxa"/>
            <w:noWrap w:val="0"/>
            <w:vAlign w:val="center"/>
          </w:tcPr>
          <w:p>
            <w:pPr>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b/>
                <w:bCs/>
                <w:color w:val="000000" w:themeColor="text1"/>
                <w:highlight w:val="none"/>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一、</w:t>
            </w:r>
            <w:r>
              <w:rPr>
                <w:rFonts w:hint="default" w:ascii="Times New Roman" w:hAnsi="Times New Roman" w:eastAsia="宋体" w:cs="Times New Roman"/>
                <w:b/>
                <w:bCs/>
                <w:color w:val="000000" w:themeColor="text1"/>
                <w:highlight w:val="none"/>
                <w14:textFill>
                  <w14:solidFill>
                    <w14:schemeClr w14:val="tx1"/>
                  </w14:solidFill>
                </w14:textFill>
              </w:rPr>
              <w:t>运营期环境影响分析</w:t>
            </w:r>
          </w:p>
          <w:p>
            <w:pPr>
              <w:keepNext w:val="0"/>
              <w:keepLines w:val="0"/>
              <w:pageBreakBefore w:val="0"/>
              <w:widowControl w:val="0"/>
              <w:kinsoku/>
              <w:wordWrap/>
              <w:overflowPunct/>
              <w:topLinePunct w:val="0"/>
              <w:autoSpaceDE/>
              <w:autoSpaceDN/>
              <w:bidi w:val="0"/>
              <w:textAlignment w:val="auto"/>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1、废气源强核算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本项目废气主要为储罐呼吸废气（含调和废气）、装卸车废气、污水处理站臭气。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（1）储罐呼吸废气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项目共2座罐组</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、13个储罐，</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均为内浮顶罐，其中液体蜡油不考虑其挥发性。</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调和过程废气计入储罐大呼吸。</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Times New Roman"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储罐</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基本参数</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见表4-</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p>
          <w:p>
            <w:pPr>
              <w:pStyle w:val="9"/>
              <w:keepNext w:val="0"/>
              <w:keepLines w:val="0"/>
              <w:pageBreakBefore w:val="0"/>
              <w:widowControl w:val="0"/>
              <w:kinsoku/>
              <w:wordWrap/>
              <w:overflowPunct/>
              <w:topLinePunct w:val="0"/>
              <w:autoSpaceDE/>
              <w:autoSpaceDN/>
              <w:bidi w:val="0"/>
              <w:spacing w:after="0"/>
              <w:ind w:left="0" w:leftChars="0" w:firstLine="361" w:firstLineChars="200"/>
              <w:jc w:val="center"/>
              <w:textAlignment w:val="auto"/>
              <w:rPr>
                <w:rFonts w:hint="eastAsia"/>
                <w:color w:val="000000" w:themeColor="text1"/>
                <w:lang w:val="en-US" w:eastAsia="zh-CN"/>
                <w14:textFill>
                  <w14:solidFill>
                    <w14:schemeClr w14:val="tx1"/>
                  </w14:solidFill>
                </w14:textFill>
              </w:rPr>
            </w:pPr>
            <w:r>
              <w:rPr>
                <w:b/>
                <w:bCs/>
                <w:color w:val="000000" w:themeColor="text1"/>
                <w:sz w:val="18"/>
                <w:szCs w:val="18"/>
                <w14:textFill>
                  <w14:solidFill>
                    <w14:schemeClr w14:val="tx1"/>
                  </w14:solidFill>
                </w14:textFill>
              </w:rPr>
              <w:t>表</w:t>
            </w:r>
            <w:r>
              <w:rPr>
                <w:color w:val="000000" w:themeColor="text1"/>
                <w:spacing w:val="-43"/>
                <w:sz w:val="18"/>
                <w:szCs w:val="18"/>
                <w14:textFill>
                  <w14:solidFill>
                    <w14:schemeClr w14:val="tx1"/>
                  </w14:solidFill>
                </w14:textFill>
              </w:rPr>
              <w:t xml:space="preserve"> </w:t>
            </w:r>
            <w:r>
              <w:rPr>
                <w:rFonts w:ascii="Times New Roman" w:hAnsi="Times New Roman" w:eastAsia="Times New Roman" w:cs="Times New Roman"/>
                <w:b/>
                <w:bCs/>
                <w:color w:val="000000" w:themeColor="text1"/>
                <w:sz w:val="18"/>
                <w:szCs w:val="18"/>
                <w14:textFill>
                  <w14:solidFill>
                    <w14:schemeClr w14:val="tx1"/>
                  </w14:solidFill>
                </w14:textFill>
              </w:rPr>
              <w:t>4-</w:t>
            </w:r>
            <w:r>
              <w:rPr>
                <w:rFonts w:hint="eastAsia" w:ascii="Times New Roman" w:hAnsi="Times New Roman" w:eastAsia="宋体" w:cs="Times New Roman"/>
                <w:b/>
                <w:bCs/>
                <w:color w:val="000000" w:themeColor="text1"/>
                <w:sz w:val="18"/>
                <w:szCs w:val="18"/>
                <w:lang w:val="en-US" w:eastAsia="zh-CN"/>
                <w14:textFill>
                  <w14:solidFill>
                    <w14:schemeClr w14:val="tx1"/>
                  </w14:solidFill>
                </w14:textFill>
              </w:rPr>
              <w:t>1</w:t>
            </w:r>
            <w:r>
              <w:rPr>
                <w:rFonts w:ascii="Times New Roman" w:hAnsi="Times New Roman" w:eastAsia="Times New Roman" w:cs="Times New Roman"/>
                <w:b/>
                <w:bCs/>
                <w:color w:val="000000" w:themeColor="text1"/>
                <w:sz w:val="18"/>
                <w:szCs w:val="18"/>
                <w14:textFill>
                  <w14:solidFill>
                    <w14:schemeClr w14:val="tx1"/>
                  </w14:solidFill>
                </w14:textFill>
              </w:rPr>
              <w:t xml:space="preserve">  </w:t>
            </w:r>
            <w:r>
              <w:rPr>
                <w:b/>
                <w:bCs/>
                <w:color w:val="000000" w:themeColor="text1"/>
                <w:spacing w:val="-1"/>
                <w:sz w:val="18"/>
                <w:szCs w:val="18"/>
                <w14:textFill>
                  <w14:solidFill>
                    <w14:schemeClr w14:val="tx1"/>
                  </w14:solidFill>
                </w14:textFill>
              </w:rPr>
              <w:t>各</w:t>
            </w:r>
            <w:r>
              <w:rPr>
                <w:rFonts w:hint="eastAsia"/>
                <w:b/>
                <w:bCs/>
                <w:color w:val="000000" w:themeColor="text1"/>
                <w:spacing w:val="-1"/>
                <w:sz w:val="18"/>
                <w:szCs w:val="18"/>
                <w:lang w:val="en-US" w:eastAsia="zh-CN"/>
                <w14:textFill>
                  <w14:solidFill>
                    <w14:schemeClr w14:val="tx1"/>
                  </w14:solidFill>
                </w14:textFill>
              </w:rPr>
              <w:t>储</w:t>
            </w:r>
            <w:r>
              <w:rPr>
                <w:b/>
                <w:bCs/>
                <w:color w:val="000000" w:themeColor="text1"/>
                <w:spacing w:val="-1"/>
                <w:sz w:val="18"/>
                <w:szCs w:val="18"/>
                <w14:textFill>
                  <w14:solidFill>
                    <w14:schemeClr w14:val="tx1"/>
                  </w14:solidFill>
                </w14:textFill>
              </w:rPr>
              <w:t>罐核算参数</w:t>
            </w:r>
          </w:p>
          <w:tbl>
            <w:tblPr>
              <w:tblStyle w:val="99"/>
              <w:tblW w:w="793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71"/>
              <w:gridCol w:w="1609"/>
              <w:gridCol w:w="814"/>
              <w:gridCol w:w="722"/>
              <w:gridCol w:w="829"/>
              <w:gridCol w:w="829"/>
              <w:gridCol w:w="948"/>
              <w:gridCol w:w="857"/>
              <w:gridCol w:w="85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471" w:type="dxa"/>
                  <w:vMerge w:val="restart"/>
                  <w:tcBorders>
                    <w:top w:val="single" w:color="000000" w:sz="10" w:space="0"/>
                    <w:bottom w:val="nil"/>
                  </w:tcBorders>
                  <w:textDirection w:val="tbRlV"/>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b/>
                      <w:bCs/>
                      <w:color w:val="000000" w:themeColor="text1"/>
                      <w:sz w:val="18"/>
                      <w:szCs w:val="18"/>
                      <w14:textFill>
                        <w14:solidFill>
                          <w14:schemeClr w14:val="tx1"/>
                        </w14:solidFill>
                      </w14:textFill>
                    </w:rPr>
                  </w:pPr>
                  <w:r>
                    <w:rPr>
                      <w:b/>
                      <w:bCs/>
                      <w:color w:val="000000" w:themeColor="text1"/>
                      <w:spacing w:val="26"/>
                      <w:sz w:val="18"/>
                      <w:szCs w:val="18"/>
                      <w14:textFill>
                        <w14:solidFill>
                          <w14:schemeClr w14:val="tx1"/>
                        </w14:solidFill>
                      </w14:textFill>
                    </w:rPr>
                    <w:t>序号</w:t>
                  </w:r>
                </w:p>
              </w:tc>
              <w:tc>
                <w:tcPr>
                  <w:tcW w:w="1609" w:type="dxa"/>
                  <w:vMerge w:val="restart"/>
                  <w:tcBorders>
                    <w:top w:val="single" w:color="000000" w:sz="10" w:space="0"/>
                    <w:bottom w:val="nil"/>
                  </w:tcBorders>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b/>
                      <w:bCs/>
                      <w:color w:val="000000" w:themeColor="text1"/>
                      <w:sz w:val="18"/>
                      <w:szCs w:val="18"/>
                      <w14:textFill>
                        <w14:solidFill>
                          <w14:schemeClr w14:val="tx1"/>
                        </w14:solidFill>
                      </w14:textFill>
                    </w:rPr>
                  </w:pPr>
                  <w:r>
                    <w:rPr>
                      <w:b/>
                      <w:bCs/>
                      <w:color w:val="000000" w:themeColor="text1"/>
                      <w:spacing w:val="-5"/>
                      <w:sz w:val="18"/>
                      <w:szCs w:val="18"/>
                      <w14:textFill>
                        <w14:solidFill>
                          <w14:schemeClr w14:val="tx1"/>
                        </w14:solidFill>
                      </w14:textFill>
                    </w:rPr>
                    <w:t>项目</w:t>
                  </w:r>
                </w:p>
              </w:tc>
              <w:tc>
                <w:tcPr>
                  <w:tcW w:w="2365" w:type="dxa"/>
                  <w:gridSpan w:val="3"/>
                  <w:tcBorders>
                    <w:top w:val="single" w:color="000000" w:sz="10" w:space="0"/>
                  </w:tcBorders>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b/>
                      <w:bCs/>
                      <w:color w:val="000000" w:themeColor="text1"/>
                      <w:spacing w:val="-2"/>
                      <w:sz w:val="18"/>
                      <w:szCs w:val="18"/>
                      <w:lang w:val="en-US" w:eastAsia="zh-CN"/>
                      <w14:textFill>
                        <w14:solidFill>
                          <w14:schemeClr w14:val="tx1"/>
                        </w14:solidFill>
                      </w14:textFill>
                    </w:rPr>
                  </w:pPr>
                  <w:r>
                    <w:rPr>
                      <w:rFonts w:hint="eastAsia"/>
                      <w:b/>
                      <w:bCs/>
                      <w:color w:val="000000" w:themeColor="text1"/>
                      <w:spacing w:val="-2"/>
                      <w:sz w:val="18"/>
                      <w:szCs w:val="18"/>
                      <w:lang w:val="en-US" w:eastAsia="zh-CN"/>
                      <w14:textFill>
                        <w14:solidFill>
                          <w14:schemeClr w14:val="tx1"/>
                        </w14:solidFill>
                      </w14:textFill>
                    </w:rPr>
                    <w:t>原料罐</w:t>
                  </w:r>
                </w:p>
              </w:tc>
              <w:tc>
                <w:tcPr>
                  <w:tcW w:w="829" w:type="dxa"/>
                  <w:tcBorders>
                    <w:top w:val="single" w:color="000000" w:sz="10" w:space="0"/>
                  </w:tcBorders>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b/>
                      <w:bCs/>
                      <w:color w:val="000000" w:themeColor="text1"/>
                      <w:spacing w:val="-2"/>
                      <w:sz w:val="18"/>
                      <w:szCs w:val="18"/>
                      <w:lang w:val="en-US" w:eastAsia="zh-CN"/>
                      <w14:textFill>
                        <w14:solidFill>
                          <w14:schemeClr w14:val="tx1"/>
                        </w14:solidFill>
                      </w14:textFill>
                    </w:rPr>
                  </w:pPr>
                </w:p>
              </w:tc>
              <w:tc>
                <w:tcPr>
                  <w:tcW w:w="948" w:type="dxa"/>
                  <w:tcBorders>
                    <w:top w:val="single" w:color="000000" w:sz="10" w:space="0"/>
                  </w:tcBorders>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b/>
                      <w:bCs/>
                      <w:color w:val="000000" w:themeColor="text1"/>
                      <w:spacing w:val="-2"/>
                      <w:sz w:val="18"/>
                      <w:szCs w:val="18"/>
                      <w:lang w:val="en-US" w:eastAsia="zh-CN"/>
                      <w14:textFill>
                        <w14:solidFill>
                          <w14:schemeClr w14:val="tx1"/>
                        </w14:solidFill>
                      </w14:textFill>
                    </w:rPr>
                  </w:pPr>
                </w:p>
              </w:tc>
              <w:tc>
                <w:tcPr>
                  <w:tcW w:w="1715" w:type="dxa"/>
                  <w:gridSpan w:val="2"/>
                  <w:tcBorders>
                    <w:top w:val="single" w:color="000000" w:sz="10" w:space="0"/>
                  </w:tcBorders>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b/>
                      <w:bCs/>
                      <w:color w:val="000000" w:themeColor="text1"/>
                      <w:spacing w:val="-2"/>
                      <w:sz w:val="18"/>
                      <w:szCs w:val="18"/>
                      <w14:textFill>
                        <w14:solidFill>
                          <w14:schemeClr w14:val="tx1"/>
                        </w14:solidFill>
                      </w14:textFill>
                    </w:rPr>
                  </w:pPr>
                  <w:r>
                    <w:rPr>
                      <w:rFonts w:hint="eastAsia"/>
                      <w:b/>
                      <w:bCs/>
                      <w:color w:val="000000" w:themeColor="text1"/>
                      <w:spacing w:val="-2"/>
                      <w:sz w:val="18"/>
                      <w:szCs w:val="18"/>
                      <w:lang w:val="en-US" w:eastAsia="zh-CN"/>
                      <w14:textFill>
                        <w14:solidFill>
                          <w14:schemeClr w14:val="tx1"/>
                        </w14:solidFill>
                      </w14:textFill>
                    </w:rPr>
                    <w:t>成品罐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jc w:val="center"/>
              </w:trPr>
              <w:tc>
                <w:tcPr>
                  <w:tcW w:w="471" w:type="dxa"/>
                  <w:vMerge w:val="continue"/>
                  <w:tcBorders>
                    <w:top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b/>
                      <w:bCs/>
                      <w:color w:val="000000" w:themeColor="text1"/>
                      <w:sz w:val="21"/>
                      <w14:textFill>
                        <w14:solidFill>
                          <w14:schemeClr w14:val="tx1"/>
                        </w14:solidFill>
                      </w14:textFill>
                    </w:rPr>
                  </w:pPr>
                </w:p>
              </w:tc>
              <w:tc>
                <w:tcPr>
                  <w:tcW w:w="1609"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b/>
                      <w:bCs/>
                      <w:color w:val="000000" w:themeColor="text1"/>
                      <w:sz w:val="21"/>
                      <w14:textFill>
                        <w14:solidFill>
                          <w14:schemeClr w14:val="tx1"/>
                        </w14:solidFill>
                      </w14:textFill>
                    </w:rPr>
                  </w:pPr>
                </w:p>
              </w:tc>
              <w:tc>
                <w:tcPr>
                  <w:tcW w:w="814"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eastAsia="宋体"/>
                      <w:b/>
                      <w:bCs/>
                      <w:color w:val="000000" w:themeColor="text1"/>
                      <w:sz w:val="18"/>
                      <w:szCs w:val="18"/>
                      <w:lang w:eastAsia="zh-CN"/>
                      <w14:textFill>
                        <w14:solidFill>
                          <w14:schemeClr w14:val="tx1"/>
                        </w14:solidFill>
                      </w14:textFill>
                    </w:rPr>
                  </w:pPr>
                  <w:r>
                    <w:rPr>
                      <w:rFonts w:hint="eastAsia"/>
                      <w:b/>
                      <w:bCs/>
                      <w:color w:val="000000" w:themeColor="text1"/>
                      <w:spacing w:val="-2"/>
                      <w:sz w:val="18"/>
                      <w:szCs w:val="18"/>
                      <w:lang w:val="en-US" w:eastAsia="zh-CN"/>
                      <w14:textFill>
                        <w14:solidFill>
                          <w14:schemeClr w14:val="tx1"/>
                        </w14:solidFill>
                      </w14:textFill>
                    </w:rPr>
                    <w:t>煤基柴油储罐</w:t>
                  </w:r>
                </w:p>
              </w:tc>
              <w:tc>
                <w:tcPr>
                  <w:tcW w:w="722"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eastAsia="宋体"/>
                      <w:b/>
                      <w:bCs/>
                      <w:color w:val="000000" w:themeColor="text1"/>
                      <w:sz w:val="18"/>
                      <w:szCs w:val="18"/>
                      <w:lang w:eastAsia="zh-CN"/>
                      <w14:textFill>
                        <w14:solidFill>
                          <w14:schemeClr w14:val="tx1"/>
                        </w14:solidFill>
                      </w14:textFill>
                    </w:rPr>
                  </w:pPr>
                  <w:r>
                    <w:rPr>
                      <w:rFonts w:hint="eastAsia"/>
                      <w:b/>
                      <w:bCs/>
                      <w:color w:val="000000" w:themeColor="text1"/>
                      <w:spacing w:val="-2"/>
                      <w:sz w:val="18"/>
                      <w:szCs w:val="18"/>
                      <w:lang w:val="en-US" w:eastAsia="zh-CN"/>
                      <w14:textFill>
                        <w14:solidFill>
                          <w14:schemeClr w14:val="tx1"/>
                        </w14:solidFill>
                      </w14:textFill>
                    </w:rPr>
                    <w:t>煤基柴油储罐</w:t>
                  </w:r>
                </w:p>
              </w:tc>
              <w:tc>
                <w:tcPr>
                  <w:tcW w:w="82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b/>
                      <w:bCs/>
                      <w:color w:val="000000" w:themeColor="text1"/>
                      <w:spacing w:val="-2"/>
                      <w:sz w:val="18"/>
                      <w:szCs w:val="18"/>
                      <w:lang w:val="en-US" w:eastAsia="zh-CN"/>
                      <w14:textFill>
                        <w14:solidFill>
                          <w14:schemeClr w14:val="tx1"/>
                        </w14:solidFill>
                      </w14:textFill>
                    </w:rPr>
                  </w:pPr>
                  <w:r>
                    <w:rPr>
                      <w:rFonts w:hint="eastAsia"/>
                      <w:b/>
                      <w:bCs/>
                      <w:color w:val="000000" w:themeColor="text1"/>
                      <w:spacing w:val="-2"/>
                      <w:sz w:val="18"/>
                      <w:szCs w:val="18"/>
                      <w:lang w:val="en-US" w:eastAsia="zh-CN"/>
                      <w14:textFill>
                        <w14:solidFill>
                          <w14:schemeClr w14:val="tx1"/>
                        </w14:solidFill>
                      </w14:textFill>
                    </w:rPr>
                    <w:t>煤基柴油储罐</w:t>
                  </w:r>
                </w:p>
              </w:tc>
              <w:tc>
                <w:tcPr>
                  <w:tcW w:w="82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b/>
                      <w:bCs/>
                      <w:color w:val="000000" w:themeColor="text1"/>
                      <w:sz w:val="18"/>
                      <w:szCs w:val="18"/>
                      <w14:textFill>
                        <w14:solidFill>
                          <w14:schemeClr w14:val="tx1"/>
                        </w14:solidFill>
                      </w14:textFill>
                    </w:rPr>
                  </w:pPr>
                  <w:r>
                    <w:rPr>
                      <w:rFonts w:hint="eastAsia"/>
                      <w:b/>
                      <w:bCs/>
                      <w:color w:val="000000" w:themeColor="text1"/>
                      <w:spacing w:val="-2"/>
                      <w:sz w:val="18"/>
                      <w:szCs w:val="18"/>
                      <w:lang w:val="en-US" w:eastAsia="zh-CN"/>
                      <w14:textFill>
                        <w14:solidFill>
                          <w14:schemeClr w14:val="tx1"/>
                        </w14:solidFill>
                      </w14:textFill>
                    </w:rPr>
                    <w:t>轻质柴油储罐</w:t>
                  </w:r>
                </w:p>
              </w:tc>
              <w:tc>
                <w:tcPr>
                  <w:tcW w:w="948"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b/>
                      <w:bCs/>
                      <w:color w:val="000000" w:themeColor="text1"/>
                      <w:sz w:val="18"/>
                      <w:szCs w:val="18"/>
                      <w14:textFill>
                        <w14:solidFill>
                          <w14:schemeClr w14:val="tx1"/>
                        </w14:solidFill>
                      </w14:textFill>
                    </w:rPr>
                  </w:pPr>
                  <w:r>
                    <w:rPr>
                      <w:rFonts w:hint="eastAsia"/>
                      <w:b/>
                      <w:bCs/>
                      <w:color w:val="000000" w:themeColor="text1"/>
                      <w:spacing w:val="-2"/>
                      <w:sz w:val="18"/>
                      <w:szCs w:val="18"/>
                      <w:lang w:val="en-US" w:eastAsia="zh-CN"/>
                      <w14:textFill>
                        <w14:solidFill>
                          <w14:schemeClr w14:val="tx1"/>
                        </w14:solidFill>
                      </w14:textFill>
                    </w:rPr>
                    <w:t>汽油组分</w:t>
                  </w:r>
                  <w:r>
                    <w:rPr>
                      <w:b/>
                      <w:bCs/>
                      <w:color w:val="000000" w:themeColor="text1"/>
                      <w:spacing w:val="-4"/>
                      <w:sz w:val="18"/>
                      <w:szCs w:val="18"/>
                      <w14:textFill>
                        <w14:solidFill>
                          <w14:schemeClr w14:val="tx1"/>
                        </w14:solidFill>
                      </w14:textFill>
                    </w:rPr>
                    <w:t>罐</w:t>
                  </w:r>
                </w:p>
              </w:tc>
              <w:tc>
                <w:tcPr>
                  <w:tcW w:w="857"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eastAsia="宋体"/>
                      <w:b/>
                      <w:bCs/>
                      <w:color w:val="000000" w:themeColor="text1"/>
                      <w:spacing w:val="-4"/>
                      <w:sz w:val="18"/>
                      <w:szCs w:val="18"/>
                      <w:lang w:val="en-US" w:eastAsia="zh-CN"/>
                      <w14:textFill>
                        <w14:solidFill>
                          <w14:schemeClr w14:val="tx1"/>
                        </w14:solidFill>
                      </w14:textFill>
                    </w:rPr>
                  </w:pPr>
                  <w:r>
                    <w:rPr>
                      <w:rFonts w:hint="eastAsia"/>
                      <w:b/>
                      <w:bCs/>
                      <w:color w:val="000000" w:themeColor="text1"/>
                      <w:spacing w:val="-4"/>
                      <w:sz w:val="18"/>
                      <w:szCs w:val="18"/>
                      <w:lang w:val="en-US" w:eastAsia="zh-CN"/>
                      <w14:textFill>
                        <w14:solidFill>
                          <w14:schemeClr w14:val="tx1"/>
                        </w14:solidFill>
                      </w14:textFill>
                    </w:rPr>
                    <w:t>调和罐</w:t>
                  </w:r>
                </w:p>
              </w:tc>
              <w:tc>
                <w:tcPr>
                  <w:tcW w:w="858"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eastAsia="宋体"/>
                      <w:b/>
                      <w:bCs/>
                      <w:color w:val="000000" w:themeColor="text1"/>
                      <w:spacing w:val="-4"/>
                      <w:sz w:val="18"/>
                      <w:szCs w:val="18"/>
                      <w:lang w:val="en-US" w:eastAsia="zh-CN"/>
                      <w14:textFill>
                        <w14:solidFill>
                          <w14:schemeClr w14:val="tx1"/>
                        </w14:solidFill>
                      </w14:textFill>
                    </w:rPr>
                  </w:pPr>
                  <w:r>
                    <w:rPr>
                      <w:rFonts w:hint="eastAsia"/>
                      <w:b/>
                      <w:bCs/>
                      <w:color w:val="000000" w:themeColor="text1"/>
                      <w:spacing w:val="-4"/>
                      <w:sz w:val="18"/>
                      <w:szCs w:val="18"/>
                      <w:lang w:val="en-US" w:eastAsia="zh-CN"/>
                      <w14:textFill>
                        <w14:solidFill>
                          <w14:schemeClr w14:val="tx1"/>
                        </w14:solidFill>
                      </w14:textFill>
                    </w:rPr>
                    <w:t>调和罐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1" w:hRule="atLeast"/>
                <w:jc w:val="center"/>
              </w:trPr>
              <w:tc>
                <w:tcPr>
                  <w:tcW w:w="47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1</w:t>
                  </w:r>
                </w:p>
              </w:tc>
              <w:tc>
                <w:tcPr>
                  <w:tcW w:w="160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储罐数量</w:t>
                  </w:r>
                </w:p>
              </w:tc>
              <w:tc>
                <w:tcPr>
                  <w:tcW w:w="8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p>
              </w:tc>
              <w:tc>
                <w:tcPr>
                  <w:tcW w:w="72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p>
              </w:tc>
              <w:tc>
                <w:tcPr>
                  <w:tcW w:w="82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w:t>
                  </w:r>
                </w:p>
              </w:tc>
              <w:tc>
                <w:tcPr>
                  <w:tcW w:w="82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w:t>
                  </w:r>
                </w:p>
              </w:tc>
              <w:tc>
                <w:tcPr>
                  <w:tcW w:w="94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1</w:t>
                  </w:r>
                </w:p>
              </w:tc>
              <w:tc>
                <w:tcPr>
                  <w:tcW w:w="857"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w:t>
                  </w:r>
                </w:p>
              </w:tc>
              <w:tc>
                <w:tcPr>
                  <w:tcW w:w="85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1" w:hRule="atLeast"/>
                <w:jc w:val="center"/>
              </w:trPr>
              <w:tc>
                <w:tcPr>
                  <w:tcW w:w="47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2</w:t>
                  </w:r>
                </w:p>
              </w:tc>
              <w:tc>
                <w:tcPr>
                  <w:tcW w:w="160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ascii="Times New Roman" w:hAnsi="Times New Roman" w:eastAsia="Times New Roman" w:cs="Times New Roman"/>
                      <w:color w:val="000000" w:themeColor="text1"/>
                      <w:sz w:val="11"/>
                      <w:szCs w:val="11"/>
                      <w14:textFill>
                        <w14:solidFill>
                          <w14:schemeClr w14:val="tx1"/>
                        </w14:solidFill>
                      </w14:textFill>
                    </w:rPr>
                  </w:pPr>
                  <w:r>
                    <w:rPr>
                      <w:color w:val="000000" w:themeColor="text1"/>
                      <w:spacing w:val="-1"/>
                      <w:sz w:val="18"/>
                      <w:szCs w:val="18"/>
                      <w14:textFill>
                        <w14:solidFill>
                          <w14:schemeClr w14:val="tx1"/>
                        </w14:solidFill>
                      </w14:textFill>
                    </w:rPr>
                    <w:t>单个罐容，</w:t>
                  </w:r>
                  <w:r>
                    <w:rPr>
                      <w:rFonts w:ascii="Times New Roman" w:hAnsi="Times New Roman" w:eastAsia="Times New Roman" w:cs="Times New Roman"/>
                      <w:color w:val="000000" w:themeColor="text1"/>
                      <w:spacing w:val="-1"/>
                      <w:sz w:val="18"/>
                      <w:szCs w:val="18"/>
                      <w14:textFill>
                        <w14:solidFill>
                          <w14:schemeClr w14:val="tx1"/>
                        </w14:solidFill>
                      </w14:textFill>
                    </w:rPr>
                    <w:t>m</w:t>
                  </w:r>
                  <w:r>
                    <w:rPr>
                      <w:rFonts w:ascii="Times New Roman" w:hAnsi="Times New Roman" w:eastAsia="Times New Roman" w:cs="Times New Roman"/>
                      <w:color w:val="000000" w:themeColor="text1"/>
                      <w:spacing w:val="-1"/>
                      <w:position w:val="5"/>
                      <w:sz w:val="11"/>
                      <w:szCs w:val="11"/>
                      <w14:textFill>
                        <w14:solidFill>
                          <w14:schemeClr w14:val="tx1"/>
                        </w14:solidFill>
                      </w14:textFill>
                    </w:rPr>
                    <w:t>3</w:t>
                  </w:r>
                </w:p>
              </w:tc>
              <w:tc>
                <w:tcPr>
                  <w:tcW w:w="8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500</w:t>
                  </w:r>
                </w:p>
              </w:tc>
              <w:tc>
                <w:tcPr>
                  <w:tcW w:w="72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2000</w:t>
                  </w:r>
                </w:p>
              </w:tc>
              <w:tc>
                <w:tcPr>
                  <w:tcW w:w="82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1000</w:t>
                  </w:r>
                </w:p>
              </w:tc>
              <w:tc>
                <w:tcPr>
                  <w:tcW w:w="82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2000</w:t>
                  </w:r>
                </w:p>
              </w:tc>
              <w:tc>
                <w:tcPr>
                  <w:tcW w:w="94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500</w:t>
                  </w:r>
                </w:p>
              </w:tc>
              <w:tc>
                <w:tcPr>
                  <w:tcW w:w="857"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pacing w:val="-2"/>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t>2000</w:t>
                  </w:r>
                </w:p>
              </w:tc>
              <w:tc>
                <w:tcPr>
                  <w:tcW w:w="85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pacing w:val="-2"/>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t>1000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1" w:hRule="atLeast"/>
                <w:jc w:val="center"/>
              </w:trPr>
              <w:tc>
                <w:tcPr>
                  <w:tcW w:w="47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3</w:t>
                  </w:r>
                </w:p>
              </w:tc>
              <w:tc>
                <w:tcPr>
                  <w:tcW w:w="160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储罐类型</w:t>
                  </w:r>
                </w:p>
              </w:tc>
              <w:tc>
                <w:tcPr>
                  <w:tcW w:w="5857" w:type="dxa"/>
                  <w:gridSpan w:val="7"/>
                  <w:tcBorders>
                    <w:right w:val="single" w:color="000000" w:sz="6" w:space="0"/>
                  </w:tcBorders>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pacing w:val="-8"/>
                      <w:sz w:val="18"/>
                      <w:szCs w:val="18"/>
                      <w14:textFill>
                        <w14:solidFill>
                          <w14:schemeClr w14:val="tx1"/>
                        </w14:solidFill>
                      </w14:textFill>
                    </w:rPr>
                  </w:pPr>
                  <w:r>
                    <w:rPr>
                      <w:color w:val="000000" w:themeColor="text1"/>
                      <w:spacing w:val="-8"/>
                      <w:sz w:val="18"/>
                      <w:szCs w:val="18"/>
                      <w14:textFill>
                        <w14:solidFill>
                          <w14:schemeClr w14:val="tx1"/>
                        </w14:solidFill>
                      </w14:textFill>
                    </w:rPr>
                    <w:t>内浮顶罐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47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4</w:t>
                  </w:r>
                </w:p>
              </w:tc>
              <w:tc>
                <w:tcPr>
                  <w:tcW w:w="160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储罐直径，</w:t>
                  </w:r>
                  <w:r>
                    <w:rPr>
                      <w:rFonts w:ascii="Times New Roman" w:hAnsi="Times New Roman" w:eastAsia="Times New Roman" w:cs="Times New Roman"/>
                      <w:color w:val="000000" w:themeColor="text1"/>
                      <w:spacing w:val="-1"/>
                      <w:sz w:val="18"/>
                      <w:szCs w:val="18"/>
                      <w14:textFill>
                        <w14:solidFill>
                          <w14:schemeClr w14:val="tx1"/>
                        </w14:solidFill>
                      </w14:textFill>
                    </w:rPr>
                    <w:t>m</w:t>
                  </w:r>
                </w:p>
              </w:tc>
              <w:tc>
                <w:tcPr>
                  <w:tcW w:w="8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t>7.6</w:t>
                  </w:r>
                </w:p>
              </w:tc>
              <w:tc>
                <w:tcPr>
                  <w:tcW w:w="72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pacing w:val="-2"/>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t>13.3</w:t>
                  </w:r>
                </w:p>
              </w:tc>
              <w:tc>
                <w:tcPr>
                  <w:tcW w:w="829" w:type="dxa"/>
                  <w:vAlign w:val="center"/>
                </w:tcPr>
                <w:p>
                  <w:pPr>
                    <w:keepNext w:val="0"/>
                    <w:keepLines w:val="0"/>
                    <w:pageBreakBefore w:val="0"/>
                    <w:widowControl/>
                    <w:suppressLineNumbers w:val="0"/>
                    <w:wordWrap/>
                    <w:overflowPunct/>
                    <w:topLinePunct w:val="0"/>
                    <w:bidi w:val="0"/>
                    <w:adjustRightInd w:val="0"/>
                    <w:snapToGrid w:val="0"/>
                    <w:spacing w:line="240" w:lineRule="auto"/>
                    <w:ind w:firstLine="360" w:firstLineChars="200"/>
                    <w:jc w:val="center"/>
                    <w:textAlignment w:val="cente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10.8</w:t>
                  </w:r>
                </w:p>
              </w:tc>
              <w:tc>
                <w:tcPr>
                  <w:tcW w:w="82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color w:val="000000" w:themeColor="text1"/>
                      <w:spacing w:val="-2"/>
                      <w:sz w:val="18"/>
                      <w:szCs w:val="18"/>
                      <w14:textFill>
                        <w14:solidFill>
                          <w14:schemeClr w14:val="tx1"/>
                        </w14:solidFill>
                      </w14:textFill>
                    </w:rPr>
                  </w:pPr>
                  <w: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t>13.3</w:t>
                  </w:r>
                </w:p>
              </w:tc>
              <w:tc>
                <w:tcPr>
                  <w:tcW w:w="94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color w:val="000000" w:themeColor="text1"/>
                      <w:spacing w:val="-2"/>
                      <w:sz w:val="18"/>
                      <w:szCs w:val="18"/>
                      <w14:textFill>
                        <w14:solidFill>
                          <w14:schemeClr w14:val="tx1"/>
                        </w14:solidFill>
                      </w14:textFill>
                    </w:rPr>
                  </w:pPr>
                  <w: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t>7.6</w:t>
                  </w:r>
                </w:p>
              </w:tc>
              <w:tc>
                <w:tcPr>
                  <w:tcW w:w="857"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color w:val="000000" w:themeColor="text1"/>
                      <w:spacing w:val="-2"/>
                      <w:sz w:val="18"/>
                      <w:szCs w:val="18"/>
                      <w14:textFill>
                        <w14:solidFill>
                          <w14:schemeClr w14:val="tx1"/>
                        </w14:solidFill>
                      </w14:textFill>
                    </w:rPr>
                  </w:pPr>
                  <w: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t>13.3</w:t>
                  </w:r>
                </w:p>
              </w:tc>
              <w:tc>
                <w:tcPr>
                  <w:tcW w:w="85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pacing w:val="-2"/>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t>10.8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47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5</w:t>
                  </w:r>
                </w:p>
              </w:tc>
              <w:tc>
                <w:tcPr>
                  <w:tcW w:w="160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储罐高度，</w:t>
                  </w:r>
                  <w:r>
                    <w:rPr>
                      <w:rFonts w:ascii="Times New Roman" w:hAnsi="Times New Roman" w:eastAsia="Times New Roman" w:cs="Times New Roman"/>
                      <w:color w:val="000000" w:themeColor="text1"/>
                      <w:spacing w:val="-1"/>
                      <w:sz w:val="18"/>
                      <w:szCs w:val="18"/>
                      <w14:textFill>
                        <w14:solidFill>
                          <w14:schemeClr w14:val="tx1"/>
                        </w14:solidFill>
                      </w14:textFill>
                    </w:rPr>
                    <w:t>m</w:t>
                  </w:r>
                </w:p>
              </w:tc>
              <w:tc>
                <w:tcPr>
                  <w:tcW w:w="8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ascii="Times New Roman" w:hAnsi="Times New Roman" w:eastAsia="Times New Roman" w:cs="Times New Roman"/>
                      <w:color w:val="000000" w:themeColor="text1"/>
                      <w:spacing w:val="-6"/>
                      <w:sz w:val="18"/>
                      <w:szCs w:val="18"/>
                      <w14:textFill>
                        <w14:solidFill>
                          <w14:schemeClr w14:val="tx1"/>
                        </w14:solidFill>
                      </w14:textFill>
                    </w:rPr>
                    <w:t>1</w:t>
                  </w:r>
                  <w:r>
                    <w:rPr>
                      <w:rFonts w:hint="eastAsia" w:ascii="Times New Roman" w:hAnsi="Times New Roman" w:eastAsia="宋体" w:cs="Times New Roman"/>
                      <w:color w:val="000000" w:themeColor="text1"/>
                      <w:spacing w:val="-6"/>
                      <w:sz w:val="18"/>
                      <w:szCs w:val="18"/>
                      <w:lang w:val="en-US" w:eastAsia="zh-CN"/>
                      <w14:textFill>
                        <w14:solidFill>
                          <w14:schemeClr w14:val="tx1"/>
                        </w14:solidFill>
                      </w14:textFill>
                    </w:rPr>
                    <w:t>2.15</w:t>
                  </w:r>
                </w:p>
              </w:tc>
              <w:tc>
                <w:tcPr>
                  <w:tcW w:w="72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pacing w:val="-6"/>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6"/>
                      <w:sz w:val="18"/>
                      <w:szCs w:val="18"/>
                      <w:lang w:val="en-US" w:eastAsia="zh-CN"/>
                      <w14:textFill>
                        <w14:solidFill>
                          <w14:schemeClr w14:val="tx1"/>
                        </w14:solidFill>
                      </w14:textFill>
                    </w:rPr>
                    <w:t>13.6</w:t>
                  </w:r>
                </w:p>
              </w:tc>
              <w:tc>
                <w:tcPr>
                  <w:tcW w:w="829" w:type="dxa"/>
                  <w:vAlign w:val="center"/>
                </w:tcPr>
                <w:p>
                  <w:pPr>
                    <w:keepNext w:val="0"/>
                    <w:keepLines w:val="0"/>
                    <w:pageBreakBefore w:val="0"/>
                    <w:widowControl/>
                    <w:suppressLineNumbers w:val="0"/>
                    <w:wordWrap/>
                    <w:overflowPunct/>
                    <w:topLinePunct w:val="0"/>
                    <w:bidi w:val="0"/>
                    <w:adjustRightInd w:val="0"/>
                    <w:snapToGrid w:val="0"/>
                    <w:spacing w:line="240" w:lineRule="auto"/>
                    <w:ind w:firstLine="360" w:firstLineChars="200"/>
                    <w:jc w:val="center"/>
                    <w:textAlignment w:val="center"/>
                    <w:rPr>
                      <w:rFonts w:hint="eastAsia" w:ascii="Times New Roman" w:hAnsi="Times New Roman" w:eastAsia="宋体" w:cs="Times New Roman"/>
                      <w:color w:val="000000" w:themeColor="text1"/>
                      <w:spacing w:val="-6"/>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12.88</w:t>
                  </w:r>
                </w:p>
              </w:tc>
              <w:tc>
                <w:tcPr>
                  <w:tcW w:w="82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color w:val="000000" w:themeColor="text1"/>
                      <w:spacing w:val="-6"/>
                      <w:sz w:val="18"/>
                      <w:szCs w:val="18"/>
                      <w14:textFill>
                        <w14:solidFill>
                          <w14:schemeClr w14:val="tx1"/>
                        </w14:solidFill>
                      </w14:textFill>
                    </w:rPr>
                  </w:pPr>
                  <w:r>
                    <w:rPr>
                      <w:rFonts w:hint="eastAsia" w:ascii="Times New Roman" w:hAnsi="Times New Roman" w:eastAsia="宋体" w:cs="Times New Roman"/>
                      <w:color w:val="000000" w:themeColor="text1"/>
                      <w:spacing w:val="-6"/>
                      <w:sz w:val="18"/>
                      <w:szCs w:val="18"/>
                      <w:lang w:val="en-US" w:eastAsia="zh-CN"/>
                      <w14:textFill>
                        <w14:solidFill>
                          <w14:schemeClr w14:val="tx1"/>
                        </w14:solidFill>
                      </w14:textFill>
                    </w:rPr>
                    <w:t>13.6</w:t>
                  </w:r>
                </w:p>
              </w:tc>
              <w:tc>
                <w:tcPr>
                  <w:tcW w:w="94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color w:val="000000" w:themeColor="text1"/>
                      <w:spacing w:val="-6"/>
                      <w:sz w:val="18"/>
                      <w:szCs w:val="18"/>
                      <w14:textFill>
                        <w14:solidFill>
                          <w14:schemeClr w14:val="tx1"/>
                        </w14:solidFill>
                      </w14:textFill>
                    </w:rPr>
                  </w:pPr>
                  <w:r>
                    <w:rPr>
                      <w:rFonts w:ascii="Times New Roman" w:hAnsi="Times New Roman" w:eastAsia="Times New Roman" w:cs="Times New Roman"/>
                      <w:color w:val="000000" w:themeColor="text1"/>
                      <w:spacing w:val="-6"/>
                      <w:sz w:val="18"/>
                      <w:szCs w:val="18"/>
                      <w14:textFill>
                        <w14:solidFill>
                          <w14:schemeClr w14:val="tx1"/>
                        </w14:solidFill>
                      </w14:textFill>
                    </w:rPr>
                    <w:t>1</w:t>
                  </w:r>
                  <w:r>
                    <w:rPr>
                      <w:rFonts w:hint="eastAsia" w:ascii="Times New Roman" w:hAnsi="Times New Roman" w:eastAsia="宋体" w:cs="Times New Roman"/>
                      <w:color w:val="000000" w:themeColor="text1"/>
                      <w:spacing w:val="-6"/>
                      <w:sz w:val="18"/>
                      <w:szCs w:val="18"/>
                      <w:lang w:val="en-US" w:eastAsia="zh-CN"/>
                      <w14:textFill>
                        <w14:solidFill>
                          <w14:schemeClr w14:val="tx1"/>
                        </w14:solidFill>
                      </w14:textFill>
                    </w:rPr>
                    <w:t>2.15</w:t>
                  </w:r>
                </w:p>
              </w:tc>
              <w:tc>
                <w:tcPr>
                  <w:tcW w:w="857"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Times New Roman" w:cs="Times New Roman"/>
                      <w:color w:val="000000" w:themeColor="text1"/>
                      <w:spacing w:val="-6"/>
                      <w:sz w:val="18"/>
                      <w:szCs w:val="18"/>
                      <w14:textFill>
                        <w14:solidFill>
                          <w14:schemeClr w14:val="tx1"/>
                        </w14:solidFill>
                      </w14:textFill>
                    </w:rPr>
                  </w:pPr>
                  <w:r>
                    <w:rPr>
                      <w:rFonts w:hint="eastAsia" w:ascii="Times New Roman" w:hAnsi="Times New Roman" w:eastAsia="宋体" w:cs="Times New Roman"/>
                      <w:color w:val="000000" w:themeColor="text1"/>
                      <w:spacing w:val="-6"/>
                      <w:sz w:val="18"/>
                      <w:szCs w:val="18"/>
                      <w:lang w:val="en-US" w:eastAsia="zh-CN"/>
                      <w14:textFill>
                        <w14:solidFill>
                          <w14:schemeClr w14:val="tx1"/>
                        </w14:solidFill>
                      </w14:textFill>
                    </w:rPr>
                    <w:t>13.6</w:t>
                  </w:r>
                </w:p>
              </w:tc>
              <w:tc>
                <w:tcPr>
                  <w:tcW w:w="85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pacing w:val="-6"/>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6"/>
                      <w:sz w:val="18"/>
                      <w:szCs w:val="18"/>
                      <w:lang w:val="en-US" w:eastAsia="zh-CN"/>
                      <w14:textFill>
                        <w14:solidFill>
                          <w14:schemeClr w14:val="tx1"/>
                        </w14:solidFill>
                      </w14:textFill>
                    </w:rPr>
                    <w:t>12.88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47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6</w:t>
                  </w:r>
                </w:p>
              </w:tc>
              <w:tc>
                <w:tcPr>
                  <w:tcW w:w="160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ascii="Times New Roman" w:hAnsi="Times New Roman" w:eastAsia="Times New Roman" w:cs="Times New Roman"/>
                      <w:color w:val="000000" w:themeColor="text1"/>
                      <w:sz w:val="11"/>
                      <w:szCs w:val="11"/>
                      <w14:textFill>
                        <w14:solidFill>
                          <w14:schemeClr w14:val="tx1"/>
                        </w14:solidFill>
                      </w14:textFill>
                    </w:rPr>
                  </w:pPr>
                  <w:r>
                    <w:rPr>
                      <w:color w:val="000000" w:themeColor="text1"/>
                      <w:spacing w:val="-1"/>
                      <w:sz w:val="18"/>
                      <w:szCs w:val="18"/>
                      <w14:textFill>
                        <w14:solidFill>
                          <w14:schemeClr w14:val="tx1"/>
                        </w14:solidFill>
                      </w14:textFill>
                    </w:rPr>
                    <w:t>油品密度，</w:t>
                  </w:r>
                  <w:r>
                    <w:rPr>
                      <w:rFonts w:ascii="Times New Roman" w:hAnsi="Times New Roman" w:eastAsia="Times New Roman" w:cs="Times New Roman"/>
                      <w:color w:val="000000" w:themeColor="text1"/>
                      <w:spacing w:val="-1"/>
                      <w:sz w:val="18"/>
                      <w:szCs w:val="18"/>
                      <w14:textFill>
                        <w14:solidFill>
                          <w14:schemeClr w14:val="tx1"/>
                        </w14:solidFill>
                      </w14:textFill>
                    </w:rPr>
                    <w:t>t/m</w:t>
                  </w:r>
                  <w:r>
                    <w:rPr>
                      <w:rFonts w:ascii="Times New Roman" w:hAnsi="Times New Roman" w:eastAsia="Times New Roman" w:cs="Times New Roman"/>
                      <w:color w:val="000000" w:themeColor="text1"/>
                      <w:spacing w:val="-1"/>
                      <w:position w:val="5"/>
                      <w:sz w:val="11"/>
                      <w:szCs w:val="11"/>
                      <w14:textFill>
                        <w14:solidFill>
                          <w14:schemeClr w14:val="tx1"/>
                        </w14:solidFill>
                      </w14:textFill>
                    </w:rPr>
                    <w:t>3</w:t>
                  </w:r>
                </w:p>
              </w:tc>
              <w:tc>
                <w:tcPr>
                  <w:tcW w:w="8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1"/>
                      <w:sz w:val="18"/>
                      <w:szCs w:val="18"/>
                      <w:lang w:val="en-US" w:eastAsia="zh-CN"/>
                      <w14:textFill>
                        <w14:solidFill>
                          <w14:schemeClr w14:val="tx1"/>
                        </w14:solidFill>
                      </w14:textFill>
                    </w:rPr>
                    <w:t>0.</w:t>
                  </w:r>
                  <w:r>
                    <w:rPr>
                      <w:rFonts w:hint="eastAsia" w:cs="Times New Roman"/>
                      <w:color w:val="000000" w:themeColor="text1"/>
                      <w:spacing w:val="-1"/>
                      <w:sz w:val="18"/>
                      <w:szCs w:val="18"/>
                      <w:lang w:val="en-US" w:eastAsia="zh-CN"/>
                      <w14:textFill>
                        <w14:solidFill>
                          <w14:schemeClr w14:val="tx1"/>
                        </w14:solidFill>
                      </w14:textFill>
                    </w:rPr>
                    <w:t>77</w:t>
                  </w:r>
                </w:p>
              </w:tc>
              <w:tc>
                <w:tcPr>
                  <w:tcW w:w="72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1"/>
                      <w:sz w:val="18"/>
                      <w:szCs w:val="18"/>
                      <w:lang w:val="en-US" w:eastAsia="zh-CN"/>
                      <w14:textFill>
                        <w14:solidFill>
                          <w14:schemeClr w14:val="tx1"/>
                        </w14:solidFill>
                      </w14:textFill>
                    </w:rPr>
                    <w:t>0.</w:t>
                  </w:r>
                  <w:r>
                    <w:rPr>
                      <w:rFonts w:hint="eastAsia" w:cs="Times New Roman"/>
                      <w:color w:val="000000" w:themeColor="text1"/>
                      <w:spacing w:val="-1"/>
                      <w:sz w:val="18"/>
                      <w:szCs w:val="18"/>
                      <w:lang w:val="en-US" w:eastAsia="zh-CN"/>
                      <w14:textFill>
                        <w14:solidFill>
                          <w14:schemeClr w14:val="tx1"/>
                        </w14:solidFill>
                      </w14:textFill>
                    </w:rPr>
                    <w:t>77</w:t>
                  </w:r>
                </w:p>
              </w:tc>
              <w:tc>
                <w:tcPr>
                  <w:tcW w:w="829" w:type="dxa"/>
                  <w:vAlign w:val="center"/>
                </w:tcPr>
                <w:p>
                  <w:pPr>
                    <w:keepNext w:val="0"/>
                    <w:keepLines w:val="0"/>
                    <w:pageBreakBefore w:val="0"/>
                    <w:widowControl/>
                    <w:suppressLineNumbers w:val="0"/>
                    <w:wordWrap/>
                    <w:overflowPunct/>
                    <w:topLinePunct w:val="0"/>
                    <w:bidi w:val="0"/>
                    <w:adjustRightInd w:val="0"/>
                    <w:snapToGrid w:val="0"/>
                    <w:spacing w:line="240" w:lineRule="auto"/>
                    <w:ind w:firstLine="360" w:firstLineChars="200"/>
                    <w:jc w:val="both"/>
                    <w:textAlignment w:val="center"/>
                    <w:rPr>
                      <w:rFonts w:hint="eastAsia" w:ascii="Times New Roman" w:hAnsi="Times New Roman" w:eastAsia="宋体" w:cs="Times New Roman"/>
                      <w:color w:val="000000" w:themeColor="text1"/>
                      <w:spacing w:val="-1"/>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0.77</w:t>
                  </w:r>
                </w:p>
              </w:tc>
              <w:tc>
                <w:tcPr>
                  <w:tcW w:w="82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Times New Roman"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pacing w:val="-1"/>
                      <w:sz w:val="18"/>
                      <w:szCs w:val="18"/>
                      <w:lang w:val="en-US" w:eastAsia="zh-CN"/>
                      <w14:textFill>
                        <w14:solidFill>
                          <w14:schemeClr w14:val="tx1"/>
                        </w14:solidFill>
                      </w14:textFill>
                    </w:rPr>
                    <w:t>0.8</w:t>
                  </w:r>
                  <w:r>
                    <w:rPr>
                      <w:rFonts w:hint="eastAsia" w:cs="Times New Roman"/>
                      <w:color w:val="000000" w:themeColor="text1"/>
                      <w:spacing w:val="-1"/>
                      <w:sz w:val="18"/>
                      <w:szCs w:val="18"/>
                      <w:lang w:val="en-US" w:eastAsia="zh-CN"/>
                      <w14:textFill>
                        <w14:solidFill>
                          <w14:schemeClr w14:val="tx1"/>
                        </w14:solidFill>
                      </w14:textFill>
                    </w:rPr>
                    <w:t>7</w:t>
                  </w:r>
                </w:p>
              </w:tc>
              <w:tc>
                <w:tcPr>
                  <w:tcW w:w="94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0.</w:t>
                  </w:r>
                  <w:r>
                    <w:rPr>
                      <w:rFonts w:hint="eastAsia" w:ascii="Times New Roman" w:hAnsi="Times New Roman" w:eastAsia="宋体" w:cs="Times New Roman"/>
                      <w:color w:val="000000" w:themeColor="text1"/>
                      <w:spacing w:val="-1"/>
                      <w:sz w:val="18"/>
                      <w:szCs w:val="18"/>
                      <w:lang w:val="en-US" w:eastAsia="zh-CN"/>
                      <w14:textFill>
                        <w14:solidFill>
                          <w14:schemeClr w14:val="tx1"/>
                        </w14:solidFill>
                      </w14:textFill>
                    </w:rPr>
                    <w:t>75</w:t>
                  </w:r>
                </w:p>
              </w:tc>
              <w:tc>
                <w:tcPr>
                  <w:tcW w:w="857"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FF0000"/>
                      <w:spacing w:val="-1"/>
                      <w:sz w:val="18"/>
                      <w:szCs w:val="18"/>
                      <w:lang w:val="en-US" w:eastAsia="zh-CN"/>
                    </w:rPr>
                  </w:pPr>
                  <w:r>
                    <w:rPr>
                      <w:rFonts w:hint="eastAsia" w:ascii="Times New Roman" w:hAnsi="Times New Roman" w:eastAsia="宋体" w:cs="Times New Roman"/>
                      <w:color w:val="FF0000"/>
                      <w:spacing w:val="-1"/>
                      <w:sz w:val="18"/>
                      <w:szCs w:val="18"/>
                      <w:lang w:val="en-US" w:eastAsia="zh-CN"/>
                    </w:rPr>
                    <w:t>0.</w:t>
                  </w:r>
                  <w:r>
                    <w:rPr>
                      <w:rFonts w:hint="eastAsia" w:cs="Times New Roman"/>
                      <w:color w:val="FF0000"/>
                      <w:spacing w:val="-1"/>
                      <w:sz w:val="18"/>
                      <w:szCs w:val="18"/>
                      <w:lang w:val="en-US" w:eastAsia="zh-CN"/>
                    </w:rPr>
                    <w:t>85</w:t>
                  </w:r>
                </w:p>
              </w:tc>
              <w:tc>
                <w:tcPr>
                  <w:tcW w:w="85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FF0000"/>
                      <w:spacing w:val="-1"/>
                      <w:sz w:val="18"/>
                      <w:szCs w:val="18"/>
                      <w:lang w:val="en-US" w:eastAsia="zh-CN"/>
                    </w:rPr>
                  </w:pPr>
                  <w:r>
                    <w:rPr>
                      <w:rFonts w:hint="eastAsia" w:ascii="Times New Roman" w:hAnsi="Times New Roman" w:eastAsia="宋体" w:cs="Times New Roman"/>
                      <w:color w:val="FF0000"/>
                      <w:spacing w:val="-1"/>
                      <w:sz w:val="18"/>
                      <w:szCs w:val="18"/>
                      <w:lang w:val="en-US" w:eastAsia="zh-CN"/>
                    </w:rPr>
                    <w:t>0.</w:t>
                  </w:r>
                  <w:r>
                    <w:rPr>
                      <w:rFonts w:hint="eastAsia" w:cs="Times New Roman"/>
                      <w:color w:val="FF0000"/>
                      <w:spacing w:val="-1"/>
                      <w:sz w:val="18"/>
                      <w:szCs w:val="18"/>
                      <w:lang w:val="en-US" w:eastAsia="zh-CN"/>
                    </w:rPr>
                    <w:t>85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jc w:val="center"/>
              </w:trPr>
              <w:tc>
                <w:tcPr>
                  <w:tcW w:w="47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eastAsia="宋体" w:cs="Times New Roman"/>
                      <w:color w:val="000000" w:themeColor="text1"/>
                      <w:sz w:val="18"/>
                      <w:szCs w:val="18"/>
                      <w:lang w:val="en-US" w:eastAsia="zh-CN"/>
                      <w14:textFill>
                        <w14:solidFill>
                          <w14:schemeClr w14:val="tx1"/>
                        </w14:solidFill>
                      </w14:textFill>
                    </w:rPr>
                    <w:t>7</w:t>
                  </w:r>
                </w:p>
              </w:tc>
              <w:tc>
                <w:tcPr>
                  <w:tcW w:w="160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color w:val="000000" w:themeColor="text1"/>
                      <w:spacing w:val="-1"/>
                      <w:sz w:val="18"/>
                      <w:szCs w:val="18"/>
                      <w14:textFill>
                        <w14:solidFill>
                          <w14:schemeClr w14:val="tx1"/>
                        </w14:solidFill>
                      </w14:textFill>
                    </w:rPr>
                  </w:pPr>
                  <w:r>
                    <w:rPr>
                      <w:rFonts w:hint="eastAsia" w:ascii="宋体" w:hAnsi="宋体" w:eastAsia="宋体" w:cs="宋体"/>
                      <w:i w:val="0"/>
                      <w:iCs w:val="0"/>
                      <w:color w:val="000000" w:themeColor="text1"/>
                      <w:kern w:val="0"/>
                      <w:sz w:val="18"/>
                      <w:szCs w:val="18"/>
                      <w:u w:val="none"/>
                      <w:lang w:val="en-US" w:eastAsia="zh-CN" w:bidi="ar"/>
                      <w14:textFill>
                        <w14:solidFill>
                          <w14:schemeClr w14:val="tx1"/>
                        </w14:solidFill>
                      </w14:textFill>
                    </w:rPr>
                    <w:t xml:space="preserve">油气摩尔分子质量 </w:t>
                  </w: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g/g-mol</w:t>
                  </w:r>
                </w:p>
              </w:tc>
              <w:tc>
                <w:tcPr>
                  <w:tcW w:w="81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t>1</w:t>
                  </w:r>
                  <w:r>
                    <w:rPr>
                      <w:rFonts w:hint="eastAsia" w:ascii="Times New Roman" w:hAnsi="Times New Roman" w:cs="Times New Roman"/>
                      <w:color w:val="000000" w:themeColor="text1"/>
                      <w:spacing w:val="-1"/>
                      <w:kern w:val="0"/>
                      <w:sz w:val="18"/>
                      <w:szCs w:val="18"/>
                      <w:lang w:val="en-US" w:eastAsia="zh-CN" w:bidi="ar-SA"/>
                      <w14:textFill>
                        <w14:solidFill>
                          <w14:schemeClr w14:val="tx1"/>
                        </w14:solidFill>
                      </w14:textFill>
                    </w:rPr>
                    <w:t>26</w:t>
                  </w:r>
                </w:p>
              </w:tc>
              <w:tc>
                <w:tcPr>
                  <w:tcW w:w="72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t>1</w:t>
                  </w:r>
                  <w:r>
                    <w:rPr>
                      <w:rFonts w:hint="eastAsia" w:ascii="Times New Roman" w:hAnsi="Times New Roman" w:cs="Times New Roman"/>
                      <w:color w:val="000000" w:themeColor="text1"/>
                      <w:spacing w:val="-1"/>
                      <w:kern w:val="0"/>
                      <w:sz w:val="18"/>
                      <w:szCs w:val="18"/>
                      <w:lang w:val="en-US" w:eastAsia="zh-CN" w:bidi="ar-SA"/>
                      <w14:textFill>
                        <w14:solidFill>
                          <w14:schemeClr w14:val="tx1"/>
                        </w14:solidFill>
                      </w14:textFill>
                    </w:rPr>
                    <w:t>26</w:t>
                  </w:r>
                </w:p>
              </w:tc>
              <w:tc>
                <w:tcPr>
                  <w:tcW w:w="829" w:type="dxa"/>
                  <w:vAlign w:val="center"/>
                </w:tcPr>
                <w:p>
                  <w:pPr>
                    <w:keepNext w:val="0"/>
                    <w:keepLines w:val="0"/>
                    <w:pageBreakBefore w:val="0"/>
                    <w:widowControl/>
                    <w:suppressLineNumbers w:val="0"/>
                    <w:wordWrap/>
                    <w:overflowPunct/>
                    <w:topLinePunct w:val="0"/>
                    <w:bidi w:val="0"/>
                    <w:adjustRightInd w:val="0"/>
                    <w:snapToGrid w:val="0"/>
                    <w:spacing w:line="240" w:lineRule="auto"/>
                    <w:ind w:firstLine="360" w:firstLineChars="200"/>
                    <w:jc w:val="both"/>
                    <w:textAlignment w:val="cente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126</w:t>
                  </w:r>
                </w:p>
              </w:tc>
              <w:tc>
                <w:tcPr>
                  <w:tcW w:w="82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t>1</w:t>
                  </w:r>
                  <w:r>
                    <w:rPr>
                      <w:rFonts w:hint="eastAsia" w:ascii="Times New Roman" w:hAnsi="Times New Roman" w:cs="Times New Roman"/>
                      <w:color w:val="000000" w:themeColor="text1"/>
                      <w:spacing w:val="-1"/>
                      <w:kern w:val="0"/>
                      <w:sz w:val="18"/>
                      <w:szCs w:val="18"/>
                      <w:lang w:val="en-US" w:eastAsia="zh-CN" w:bidi="ar-SA"/>
                      <w14:textFill>
                        <w14:solidFill>
                          <w14:schemeClr w14:val="tx1"/>
                        </w14:solidFill>
                      </w14:textFill>
                    </w:rPr>
                    <w:t>45</w:t>
                  </w:r>
                </w:p>
              </w:tc>
              <w:tc>
                <w:tcPr>
                  <w:tcW w:w="94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pacing w:val="-1"/>
                      <w:kern w:val="0"/>
                      <w:sz w:val="18"/>
                      <w:szCs w:val="18"/>
                      <w:lang w:val="en-US" w:eastAsia="en-US" w:bidi="ar-SA"/>
                      <w14:textFill>
                        <w14:solidFill>
                          <w14:schemeClr w14:val="tx1"/>
                        </w14:solidFill>
                      </w14:textFill>
                    </w:rPr>
                  </w:pPr>
                  <w:r>
                    <w:rPr>
                      <w:rFonts w:hint="eastAsia" w:ascii="Times New Roman" w:hAnsi="Times New Roman" w:cs="Times New Roman"/>
                      <w:color w:val="000000" w:themeColor="text1"/>
                      <w:spacing w:val="-1"/>
                      <w:kern w:val="0"/>
                      <w:sz w:val="18"/>
                      <w:szCs w:val="18"/>
                      <w:lang w:val="en-US" w:eastAsia="zh-CN" w:bidi="ar-SA"/>
                      <w14:textFill>
                        <w14:solidFill>
                          <w14:schemeClr w14:val="tx1"/>
                        </w14:solidFill>
                      </w14:textFill>
                    </w:rPr>
                    <w:t>68</w:t>
                  </w:r>
                </w:p>
              </w:tc>
              <w:tc>
                <w:tcPr>
                  <w:tcW w:w="85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t>130</w:t>
                  </w:r>
                </w:p>
              </w:tc>
              <w:tc>
                <w:tcPr>
                  <w:tcW w:w="8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
                      <w:kern w:val="0"/>
                      <w:sz w:val="18"/>
                      <w:szCs w:val="18"/>
                      <w:lang w:val="en-US" w:eastAsia="zh-CN" w:bidi="ar-SA"/>
                      <w14:textFill>
                        <w14:solidFill>
                          <w14:schemeClr w14:val="tx1"/>
                        </w14:solidFill>
                      </w14:textFill>
                    </w:rPr>
                    <w:t>130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1" w:hRule="atLeast"/>
                <w:jc w:val="center"/>
              </w:trPr>
              <w:tc>
                <w:tcPr>
                  <w:tcW w:w="47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8</w:t>
                  </w:r>
                </w:p>
              </w:tc>
              <w:tc>
                <w:tcPr>
                  <w:tcW w:w="160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储液温度</w:t>
                  </w:r>
                  <w:r>
                    <w:rPr>
                      <w:color w:val="000000" w:themeColor="text1"/>
                      <w:spacing w:val="13"/>
                      <w:sz w:val="18"/>
                      <w:szCs w:val="18"/>
                      <w14:textFill>
                        <w14:solidFill>
                          <w14:schemeClr w14:val="tx1"/>
                        </w14:solidFill>
                      </w14:textFill>
                    </w:rPr>
                    <w:t xml:space="preserve"> </w:t>
                  </w:r>
                  <w:r>
                    <w:rPr>
                      <w:color w:val="000000" w:themeColor="text1"/>
                      <w:spacing w:val="-3"/>
                      <w:sz w:val="18"/>
                      <w:szCs w:val="18"/>
                      <w14:textFill>
                        <w14:solidFill>
                          <w14:schemeClr w14:val="tx1"/>
                        </w14:solidFill>
                      </w14:textFill>
                    </w:rPr>
                    <w:t>(℃)</w:t>
                  </w:r>
                </w:p>
              </w:tc>
              <w:tc>
                <w:tcPr>
                  <w:tcW w:w="81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color w:val="000000" w:themeColor="text1"/>
                      <w:sz w:val="18"/>
                      <w:szCs w:val="18"/>
                      <w14:textFill>
                        <w14:solidFill>
                          <w14:schemeClr w14:val="tx1"/>
                        </w14:solidFill>
                      </w14:textFill>
                    </w:rPr>
                  </w:pPr>
                  <w:r>
                    <w:rPr>
                      <w:color w:val="000000" w:themeColor="text1"/>
                      <w:spacing w:val="-6"/>
                      <w:sz w:val="18"/>
                      <w:szCs w:val="18"/>
                      <w14:textFill>
                        <w14:solidFill>
                          <w14:schemeClr w14:val="tx1"/>
                        </w14:solidFill>
                      </w14:textFill>
                    </w:rPr>
                    <w:t>常温</w:t>
                  </w:r>
                </w:p>
              </w:tc>
              <w:tc>
                <w:tcPr>
                  <w:tcW w:w="72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color w:val="000000" w:themeColor="text1"/>
                      <w:sz w:val="18"/>
                      <w:szCs w:val="18"/>
                      <w14:textFill>
                        <w14:solidFill>
                          <w14:schemeClr w14:val="tx1"/>
                        </w14:solidFill>
                      </w14:textFill>
                    </w:rPr>
                  </w:pPr>
                  <w:r>
                    <w:rPr>
                      <w:color w:val="000000" w:themeColor="text1"/>
                      <w:spacing w:val="-6"/>
                      <w:sz w:val="18"/>
                      <w:szCs w:val="18"/>
                      <w14:textFill>
                        <w14:solidFill>
                          <w14:schemeClr w14:val="tx1"/>
                        </w14:solidFill>
                      </w14:textFill>
                    </w:rPr>
                    <w:t>常温</w:t>
                  </w:r>
                </w:p>
              </w:tc>
              <w:tc>
                <w:tcPr>
                  <w:tcW w:w="82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eastAsia="宋体"/>
                      <w:color w:val="000000" w:themeColor="text1"/>
                      <w:spacing w:val="-6"/>
                      <w:sz w:val="18"/>
                      <w:szCs w:val="18"/>
                      <w:lang w:val="en-US" w:eastAsia="zh-CN"/>
                      <w14:textFill>
                        <w14:solidFill>
                          <w14:schemeClr w14:val="tx1"/>
                        </w14:solidFill>
                      </w14:textFill>
                    </w:rPr>
                  </w:pPr>
                  <w:r>
                    <w:rPr>
                      <w:rFonts w:hint="eastAsia"/>
                      <w:color w:val="000000" w:themeColor="text1"/>
                      <w:spacing w:val="-6"/>
                      <w:sz w:val="18"/>
                      <w:szCs w:val="18"/>
                      <w:lang w:val="en-US" w:eastAsia="zh-CN"/>
                      <w14:textFill>
                        <w14:solidFill>
                          <w14:schemeClr w14:val="tx1"/>
                        </w14:solidFill>
                      </w14:textFill>
                    </w:rPr>
                    <w:t>常温</w:t>
                  </w:r>
                </w:p>
              </w:tc>
              <w:tc>
                <w:tcPr>
                  <w:tcW w:w="82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color w:val="000000" w:themeColor="text1"/>
                      <w:sz w:val="18"/>
                      <w:szCs w:val="18"/>
                      <w14:textFill>
                        <w14:solidFill>
                          <w14:schemeClr w14:val="tx1"/>
                        </w14:solidFill>
                      </w14:textFill>
                    </w:rPr>
                  </w:pPr>
                  <w:r>
                    <w:rPr>
                      <w:color w:val="000000" w:themeColor="text1"/>
                      <w:spacing w:val="-6"/>
                      <w:sz w:val="18"/>
                      <w:szCs w:val="18"/>
                      <w14:textFill>
                        <w14:solidFill>
                          <w14:schemeClr w14:val="tx1"/>
                        </w14:solidFill>
                      </w14:textFill>
                    </w:rPr>
                    <w:t>常温</w:t>
                  </w:r>
                </w:p>
              </w:tc>
              <w:tc>
                <w:tcPr>
                  <w:tcW w:w="94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color w:val="000000" w:themeColor="text1"/>
                      <w:sz w:val="18"/>
                      <w:szCs w:val="18"/>
                      <w14:textFill>
                        <w14:solidFill>
                          <w14:schemeClr w14:val="tx1"/>
                        </w14:solidFill>
                      </w14:textFill>
                    </w:rPr>
                  </w:pPr>
                  <w:r>
                    <w:rPr>
                      <w:color w:val="000000" w:themeColor="text1"/>
                      <w:spacing w:val="-6"/>
                      <w:sz w:val="18"/>
                      <w:szCs w:val="18"/>
                      <w14:textFill>
                        <w14:solidFill>
                          <w14:schemeClr w14:val="tx1"/>
                        </w14:solidFill>
                      </w14:textFill>
                    </w:rPr>
                    <w:t>常温</w:t>
                  </w:r>
                </w:p>
              </w:tc>
              <w:tc>
                <w:tcPr>
                  <w:tcW w:w="857"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color w:val="000000" w:themeColor="text1"/>
                      <w:spacing w:val="-5"/>
                      <w:sz w:val="18"/>
                      <w:szCs w:val="18"/>
                      <w14:textFill>
                        <w14:solidFill>
                          <w14:schemeClr w14:val="tx1"/>
                        </w14:solidFill>
                      </w14:textFill>
                    </w:rPr>
                  </w:pPr>
                  <w:r>
                    <w:rPr>
                      <w:color w:val="000000" w:themeColor="text1"/>
                      <w:spacing w:val="-6"/>
                      <w:sz w:val="18"/>
                      <w:szCs w:val="18"/>
                      <w14:textFill>
                        <w14:solidFill>
                          <w14:schemeClr w14:val="tx1"/>
                        </w14:solidFill>
                      </w14:textFill>
                    </w:rPr>
                    <w:t>常温</w:t>
                  </w:r>
                </w:p>
              </w:tc>
              <w:tc>
                <w:tcPr>
                  <w:tcW w:w="85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color w:val="000000" w:themeColor="text1"/>
                      <w:spacing w:val="-5"/>
                      <w:sz w:val="18"/>
                      <w:szCs w:val="18"/>
                      <w14:textFill>
                        <w14:solidFill>
                          <w14:schemeClr w14:val="tx1"/>
                        </w14:solidFill>
                      </w14:textFill>
                    </w:rPr>
                  </w:pPr>
                  <w:r>
                    <w:rPr>
                      <w:color w:val="000000" w:themeColor="text1"/>
                      <w:spacing w:val="-6"/>
                      <w:sz w:val="18"/>
                      <w:szCs w:val="18"/>
                      <w14:textFill>
                        <w14:solidFill>
                          <w14:schemeClr w14:val="tx1"/>
                        </w14:solidFill>
                      </w14:textFill>
                    </w:rPr>
                    <w:t>常温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jc w:val="center"/>
              </w:trPr>
              <w:tc>
                <w:tcPr>
                  <w:tcW w:w="47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9</w:t>
                  </w:r>
                </w:p>
              </w:tc>
              <w:tc>
                <w:tcPr>
                  <w:tcW w:w="1609"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年周转量（万吨）</w:t>
                  </w:r>
                </w:p>
              </w:tc>
              <w:tc>
                <w:tcPr>
                  <w:tcW w:w="814" w:type="dxa"/>
                  <w:vAlign w:val="center"/>
                </w:tcPr>
                <w:p>
                  <w:pPr>
                    <w:keepNext w:val="0"/>
                    <w:keepLines w:val="0"/>
                    <w:pageBreakBefore w:val="0"/>
                    <w:widowControl/>
                    <w:suppressLineNumbers w:val="0"/>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0.8</w:t>
                  </w:r>
                </w:p>
              </w:tc>
              <w:tc>
                <w:tcPr>
                  <w:tcW w:w="722" w:type="dxa"/>
                  <w:vAlign w:val="center"/>
                </w:tcPr>
                <w:p>
                  <w:pPr>
                    <w:keepNext w:val="0"/>
                    <w:keepLines w:val="0"/>
                    <w:pageBreakBefore w:val="0"/>
                    <w:widowControl/>
                    <w:suppressLineNumbers w:val="0"/>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2.6</w:t>
                  </w:r>
                </w:p>
              </w:tc>
              <w:tc>
                <w:tcPr>
                  <w:tcW w:w="829" w:type="dxa"/>
                  <w:vAlign w:val="center"/>
                </w:tcPr>
                <w:p>
                  <w:pPr>
                    <w:keepNext w:val="0"/>
                    <w:keepLines w:val="0"/>
                    <w:pageBreakBefore w:val="0"/>
                    <w:widowControl/>
                    <w:suppressLineNumbers w:val="0"/>
                    <w:wordWrap/>
                    <w:overflowPunct/>
                    <w:topLinePunct w:val="0"/>
                    <w:bidi w:val="0"/>
                    <w:adjustRightInd w:val="0"/>
                    <w:snapToGrid w:val="0"/>
                    <w:spacing w:line="240" w:lineRule="auto"/>
                    <w:ind w:firstLine="0" w:firstLineChars="0"/>
                    <w:jc w:val="center"/>
                    <w:textAlignment w:val="center"/>
                    <w:rPr>
                      <w:rFonts w:hint="eastAsia"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1.6</w:t>
                  </w:r>
                </w:p>
              </w:tc>
              <w:tc>
                <w:tcPr>
                  <w:tcW w:w="829" w:type="dxa"/>
                  <w:vAlign w:val="center"/>
                </w:tcPr>
                <w:p>
                  <w:pPr>
                    <w:keepNext w:val="0"/>
                    <w:keepLines w:val="0"/>
                    <w:pageBreakBefore w:val="0"/>
                    <w:widowControl/>
                    <w:suppressLineNumbers w:val="0"/>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14</w:t>
                  </w:r>
                </w:p>
              </w:tc>
              <w:tc>
                <w:tcPr>
                  <w:tcW w:w="94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95</w:t>
                  </w:r>
                </w:p>
              </w:tc>
              <w:tc>
                <w:tcPr>
                  <w:tcW w:w="857"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pacing w:val="-4"/>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4"/>
                      <w:sz w:val="18"/>
                      <w:szCs w:val="18"/>
                      <w:lang w:val="en-US" w:eastAsia="zh-CN"/>
                      <w14:textFill>
                        <w14:solidFill>
                          <w14:schemeClr w14:val="tx1"/>
                        </w14:solidFill>
                      </w14:textFill>
                    </w:rPr>
                    <w:t>18</w:t>
                  </w:r>
                </w:p>
              </w:tc>
              <w:tc>
                <w:tcPr>
                  <w:tcW w:w="858"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pacing w:val="-4"/>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pacing w:val="-4"/>
                      <w:sz w:val="18"/>
                      <w:szCs w:val="18"/>
                      <w:lang w:val="en-US" w:eastAsia="zh-CN"/>
                      <w14:textFill>
                        <w14:solidFill>
                          <w14:schemeClr w14:val="tx1"/>
                        </w14:solidFill>
                      </w14:textFill>
                    </w:rPr>
                    <w:t>2</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注：项目成品柴油</w:t>
            </w:r>
            <w:r>
              <w:rPr>
                <w:rFonts w:hint="eastAsia" w:cs="Times New Roman"/>
                <w:color w:val="FF0000"/>
                <w:sz w:val="24"/>
                <w:szCs w:val="24"/>
                <w:lang w:val="en-US" w:eastAsia="zh-CN"/>
              </w:rPr>
              <w:t>标号为0号、-10#，其中0#柴油密度在0.83~0.86t/m</w:t>
            </w:r>
            <w:r>
              <w:rPr>
                <w:rFonts w:hint="eastAsia" w:cs="Times New Roman"/>
                <w:color w:val="FF0000"/>
                <w:sz w:val="24"/>
                <w:szCs w:val="24"/>
                <w:vertAlign w:val="superscript"/>
                <w:lang w:val="en-US" w:eastAsia="zh-CN"/>
              </w:rPr>
              <w:t>3</w:t>
            </w:r>
            <w:r>
              <w:rPr>
                <w:rFonts w:hint="eastAsia" w:cs="Times New Roman"/>
                <w:color w:val="FF0000"/>
                <w:sz w:val="24"/>
                <w:szCs w:val="24"/>
                <w:lang w:val="en-US" w:eastAsia="zh-CN"/>
              </w:rPr>
              <w:t>，-10#柴油密度约为0.84~0.86t/m</w:t>
            </w:r>
            <w:r>
              <w:rPr>
                <w:rFonts w:hint="eastAsia" w:cs="Times New Roman"/>
                <w:color w:val="FF0000"/>
                <w:sz w:val="24"/>
                <w:szCs w:val="24"/>
                <w:vertAlign w:val="superscript"/>
                <w:lang w:val="en-US" w:eastAsia="zh-CN"/>
              </w:rPr>
              <w:t>3</w:t>
            </w:r>
            <w:r>
              <w:rPr>
                <w:rFonts w:hint="eastAsia" w:cs="Times New Roman"/>
                <w:color w:val="FF0000"/>
                <w:sz w:val="24"/>
                <w:szCs w:val="24"/>
                <w:vertAlign w:val="baseline"/>
                <w:lang w:val="en-US" w:eastAsia="zh-CN"/>
              </w:rPr>
              <w:t>，本次评价取两者密度的交叉值计算，按照0.85m³/t。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参考《石油库节能设计导则》（SH/T 3002-2019）附录A油罐内油品蒸发损耗计算污染物以非甲烷总烃计。</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①浮顶罐大呼吸蒸发损失量计算公式</w:t>
            </w:r>
          </w:p>
          <w:p>
            <w:pPr>
              <w:spacing w:before="169" w:line="914" w:lineRule="exact"/>
              <w:ind w:firstLine="1778"/>
              <w:rPr>
                <w:color w:val="000000" w:themeColor="text1"/>
                <w14:textFill>
                  <w14:solidFill>
                    <w14:schemeClr w14:val="tx1"/>
                  </w14:solidFill>
                </w14:textFill>
              </w:rPr>
            </w:pPr>
            <w:r>
              <w:rPr>
                <w:color w:val="000000" w:themeColor="text1"/>
                <w:position w:val="-18"/>
                <w14:textFill>
                  <w14:solidFill>
                    <w14:schemeClr w14:val="tx1"/>
                  </w14:solidFill>
                </w14:textFill>
              </w:rPr>
              <w:drawing>
                <wp:inline distT="0" distB="0" distL="0" distR="0">
                  <wp:extent cx="2276475" cy="580390"/>
                  <wp:effectExtent l="0" t="0" r="9525" b="10160"/>
                  <wp:docPr id="16" name="IM 34"/>
                  <wp:cNvGraphicFramePr/>
                  <a:graphic xmlns:a="http://schemas.openxmlformats.org/drawingml/2006/main">
                    <a:graphicData uri="http://schemas.openxmlformats.org/drawingml/2006/picture">
                      <pic:pic xmlns:pic="http://schemas.openxmlformats.org/drawingml/2006/picture">
                        <pic:nvPicPr>
                          <pic:cNvPr id="16" name="IM 34"/>
                          <pic:cNvPicPr/>
                        </pic:nvPicPr>
                        <pic:blipFill>
                          <a:blip r:embed="rId60"/>
                          <a:stretch>
                            <a:fillRect/>
                          </a:stretch>
                        </pic:blipFill>
                        <pic:spPr>
                          <a:xfrm>
                            <a:off x="0" y="0"/>
                            <a:ext cx="2276855" cy="580643"/>
                          </a:xfrm>
                          <a:prstGeom prst="rect">
                            <a:avLst/>
                          </a:prstGeom>
                        </pic:spPr>
                      </pic:pic>
                    </a:graphicData>
                  </a:graphic>
                </wp:inline>
              </w:drawing>
            </w:r>
          </w:p>
          <w:p>
            <w:pPr>
              <w:pStyle w:val="96"/>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76" w:firstLineChars="2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color w:val="000000" w:themeColor="text1"/>
                <w:spacing w:val="-1"/>
                <w:position w:val="3"/>
                <w:sz w:val="24"/>
                <w:szCs w:val="24"/>
                <w14:textFill>
                  <w14:solidFill>
                    <w14:schemeClr w14:val="tx1"/>
                  </w14:solidFill>
                </w14:textFill>
              </w:rPr>
              <w:t>式中：</w:t>
            </w: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Lw</w:t>
            </w:r>
            <w:r>
              <w:rPr>
                <w:rFonts w:hint="default" w:ascii="Times New Roman" w:hAnsi="Times New Roman" w:cs="Times New Roman"/>
                <w:color w:val="000000" w:themeColor="text1"/>
                <w:spacing w:val="-1"/>
                <w:position w:val="3"/>
                <w:sz w:val="24"/>
                <w:szCs w:val="24"/>
                <w14:textFill>
                  <w14:solidFill>
                    <w14:schemeClr w14:val="tx1"/>
                  </w14:solidFill>
                </w14:textFill>
              </w:rPr>
              <w:t>--浮顶罐年大小呼吸损耗量（</w:t>
            </w: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kg/a</w:t>
            </w:r>
            <w:r>
              <w:rPr>
                <w:rFonts w:hint="default" w:ascii="Times New Roman" w:hAnsi="Times New Roman" w:cs="Times New Roman"/>
                <w:color w:val="000000" w:themeColor="text1"/>
                <w:spacing w:val="-1"/>
                <w:position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1190" w:firstLineChars="5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Q</w:t>
            </w:r>
            <w:r>
              <w:rPr>
                <w:rFonts w:hint="default" w:ascii="Times New Roman" w:hAnsi="Times New Roman" w:cs="Times New Roman"/>
                <w:color w:val="000000" w:themeColor="text1"/>
                <w:spacing w:val="-1"/>
                <w:position w:val="3"/>
                <w:sz w:val="24"/>
                <w:szCs w:val="24"/>
                <w14:textFill>
                  <w14:solidFill>
                    <w14:schemeClr w14:val="tx1"/>
                  </w14:solidFill>
                </w14:textFill>
              </w:rPr>
              <w:t>--油罐年周转量（</w:t>
            </w: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10</w:t>
            </w:r>
            <w:r>
              <w:rPr>
                <w:rFonts w:hint="eastAsia" w:ascii="Times New Roman" w:hAnsi="Times New Roman" w:eastAsia="宋体" w:cs="Times New Roman"/>
                <w:color w:val="000000" w:themeColor="text1"/>
                <w:spacing w:val="-1"/>
                <w:position w:val="3"/>
                <w:sz w:val="24"/>
                <w:szCs w:val="24"/>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pacing w:val="-1"/>
                <w:position w:val="3"/>
                <w:sz w:val="24"/>
                <w:szCs w:val="24"/>
                <w:lang w:val="en-US" w:eastAsia="zh-CN"/>
                <w14:textFill>
                  <w14:solidFill>
                    <w14:schemeClr w14:val="tx1"/>
                  </w14:solidFill>
                </w14:textFill>
              </w:rPr>
              <w:t xml:space="preserve"> </w:t>
            </w: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m</w:t>
            </w:r>
            <w:r>
              <w:rPr>
                <w:rFonts w:hint="eastAsia" w:ascii="Times New Roman" w:hAnsi="Times New Roman" w:eastAsia="宋体" w:cs="Times New Roman"/>
                <w:color w:val="000000" w:themeColor="text1"/>
                <w:spacing w:val="-1"/>
                <w:position w:val="3"/>
                <w:sz w:val="24"/>
                <w:szCs w:val="24"/>
                <w:vertAlign w:val="superscript"/>
                <w:lang w:val="en-US" w:eastAsia="zh-CN"/>
                <w14:textFill>
                  <w14:solidFill>
                    <w14:schemeClr w14:val="tx1"/>
                  </w14:solidFill>
                </w14:textFill>
              </w:rPr>
              <w:t>3</w:t>
            </w: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/a</w:t>
            </w:r>
            <w:r>
              <w:rPr>
                <w:rFonts w:hint="default" w:ascii="Times New Roman" w:hAnsi="Times New Roman" w:cs="Times New Roman"/>
                <w:color w:val="000000" w:themeColor="text1"/>
                <w:spacing w:val="-1"/>
                <w:position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right="0" w:firstLine="1190" w:firstLineChars="5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pacing w:val="-1"/>
                <w:sz w:val="24"/>
                <w:szCs w:val="24"/>
                <w14:textFill>
                  <w14:solidFill>
                    <w14:schemeClr w14:val="tx1"/>
                  </w14:solidFill>
                </w14:textFill>
              </w:rPr>
              <w:t>D</w:t>
            </w:r>
            <w:r>
              <w:rPr>
                <w:rFonts w:hint="default" w:ascii="Times New Roman" w:hAnsi="Times New Roman" w:cs="Times New Roman"/>
                <w:color w:val="000000" w:themeColor="text1"/>
                <w:spacing w:val="-1"/>
                <w:sz w:val="24"/>
                <w:szCs w:val="24"/>
                <w14:textFill>
                  <w14:solidFill>
                    <w14:schemeClr w14:val="tx1"/>
                  </w14:solidFill>
                </w14:textFill>
              </w:rPr>
              <w:t>--油罐直径（</w:t>
            </w:r>
            <w:r>
              <w:rPr>
                <w:rFonts w:hint="default" w:ascii="Times New Roman" w:hAnsi="Times New Roman" w:eastAsia="Times New Roman" w:cs="Times New Roman"/>
                <w:color w:val="000000" w:themeColor="text1"/>
                <w:spacing w:val="-1"/>
                <w:sz w:val="24"/>
                <w:szCs w:val="24"/>
                <w14:textFill>
                  <w14:solidFill>
                    <w14:schemeClr w14:val="tx1"/>
                  </w14:solidFill>
                </w14:textFill>
              </w:rPr>
              <w:t>m</w:t>
            </w:r>
            <w:r>
              <w:rPr>
                <w:rFonts w:hint="default" w:ascii="Times New Roman" w:hAnsi="Times New Roman" w:cs="Times New Roman"/>
                <w:color w:val="000000" w:themeColor="text1"/>
                <w:spacing w:val="-1"/>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1220" w:firstLineChars="500"/>
              <w:jc w:val="both"/>
              <w:textAlignment w:val="auto"/>
              <w:rPr>
                <w:rFonts w:hint="default" w:ascii="Times New Roman" w:hAnsi="Times New Roman" w:eastAsia="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pacing w:val="2"/>
                <w:position w:val="3"/>
                <w:sz w:val="24"/>
                <w:szCs w:val="24"/>
                <w14:textFill>
                  <w14:solidFill>
                    <w14:schemeClr w14:val="tx1"/>
                  </w14:solidFill>
                </w14:textFill>
              </w:rPr>
              <w:t>W</w:t>
            </w:r>
            <w:r>
              <w:rPr>
                <w:rFonts w:hint="default" w:ascii="Times New Roman" w:hAnsi="Times New Roman" w:eastAsia="Times New Roman" w:cs="Times New Roman"/>
                <w:color w:val="000000" w:themeColor="text1"/>
                <w:spacing w:val="2"/>
                <w:position w:val="2"/>
                <w:sz w:val="24"/>
                <w:szCs w:val="24"/>
                <w14:textFill>
                  <w14:solidFill>
                    <w14:schemeClr w14:val="tx1"/>
                  </w14:solidFill>
                </w14:textFill>
              </w:rPr>
              <w:t>1</w:t>
            </w:r>
            <w:r>
              <w:rPr>
                <w:rFonts w:hint="default" w:ascii="Times New Roman" w:hAnsi="Times New Roman" w:cs="Times New Roman"/>
                <w:color w:val="000000" w:themeColor="text1"/>
                <w:spacing w:val="2"/>
                <w:position w:val="3"/>
                <w:sz w:val="24"/>
                <w:szCs w:val="24"/>
                <w14:textFill>
                  <w14:solidFill>
                    <w14:schemeClr w14:val="tx1"/>
                  </w14:solidFill>
                </w14:textFill>
              </w:rPr>
              <w:t>--平均储存温度下的介质密度</w:t>
            </w:r>
            <w:r>
              <w:rPr>
                <w:rFonts w:hint="default" w:ascii="Times New Roman" w:hAnsi="Times New Roman" w:cs="Times New Roman"/>
                <w:color w:val="000000" w:themeColor="text1"/>
                <w:spacing w:val="-31"/>
                <w:position w:val="3"/>
                <w:sz w:val="24"/>
                <w:szCs w:val="24"/>
                <w14:textFill>
                  <w14:solidFill>
                    <w14:schemeClr w14:val="tx1"/>
                  </w14:solidFill>
                </w14:textFill>
              </w:rPr>
              <w:t>，（</w:t>
            </w:r>
            <w:r>
              <w:rPr>
                <w:rFonts w:hint="default" w:ascii="Times New Roman" w:hAnsi="Times New Roman" w:eastAsia="Times New Roman" w:cs="Times New Roman"/>
                <w:color w:val="000000" w:themeColor="text1"/>
                <w:position w:val="3"/>
                <w:sz w:val="24"/>
                <w:szCs w:val="24"/>
                <w14:textFill>
                  <w14:solidFill>
                    <w14:schemeClr w14:val="tx1"/>
                  </w14:solidFill>
                </w14:textFill>
              </w:rPr>
              <w:t>kg</w:t>
            </w:r>
            <w:r>
              <w:rPr>
                <w:rFonts w:hint="default" w:ascii="Times New Roman" w:hAnsi="Times New Roman" w:eastAsia="Times New Roman" w:cs="Times New Roman"/>
                <w:color w:val="000000" w:themeColor="text1"/>
                <w:spacing w:val="2"/>
                <w:position w:val="3"/>
                <w:sz w:val="24"/>
                <w:szCs w:val="24"/>
                <w14:textFill>
                  <w14:solidFill>
                    <w14:schemeClr w14:val="tx1"/>
                  </w14:solidFill>
                </w14:textFill>
              </w:rPr>
              <w:t>/m</w:t>
            </w:r>
            <w:r>
              <w:rPr>
                <w:rFonts w:hint="eastAsia" w:ascii="Times New Roman" w:hAnsi="Times New Roman" w:eastAsia="宋体" w:cs="Times New Roman"/>
                <w:color w:val="000000" w:themeColor="text1"/>
                <w:spacing w:val="-24"/>
                <w:position w:val="3"/>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pacing w:val="2"/>
                <w:position w:val="3"/>
                <w:sz w:val="24"/>
                <w:szCs w:val="24"/>
                <w14:textFill>
                  <w14:solidFill>
                    <w14:schemeClr w14:val="tx1"/>
                  </w14:solidFill>
                </w14:textFill>
              </w:rPr>
              <w:t>）</w:t>
            </w:r>
            <w:r>
              <w:rPr>
                <w:rFonts w:hint="default" w:ascii="Times New Roman" w:hAnsi="Times New Roman" w:eastAsia="Times New Roman" w:cs="Times New Roman"/>
                <w:color w:val="000000" w:themeColor="text1"/>
                <w:spacing w:val="2"/>
                <w:position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1190" w:firstLineChars="500"/>
              <w:jc w:val="both"/>
              <w:textAlignment w:val="auto"/>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C</w:t>
            </w:r>
            <w:r>
              <w:rPr>
                <w:rFonts w:hint="default" w:ascii="Times New Roman" w:hAnsi="Times New Roman" w:cs="Times New Roman"/>
                <w:color w:val="000000" w:themeColor="text1"/>
                <w:spacing w:val="-1"/>
                <w:position w:val="3"/>
                <w:sz w:val="24"/>
                <w:szCs w:val="24"/>
                <w14:textFill>
                  <w14:solidFill>
                    <w14:schemeClr w14:val="tx1"/>
                  </w14:solidFill>
                </w14:textFill>
              </w:rPr>
              <w:t>--油罐壁的粘附系数</w:t>
            </w: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(m</w:t>
            </w:r>
            <w:r>
              <w:rPr>
                <w:rFonts w:hint="eastAsia" w:ascii="Times New Roman" w:hAnsi="Times New Roman" w:eastAsia="宋体" w:cs="Times New Roman"/>
                <w:color w:val="000000" w:themeColor="text1"/>
                <w:spacing w:val="-1"/>
                <w:position w:val="3"/>
                <w:sz w:val="24"/>
                <w:szCs w:val="24"/>
                <w:vertAlign w:val="superscript"/>
                <w:lang w:val="en-US" w:eastAsia="zh-CN"/>
                <w14:textFill>
                  <w14:solidFill>
                    <w14:schemeClr w14:val="tx1"/>
                  </w14:solidFill>
                </w14:textFill>
              </w:rPr>
              <w:t>3</w:t>
            </w: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/1000m</w:t>
            </w:r>
            <w:r>
              <w:rPr>
                <w:rFonts w:hint="eastAsia" w:ascii="Times New Roman" w:hAnsi="Times New Roman" w:eastAsia="宋体" w:cs="Times New Roman"/>
                <w:color w:val="000000" w:themeColor="text1"/>
                <w:spacing w:val="-1"/>
                <w:position w:val="3"/>
                <w:sz w:val="24"/>
                <w:szCs w:val="24"/>
                <w:vertAlign w:val="superscript"/>
                <w:lang w:val="en-US" w:eastAsia="zh-CN"/>
                <w14:textFill>
                  <w14:solidFill>
                    <w14:schemeClr w14:val="tx1"/>
                  </w14:solidFill>
                </w14:textFill>
              </w:rPr>
              <w:t>2</w:t>
            </w:r>
            <w:r>
              <w:rPr>
                <w:rFonts w:hint="default" w:ascii="Times New Roman" w:hAnsi="Times New Roman" w:cs="Times New Roman"/>
                <w:color w:val="000000" w:themeColor="text1"/>
                <w:spacing w:val="-10"/>
                <w:position w:val="3"/>
                <w:sz w:val="24"/>
                <w:szCs w:val="24"/>
                <w14:textFill>
                  <w14:solidFill>
                    <w14:schemeClr w14:val="tx1"/>
                  </w14:solidFill>
                </w14:textFill>
              </w:rPr>
              <w:t>），</w:t>
            </w:r>
            <w:r>
              <w:rPr>
                <w:rFonts w:hint="eastAsia" w:ascii="Times New Roman" w:hAnsi="Times New Roman" w:cs="Times New Roman"/>
                <w:color w:val="000000" w:themeColor="text1"/>
                <w:spacing w:val="-10"/>
                <w:position w:val="3"/>
                <w:sz w:val="24"/>
                <w:szCs w:val="24"/>
                <w:lang w:val="en-US" w:eastAsia="zh-CN"/>
                <w14:textFill>
                  <w14:solidFill>
                    <w14:schemeClr w14:val="tx1"/>
                  </w14:solidFill>
                </w14:textFill>
              </w:rPr>
              <w:t>根据</w:t>
            </w:r>
            <w:r>
              <w:rPr>
                <w:rFonts w:hint="eastAsia" w:ascii="Times New Roman" w:hAnsi="Times New Roman" w:eastAsia="宋体" w:cs="Times New Roman"/>
                <w:color w:val="000000" w:themeColor="text1"/>
                <w:spacing w:val="-10"/>
                <w:position w:val="3"/>
                <w:sz w:val="24"/>
                <w:szCs w:val="24"/>
                <w:lang w:val="en-US" w:eastAsia="zh-CN"/>
                <w14:textFill>
                  <w14:solidFill>
                    <w14:schemeClr w14:val="tx1"/>
                  </w14:solidFill>
                </w14:textFill>
              </w:rPr>
              <w:t>《石油库节能设计导则》（SH/T 3002-2019）附表A0.3</w:t>
            </w:r>
            <w:r>
              <w:rPr>
                <w:rFonts w:hint="default" w:ascii="Times New Roman" w:hAnsi="Times New Roman" w:eastAsia="宋体" w:cs="Times New Roman"/>
                <w:color w:val="000000" w:themeColor="text1"/>
                <w:spacing w:val="-10"/>
                <w:position w:val="3"/>
                <w:sz w:val="24"/>
                <w:szCs w:val="24"/>
                <w:lang w:val="en-US" w:eastAsia="zh-CN"/>
                <w14:textFill>
                  <w14:solidFill>
                    <w14:schemeClr w14:val="tx1"/>
                  </w14:solidFill>
                </w14:textFill>
              </w:rPr>
              <w:t xml:space="preserve">取 </w:t>
            </w:r>
            <w:r>
              <w:rPr>
                <w:rFonts w:hint="default" w:ascii="Times New Roman" w:hAnsi="Times New Roman" w:eastAsia="Times New Roman" w:cs="Times New Roman"/>
                <w:color w:val="000000" w:themeColor="text1"/>
                <w:spacing w:val="-1"/>
                <w:position w:val="3"/>
                <w:sz w:val="24"/>
                <w:szCs w:val="24"/>
                <w14:textFill>
                  <w14:solidFill>
                    <w14:schemeClr w14:val="tx1"/>
                  </w14:solidFill>
                </w14:textFill>
              </w:rPr>
              <w:t>0.2567</w:t>
            </w:r>
            <w:r>
              <w:rPr>
                <w:rFonts w:hint="eastAsia"/>
                <w:color w:val="000000" w:themeColor="text1"/>
                <w:lang w:eastAsia="zh-CN"/>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1200" w:firstLineChars="500"/>
              <w:jc w:val="both"/>
              <w:textAlignment w:val="auto"/>
              <w:rPr>
                <w:rFonts w:hint="default" w:ascii="Times New Roman" w:hAnsi="Times New Roman" w:eastAsia="Times New Roman"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14:textFill>
                  <w14:solidFill>
                    <w14:schemeClr w14:val="tx1"/>
                  </w14:solidFill>
                </w14:textFill>
              </w:rPr>
              <w:t>N</w:t>
            </w:r>
            <w:r>
              <w:rPr>
                <w:rFonts w:hint="default" w:ascii="Times New Roman" w:hAnsi="Times New Roman" w:eastAsia="Times New Roman" w:cs="Times New Roman"/>
                <w:color w:val="000000" w:themeColor="text1"/>
                <w:position w:val="-1"/>
                <w:sz w:val="24"/>
                <w:szCs w:val="24"/>
                <w14:textFill>
                  <w14:solidFill>
                    <w14:schemeClr w14:val="tx1"/>
                  </w14:solidFill>
                </w14:textFill>
              </w:rPr>
              <w:t>fc</w:t>
            </w:r>
            <w:r>
              <w:rPr>
                <w:rFonts w:hint="default" w:ascii="Times New Roman" w:hAnsi="Times New Roman" w:cs="Times New Roman"/>
                <w:color w:val="000000" w:themeColor="text1"/>
                <w:sz w:val="24"/>
                <w:szCs w:val="24"/>
                <w14:textFill>
                  <w14:solidFill>
                    <w14:schemeClr w14:val="tx1"/>
                  </w14:solidFill>
                </w14:textFill>
              </w:rPr>
              <w:t>--非自支撑固定顶的支柱数量，自支撑顶内浮顶罐或浮顶</w:t>
            </w:r>
            <w:r>
              <w:rPr>
                <w:rFonts w:hint="default" w:ascii="Times New Roman" w:hAnsi="Times New Roman" w:cs="Times New Roman"/>
                <w:color w:val="000000" w:themeColor="text1"/>
                <w:sz w:val="24"/>
                <w:szCs w:val="24"/>
                <w:lang w:val="en-US" w:eastAsia="zh-CN"/>
                <w14:textFill>
                  <w14:solidFill>
                    <w14:schemeClr w14:val="tx1"/>
                  </w14:solidFill>
                </w14:textFill>
              </w:rPr>
              <w:t>罐</w:t>
            </w:r>
            <w:r>
              <w:rPr>
                <w:rFonts w:hint="default" w:ascii="Times New Roman" w:hAnsi="Times New Roman" w:cs="Times New Roman"/>
                <w:color w:val="000000" w:themeColor="text1"/>
                <w:spacing w:val="-51"/>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z w:val="24"/>
                <w:szCs w:val="24"/>
                <w14:textFill>
                  <w14:solidFill>
                    <w14:schemeClr w14:val="tx1"/>
                  </w14:solidFill>
                </w14:textFill>
              </w:rPr>
              <w:t>N</w:t>
            </w:r>
            <w:r>
              <w:rPr>
                <w:rFonts w:hint="default" w:ascii="Times New Roman" w:hAnsi="Times New Roman" w:eastAsia="Times New Roman" w:cs="Times New Roman"/>
                <w:color w:val="000000" w:themeColor="text1"/>
                <w:position w:val="-1"/>
                <w:sz w:val="24"/>
                <w:szCs w:val="24"/>
                <w14:textFill>
                  <w14:solidFill>
                    <w14:schemeClr w14:val="tx1"/>
                  </w14:solidFill>
                </w14:textFill>
              </w:rPr>
              <w:t>fc</w:t>
            </w:r>
            <w:r>
              <w:rPr>
                <w:rFonts w:hint="default" w:ascii="Times New Roman" w:hAnsi="Times New Roman" w:eastAsia="Times New Roman" w:cs="Times New Roman"/>
                <w:color w:val="000000" w:themeColor="text1"/>
                <w:sz w:val="24"/>
                <w:szCs w:val="24"/>
                <w14:textFill>
                  <w14:solidFill>
                    <w14:schemeClr w14:val="tx1"/>
                  </w14:solidFill>
                </w14:textFill>
              </w:rPr>
              <w:t xml:space="preserve">=0 </w:t>
            </w:r>
          </w:p>
          <w:p>
            <w:pPr>
              <w:pStyle w:val="96"/>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1200" w:firstLineChars="500"/>
              <w:jc w:val="both"/>
              <w:textAlignment w:val="auto"/>
              <w:rPr>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14:textFill>
                  <w14:solidFill>
                    <w14:schemeClr w14:val="tx1"/>
                  </w14:solidFill>
                </w14:textFill>
              </w:rPr>
              <w:t>F</w:t>
            </w:r>
            <w:r>
              <w:rPr>
                <w:rFonts w:hint="default" w:ascii="Times New Roman" w:hAnsi="Times New Roman" w:eastAsia="Times New Roman" w:cs="Times New Roman"/>
                <w:color w:val="000000" w:themeColor="text1"/>
                <w:position w:val="-1"/>
                <w:sz w:val="24"/>
                <w:szCs w:val="24"/>
                <w14:textFill>
                  <w14:solidFill>
                    <w14:schemeClr w14:val="tx1"/>
                  </w14:solidFill>
                </w14:textFill>
              </w:rPr>
              <w:t>c</w:t>
            </w:r>
            <w:r>
              <w:rPr>
                <w:rFonts w:hint="default" w:ascii="Times New Roman" w:hAnsi="Times New Roman" w:cs="Times New Roman"/>
                <w:color w:val="000000" w:themeColor="text1"/>
                <w:sz w:val="24"/>
                <w:szCs w:val="24"/>
                <w14:textFill>
                  <w14:solidFill>
                    <w14:schemeClr w14:val="tx1"/>
                  </w14:solidFill>
                </w14:textFill>
              </w:rPr>
              <w:t>--非自支撑固定顶支柱的有效直径，</w:t>
            </w:r>
            <w:r>
              <w:rPr>
                <w:rFonts w:hint="default" w:ascii="Times New Roman" w:hAnsi="Times New Roman" w:eastAsia="Times New Roman" w:cs="Times New Roman"/>
                <w:color w:val="000000" w:themeColor="text1"/>
                <w:sz w:val="24"/>
                <w:szCs w:val="24"/>
                <w14:textFill>
                  <w14:solidFill>
                    <w14:schemeClr w14:val="tx1"/>
                  </w14:solidFill>
                </w14:textFill>
              </w:rPr>
              <w:t>F</w:t>
            </w:r>
            <w:r>
              <w:rPr>
                <w:rFonts w:hint="default" w:ascii="Times New Roman" w:hAnsi="Times New Roman" w:eastAsia="Times New Roman" w:cs="Times New Roman"/>
                <w:color w:val="000000" w:themeColor="text1"/>
                <w:position w:val="-1"/>
                <w:sz w:val="24"/>
                <w:szCs w:val="24"/>
                <w14:textFill>
                  <w14:solidFill>
                    <w14:schemeClr w14:val="tx1"/>
                  </w14:solidFill>
                </w14:textFill>
              </w:rPr>
              <w:t>c</w:t>
            </w:r>
            <w:r>
              <w:rPr>
                <w:rFonts w:hint="default" w:ascii="Times New Roman" w:hAnsi="Times New Roman" w:eastAsia="Times New Roman" w:cs="Times New Roman"/>
                <w:color w:val="000000" w:themeColor="text1"/>
                <w:sz w:val="24"/>
                <w:szCs w:val="24"/>
                <w14:textFill>
                  <w14:solidFill>
                    <w14:schemeClr w14:val="tx1"/>
                  </w14:solidFill>
                </w14:textFill>
              </w:rPr>
              <w:t>=0.35m</w:t>
            </w:r>
            <w:r>
              <w:rPr>
                <w:rFonts w:hint="default" w:ascii="Times New Roman" w:hAnsi="Times New Roman" w:cs="Times New Roman"/>
                <w:color w:val="000000" w:themeColor="text1"/>
                <w:sz w:val="24"/>
                <w:szCs w:val="24"/>
                <w14:textFill>
                  <w14:solidFill>
                    <w14:schemeClr w14:val="tx1"/>
                  </w14:solidFill>
                </w14:textFill>
              </w:rPr>
              <w:t>，</w:t>
            </w:r>
          </w:p>
          <w:p>
            <w:pPr>
              <w:pStyle w:val="96"/>
              <w:spacing w:before="39" w:line="218" w:lineRule="auto"/>
              <w:jc w:val="both"/>
              <w:rPr>
                <w:color w:val="000000" w:themeColor="text1"/>
                <w:sz w:val="24"/>
                <w:szCs w:val="24"/>
                <w14:textFill>
                  <w14:solidFill>
                    <w14:schemeClr w14:val="tx1"/>
                  </w14:solidFill>
                </w14:textFill>
              </w:rPr>
            </w:pPr>
            <w:r>
              <w:rPr>
                <w:color w:val="000000" w:themeColor="text1"/>
                <w:spacing w:val="-1"/>
                <w:sz w:val="24"/>
                <w:szCs w:val="24"/>
                <w14:textFill>
                  <w14:solidFill>
                    <w14:schemeClr w14:val="tx1"/>
                  </w14:solidFill>
                </w14:textFill>
              </w:rPr>
              <w:t>②浮顶罐小呼吸蒸发损失量计算公式</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480" w:firstLineChars="200"/>
              <w:jc w:val="both"/>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drawing>
                <wp:anchor distT="0" distB="0" distL="114300" distR="114300" simplePos="0" relativeHeight="251665408" behindDoc="0" locked="0" layoutInCell="1" allowOverlap="1">
                  <wp:simplePos x="0" y="0"/>
                  <wp:positionH relativeFrom="column">
                    <wp:posOffset>236220</wp:posOffset>
                  </wp:positionH>
                  <wp:positionV relativeFrom="page">
                    <wp:posOffset>1835150</wp:posOffset>
                  </wp:positionV>
                  <wp:extent cx="4153535" cy="2922270"/>
                  <wp:effectExtent l="0" t="0" r="18415" b="11430"/>
                  <wp:wrapTopAndBottom/>
                  <wp:docPr id="18"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true"/>
                          </pic:cNvPicPr>
                        </pic:nvPicPr>
                        <pic:blipFill>
                          <a:blip r:embed="rId61"/>
                          <a:stretch>
                            <a:fillRect/>
                          </a:stretch>
                        </pic:blipFill>
                        <pic:spPr>
                          <a:xfrm>
                            <a:off x="0" y="0"/>
                            <a:ext cx="4153535" cy="2922270"/>
                          </a:xfrm>
                          <a:prstGeom prst="rect">
                            <a:avLst/>
                          </a:prstGeom>
                          <a:noFill/>
                          <a:ln>
                            <a:noFill/>
                          </a:ln>
                        </pic:spPr>
                      </pic:pic>
                    </a:graphicData>
                  </a:graphic>
                </wp:anchor>
              </w:drawing>
            </w:r>
            <w:r>
              <w:rPr>
                <w:color w:val="000000" w:themeColor="text1"/>
                <w:spacing w:val="-5"/>
                <w:sz w:val="24"/>
                <w:szCs w:val="24"/>
                <w14:textFill>
                  <w14:solidFill>
                    <w14:schemeClr w14:val="tx1"/>
                  </w14:solidFill>
                </w14:textFill>
              </w:rPr>
              <w:t>式中：</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52" w:firstLineChars="400"/>
              <w:jc w:val="both"/>
              <w:rPr>
                <w:rFonts w:ascii="Times New Roman" w:hAnsi="Times New Roman" w:eastAsia="Times New Roman" w:cs="Times New Roman"/>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1"/>
                <w:position w:val="3"/>
                <w:sz w:val="24"/>
                <w:szCs w:val="24"/>
                <w14:textFill>
                  <w14:solidFill>
                    <w14:schemeClr w14:val="tx1"/>
                  </w14:solidFill>
                </w14:textFill>
              </w:rPr>
              <w:t>L</w:t>
            </w:r>
            <w:r>
              <w:rPr>
                <w:rFonts w:ascii="Times New Roman" w:hAnsi="Times New Roman" w:eastAsia="Times New Roman" w:cs="Times New Roman"/>
                <w:color w:val="000000" w:themeColor="text1"/>
                <w:spacing w:val="-1"/>
                <w:position w:val="2"/>
                <w:sz w:val="24"/>
                <w:szCs w:val="24"/>
                <w14:textFill>
                  <w14:solidFill>
                    <w14:schemeClr w14:val="tx1"/>
                  </w14:solidFill>
                </w14:textFill>
              </w:rPr>
              <w:t>s</w:t>
            </w:r>
            <w:r>
              <w:rPr>
                <w:color w:val="000000" w:themeColor="text1"/>
                <w:spacing w:val="-1"/>
                <w:position w:val="3"/>
                <w:sz w:val="24"/>
                <w:szCs w:val="24"/>
                <w14:textFill>
                  <w14:solidFill>
                    <w14:schemeClr w14:val="tx1"/>
                  </w14:solidFill>
                </w14:textFill>
              </w:rPr>
              <w:t>——浮顶罐和内浮顶罐小呼吸损耗，</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kg/a;</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60"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3"/>
                <w:sz w:val="24"/>
                <w:szCs w:val="24"/>
                <w14:textFill>
                  <w14:solidFill>
                    <w14:schemeClr w14:val="tx1"/>
                  </w14:solidFill>
                </w14:textFill>
              </w:rPr>
              <w:t>F</w:t>
            </w:r>
            <w:r>
              <w:rPr>
                <w:rFonts w:ascii="Times New Roman" w:hAnsi="Times New Roman" w:eastAsia="Times New Roman" w:cs="Times New Roman"/>
                <w:color w:val="000000" w:themeColor="text1"/>
                <w:position w:val="2"/>
                <w:sz w:val="24"/>
                <w:szCs w:val="24"/>
                <w14:textFill>
                  <w14:solidFill>
                    <w14:schemeClr w14:val="tx1"/>
                  </w14:solidFill>
                </w14:textFill>
              </w:rPr>
              <w:t>r</w:t>
            </w:r>
            <w:r>
              <w:rPr>
                <w:color w:val="000000" w:themeColor="text1"/>
                <w:position w:val="3"/>
                <w:sz w:val="24"/>
                <w:szCs w:val="24"/>
                <w14:textFill>
                  <w14:solidFill>
                    <w14:schemeClr w14:val="tx1"/>
                  </w14:solidFill>
                </w14:textFill>
              </w:rPr>
              <w:t>——密封总损耗系数，</w:t>
            </w:r>
            <w:r>
              <w:rPr>
                <w:rFonts w:ascii="Times New Roman" w:hAnsi="Times New Roman" w:eastAsia="Times New Roman" w:cs="Times New Roman"/>
                <w:color w:val="000000" w:themeColor="text1"/>
                <w:position w:val="3"/>
                <w:sz w:val="24"/>
                <w:szCs w:val="24"/>
                <w14:textFill>
                  <w14:solidFill>
                    <w14:schemeClr w14:val="tx1"/>
                  </w14:solidFill>
                </w14:textFill>
              </w:rPr>
              <w:t>kg-mole</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s/a</w:t>
            </w:r>
            <w:r>
              <w:rPr>
                <w:color w:val="000000" w:themeColor="text1"/>
                <w:spacing w:val="-1"/>
                <w:position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60" w:firstLineChars="400"/>
              <w:jc w:val="both"/>
              <w:rPr>
                <w:rFonts w:ascii="Times New Roman" w:hAnsi="Times New Roman" w:eastAsia="Times New Roman" w:cs="Times New Roman"/>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3"/>
                <w:sz w:val="24"/>
                <w:szCs w:val="24"/>
                <w14:textFill>
                  <w14:solidFill>
                    <w14:schemeClr w14:val="tx1"/>
                  </w14:solidFill>
                </w14:textFill>
              </w:rPr>
              <w:t>F</w:t>
            </w:r>
            <w:r>
              <w:rPr>
                <w:rFonts w:ascii="Times New Roman" w:hAnsi="Times New Roman" w:eastAsia="Times New Roman" w:cs="Times New Roman"/>
                <w:color w:val="000000" w:themeColor="text1"/>
                <w:position w:val="2"/>
                <w:sz w:val="24"/>
                <w:szCs w:val="24"/>
                <w14:textFill>
                  <w14:solidFill>
                    <w14:schemeClr w14:val="tx1"/>
                  </w14:solidFill>
                </w14:textFill>
              </w:rPr>
              <w:t>fr</w:t>
            </w:r>
            <w:r>
              <w:rPr>
                <w:color w:val="000000" w:themeColor="text1"/>
                <w:position w:val="3"/>
                <w:sz w:val="24"/>
                <w:szCs w:val="24"/>
                <w14:textFill>
                  <w14:solidFill>
                    <w14:schemeClr w14:val="tx1"/>
                  </w14:solidFill>
                </w14:textFill>
              </w:rPr>
              <w:t>——浮盘附件总损耗系数，</w:t>
            </w:r>
            <w:r>
              <w:rPr>
                <w:rFonts w:ascii="Times New Roman" w:hAnsi="Times New Roman" w:eastAsia="Times New Roman" w:cs="Times New Roman"/>
                <w:color w:val="000000" w:themeColor="text1"/>
                <w:position w:val="3"/>
                <w:sz w:val="24"/>
                <w:szCs w:val="24"/>
                <w14:textFill>
                  <w14:solidFill>
                    <w14:schemeClr w14:val="tx1"/>
                  </w14:solidFill>
                </w14:textFill>
              </w:rPr>
              <w:t>kg-moles/a;</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60"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3"/>
                <w:sz w:val="24"/>
                <w:szCs w:val="24"/>
                <w14:textFill>
                  <w14:solidFill>
                    <w14:schemeClr w14:val="tx1"/>
                  </w14:solidFill>
                </w14:textFill>
              </w:rPr>
              <w:t>F</w:t>
            </w:r>
            <w:r>
              <w:rPr>
                <w:rFonts w:ascii="Times New Roman" w:hAnsi="Times New Roman" w:eastAsia="Times New Roman" w:cs="Times New Roman"/>
                <w:color w:val="000000" w:themeColor="text1"/>
                <w:position w:val="2"/>
                <w:sz w:val="24"/>
                <w:szCs w:val="24"/>
                <w14:textFill>
                  <w14:solidFill>
                    <w14:schemeClr w14:val="tx1"/>
                  </w14:solidFill>
                </w14:textFill>
              </w:rPr>
              <w:t>d</w:t>
            </w:r>
            <w:r>
              <w:rPr>
                <w:color w:val="000000" w:themeColor="text1"/>
                <w:position w:val="3"/>
                <w:sz w:val="24"/>
                <w:szCs w:val="24"/>
                <w14:textFill>
                  <w14:solidFill>
                    <w14:schemeClr w14:val="tx1"/>
                  </w14:solidFill>
                </w14:textFill>
              </w:rPr>
              <w:t>——浮盘顶板接缝总损耗系数，</w:t>
            </w:r>
            <w:r>
              <w:rPr>
                <w:rFonts w:ascii="Times New Roman" w:hAnsi="Times New Roman" w:eastAsia="Times New Roman" w:cs="Times New Roman"/>
                <w:color w:val="000000" w:themeColor="text1"/>
                <w:position w:val="3"/>
                <w:sz w:val="24"/>
                <w:szCs w:val="24"/>
                <w14:textFill>
                  <w14:solidFill>
                    <w14:schemeClr w14:val="tx1"/>
                  </w14:solidFill>
                </w14:textFill>
              </w:rPr>
              <w:t>kg-moles</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/a</w:t>
            </w:r>
            <w:r>
              <w:rPr>
                <w:color w:val="000000" w:themeColor="text1"/>
                <w:spacing w:val="-1"/>
                <w:position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44" w:firstLineChars="400"/>
              <w:jc w:val="both"/>
              <w:rPr>
                <w:rFonts w:ascii="Times New Roman" w:hAnsi="Times New Roman" w:eastAsia="Times New Roman" w:cs="Times New Roman"/>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2"/>
                <w:position w:val="2"/>
                <w:sz w:val="24"/>
                <w:szCs w:val="24"/>
                <w14:textFill>
                  <w14:solidFill>
                    <w14:schemeClr w14:val="tx1"/>
                  </w14:solidFill>
                </w14:textFill>
              </w:rPr>
              <w:t>P</w:t>
            </w:r>
            <w:r>
              <w:rPr>
                <w:rFonts w:ascii="Times New Roman" w:hAnsi="Times New Roman" w:eastAsia="Times New Roman" w:cs="Times New Roman"/>
                <w:color w:val="000000" w:themeColor="text1"/>
                <w:spacing w:val="-2"/>
                <w:position w:val="10"/>
                <w:sz w:val="24"/>
                <w:szCs w:val="24"/>
                <w14:textFill>
                  <w14:solidFill>
                    <w14:schemeClr w14:val="tx1"/>
                  </w14:solidFill>
                </w14:textFill>
              </w:rPr>
              <w:t>*</w:t>
            </w:r>
            <w:r>
              <w:rPr>
                <w:color w:val="000000" w:themeColor="text1"/>
                <w:spacing w:val="-2"/>
                <w:position w:val="2"/>
                <w:sz w:val="24"/>
                <w:szCs w:val="24"/>
                <w14:textFill>
                  <w14:solidFill>
                    <w14:schemeClr w14:val="tx1"/>
                  </w14:solidFill>
                </w14:textFill>
              </w:rPr>
              <w:t>——蒸气压函数，无量纲；汽油取</w:t>
            </w:r>
            <w:r>
              <w:rPr>
                <w:color w:val="000000" w:themeColor="text1"/>
                <w:spacing w:val="-36"/>
                <w:position w:val="2"/>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2"/>
                <w:position w:val="2"/>
                <w:sz w:val="24"/>
                <w:szCs w:val="24"/>
                <w14:textFill>
                  <w14:solidFill>
                    <w14:schemeClr w14:val="tx1"/>
                  </w14:solidFill>
                </w14:textFill>
              </w:rPr>
              <w:t>0.135</w:t>
            </w:r>
            <w:r>
              <w:rPr>
                <w:rFonts w:ascii="Times New Roman" w:hAnsi="Times New Roman" w:eastAsia="Times New Roman" w:cs="Times New Roman"/>
                <w:color w:val="000000" w:themeColor="text1"/>
                <w:spacing w:val="-34"/>
                <w:position w:val="2"/>
                <w:sz w:val="24"/>
                <w:szCs w:val="24"/>
                <w14:textFill>
                  <w14:solidFill>
                    <w14:schemeClr w14:val="tx1"/>
                  </w14:solidFill>
                </w14:textFill>
              </w:rPr>
              <w:t xml:space="preserve"> </w:t>
            </w:r>
            <w:r>
              <w:rPr>
                <w:color w:val="000000" w:themeColor="text1"/>
                <w:spacing w:val="-2"/>
                <w:position w:val="2"/>
                <w:sz w:val="24"/>
                <w:szCs w:val="24"/>
                <w14:textFill>
                  <w14:solidFill>
                    <w14:schemeClr w14:val="tx1"/>
                  </w14:solidFill>
                </w14:textFill>
              </w:rPr>
              <w:t>、柴油取</w:t>
            </w:r>
            <w:r>
              <w:rPr>
                <w:color w:val="000000" w:themeColor="text1"/>
                <w:spacing w:val="-51"/>
                <w:position w:val="2"/>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2"/>
                <w:position w:val="2"/>
                <w:sz w:val="24"/>
                <w:szCs w:val="24"/>
                <w14:textFill>
                  <w14:solidFill>
                    <w14:schemeClr w14:val="tx1"/>
                  </w14:solidFill>
                </w14:textFill>
              </w:rPr>
              <w:t>0.008</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44"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2"/>
                <w:sz w:val="24"/>
                <w:szCs w:val="24"/>
                <w14:textFill>
                  <w14:solidFill>
                    <w14:schemeClr w14:val="tx1"/>
                  </w14:solidFill>
                </w14:textFill>
              </w:rPr>
              <w:t>P</w:t>
            </w:r>
            <w:r>
              <w:rPr>
                <w:color w:val="000000" w:themeColor="text1"/>
                <w:spacing w:val="-2"/>
                <w:sz w:val="24"/>
                <w:szCs w:val="24"/>
                <w14:textFill>
                  <w14:solidFill>
                    <w14:schemeClr w14:val="tx1"/>
                  </w14:solidFill>
                </w14:textFill>
              </w:rPr>
              <w:t>——罐内介质平均储存温度下的气相压力，</w:t>
            </w:r>
            <w:r>
              <w:rPr>
                <w:rFonts w:ascii="Times New Roman" w:hAnsi="Times New Roman" w:eastAsia="Times New Roman" w:cs="Times New Roman"/>
                <w:color w:val="000000" w:themeColor="text1"/>
                <w:spacing w:val="-2"/>
                <w:sz w:val="24"/>
                <w:szCs w:val="24"/>
                <w14:textFill>
                  <w14:solidFill>
                    <w14:schemeClr w14:val="tx1"/>
                  </w14:solidFill>
                </w14:textFill>
              </w:rPr>
              <w:t>kPa</w:t>
            </w:r>
            <w:r>
              <w:rPr>
                <w:rFonts w:ascii="Times New Roman" w:hAnsi="Times New Roman" w:eastAsia="Times New Roman" w:cs="Times New Roman"/>
                <w:color w:val="000000" w:themeColor="text1"/>
                <w:spacing w:val="-17"/>
                <w:sz w:val="24"/>
                <w:szCs w:val="24"/>
                <w14:textFill>
                  <w14:solidFill>
                    <w14:schemeClr w14:val="tx1"/>
                  </w14:solidFill>
                </w14:textFill>
              </w:rPr>
              <w:t xml:space="preserve"> </w:t>
            </w:r>
            <w:r>
              <w:rPr>
                <w:color w:val="000000" w:themeColor="text1"/>
                <w:spacing w:val="-2"/>
                <w:sz w:val="24"/>
                <w:szCs w:val="24"/>
                <w14:textFill>
                  <w14:solidFill>
                    <w14:schemeClr w14:val="tx1"/>
                  </w14:solidFill>
                </w14:textFill>
              </w:rPr>
              <w:t>，按式（</w:t>
            </w:r>
            <w:r>
              <w:rPr>
                <w:rFonts w:ascii="Times New Roman" w:hAnsi="Times New Roman" w:eastAsia="Times New Roman" w:cs="Times New Roman"/>
                <w:color w:val="000000" w:themeColor="text1"/>
                <w:spacing w:val="-2"/>
                <w:sz w:val="24"/>
                <w:szCs w:val="24"/>
                <w14:textFill>
                  <w14:solidFill>
                    <w14:schemeClr w14:val="tx1"/>
                  </w14:solidFill>
                </w14:textFill>
              </w:rPr>
              <w:t>A.0.2-9</w:t>
            </w:r>
            <w:r>
              <w:rPr>
                <w:color w:val="000000" w:themeColor="text1"/>
                <w:spacing w:val="-2"/>
                <w:sz w:val="24"/>
                <w:szCs w:val="24"/>
                <w14:textFill>
                  <w14:solidFill>
                    <w14:schemeClr w14:val="tx1"/>
                  </w14:solidFill>
                </w14:textFill>
              </w:rPr>
              <w:t>）</w:t>
            </w:r>
            <w:r>
              <w:rPr>
                <w:color w:val="000000" w:themeColor="text1"/>
                <w:sz w:val="24"/>
                <w:szCs w:val="24"/>
                <w14:textFill>
                  <w14:solidFill>
                    <w14:schemeClr w14:val="tx1"/>
                  </w14:solidFill>
                </w14:textFill>
              </w:rPr>
              <w:t xml:space="preserve"> 计算，式中液体温度按表</w:t>
            </w:r>
            <w:r>
              <w:rPr>
                <w:color w:val="000000" w:themeColor="text1"/>
                <w:spacing w:val="-58"/>
                <w:sz w:val="24"/>
                <w:szCs w:val="24"/>
                <w14:textFill>
                  <w14:solidFill>
                    <w14:schemeClr w14:val="tx1"/>
                  </w14:solidFill>
                </w14:textFill>
              </w:rPr>
              <w:t xml:space="preserve"> </w:t>
            </w:r>
            <w:r>
              <w:rPr>
                <w:rFonts w:ascii="Times New Roman" w:hAnsi="Times New Roman" w:eastAsia="Times New Roman" w:cs="Times New Roman"/>
                <w:color w:val="000000" w:themeColor="text1"/>
                <w:sz w:val="24"/>
                <w:szCs w:val="24"/>
                <w14:textFill>
                  <w14:solidFill>
                    <w14:schemeClr w14:val="tx1"/>
                  </w14:solidFill>
                </w14:textFill>
              </w:rPr>
              <w:t xml:space="preserve">A.0.2-5 </w:t>
            </w:r>
            <w:r>
              <w:rPr>
                <w:color w:val="000000" w:themeColor="text1"/>
                <w:sz w:val="24"/>
                <w:szCs w:val="24"/>
                <w14:textFill>
                  <w14:solidFill>
                    <w14:schemeClr w14:val="tx1"/>
                  </w14:solidFill>
                </w14:textFill>
              </w:rPr>
              <w:t>取值，</w:t>
            </w:r>
            <w:r>
              <w:rPr>
                <w:color w:val="000000" w:themeColor="text1"/>
                <w:spacing w:val="-1"/>
                <w:sz w:val="24"/>
                <w:szCs w:val="24"/>
                <w14:textFill>
                  <w14:solidFill>
                    <w14:schemeClr w14:val="tx1"/>
                  </w14:solidFill>
                </w14:textFill>
              </w:rPr>
              <w:t>其他参数的计算方法同上；</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52"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1"/>
                <w:position w:val="3"/>
                <w:sz w:val="24"/>
                <w:szCs w:val="24"/>
                <w14:textFill>
                  <w14:solidFill>
                    <w14:schemeClr w14:val="tx1"/>
                  </w14:solidFill>
                </w14:textFill>
              </w:rPr>
              <w:t>Mv</w:t>
            </w:r>
            <w:r>
              <w:rPr>
                <w:color w:val="000000" w:themeColor="text1"/>
                <w:spacing w:val="-1"/>
                <w:position w:val="3"/>
                <w:sz w:val="24"/>
                <w:szCs w:val="24"/>
                <w14:textFill>
                  <w14:solidFill>
                    <w14:schemeClr w14:val="tx1"/>
                  </w14:solidFill>
                </w14:textFill>
              </w:rPr>
              <w:t>——油气分子量，</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kg/kg-moles</w:t>
            </w:r>
            <w:r>
              <w:rPr>
                <w:color w:val="000000" w:themeColor="text1"/>
                <w:spacing w:val="-1"/>
                <w:position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60"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2"/>
                <w:sz w:val="24"/>
                <w:szCs w:val="24"/>
                <w14:textFill>
                  <w14:solidFill>
                    <w14:schemeClr w14:val="tx1"/>
                  </w14:solidFill>
                </w14:textFill>
              </w:rPr>
              <w:t>K</w:t>
            </w:r>
            <w:r>
              <w:rPr>
                <w:rFonts w:ascii="Times New Roman" w:hAnsi="Times New Roman" w:eastAsia="Times New Roman" w:cs="Times New Roman"/>
                <w:color w:val="000000" w:themeColor="text1"/>
                <w:position w:val="1"/>
                <w:sz w:val="24"/>
                <w:szCs w:val="24"/>
                <w14:textFill>
                  <w14:solidFill>
                    <w14:schemeClr w14:val="tx1"/>
                  </w14:solidFill>
                </w14:textFill>
              </w:rPr>
              <w:t>c</w:t>
            </w:r>
            <w:r>
              <w:rPr>
                <w:color w:val="000000" w:themeColor="text1"/>
                <w:spacing w:val="2"/>
                <w:position w:val="2"/>
                <w:sz w:val="24"/>
                <w:szCs w:val="24"/>
                <w14:textFill>
                  <w14:solidFill>
                    <w14:schemeClr w14:val="tx1"/>
                  </w14:solidFill>
                </w14:textFill>
              </w:rPr>
              <w:t>——产品系数，无量纲，炼油产品和单组分物料取</w:t>
            </w:r>
            <w:r>
              <w:rPr>
                <w:color w:val="000000" w:themeColor="text1"/>
                <w:spacing w:val="-10"/>
                <w:position w:val="2"/>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2"/>
                <w:position w:val="2"/>
                <w:sz w:val="24"/>
                <w:szCs w:val="24"/>
                <w14:textFill>
                  <w14:solidFill>
                    <w14:schemeClr w14:val="tx1"/>
                  </w14:solidFill>
                </w14:textFill>
              </w:rPr>
              <w:t>1.0</w:t>
            </w:r>
            <w:r>
              <w:rPr>
                <w:rFonts w:ascii="Times New Roman" w:hAnsi="Times New Roman" w:eastAsia="Times New Roman" w:cs="Times New Roman"/>
                <w:color w:val="000000" w:themeColor="text1"/>
                <w:spacing w:val="-27"/>
                <w:position w:val="2"/>
                <w:sz w:val="24"/>
                <w:szCs w:val="24"/>
                <w14:textFill>
                  <w14:solidFill>
                    <w14:schemeClr w14:val="tx1"/>
                  </w14:solidFill>
                </w14:textFill>
              </w:rPr>
              <w:t xml:space="preserve"> </w:t>
            </w:r>
            <w:r>
              <w:rPr>
                <w:color w:val="000000" w:themeColor="text1"/>
                <w:spacing w:val="2"/>
                <w:position w:val="2"/>
                <w:sz w:val="24"/>
                <w:szCs w:val="24"/>
                <w14:textFill>
                  <w14:solidFill>
                    <w14:schemeClr w14:val="tx1"/>
                  </w14:solidFill>
                </w14:textFill>
              </w:rPr>
              <w:t>，原油取</w:t>
            </w:r>
            <w:r>
              <w:rPr>
                <w:rFonts w:ascii="Times New Roman" w:hAnsi="Times New Roman" w:eastAsia="Times New Roman" w:cs="Times New Roman"/>
                <w:color w:val="000000" w:themeColor="text1"/>
                <w:spacing w:val="-3"/>
                <w:position w:val="4"/>
                <w:sz w:val="24"/>
                <w:szCs w:val="24"/>
                <w14:textFill>
                  <w14:solidFill>
                    <w14:schemeClr w14:val="tx1"/>
                  </w14:solidFill>
                </w14:textFill>
              </w:rPr>
              <w:t>0.4</w:t>
            </w:r>
            <w:r>
              <w:rPr>
                <w:color w:val="000000" w:themeColor="text1"/>
                <w:spacing w:val="-3"/>
                <w:position w:val="4"/>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60" w:firstLineChars="400"/>
              <w:jc w:val="both"/>
              <w:rPr>
                <w:rFonts w:ascii="Times New Roman" w:hAnsi="Times New Roman" w:eastAsia="Times New Roman" w:cs="Times New Roman"/>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3"/>
                <w:sz w:val="24"/>
                <w:szCs w:val="24"/>
                <w14:textFill>
                  <w14:solidFill>
                    <w14:schemeClr w14:val="tx1"/>
                  </w14:solidFill>
                </w14:textFill>
              </w:rPr>
              <w:t>K</w:t>
            </w:r>
            <w:r>
              <w:rPr>
                <w:rFonts w:ascii="Times New Roman" w:hAnsi="Times New Roman" w:eastAsia="Times New Roman" w:cs="Times New Roman"/>
                <w:color w:val="000000" w:themeColor="text1"/>
                <w:position w:val="2"/>
                <w:sz w:val="24"/>
                <w:szCs w:val="24"/>
                <w14:textFill>
                  <w14:solidFill>
                    <w14:schemeClr w14:val="tx1"/>
                  </w14:solidFill>
                </w14:textFill>
              </w:rPr>
              <w:t>r</w:t>
            </w:r>
            <w:r>
              <w:rPr>
                <w:color w:val="000000" w:themeColor="text1"/>
                <w:position w:val="3"/>
                <w:sz w:val="24"/>
                <w:szCs w:val="24"/>
                <w14:textFill>
                  <w14:solidFill>
                    <w14:schemeClr w14:val="tx1"/>
                  </w14:solidFill>
                </w14:textFill>
              </w:rPr>
              <w:t>——密封损耗系数，</w:t>
            </w:r>
            <w:r>
              <w:rPr>
                <w:rFonts w:ascii="Times New Roman" w:hAnsi="Times New Roman" w:eastAsia="Times New Roman" w:cs="Times New Roman"/>
                <w:color w:val="000000" w:themeColor="text1"/>
                <w:position w:val="3"/>
                <w:sz w:val="24"/>
                <w:szCs w:val="24"/>
                <w14:textFill>
                  <w14:solidFill>
                    <w14:schemeClr w14:val="tx1"/>
                  </w14:solidFill>
                </w14:textFill>
              </w:rPr>
              <w:t>kg-moles/(</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m-a);</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36"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3"/>
                <w:position w:val="3"/>
                <w:sz w:val="24"/>
                <w:szCs w:val="24"/>
                <w14:textFill>
                  <w14:solidFill>
                    <w14:schemeClr w14:val="tx1"/>
                  </w14:solidFill>
                </w14:textFill>
              </w:rPr>
              <w:t>K</w:t>
            </w:r>
            <w:r>
              <w:rPr>
                <w:rFonts w:ascii="Times New Roman" w:hAnsi="Times New Roman" w:eastAsia="Times New Roman" w:cs="Times New Roman"/>
                <w:color w:val="000000" w:themeColor="text1"/>
                <w:spacing w:val="-3"/>
                <w:position w:val="2"/>
                <w:sz w:val="24"/>
                <w:szCs w:val="24"/>
                <w14:textFill>
                  <w14:solidFill>
                    <w14:schemeClr w14:val="tx1"/>
                  </w14:solidFill>
                </w14:textFill>
              </w:rPr>
              <w:t>ra</w:t>
            </w:r>
            <w:r>
              <w:rPr>
                <w:color w:val="000000" w:themeColor="text1"/>
                <w:spacing w:val="-3"/>
                <w:position w:val="3"/>
                <w:sz w:val="24"/>
                <w:szCs w:val="24"/>
                <w14:textFill>
                  <w14:solidFill>
                    <w14:schemeClr w14:val="tx1"/>
                  </w14:solidFill>
                </w14:textFill>
              </w:rPr>
              <w:t>——零风速密封损耗系数，</w:t>
            </w:r>
            <w:r>
              <w:rPr>
                <w:rFonts w:ascii="Times New Roman" w:hAnsi="Times New Roman" w:eastAsia="Times New Roman" w:cs="Times New Roman"/>
                <w:color w:val="000000" w:themeColor="text1"/>
                <w:spacing w:val="-3"/>
                <w:position w:val="3"/>
                <w:sz w:val="24"/>
                <w:szCs w:val="24"/>
                <w14:textFill>
                  <w14:solidFill>
                    <w14:schemeClr w14:val="tx1"/>
                  </w14:solidFill>
                </w14:textFill>
              </w:rPr>
              <w:t>kg-moles/(m</w:t>
            </w:r>
            <w:r>
              <w:rPr>
                <w:color w:val="000000" w:themeColor="text1"/>
                <w:spacing w:val="-3"/>
                <w:position w:val="3"/>
                <w:sz w:val="24"/>
                <w:szCs w:val="24"/>
                <w14:textFill>
                  <w14:solidFill>
                    <w14:schemeClr w14:val="tx1"/>
                  </w14:solidFill>
                </w14:textFill>
              </w:rPr>
              <w:t>·</w:t>
            </w:r>
            <w:r>
              <w:rPr>
                <w:rFonts w:ascii="Times New Roman" w:hAnsi="Times New Roman" w:eastAsia="Times New Roman" w:cs="Times New Roman"/>
                <w:color w:val="000000" w:themeColor="text1"/>
                <w:spacing w:val="-3"/>
                <w:position w:val="3"/>
                <w:sz w:val="24"/>
                <w:szCs w:val="24"/>
                <w14:textFill>
                  <w14:solidFill>
                    <w14:schemeClr w14:val="tx1"/>
                  </w14:solidFill>
                </w14:textFill>
              </w:rPr>
              <w:t>a)</w:t>
            </w:r>
            <w:r>
              <w:rPr>
                <w:color w:val="000000" w:themeColor="text1"/>
                <w:spacing w:val="-3"/>
                <w:position w:val="3"/>
                <w:sz w:val="24"/>
                <w:szCs w:val="24"/>
                <w14:textFill>
                  <w14:solidFill>
                    <w14:schemeClr w14:val="tx1"/>
                  </w14:solidFill>
                </w14:textFill>
              </w:rPr>
              <w:t>；取值</w:t>
            </w:r>
            <w:r>
              <w:rPr>
                <w:rFonts w:ascii="Times New Roman" w:hAnsi="Times New Roman" w:eastAsia="Times New Roman" w:cs="Times New Roman"/>
                <w:color w:val="000000" w:themeColor="text1"/>
                <w:spacing w:val="-3"/>
                <w:position w:val="3"/>
                <w:sz w:val="24"/>
                <w:szCs w:val="24"/>
                <w14:textFill>
                  <w14:solidFill>
                    <w14:schemeClr w14:val="tx1"/>
                  </w14:solidFill>
                </w14:textFill>
              </w:rPr>
              <w:t>0.6</w:t>
            </w:r>
            <w:r>
              <w:rPr>
                <w:color w:val="000000" w:themeColor="text1"/>
                <w:spacing w:val="-3"/>
                <w:position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960" w:leftChars="400" w:right="0" w:firstLine="0" w:firstLineChars="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5"/>
                <w:sz w:val="24"/>
                <w:szCs w:val="24"/>
                <w14:textFill>
                  <w14:solidFill>
                    <w14:schemeClr w14:val="tx1"/>
                  </w14:solidFill>
                </w14:textFill>
              </w:rPr>
              <w:t>K</w:t>
            </w:r>
            <w:r>
              <w:rPr>
                <w:rFonts w:ascii="Times New Roman" w:hAnsi="Times New Roman" w:eastAsia="Times New Roman" w:cs="Times New Roman"/>
                <w:color w:val="000000" w:themeColor="text1"/>
                <w:spacing w:val="-5"/>
                <w:position w:val="-1"/>
                <w:sz w:val="24"/>
                <w:szCs w:val="24"/>
                <w14:textFill>
                  <w14:solidFill>
                    <w14:schemeClr w14:val="tx1"/>
                  </w14:solidFill>
                </w14:textFill>
              </w:rPr>
              <w:t>rb</w:t>
            </w:r>
            <w:r>
              <w:rPr>
                <w:color w:val="000000" w:themeColor="text1"/>
                <w:spacing w:val="-5"/>
                <w:sz w:val="24"/>
                <w:szCs w:val="24"/>
                <w14:textFill>
                  <w14:solidFill>
                    <w14:schemeClr w14:val="tx1"/>
                  </w14:solidFill>
                </w14:textFill>
              </w:rPr>
              <w:t>——与风速有关密封损耗系数，</w:t>
            </w:r>
            <w:r>
              <w:rPr>
                <w:rFonts w:ascii="Times New Roman" w:hAnsi="Times New Roman" w:eastAsia="Times New Roman" w:cs="Times New Roman"/>
                <w:color w:val="000000" w:themeColor="text1"/>
                <w:spacing w:val="-5"/>
                <w:sz w:val="24"/>
                <w:szCs w:val="24"/>
                <w14:textFill>
                  <w14:solidFill>
                    <w14:schemeClr w14:val="tx1"/>
                  </w14:solidFill>
                </w14:textFill>
              </w:rPr>
              <w:t>kg-moles/(m/s)</w:t>
            </w:r>
            <w:r>
              <w:rPr>
                <w:color w:val="000000" w:themeColor="text1"/>
                <w:spacing w:val="-5"/>
                <w:sz w:val="24"/>
                <w:szCs w:val="24"/>
                <w14:textFill>
                  <w14:solidFill>
                    <w14:schemeClr w14:val="tx1"/>
                  </w14:solidFill>
                </w14:textFill>
              </w:rPr>
              <w:t>·</w:t>
            </w:r>
            <w:r>
              <w:rPr>
                <w:rFonts w:ascii="Times New Roman" w:hAnsi="Times New Roman" w:eastAsia="Times New Roman" w:cs="Times New Roman"/>
                <w:color w:val="000000" w:themeColor="text1"/>
                <w:spacing w:val="-5"/>
                <w:sz w:val="24"/>
                <w:szCs w:val="24"/>
                <w14:textFill>
                  <w14:solidFill>
                    <w14:schemeClr w14:val="tx1"/>
                  </w14:solidFill>
                </w14:textFill>
              </w:rPr>
              <w:t>m-a</w:t>
            </w:r>
            <w:r>
              <w:rPr>
                <w:color w:val="000000" w:themeColor="text1"/>
                <w:spacing w:val="-5"/>
                <w:sz w:val="24"/>
                <w:szCs w:val="24"/>
                <w14:textFill>
                  <w14:solidFill>
                    <w14:schemeClr w14:val="tx1"/>
                  </w14:solidFill>
                </w14:textFill>
              </w:rPr>
              <w:t>，取值</w:t>
            </w:r>
            <w:r>
              <w:rPr>
                <w:rFonts w:ascii="Times New Roman" w:hAnsi="Times New Roman" w:eastAsia="Times New Roman" w:cs="Times New Roman"/>
                <w:color w:val="000000" w:themeColor="text1"/>
                <w:spacing w:val="-5"/>
                <w:sz w:val="24"/>
                <w:szCs w:val="24"/>
                <w14:textFill>
                  <w14:solidFill>
                    <w14:schemeClr w14:val="tx1"/>
                  </w14:solidFill>
                </w14:textFill>
              </w:rPr>
              <w:t>1.3</w:t>
            </w:r>
            <w:r>
              <w:rPr>
                <w:color w:val="000000" w:themeColor="text1"/>
                <w:spacing w:val="-5"/>
                <w:sz w:val="24"/>
                <w:szCs w:val="24"/>
                <w14:textFill>
                  <w14:solidFill>
                    <w14:schemeClr w14:val="tx1"/>
                  </w14:solidFill>
                </w14:textFill>
              </w:rPr>
              <w:t>；</w:t>
            </w:r>
            <w:r>
              <w:rPr>
                <w:rFonts w:ascii="Times New Roman" w:hAnsi="Times New Roman" w:eastAsia="Times New Roman" w:cs="Times New Roman"/>
                <w:color w:val="000000" w:themeColor="text1"/>
                <w:spacing w:val="-2"/>
                <w:sz w:val="24"/>
                <w:szCs w:val="24"/>
                <w14:textFill>
                  <w14:solidFill>
                    <w14:schemeClr w14:val="tx1"/>
                  </w14:solidFill>
                </w14:textFill>
              </w:rPr>
              <w:t>V</w:t>
            </w:r>
            <w:r>
              <w:rPr>
                <w:color w:val="000000" w:themeColor="text1"/>
                <w:spacing w:val="-2"/>
                <w:sz w:val="24"/>
                <w:szCs w:val="24"/>
                <w14:textFill>
                  <w14:solidFill>
                    <w14:schemeClr w14:val="tx1"/>
                  </w14:solidFill>
                </w14:textFill>
              </w:rPr>
              <w:t>——平均风速，</w:t>
            </w:r>
            <w:r>
              <w:rPr>
                <w:rFonts w:ascii="Times New Roman" w:hAnsi="Times New Roman" w:eastAsia="Times New Roman" w:cs="Times New Roman"/>
                <w:color w:val="000000" w:themeColor="text1"/>
                <w:spacing w:val="-2"/>
                <w:sz w:val="24"/>
                <w:szCs w:val="24"/>
                <w14:textFill>
                  <w14:solidFill>
                    <w14:schemeClr w14:val="tx1"/>
                  </w14:solidFill>
                </w14:textFill>
              </w:rPr>
              <w:t>m/s</w:t>
            </w:r>
            <w:r>
              <w:rPr>
                <w:rFonts w:ascii="Times New Roman" w:hAnsi="Times New Roman" w:eastAsia="Times New Roman" w:cs="Times New Roman"/>
                <w:color w:val="000000" w:themeColor="text1"/>
                <w:spacing w:val="-27"/>
                <w:sz w:val="24"/>
                <w:szCs w:val="24"/>
                <w14:textFill>
                  <w14:solidFill>
                    <w14:schemeClr w14:val="tx1"/>
                  </w14:solidFill>
                </w14:textFill>
              </w:rPr>
              <w:t xml:space="preserve"> </w:t>
            </w:r>
            <w:r>
              <w:rPr>
                <w:color w:val="000000" w:themeColor="text1"/>
                <w:spacing w:val="-2"/>
                <w:sz w:val="24"/>
                <w:szCs w:val="24"/>
                <w14:textFill>
                  <w14:solidFill>
                    <w14:schemeClr w14:val="tx1"/>
                  </w14:solidFill>
                </w14:textFill>
              </w:rPr>
              <w:t>，内浮顶罐</w:t>
            </w:r>
            <w:r>
              <w:rPr>
                <w:color w:val="000000" w:themeColor="text1"/>
                <w:spacing w:val="-57"/>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2"/>
                <w:sz w:val="24"/>
                <w:szCs w:val="24"/>
                <w14:textFill>
                  <w14:solidFill>
                    <w14:schemeClr w14:val="tx1"/>
                  </w14:solidFill>
                </w14:textFill>
              </w:rPr>
              <w:t>V=0</w:t>
            </w:r>
            <w:r>
              <w:rPr>
                <w:color w:val="000000" w:themeColor="text1"/>
                <w:spacing w:val="-2"/>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44"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2"/>
                <w:position w:val="2"/>
                <w:sz w:val="24"/>
                <w:szCs w:val="24"/>
                <w14:textFill>
                  <w14:solidFill>
                    <w14:schemeClr w14:val="tx1"/>
                  </w14:solidFill>
                </w14:textFill>
              </w:rPr>
              <w:t>n</w:t>
            </w:r>
            <w:r>
              <w:rPr>
                <w:color w:val="000000" w:themeColor="text1"/>
                <w:spacing w:val="-2"/>
                <w:position w:val="2"/>
                <w:sz w:val="24"/>
                <w:szCs w:val="24"/>
                <w14:textFill>
                  <w14:solidFill>
                    <w14:schemeClr w14:val="tx1"/>
                  </w14:solidFill>
                </w14:textFill>
              </w:rPr>
              <w:t>——与密封有关的风速指数，取值</w:t>
            </w:r>
            <w:r>
              <w:rPr>
                <w:color w:val="000000" w:themeColor="text1"/>
                <w:spacing w:val="-27"/>
                <w:position w:val="2"/>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2"/>
                <w:position w:val="2"/>
                <w:sz w:val="24"/>
                <w:szCs w:val="24"/>
                <w14:textFill>
                  <w14:solidFill>
                    <w14:schemeClr w14:val="tx1"/>
                  </w14:solidFill>
                </w14:textFill>
              </w:rPr>
              <w:t>1</w:t>
            </w:r>
            <w:r>
              <w:rPr>
                <w:color w:val="000000" w:themeColor="text1"/>
                <w:spacing w:val="-2"/>
                <w:position w:val="2"/>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52"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1"/>
                <w:position w:val="3"/>
                <w:sz w:val="24"/>
                <w:szCs w:val="24"/>
                <w14:textFill>
                  <w14:solidFill>
                    <w14:schemeClr w14:val="tx1"/>
                  </w14:solidFill>
                </w14:textFill>
              </w:rPr>
              <w:t>K</w:t>
            </w:r>
            <w:r>
              <w:rPr>
                <w:rFonts w:ascii="Times New Roman" w:hAnsi="Times New Roman" w:eastAsia="Times New Roman" w:cs="Times New Roman"/>
                <w:color w:val="000000" w:themeColor="text1"/>
                <w:spacing w:val="-1"/>
                <w:position w:val="2"/>
                <w:sz w:val="24"/>
                <w:szCs w:val="24"/>
                <w14:textFill>
                  <w14:solidFill>
                    <w14:schemeClr w14:val="tx1"/>
                  </w14:solidFill>
                </w14:textFill>
              </w:rPr>
              <w:t>fai</w:t>
            </w:r>
            <w:r>
              <w:rPr>
                <w:color w:val="000000" w:themeColor="text1"/>
                <w:spacing w:val="-1"/>
                <w:position w:val="3"/>
                <w:sz w:val="24"/>
                <w:szCs w:val="24"/>
                <w14:textFill>
                  <w14:solidFill>
                    <w14:schemeClr w14:val="tx1"/>
                  </w14:solidFill>
                </w14:textFill>
              </w:rPr>
              <w:t>——零风速浮盘附件损耗系数，</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kg-moles/a</w:t>
            </w:r>
            <w:r>
              <w:rPr>
                <w:rFonts w:ascii="Times New Roman" w:hAnsi="Times New Roman" w:eastAsia="Times New Roman" w:cs="Times New Roman"/>
                <w:color w:val="000000" w:themeColor="text1"/>
                <w:spacing w:val="-24"/>
                <w:position w:val="3"/>
                <w:sz w:val="24"/>
                <w:szCs w:val="24"/>
                <w14:textFill>
                  <w14:solidFill>
                    <w14:schemeClr w14:val="tx1"/>
                  </w14:solidFill>
                </w14:textFill>
              </w:rPr>
              <w:t xml:space="preserve"> </w:t>
            </w:r>
            <w:r>
              <w:rPr>
                <w:color w:val="000000" w:themeColor="text1"/>
                <w:spacing w:val="-1"/>
                <w:position w:val="3"/>
                <w:sz w:val="24"/>
                <w:szCs w:val="24"/>
                <w14:textFill>
                  <w14:solidFill>
                    <w14:schemeClr w14:val="tx1"/>
                  </w14:solidFill>
                </w14:textFill>
              </w:rPr>
              <w:t>，见表</w:t>
            </w:r>
            <w:r>
              <w:rPr>
                <w:color w:val="000000" w:themeColor="text1"/>
                <w:spacing w:val="-58"/>
                <w:position w:val="3"/>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A.0.2-4</w:t>
            </w:r>
            <w:r>
              <w:rPr>
                <w:rFonts w:hint="eastAsia" w:ascii="Times New Roman" w:hAnsi="Times New Roman" w:eastAsia="宋体" w:cs="Times New Roman"/>
                <w:color w:val="000000" w:themeColor="text1"/>
                <w:spacing w:val="-1"/>
                <w:position w:val="3"/>
                <w:sz w:val="24"/>
                <w:szCs w:val="24"/>
                <w:lang w:eastAsia="zh-CN"/>
                <w14:textFill>
                  <w14:solidFill>
                    <w14:schemeClr w14:val="tx1"/>
                  </w14:solidFill>
                </w14:textFill>
              </w:rPr>
              <w:t>，</w:t>
            </w:r>
            <w:r>
              <w:rPr>
                <w:rFonts w:hint="eastAsia" w:ascii="Times New Roman" w:hAnsi="Times New Roman" w:eastAsia="宋体" w:cs="Times New Roman"/>
                <w:color w:val="000000" w:themeColor="text1"/>
                <w:spacing w:val="-1"/>
                <w:position w:val="3"/>
                <w:sz w:val="24"/>
                <w:szCs w:val="24"/>
                <w:lang w:val="en-US" w:eastAsia="zh-CN"/>
                <w14:textFill>
                  <w14:solidFill>
                    <w14:schemeClr w14:val="tx1"/>
                  </w14:solidFill>
                </w14:textFill>
              </w:rPr>
              <w:t>本项目附件类型为人孔、无螺栓、有垫圈盖板，取14.06</w:t>
            </w:r>
            <w:r>
              <w:rPr>
                <w:color w:val="000000" w:themeColor="text1"/>
                <w:spacing w:val="-1"/>
                <w:position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60"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z w:val="24"/>
                <w:szCs w:val="24"/>
                <w14:textFill>
                  <w14:solidFill>
                    <w14:schemeClr w14:val="tx1"/>
                  </w14:solidFill>
                </w14:textFill>
              </w:rPr>
              <w:t>K</w:t>
            </w:r>
            <w:r>
              <w:rPr>
                <w:rFonts w:ascii="Times New Roman" w:hAnsi="Times New Roman" w:eastAsia="Times New Roman" w:cs="Times New Roman"/>
                <w:color w:val="000000" w:themeColor="text1"/>
                <w:position w:val="-1"/>
                <w:sz w:val="24"/>
                <w:szCs w:val="24"/>
                <w14:textFill>
                  <w14:solidFill>
                    <w14:schemeClr w14:val="tx1"/>
                  </w14:solidFill>
                </w14:textFill>
              </w:rPr>
              <w:t>fbi</w:t>
            </w:r>
            <w:r>
              <w:rPr>
                <w:color w:val="000000" w:themeColor="text1"/>
                <w:spacing w:val="1"/>
                <w:sz w:val="24"/>
                <w:szCs w:val="24"/>
                <w14:textFill>
                  <w14:solidFill>
                    <w14:schemeClr w14:val="tx1"/>
                  </w14:solidFill>
                </w14:textFill>
              </w:rPr>
              <w:t>——与风速有关浮盘附件损耗系数，</w:t>
            </w:r>
            <w:r>
              <w:rPr>
                <w:rFonts w:ascii="Times New Roman" w:hAnsi="Times New Roman" w:eastAsia="Times New Roman" w:cs="Times New Roman"/>
                <w:color w:val="000000" w:themeColor="text1"/>
                <w:sz w:val="24"/>
                <w:szCs w:val="24"/>
                <w14:textFill>
                  <w14:solidFill>
                    <w14:schemeClr w14:val="tx1"/>
                  </w14:solidFill>
                </w14:textFill>
              </w:rPr>
              <w:t>kg</w:t>
            </w:r>
            <w:r>
              <w:rPr>
                <w:rFonts w:ascii="Times New Roman" w:hAnsi="Times New Roman" w:eastAsia="Times New Roman" w:cs="Times New Roman"/>
                <w:color w:val="000000" w:themeColor="text1"/>
                <w:spacing w:val="1"/>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moles</w:t>
            </w:r>
            <w:r>
              <w:rPr>
                <w:rFonts w:ascii="Times New Roman" w:hAnsi="Times New Roman" w:eastAsia="Times New Roman" w:cs="Times New Roman"/>
                <w:color w:val="000000" w:themeColor="text1"/>
                <w:spacing w:val="1"/>
                <w:sz w:val="24"/>
                <w:szCs w:val="24"/>
                <w14:textFill>
                  <w14:solidFill>
                    <w14:schemeClr w14:val="tx1"/>
                  </w14:solidFill>
                </w14:textFill>
              </w:rPr>
              <w:t>/(m/</w:t>
            </w:r>
            <w:r>
              <w:rPr>
                <w:rFonts w:ascii="Times New Roman" w:hAnsi="Times New Roman" w:eastAsia="Times New Roman" w:cs="Times New Roman"/>
                <w:color w:val="000000" w:themeColor="text1"/>
                <w:sz w:val="24"/>
                <w:szCs w:val="24"/>
                <w14:textFill>
                  <w14:solidFill>
                    <w14:schemeClr w14:val="tx1"/>
                  </w14:solidFill>
                </w14:textFill>
              </w:rPr>
              <w:t>s)</w:t>
            </w:r>
            <w:r>
              <w:rPr>
                <w:rFonts w:ascii="Times New Roman" w:hAnsi="Times New Roman" w:eastAsia="Times New Roman" w:cs="Times New Roman"/>
                <w:color w:val="000000" w:themeColor="text1"/>
                <w:position w:val="8"/>
                <w:sz w:val="24"/>
                <w:szCs w:val="24"/>
                <w14:textFill>
                  <w14:solidFill>
                    <w14:schemeClr w14:val="tx1"/>
                  </w14:solidFill>
                </w14:textFill>
              </w:rPr>
              <w:t>m</w:t>
            </w:r>
            <w:r>
              <w:rPr>
                <w:color w:val="000000" w:themeColor="text1"/>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a</w:t>
            </w:r>
            <w:r>
              <w:rPr>
                <w:rFonts w:ascii="Times New Roman" w:hAnsi="Times New Roman" w:eastAsia="Times New Roman" w:cs="Times New Roman"/>
                <w:color w:val="000000" w:themeColor="text1"/>
                <w:spacing w:val="-28"/>
                <w:sz w:val="24"/>
                <w:szCs w:val="24"/>
                <w14:textFill>
                  <w14:solidFill>
                    <w14:schemeClr w14:val="tx1"/>
                  </w14:solidFill>
                </w14:textFill>
              </w:rPr>
              <w:t xml:space="preserve"> </w:t>
            </w:r>
            <w:r>
              <w:rPr>
                <w:color w:val="000000" w:themeColor="text1"/>
                <w:sz w:val="24"/>
                <w:szCs w:val="24"/>
                <w14:textFill>
                  <w14:solidFill>
                    <w14:schemeClr w14:val="tx1"/>
                  </w14:solidFill>
                </w14:textFill>
              </w:rPr>
              <w:t>，见表</w:t>
            </w:r>
            <w:r>
              <w:rPr>
                <w:rFonts w:ascii="Times New Roman" w:hAnsi="Times New Roman" w:eastAsia="Times New Roman" w:cs="Times New Roman"/>
                <w:color w:val="000000" w:themeColor="text1"/>
                <w:spacing w:val="-1"/>
                <w:sz w:val="24"/>
                <w:szCs w:val="24"/>
                <w14:textFill>
                  <w14:solidFill>
                    <w14:schemeClr w14:val="tx1"/>
                  </w14:solidFill>
                </w14:textFill>
              </w:rPr>
              <w:t>A.0.2-4</w:t>
            </w:r>
            <w:r>
              <w:rPr>
                <w:rFonts w:hint="eastAsia" w:ascii="Times New Roman" w:hAnsi="Times New Roman" w:eastAsia="宋体" w:cs="Times New Roman"/>
                <w:color w:val="000000" w:themeColor="text1"/>
                <w:spacing w:val="-1"/>
                <w:sz w:val="24"/>
                <w:szCs w:val="24"/>
                <w:lang w:eastAsia="zh-CN"/>
                <w14:textFill>
                  <w14:solidFill>
                    <w14:schemeClr w14:val="tx1"/>
                  </w14:solidFill>
                </w14:textFill>
              </w:rPr>
              <w:t>，</w:t>
            </w:r>
            <w:r>
              <w:rPr>
                <w:rFonts w:hint="eastAsia" w:ascii="Times New Roman" w:hAnsi="Times New Roman" w:eastAsia="宋体" w:cs="Times New Roman"/>
                <w:color w:val="000000" w:themeColor="text1"/>
                <w:spacing w:val="-1"/>
                <w:sz w:val="24"/>
                <w:szCs w:val="24"/>
                <w:lang w:val="en-US" w:eastAsia="zh-CN"/>
                <w14:textFill>
                  <w14:solidFill>
                    <w14:schemeClr w14:val="tx1"/>
                  </w14:solidFill>
                </w14:textFill>
              </w:rPr>
              <w:t>取6.72</w:t>
            </w:r>
            <w:r>
              <w:rPr>
                <w:color w:val="000000" w:themeColor="text1"/>
                <w:spacing w:val="-1"/>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60" w:firstLineChars="400"/>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2"/>
                <w:sz w:val="24"/>
                <w:szCs w:val="24"/>
                <w14:textFill>
                  <w14:solidFill>
                    <w14:schemeClr w14:val="tx1"/>
                  </w14:solidFill>
                </w14:textFill>
              </w:rPr>
              <w:t>N</w:t>
            </w:r>
            <w:r>
              <w:rPr>
                <w:rFonts w:ascii="Times New Roman" w:hAnsi="Times New Roman" w:eastAsia="Times New Roman" w:cs="Times New Roman"/>
                <w:color w:val="000000" w:themeColor="text1"/>
                <w:position w:val="1"/>
                <w:sz w:val="24"/>
                <w:szCs w:val="24"/>
                <w14:textFill>
                  <w14:solidFill>
                    <w14:schemeClr w14:val="tx1"/>
                  </w14:solidFill>
                </w14:textFill>
              </w:rPr>
              <w:t>fi</w:t>
            </w:r>
            <w:r>
              <w:rPr>
                <w:color w:val="000000" w:themeColor="text1"/>
                <w:position w:val="2"/>
                <w:sz w:val="24"/>
                <w:szCs w:val="24"/>
                <w14:textFill>
                  <w14:solidFill>
                    <w14:schemeClr w14:val="tx1"/>
                  </w14:solidFill>
                </w14:textFill>
              </w:rPr>
              <w:t>——某种浮盘附件的个数，无量纲，见表</w:t>
            </w:r>
            <w:r>
              <w:rPr>
                <w:color w:val="000000" w:themeColor="text1"/>
                <w:spacing w:val="-56"/>
                <w:position w:val="2"/>
                <w:sz w:val="24"/>
                <w:szCs w:val="24"/>
                <w14:textFill>
                  <w14:solidFill>
                    <w14:schemeClr w14:val="tx1"/>
                  </w14:solidFill>
                </w14:textFill>
              </w:rPr>
              <w:t xml:space="preserve"> </w:t>
            </w:r>
            <w:r>
              <w:rPr>
                <w:rFonts w:ascii="Times New Roman" w:hAnsi="Times New Roman" w:eastAsia="Times New Roman" w:cs="Times New Roman"/>
                <w:color w:val="000000" w:themeColor="text1"/>
                <w:position w:val="2"/>
                <w:sz w:val="24"/>
                <w:szCs w:val="24"/>
                <w14:textFill>
                  <w14:solidFill>
                    <w14:schemeClr w14:val="tx1"/>
                  </w14:solidFill>
                </w14:textFill>
              </w:rPr>
              <w:t>A.0.2-4</w:t>
            </w:r>
            <w:r>
              <w:rPr>
                <w:rFonts w:hint="eastAsia" w:ascii="Times New Roman" w:hAnsi="Times New Roman" w:eastAsia="宋体" w:cs="Times New Roman"/>
                <w:color w:val="000000" w:themeColor="text1"/>
                <w:position w:val="2"/>
                <w:sz w:val="24"/>
                <w:szCs w:val="24"/>
                <w:lang w:eastAsia="zh-CN"/>
                <w14:textFill>
                  <w14:solidFill>
                    <w14:schemeClr w14:val="tx1"/>
                  </w14:solidFill>
                </w14:textFill>
              </w:rPr>
              <w:t>，</w:t>
            </w:r>
            <w:r>
              <w:rPr>
                <w:rFonts w:hint="eastAsia" w:ascii="Times New Roman" w:hAnsi="Times New Roman" w:eastAsia="宋体" w:cs="Times New Roman"/>
                <w:color w:val="000000" w:themeColor="text1"/>
                <w:position w:val="2"/>
                <w:sz w:val="24"/>
                <w:szCs w:val="24"/>
                <w:lang w:val="en-US" w:eastAsia="zh-CN"/>
                <w14:textFill>
                  <w14:solidFill>
                    <w14:schemeClr w14:val="tx1"/>
                  </w14:solidFill>
                </w14:textFill>
              </w:rPr>
              <w:t>取1</w:t>
            </w:r>
            <w:r>
              <w:rPr>
                <w:color w:val="000000" w:themeColor="text1"/>
                <w:position w:val="2"/>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60" w:firstLineChars="400"/>
              <w:jc w:val="both"/>
              <w:rPr>
                <w:rFonts w:ascii="Times New Roman" w:hAnsi="Times New Roman" w:eastAsia="Times New Roman" w:cs="Times New Roman"/>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2"/>
                <w:sz w:val="24"/>
                <w:szCs w:val="24"/>
                <w14:textFill>
                  <w14:solidFill>
                    <w14:schemeClr w14:val="tx1"/>
                  </w14:solidFill>
                </w14:textFill>
              </w:rPr>
              <w:t>K</w:t>
            </w:r>
            <w:r>
              <w:rPr>
                <w:rFonts w:ascii="Times New Roman" w:hAnsi="Times New Roman" w:eastAsia="Times New Roman" w:cs="Times New Roman"/>
                <w:color w:val="000000" w:themeColor="text1"/>
                <w:position w:val="1"/>
                <w:sz w:val="24"/>
                <w:szCs w:val="24"/>
                <w14:textFill>
                  <w14:solidFill>
                    <w14:schemeClr w14:val="tx1"/>
                  </w14:solidFill>
                </w14:textFill>
              </w:rPr>
              <w:t>v</w:t>
            </w:r>
            <w:r>
              <w:rPr>
                <w:color w:val="000000" w:themeColor="text1"/>
                <w:spacing w:val="2"/>
                <w:position w:val="2"/>
                <w:sz w:val="24"/>
                <w:szCs w:val="24"/>
                <w14:textFill>
                  <w14:solidFill>
                    <w14:schemeClr w14:val="tx1"/>
                  </w14:solidFill>
                </w14:textFill>
              </w:rPr>
              <w:t>——浮盘附件风速校正系数，无量纲，内浮顶罐</w:t>
            </w:r>
            <w:r>
              <w:rPr>
                <w:rFonts w:ascii="Times New Roman" w:hAnsi="Times New Roman" w:eastAsia="Times New Roman" w:cs="Times New Roman"/>
                <w:color w:val="000000" w:themeColor="text1"/>
                <w:position w:val="2"/>
                <w:sz w:val="24"/>
                <w:szCs w:val="24"/>
                <w14:textFill>
                  <w14:solidFill>
                    <w14:schemeClr w14:val="tx1"/>
                  </w14:solidFill>
                </w14:textFill>
              </w:rPr>
              <w:t>Kv</w:t>
            </w:r>
            <w:r>
              <w:rPr>
                <w:rFonts w:ascii="Times New Roman" w:hAnsi="Times New Roman" w:eastAsia="Times New Roman" w:cs="Times New Roman"/>
                <w:color w:val="000000" w:themeColor="text1"/>
                <w:spacing w:val="2"/>
                <w:position w:val="2"/>
                <w:sz w:val="24"/>
                <w:szCs w:val="24"/>
                <w14:textFill>
                  <w14:solidFill>
                    <w14:schemeClr w14:val="tx1"/>
                  </w14:solidFill>
                </w14:textFill>
              </w:rPr>
              <w:t>=1</w:t>
            </w:r>
          </w:p>
          <w:p>
            <w:pPr>
              <w:pStyle w:val="96"/>
              <w:keepNext w:val="0"/>
              <w:keepLines w:val="0"/>
              <w:pageBreakBefore w:val="0"/>
              <w:widowControl w:val="0"/>
              <w:kinsoku/>
              <w:wordWrap/>
              <w:overflowPunct/>
              <w:topLinePunct w:val="0"/>
              <w:autoSpaceDE/>
              <w:autoSpaceDN/>
              <w:bidi w:val="0"/>
              <w:adjustRightInd/>
              <w:snapToGrid/>
              <w:spacing w:beforeLines="0" w:afterLines="0" w:line="360" w:lineRule="auto"/>
              <w:ind w:left="0" w:leftChars="0" w:right="0" w:firstLine="960" w:firstLineChars="400"/>
              <w:jc w:val="both"/>
              <w:textAlignment w:val="auto"/>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2"/>
                <w:sz w:val="24"/>
                <w:szCs w:val="24"/>
                <w14:textFill>
                  <w14:solidFill>
                    <w14:schemeClr w14:val="tx1"/>
                  </w14:solidFill>
                </w14:textFill>
              </w:rPr>
              <w:t>m</w:t>
            </w:r>
            <w:r>
              <w:rPr>
                <w:rFonts w:ascii="Times New Roman" w:hAnsi="Times New Roman" w:eastAsia="Times New Roman" w:cs="Times New Roman"/>
                <w:color w:val="000000" w:themeColor="text1"/>
                <w:position w:val="1"/>
                <w:sz w:val="24"/>
                <w:szCs w:val="24"/>
                <w14:textFill>
                  <w14:solidFill>
                    <w14:schemeClr w14:val="tx1"/>
                  </w14:solidFill>
                </w14:textFill>
              </w:rPr>
              <w:t>i</w:t>
            </w:r>
            <w:r>
              <w:rPr>
                <w:color w:val="000000" w:themeColor="text1"/>
                <w:position w:val="2"/>
                <w:sz w:val="24"/>
                <w:szCs w:val="24"/>
                <w14:textFill>
                  <w14:solidFill>
                    <w14:schemeClr w14:val="tx1"/>
                  </w14:solidFill>
                </w14:textFill>
              </w:rPr>
              <w:t>——与风速有关浮盘附件损耗指数，无量纲，见表</w:t>
            </w:r>
            <w:r>
              <w:rPr>
                <w:rFonts w:ascii="Times New Roman" w:hAnsi="Times New Roman" w:eastAsia="Times New Roman" w:cs="Times New Roman"/>
                <w:color w:val="000000" w:themeColor="text1"/>
                <w:position w:val="2"/>
                <w:sz w:val="24"/>
                <w:szCs w:val="24"/>
                <w14:textFill>
                  <w14:solidFill>
                    <w14:schemeClr w14:val="tx1"/>
                  </w14:solidFill>
                </w14:textFill>
              </w:rPr>
              <w:t>A.0</w:t>
            </w:r>
            <w:r>
              <w:rPr>
                <w:rFonts w:ascii="Times New Roman" w:hAnsi="Times New Roman" w:eastAsia="Times New Roman" w:cs="Times New Roman"/>
                <w:color w:val="000000" w:themeColor="text1"/>
                <w:spacing w:val="-1"/>
                <w:position w:val="2"/>
                <w:sz w:val="24"/>
                <w:szCs w:val="24"/>
                <w14:textFill>
                  <w14:solidFill>
                    <w14:schemeClr w14:val="tx1"/>
                  </w14:solidFill>
                </w14:textFill>
              </w:rPr>
              <w:t>.2-4</w:t>
            </w:r>
            <w:r>
              <w:rPr>
                <w:rFonts w:hint="eastAsia" w:ascii="Times New Roman" w:hAnsi="Times New Roman" w:eastAsia="宋体" w:cs="Times New Roman"/>
                <w:color w:val="000000" w:themeColor="text1"/>
                <w:spacing w:val="-1"/>
                <w:position w:val="2"/>
                <w:sz w:val="24"/>
                <w:szCs w:val="24"/>
                <w:lang w:eastAsia="zh-CN"/>
                <w14:textFill>
                  <w14:solidFill>
                    <w14:schemeClr w14:val="tx1"/>
                  </w14:solidFill>
                </w14:textFill>
              </w:rPr>
              <w:t>，</w:t>
            </w:r>
            <w:r>
              <w:rPr>
                <w:rFonts w:hint="eastAsia" w:ascii="Times New Roman" w:hAnsi="Times New Roman" w:eastAsia="宋体" w:cs="Times New Roman"/>
                <w:color w:val="000000" w:themeColor="text1"/>
                <w:spacing w:val="-1"/>
                <w:position w:val="2"/>
                <w:sz w:val="24"/>
                <w:szCs w:val="24"/>
                <w:lang w:val="en-US" w:eastAsia="zh-CN"/>
                <w14:textFill>
                  <w14:solidFill>
                    <w14:schemeClr w14:val="tx1"/>
                  </w14:solidFill>
                </w14:textFill>
              </w:rPr>
              <w:t>取1.3</w:t>
            </w:r>
            <w:r>
              <w:rPr>
                <w:color w:val="000000" w:themeColor="text1"/>
                <w:spacing w:val="-1"/>
                <w:position w:val="2"/>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snapToGrid/>
              <w:spacing w:beforeLines="0" w:afterLines="0" w:line="360" w:lineRule="auto"/>
              <w:ind w:left="0" w:leftChars="0" w:right="0" w:firstLine="936" w:firstLineChars="400"/>
              <w:jc w:val="both"/>
              <w:textAlignment w:val="auto"/>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3"/>
                <w:position w:val="2"/>
                <w:sz w:val="24"/>
                <w:szCs w:val="24"/>
                <w14:textFill>
                  <w14:solidFill>
                    <w14:schemeClr w14:val="tx1"/>
                  </w14:solidFill>
                </w14:textFill>
              </w:rPr>
              <w:t>i</w:t>
            </w:r>
            <w:r>
              <w:rPr>
                <w:color w:val="000000" w:themeColor="text1"/>
                <w:spacing w:val="-3"/>
                <w:position w:val="2"/>
                <w:sz w:val="24"/>
                <w:szCs w:val="24"/>
                <w14:textFill>
                  <w14:solidFill>
                    <w14:schemeClr w14:val="tx1"/>
                  </w14:solidFill>
                </w14:textFill>
              </w:rPr>
              <w:t>——浮盘附件数量</w:t>
            </w:r>
            <w:r>
              <w:rPr>
                <w:rFonts w:ascii="Times New Roman" w:hAnsi="Times New Roman" w:eastAsia="Times New Roman" w:cs="Times New Roman"/>
                <w:color w:val="000000" w:themeColor="text1"/>
                <w:spacing w:val="-3"/>
                <w:position w:val="2"/>
                <w:sz w:val="24"/>
                <w:szCs w:val="24"/>
                <w14:textFill>
                  <w14:solidFill>
                    <w14:schemeClr w14:val="tx1"/>
                  </w14:solidFill>
                </w14:textFill>
              </w:rPr>
              <w:t>1~k</w:t>
            </w:r>
            <w:r>
              <w:rPr>
                <w:color w:val="000000" w:themeColor="text1"/>
                <w:spacing w:val="-3"/>
                <w:position w:val="2"/>
                <w:sz w:val="24"/>
                <w:szCs w:val="24"/>
                <w14:textFill>
                  <w14:solidFill>
                    <w14:schemeClr w14:val="tx1"/>
                  </w14:solidFill>
                </w14:textFill>
              </w:rPr>
              <w:t>，根据储罐浮盘设计数据确定</w:t>
            </w:r>
            <w:r>
              <w:rPr>
                <w:rFonts w:hint="eastAsia"/>
                <w:color w:val="000000" w:themeColor="text1"/>
                <w:spacing w:val="-3"/>
                <w:position w:val="2"/>
                <w:sz w:val="24"/>
                <w:szCs w:val="24"/>
                <w:lang w:eastAsia="zh-CN"/>
                <w14:textFill>
                  <w14:solidFill>
                    <w14:schemeClr w14:val="tx1"/>
                  </w14:solidFill>
                </w14:textFill>
              </w:rPr>
              <w:t>，</w:t>
            </w:r>
            <w:r>
              <w:rPr>
                <w:rFonts w:hint="eastAsia"/>
                <w:color w:val="000000" w:themeColor="text1"/>
                <w:spacing w:val="-3"/>
                <w:position w:val="2"/>
                <w:sz w:val="24"/>
                <w:szCs w:val="24"/>
                <w:lang w:val="en-US" w:eastAsia="zh-CN"/>
                <w14:textFill>
                  <w14:solidFill>
                    <w14:schemeClr w14:val="tx1"/>
                  </w14:solidFill>
                </w14:textFill>
              </w:rPr>
              <w:t>取1</w:t>
            </w:r>
            <w:r>
              <w:rPr>
                <w:color w:val="000000" w:themeColor="text1"/>
                <w:spacing w:val="-3"/>
                <w:position w:val="2"/>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snapToGrid/>
              <w:spacing w:beforeLines="0" w:afterLines="0" w:line="360" w:lineRule="auto"/>
              <w:ind w:left="0" w:leftChars="0" w:right="0" w:firstLine="960" w:firstLineChars="400"/>
              <w:jc w:val="both"/>
              <w:textAlignment w:val="auto"/>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2"/>
                <w:sz w:val="24"/>
                <w:szCs w:val="24"/>
                <w14:textFill>
                  <w14:solidFill>
                    <w14:schemeClr w14:val="tx1"/>
                  </w14:solidFill>
                </w14:textFill>
              </w:rPr>
              <w:t>k</w:t>
            </w:r>
            <w:r>
              <w:rPr>
                <w:color w:val="000000" w:themeColor="text1"/>
                <w:position w:val="2"/>
                <w:sz w:val="24"/>
                <w:szCs w:val="24"/>
                <w14:textFill>
                  <w14:solidFill>
                    <w14:schemeClr w14:val="tx1"/>
                  </w14:solidFill>
                </w14:textFill>
              </w:rPr>
              <w:t>——浮盘附件总数，根据储罐浮盘设计数据</w:t>
            </w:r>
            <w:r>
              <w:rPr>
                <w:color w:val="000000" w:themeColor="text1"/>
                <w:spacing w:val="-1"/>
                <w:position w:val="2"/>
                <w:sz w:val="24"/>
                <w:szCs w:val="24"/>
                <w14:textFill>
                  <w14:solidFill>
                    <w14:schemeClr w14:val="tx1"/>
                  </w14:solidFill>
                </w14:textFill>
              </w:rPr>
              <w:t>确定；</w:t>
            </w:r>
          </w:p>
          <w:p>
            <w:pPr>
              <w:pStyle w:val="96"/>
              <w:keepNext w:val="0"/>
              <w:keepLines w:val="0"/>
              <w:pageBreakBefore w:val="0"/>
              <w:widowControl w:val="0"/>
              <w:kinsoku/>
              <w:wordWrap/>
              <w:overflowPunct/>
              <w:topLinePunct w:val="0"/>
              <w:autoSpaceDE/>
              <w:autoSpaceDN/>
              <w:bidi w:val="0"/>
              <w:adjustRightInd/>
              <w:snapToGrid/>
              <w:spacing w:beforeLines="0" w:afterLines="0" w:line="360" w:lineRule="auto"/>
              <w:ind w:left="0" w:leftChars="0" w:right="0" w:firstLine="952" w:firstLineChars="400"/>
              <w:jc w:val="both"/>
              <w:textAlignment w:val="auto"/>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1"/>
                <w:sz w:val="24"/>
                <w:szCs w:val="24"/>
                <w14:textFill>
                  <w14:solidFill>
                    <w14:schemeClr w14:val="tx1"/>
                  </w14:solidFill>
                </w14:textFill>
              </w:rPr>
              <w:t>L</w:t>
            </w:r>
            <w:r>
              <w:rPr>
                <w:rFonts w:ascii="Times New Roman" w:hAnsi="Times New Roman" w:eastAsia="Times New Roman" w:cs="Times New Roman"/>
                <w:color w:val="000000" w:themeColor="text1"/>
                <w:spacing w:val="-1"/>
                <w:position w:val="-1"/>
                <w:sz w:val="24"/>
                <w:szCs w:val="24"/>
                <w14:textFill>
                  <w14:solidFill>
                    <w14:schemeClr w14:val="tx1"/>
                  </w14:solidFill>
                </w14:textFill>
              </w:rPr>
              <w:t>seam</w:t>
            </w:r>
            <w:r>
              <w:rPr>
                <w:color w:val="000000" w:themeColor="text1"/>
                <w:spacing w:val="-1"/>
                <w:sz w:val="24"/>
                <w:szCs w:val="24"/>
                <w14:textFill>
                  <w14:solidFill>
                    <w14:schemeClr w14:val="tx1"/>
                  </w14:solidFill>
                </w14:textFill>
              </w:rPr>
              <w:t>——浮盘顶板接缝总长度，</w:t>
            </w:r>
            <w:r>
              <w:rPr>
                <w:rFonts w:ascii="Times New Roman" w:hAnsi="Times New Roman" w:eastAsia="Times New Roman" w:cs="Times New Roman"/>
                <w:color w:val="000000" w:themeColor="text1"/>
                <w:spacing w:val="-1"/>
                <w:sz w:val="24"/>
                <w:szCs w:val="24"/>
                <w14:textFill>
                  <w14:solidFill>
                    <w14:schemeClr w14:val="tx1"/>
                  </w14:solidFill>
                </w14:textFill>
              </w:rPr>
              <w:t>m</w:t>
            </w:r>
            <w:r>
              <w:rPr>
                <w:color w:val="000000" w:themeColor="text1"/>
                <w:spacing w:val="-1"/>
                <w:sz w:val="24"/>
                <w:szCs w:val="24"/>
                <w14:textFill>
                  <w14:solidFill>
                    <w14:schemeClr w14:val="tx1"/>
                  </w14:solidFill>
                </w14:textFill>
              </w:rPr>
              <w:t>，根据储罐浮盘设计数据确定；</w:t>
            </w:r>
          </w:p>
          <w:p>
            <w:pPr>
              <w:pStyle w:val="96"/>
              <w:keepNext w:val="0"/>
              <w:keepLines w:val="0"/>
              <w:pageBreakBefore w:val="0"/>
              <w:widowControl w:val="0"/>
              <w:kinsoku/>
              <w:wordWrap/>
              <w:overflowPunct/>
              <w:topLinePunct w:val="0"/>
              <w:autoSpaceDE/>
              <w:autoSpaceDN/>
              <w:bidi w:val="0"/>
              <w:adjustRightInd/>
              <w:snapToGrid/>
              <w:spacing w:beforeLines="0" w:afterLines="0" w:line="360" w:lineRule="auto"/>
              <w:ind w:left="0" w:leftChars="0" w:right="0" w:firstLine="936" w:firstLineChars="400"/>
              <w:jc w:val="both"/>
              <w:textAlignment w:val="auto"/>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3"/>
                <w:sz w:val="24"/>
                <w:szCs w:val="24"/>
                <w14:textFill>
                  <w14:solidFill>
                    <w14:schemeClr w14:val="tx1"/>
                  </w14:solidFill>
                </w14:textFill>
              </w:rPr>
              <w:t>K</w:t>
            </w:r>
            <w:r>
              <w:rPr>
                <w:rFonts w:ascii="Times New Roman" w:hAnsi="Times New Roman" w:eastAsia="Times New Roman" w:cs="Times New Roman"/>
                <w:color w:val="000000" w:themeColor="text1"/>
                <w:spacing w:val="-3"/>
                <w:position w:val="-1"/>
                <w:sz w:val="24"/>
                <w:szCs w:val="24"/>
                <w14:textFill>
                  <w14:solidFill>
                    <w14:schemeClr w14:val="tx1"/>
                  </w14:solidFill>
                </w14:textFill>
              </w:rPr>
              <w:t>d</w:t>
            </w:r>
            <w:r>
              <w:rPr>
                <w:color w:val="000000" w:themeColor="text1"/>
                <w:spacing w:val="-3"/>
                <w:sz w:val="24"/>
                <w:szCs w:val="24"/>
                <w14:textFill>
                  <w14:solidFill>
                    <w14:schemeClr w14:val="tx1"/>
                  </w14:solidFill>
                </w14:textFill>
              </w:rPr>
              <w:t>——单位长度顶板接缝损耗系数，</w:t>
            </w:r>
            <w:r>
              <w:rPr>
                <w:rFonts w:ascii="Times New Roman" w:hAnsi="Times New Roman" w:eastAsia="Times New Roman" w:cs="Times New Roman"/>
                <w:color w:val="000000" w:themeColor="text1"/>
                <w:spacing w:val="-3"/>
                <w:sz w:val="24"/>
                <w:szCs w:val="24"/>
                <w14:textFill>
                  <w14:solidFill>
                    <w14:schemeClr w14:val="tx1"/>
                  </w14:solidFill>
                </w14:textFill>
              </w:rPr>
              <w:t>kg-moles/(m</w:t>
            </w:r>
            <w:r>
              <w:rPr>
                <w:color w:val="000000" w:themeColor="text1"/>
                <w:spacing w:val="-3"/>
                <w:sz w:val="24"/>
                <w:szCs w:val="24"/>
                <w14:textFill>
                  <w14:solidFill>
                    <w14:schemeClr w14:val="tx1"/>
                  </w14:solidFill>
                </w14:textFill>
              </w:rPr>
              <w:t>·</w:t>
            </w:r>
            <w:r>
              <w:rPr>
                <w:rFonts w:ascii="Times New Roman" w:hAnsi="Times New Roman" w:eastAsia="Times New Roman" w:cs="Times New Roman"/>
                <w:color w:val="000000" w:themeColor="text1"/>
                <w:spacing w:val="-3"/>
                <w:sz w:val="24"/>
                <w:szCs w:val="24"/>
                <w14:textFill>
                  <w14:solidFill>
                    <w14:schemeClr w14:val="tx1"/>
                  </w14:solidFill>
                </w14:textFill>
              </w:rPr>
              <w:t>a)</w:t>
            </w:r>
            <w:r>
              <w:rPr>
                <w:color w:val="000000" w:themeColor="text1"/>
                <w:spacing w:val="-3"/>
                <w:sz w:val="24"/>
                <w:szCs w:val="24"/>
                <w14:textFill>
                  <w14:solidFill>
                    <w14:schemeClr w14:val="tx1"/>
                  </w14:solidFill>
                </w14:textFill>
              </w:rPr>
              <w:t>，焊接取</w:t>
            </w:r>
            <w:r>
              <w:rPr>
                <w:rFonts w:ascii="Times New Roman" w:hAnsi="Times New Roman" w:eastAsia="Times New Roman" w:cs="Times New Roman"/>
                <w:color w:val="000000" w:themeColor="text1"/>
                <w:spacing w:val="-3"/>
                <w:sz w:val="24"/>
                <w:szCs w:val="24"/>
                <w14:textFill>
                  <w14:solidFill>
                    <w14:schemeClr w14:val="tx1"/>
                  </w14:solidFill>
                </w14:textFill>
              </w:rPr>
              <w:t>0</w:t>
            </w:r>
            <w:r>
              <w:rPr>
                <w:color w:val="000000" w:themeColor="text1"/>
                <w:spacing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snapToGrid/>
              <w:spacing w:beforeLines="0" w:afterLines="0" w:line="360" w:lineRule="auto"/>
              <w:ind w:left="0" w:leftChars="0" w:right="0" w:firstLine="1040" w:firstLineChars="500"/>
              <w:jc w:val="both"/>
              <w:textAlignment w:val="auto"/>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16"/>
                <w:sz w:val="24"/>
                <w:szCs w:val="24"/>
                <w14:textFill>
                  <w14:solidFill>
                    <w14:schemeClr w14:val="tx1"/>
                  </w14:solidFill>
                </w14:textFill>
              </w:rPr>
              <w:t>S</w:t>
            </w:r>
            <w:r>
              <w:rPr>
                <w:rFonts w:ascii="Times New Roman" w:hAnsi="Times New Roman" w:eastAsia="Times New Roman" w:cs="Times New Roman"/>
                <w:color w:val="000000" w:themeColor="text1"/>
                <w:position w:val="-1"/>
                <w:sz w:val="24"/>
                <w:szCs w:val="24"/>
                <w14:textFill>
                  <w14:solidFill>
                    <w14:schemeClr w14:val="tx1"/>
                  </w14:solidFill>
                </w14:textFill>
              </w:rPr>
              <w:t>d</w:t>
            </w:r>
            <w:r>
              <w:rPr>
                <w:color w:val="000000" w:themeColor="text1"/>
                <w:sz w:val="24"/>
                <w:szCs w:val="24"/>
                <w14:textFill>
                  <w14:solidFill>
                    <w14:schemeClr w14:val="tx1"/>
                  </w14:solidFill>
                </w14:textFill>
              </w:rPr>
              <w:t>——浮盘顶板接缝长度系数按式（</w:t>
            </w:r>
            <w:r>
              <w:rPr>
                <w:rFonts w:ascii="Times New Roman" w:hAnsi="Times New Roman" w:eastAsia="Times New Roman" w:cs="Times New Roman"/>
                <w:color w:val="000000" w:themeColor="text1"/>
                <w:sz w:val="24"/>
                <w:szCs w:val="24"/>
                <w14:textFill>
                  <w14:solidFill>
                    <w14:schemeClr w14:val="tx1"/>
                  </w14:solidFill>
                </w14:textFill>
              </w:rPr>
              <w:t>A.0.2-23</w:t>
            </w:r>
            <w:r>
              <w:rPr>
                <w:color w:val="000000" w:themeColor="text1"/>
                <w:sz w:val="24"/>
                <w:szCs w:val="24"/>
                <w14:textFill>
                  <w14:solidFill>
                    <w14:schemeClr w14:val="tx1"/>
                  </w14:solidFill>
                </w14:textFill>
              </w:rPr>
              <w:t>）</w:t>
            </w:r>
            <w:r>
              <w:rPr>
                <w:color w:val="000000" w:themeColor="text1"/>
                <w:spacing w:val="-1"/>
                <w:sz w:val="24"/>
                <w:szCs w:val="24"/>
                <w14:textFill>
                  <w14:solidFill>
                    <w14:schemeClr w14:val="tx1"/>
                  </w14:solidFill>
                </w14:textFill>
              </w:rPr>
              <w:t>计算，</w:t>
            </w:r>
            <w:r>
              <w:rPr>
                <w:rFonts w:ascii="Times New Roman" w:hAnsi="Times New Roman" w:eastAsia="Times New Roman" w:cs="Times New Roman"/>
                <w:color w:val="000000" w:themeColor="text1"/>
                <w:spacing w:val="-1"/>
                <w:sz w:val="24"/>
                <w:szCs w:val="24"/>
                <w14:textFill>
                  <w14:solidFill>
                    <w14:schemeClr w14:val="tx1"/>
                  </w14:solidFill>
                </w14:textFill>
              </w:rPr>
              <w:t>m/m</w:t>
            </w:r>
            <w:r>
              <w:rPr>
                <w:color w:val="000000" w:themeColor="text1"/>
                <w:spacing w:val="-1"/>
                <w:sz w:val="24"/>
                <w:szCs w:val="24"/>
                <w14:textFill>
                  <w14:solidFill>
                    <w14:schemeClr w14:val="tx1"/>
                  </w14:solidFill>
                </w14:textFill>
              </w:rPr>
              <w:t>²,</w:t>
            </w:r>
            <w:r>
              <w:rPr>
                <w:rFonts w:hint="eastAsia"/>
                <w:color w:val="000000" w:themeColor="text1"/>
                <w:spacing w:val="-1"/>
                <w:sz w:val="24"/>
                <w:szCs w:val="24"/>
                <w:lang w:val="en-US" w:eastAsia="zh-CN"/>
                <w14:textFill>
                  <w14:solidFill>
                    <w14:schemeClr w14:val="tx1"/>
                  </w14:solidFill>
                </w14:textFill>
              </w:rPr>
              <w:t>本项目为接缝式</w:t>
            </w:r>
            <w:r>
              <w:rPr>
                <w:color w:val="000000" w:themeColor="text1"/>
                <w:spacing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color w:val="000000" w:themeColor="text1"/>
                <w:sz w:val="24"/>
                <w:szCs w:val="24"/>
                <w14:textFill>
                  <w14:solidFill>
                    <w14:schemeClr w14:val="tx1"/>
                  </w14:solidFill>
                </w14:textFill>
              </w:rPr>
            </w:pPr>
            <w:r>
              <w:rPr>
                <w:rFonts w:hint="eastAsia"/>
                <w:color w:val="000000" w:themeColor="text1"/>
                <w:position w:val="2"/>
                <w:sz w:val="24"/>
                <w:szCs w:val="24"/>
                <w:lang w:val="en-US" w:eastAsia="zh-CN"/>
                <w14:textFill>
                  <w14:solidFill>
                    <w14:schemeClr w14:val="tx1"/>
                  </w14:solidFill>
                </w14:textFill>
              </w:rPr>
              <w:t>经计算，</w:t>
            </w:r>
            <w:r>
              <w:rPr>
                <w:color w:val="000000" w:themeColor="text1"/>
                <w:position w:val="2"/>
                <w:sz w:val="24"/>
                <w:szCs w:val="24"/>
                <w14:textFill>
                  <w14:solidFill>
                    <w14:schemeClr w14:val="tx1"/>
                  </w14:solidFill>
                </w14:textFill>
              </w:rPr>
              <w:t>本项目储罐大小呼吸非甲烷总烃产</w:t>
            </w:r>
            <w:r>
              <w:rPr>
                <w:color w:val="000000" w:themeColor="text1"/>
                <w:spacing w:val="-1"/>
                <w:position w:val="2"/>
                <w:sz w:val="24"/>
                <w:szCs w:val="24"/>
                <w14:textFill>
                  <w14:solidFill>
                    <w14:schemeClr w14:val="tx1"/>
                  </w14:solidFill>
                </w14:textFill>
              </w:rPr>
              <w:t>生量详见表</w:t>
            </w:r>
            <w:r>
              <w:rPr>
                <w:rFonts w:ascii="Times New Roman" w:hAnsi="Times New Roman" w:eastAsia="Times New Roman" w:cs="Times New Roman"/>
                <w:color w:val="000000" w:themeColor="text1"/>
                <w:spacing w:val="-1"/>
                <w:position w:val="2"/>
                <w:sz w:val="24"/>
                <w:szCs w:val="24"/>
                <w14:textFill>
                  <w14:solidFill>
                    <w14:schemeClr w14:val="tx1"/>
                  </w14:solidFill>
                </w14:textFill>
              </w:rPr>
              <w:t>4-</w:t>
            </w:r>
            <w:r>
              <w:rPr>
                <w:rFonts w:hint="eastAsia" w:ascii="Times New Roman" w:hAnsi="Times New Roman" w:eastAsia="宋体" w:cs="Times New Roman"/>
                <w:color w:val="000000" w:themeColor="text1"/>
                <w:spacing w:val="-1"/>
                <w:position w:val="2"/>
                <w:sz w:val="24"/>
                <w:szCs w:val="24"/>
                <w:lang w:val="en-US" w:eastAsia="zh-CN"/>
                <w14:textFill>
                  <w14:solidFill>
                    <w14:schemeClr w14:val="tx1"/>
                  </w14:solidFill>
                </w14:textFill>
              </w:rPr>
              <w:t>2。</w:t>
            </w:r>
          </w:p>
          <w:p>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eastAsia" w:eastAsia="宋体"/>
                <w:color w:val="000000" w:themeColor="text1"/>
                <w:spacing w:val="-3"/>
                <w:position w:val="2"/>
                <w:sz w:val="24"/>
                <w:szCs w:val="24"/>
                <w:lang w:val="en-US" w:eastAsia="zh-CN"/>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2"/>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4</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-2</w:t>
            </w:r>
            <w:r>
              <w:rPr>
                <w:rFonts w:ascii="Times New Roman" w:hAnsi="Times New Roman" w:eastAsia="Times New Roman" w:cs="Times New Roman"/>
                <w:b/>
                <w:bCs/>
                <w:color w:val="000000" w:themeColor="text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各</w:t>
            </w:r>
            <w:r>
              <w:rPr>
                <w:rFonts w:hint="eastAsia"/>
                <w:b/>
                <w:bCs/>
                <w:color w:val="000000" w:themeColor="text1"/>
                <w:spacing w:val="-1"/>
                <w:sz w:val="21"/>
                <w:szCs w:val="21"/>
                <w:lang w:val="en-US" w:eastAsia="zh-CN"/>
                <w14:textFill>
                  <w14:solidFill>
                    <w14:schemeClr w14:val="tx1"/>
                  </w14:solidFill>
                </w14:textFill>
              </w:rPr>
              <w:t>储罐废气产生</w:t>
            </w:r>
            <w:r>
              <w:rPr>
                <w:b/>
                <w:bCs/>
                <w:color w:val="000000" w:themeColor="text1"/>
                <w:spacing w:val="-1"/>
                <w:sz w:val="21"/>
                <w:szCs w:val="21"/>
                <w14:textFill>
                  <w14:solidFill>
                    <w14:schemeClr w14:val="tx1"/>
                  </w14:solidFill>
                </w14:textFill>
              </w:rPr>
              <w:t>量核算结果</w:t>
            </w:r>
            <w:r>
              <w:rPr>
                <w:rFonts w:hint="eastAsia"/>
                <w:b/>
                <w:bCs/>
                <w:color w:val="000000" w:themeColor="text1"/>
                <w:spacing w:val="-1"/>
                <w:sz w:val="21"/>
                <w:szCs w:val="21"/>
                <w:lang w:val="en-US" w:eastAsia="zh-CN"/>
                <w14:textFill>
                  <w14:solidFill>
                    <w14:schemeClr w14:val="tx1"/>
                  </w14:solidFill>
                </w14:textFill>
              </w:rPr>
              <w:t>一览表</w:t>
            </w:r>
          </w:p>
          <w:tbl>
            <w:tblPr>
              <w:tblStyle w:val="99"/>
              <w:tblW w:w="79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99"/>
              <w:gridCol w:w="1201"/>
              <w:gridCol w:w="1166"/>
              <w:gridCol w:w="1815"/>
              <w:gridCol w:w="1577"/>
              <w:gridCol w:w="1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099" w:type="dxa"/>
                  <w:vMerge w:val="restart"/>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pacing w:val="-5"/>
                      <w:sz w:val="21"/>
                      <w:szCs w:val="21"/>
                      <w14:textFill>
                        <w14:solidFill>
                          <w14:schemeClr w14:val="tx1"/>
                        </w14:solidFill>
                      </w14:textFill>
                    </w:rPr>
                    <w:t>罐组</w:t>
                  </w:r>
                </w:p>
              </w:tc>
              <w:tc>
                <w:tcPr>
                  <w:tcW w:w="1201" w:type="dxa"/>
                  <w:vMerge w:val="restart"/>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pacing w:val="-4"/>
                      <w:sz w:val="21"/>
                      <w:szCs w:val="21"/>
                      <w14:textFill>
                        <w14:solidFill>
                          <w14:schemeClr w14:val="tx1"/>
                        </w14:solidFill>
                      </w14:textFill>
                    </w:rPr>
                    <w:t>储罐</w:t>
                  </w:r>
                </w:p>
              </w:tc>
              <w:tc>
                <w:tcPr>
                  <w:tcW w:w="1166" w:type="dxa"/>
                  <w:vMerge w:val="restart"/>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pacing w:val="-2"/>
                      <w:sz w:val="21"/>
                      <w:szCs w:val="21"/>
                      <w14:textFill>
                        <w14:solidFill>
                          <w14:schemeClr w14:val="tx1"/>
                        </w14:solidFill>
                      </w14:textFill>
                    </w:rPr>
                    <w:t>规格及数量</w:t>
                  </w:r>
                </w:p>
              </w:tc>
              <w:tc>
                <w:tcPr>
                  <w:tcW w:w="1815"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b/>
                      <w:bCs/>
                      <w:color w:val="000000" w:themeColor="text1"/>
                      <w:sz w:val="21"/>
                      <w:szCs w:val="21"/>
                      <w:lang w:eastAsia="zh-CN"/>
                      <w14:textFill>
                        <w14:solidFill>
                          <w14:schemeClr w14:val="tx1"/>
                        </w14:solidFill>
                      </w14:textFill>
                    </w:rPr>
                  </w:pPr>
                  <w:r>
                    <w:rPr>
                      <w:rFonts w:hint="default" w:ascii="Times New Roman" w:hAnsi="Times New Roman" w:cs="Times New Roman"/>
                      <w:b/>
                      <w:bCs/>
                      <w:color w:val="000000" w:themeColor="text1"/>
                      <w:spacing w:val="-2"/>
                      <w:sz w:val="21"/>
                      <w:szCs w:val="21"/>
                      <w:lang w:val="en-US" w:eastAsia="zh-CN"/>
                      <w14:textFill>
                        <w14:solidFill>
                          <w14:schemeClr w14:val="tx1"/>
                        </w14:solidFill>
                      </w14:textFill>
                    </w:rPr>
                    <w:t>大呼吸产生量</w:t>
                  </w:r>
                </w:p>
              </w:tc>
              <w:tc>
                <w:tcPr>
                  <w:tcW w:w="1577"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cs="Times New Roman"/>
                      <w:b/>
                      <w:bCs/>
                      <w:color w:val="000000" w:themeColor="text1"/>
                      <w:spacing w:val="-1"/>
                      <w:sz w:val="21"/>
                      <w:szCs w:val="21"/>
                      <w:lang w:val="en-US" w:eastAsia="zh-CN"/>
                      <w14:textFill>
                        <w14:solidFill>
                          <w14:schemeClr w14:val="tx1"/>
                        </w14:solidFill>
                      </w14:textFill>
                    </w:rPr>
                    <w:t>小呼吸产生量</w:t>
                  </w:r>
                </w:p>
              </w:tc>
              <w:tc>
                <w:tcPr>
                  <w:tcW w:w="1139"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pacing w:val="-2"/>
                      <w:sz w:val="21"/>
                      <w:szCs w:val="21"/>
                      <w:lang w:val="en-US" w:eastAsia="zh-CN"/>
                      <w14:textFill>
                        <w14:solidFill>
                          <w14:schemeClr w14:val="tx1"/>
                        </w14:solidFill>
                      </w14:textFill>
                    </w:rPr>
                    <w:t>总呼吸产生</w:t>
                  </w:r>
                  <w:r>
                    <w:rPr>
                      <w:rFonts w:hint="default" w:ascii="Times New Roman" w:hAnsi="Times New Roman" w:cs="Times New Roman"/>
                      <w:b/>
                      <w:bCs/>
                      <w:color w:val="000000" w:themeColor="text1"/>
                      <w:spacing w:val="-2"/>
                      <w:sz w:val="21"/>
                      <w:szCs w:val="21"/>
                      <w14:textFill>
                        <w14:solidFill>
                          <w14:schemeClr w14:val="tx1"/>
                        </w14:solidFill>
                      </w14:textFill>
                    </w:rPr>
                    <w:t>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09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p>
              </w:tc>
              <w:tc>
                <w:tcPr>
                  <w:tcW w:w="1201"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p>
              </w:tc>
              <w:tc>
                <w:tcPr>
                  <w:tcW w:w="1166"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p>
              </w:tc>
              <w:tc>
                <w:tcPr>
                  <w:tcW w:w="181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1"/>
                      <w:sz w:val="21"/>
                      <w:szCs w:val="21"/>
                      <w:lang w:val="en-US" w:eastAsia="zh-CN"/>
                      <w14:textFill>
                        <w14:solidFill>
                          <w14:schemeClr w14:val="tx1"/>
                        </w14:solidFill>
                      </w14:textFill>
                    </w:rPr>
                    <w:t>Kg</w:t>
                  </w:r>
                  <w:r>
                    <w:rPr>
                      <w:rFonts w:hint="default" w:ascii="Times New Roman" w:hAnsi="Times New Roman" w:eastAsia="Times New Roman" w:cs="Times New Roman"/>
                      <w:b/>
                      <w:bCs/>
                      <w:color w:val="000000" w:themeColor="text1"/>
                      <w:spacing w:val="-1"/>
                      <w:sz w:val="21"/>
                      <w:szCs w:val="21"/>
                      <w14:textFill>
                        <w14:solidFill>
                          <w14:schemeClr w14:val="tx1"/>
                        </w14:solidFill>
                      </w14:textFill>
                    </w:rPr>
                    <w:t>/a</w:t>
                  </w:r>
                </w:p>
              </w:tc>
              <w:tc>
                <w:tcPr>
                  <w:tcW w:w="15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1"/>
                      <w:sz w:val="21"/>
                      <w:szCs w:val="21"/>
                      <w:lang w:val="en-US" w:eastAsia="zh-CN"/>
                      <w14:textFill>
                        <w14:solidFill>
                          <w14:schemeClr w14:val="tx1"/>
                        </w14:solidFill>
                      </w14:textFill>
                    </w:rPr>
                    <w:t>kg</w:t>
                  </w:r>
                  <w:r>
                    <w:rPr>
                      <w:rFonts w:hint="default" w:ascii="Times New Roman" w:hAnsi="Times New Roman" w:eastAsia="Times New Roman" w:cs="Times New Roman"/>
                      <w:b/>
                      <w:bCs/>
                      <w:color w:val="000000" w:themeColor="text1"/>
                      <w:spacing w:val="-1"/>
                      <w:sz w:val="21"/>
                      <w:szCs w:val="21"/>
                      <w14:textFill>
                        <w14:solidFill>
                          <w14:schemeClr w14:val="tx1"/>
                        </w14:solidFill>
                      </w14:textFill>
                    </w:rPr>
                    <w:t>/a</w:t>
                  </w:r>
                </w:p>
              </w:tc>
              <w:tc>
                <w:tcPr>
                  <w:tcW w:w="11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Times New Roman"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1"/>
                      <w:sz w:val="21"/>
                      <w:szCs w:val="21"/>
                      <w:lang w:val="en-US" w:eastAsia="zh-CN"/>
                      <w14:textFill>
                        <w14:solidFill>
                          <w14:schemeClr w14:val="tx1"/>
                        </w14:solidFill>
                      </w14:textFill>
                    </w:rPr>
                    <w:t>kg</w:t>
                  </w:r>
                  <w:r>
                    <w:rPr>
                      <w:rFonts w:hint="default" w:ascii="Times New Roman" w:hAnsi="Times New Roman" w:eastAsia="Times New Roman" w:cs="Times New Roman"/>
                      <w:b/>
                      <w:bCs/>
                      <w:color w:val="000000" w:themeColor="text1"/>
                      <w:spacing w:val="-1"/>
                      <w:sz w:val="21"/>
                      <w:szCs w:val="21"/>
                      <w14:textFill>
                        <w14:solidFill>
                          <w14:schemeClr w14:val="tx1"/>
                        </w14:solidFill>
                      </w14:textFill>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099" w:type="dxa"/>
                  <w:vMerge w:val="restart"/>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val="en-US" w:eastAsia="zh-CN"/>
                      <w14:textFill>
                        <w14:solidFill>
                          <w14:schemeClr w14:val="tx1"/>
                        </w14:solidFill>
                      </w14:textFill>
                    </w:rPr>
                    <w:t>原料罐</w:t>
                  </w:r>
                </w:p>
              </w:tc>
              <w:tc>
                <w:tcPr>
                  <w:tcW w:w="120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i w:val="0"/>
                      <w:iCs w:val="0"/>
                      <w:color w:val="000000" w:themeColor="text1"/>
                      <w:kern w:val="0"/>
                      <w:sz w:val="21"/>
                      <w:szCs w:val="21"/>
                      <w:u w:val="none"/>
                      <w:lang w:val="en-US" w:eastAsia="zh-CN" w:bidi="ar"/>
                      <w14:textFill>
                        <w14:solidFill>
                          <w14:schemeClr w14:val="tx1"/>
                        </w14:solidFill>
                      </w14:textFill>
                    </w:rPr>
                    <w:t>煤基柴油</w:t>
                  </w: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储罐</w:t>
                  </w:r>
                </w:p>
              </w:tc>
              <w:tc>
                <w:tcPr>
                  <w:tcW w:w="1166"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500m³</w:t>
                  </w:r>
                  <w:r>
                    <w:rPr>
                      <w:rFonts w:hint="default" w:ascii="Times New Roman" w:hAnsi="Times New Roman" w:cs="Times New Roman"/>
                      <w:color w:val="000000" w:themeColor="text1"/>
                      <w:spacing w:val="-2"/>
                      <w:sz w:val="21"/>
                      <w:szCs w:val="21"/>
                      <w14:textFill>
                        <w14:solidFill>
                          <w14:schemeClr w14:val="tx1"/>
                        </w14:solidFill>
                      </w14:textFill>
                    </w:rPr>
                    <w:t>×</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1</w:t>
                  </w:r>
                </w:p>
              </w:tc>
              <w:tc>
                <w:tcPr>
                  <w:tcW w:w="181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832.25</w:t>
                  </w:r>
                </w:p>
              </w:tc>
              <w:tc>
                <w:tcPr>
                  <w:tcW w:w="15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18.77 </w:t>
                  </w:r>
                </w:p>
              </w:tc>
              <w:tc>
                <w:tcPr>
                  <w:tcW w:w="11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851.02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09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20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i w:val="0"/>
                      <w:iCs w:val="0"/>
                      <w:color w:val="000000" w:themeColor="text1"/>
                      <w:kern w:val="0"/>
                      <w:sz w:val="21"/>
                      <w:szCs w:val="21"/>
                      <w:u w:val="none"/>
                      <w:lang w:val="en-US" w:eastAsia="zh-CN" w:bidi="ar"/>
                      <w14:textFill>
                        <w14:solidFill>
                          <w14:schemeClr w14:val="tx1"/>
                        </w14:solidFill>
                      </w14:textFill>
                    </w:rPr>
                    <w:t>煤基柴油</w:t>
                  </w: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储罐</w:t>
                  </w:r>
                </w:p>
              </w:tc>
              <w:tc>
                <w:tcPr>
                  <w:tcW w:w="1166"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2"/>
                      <w:sz w:val="21"/>
                      <w:szCs w:val="21"/>
                      <w14:textFill>
                        <w14:solidFill>
                          <w14:schemeClr w14:val="tx1"/>
                        </w14:solidFill>
                      </w14:textFill>
                    </w:rPr>
                    <w:t>000m³</w:t>
                  </w:r>
                  <w:r>
                    <w:rPr>
                      <w:rFonts w:hint="default" w:ascii="Times New Roman" w:hAnsi="Times New Roman" w:cs="Times New Roman"/>
                      <w:color w:val="000000" w:themeColor="text1"/>
                      <w:spacing w:val="-2"/>
                      <w:sz w:val="21"/>
                      <w:szCs w:val="21"/>
                      <w14:textFill>
                        <w14:solidFill>
                          <w14:schemeClr w14:val="tx1"/>
                        </w14:solidFill>
                      </w14:textFill>
                    </w:rPr>
                    <w:t>×</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1</w:t>
                  </w:r>
                </w:p>
              </w:tc>
              <w:tc>
                <w:tcPr>
                  <w:tcW w:w="181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1545.60</w:t>
                  </w:r>
                </w:p>
              </w:tc>
              <w:tc>
                <w:tcPr>
                  <w:tcW w:w="15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22.22 </w:t>
                  </w:r>
                </w:p>
              </w:tc>
              <w:tc>
                <w:tcPr>
                  <w:tcW w:w="11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1567.82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09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20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b w:val="0"/>
                      <w:bCs w:val="0"/>
                      <w:i w:val="0"/>
                      <w:iCs w:val="0"/>
                      <w:color w:val="000000" w:themeColor="text1"/>
                      <w:kern w:val="0"/>
                      <w:sz w:val="21"/>
                      <w:szCs w:val="21"/>
                      <w:u w:val="none"/>
                      <w:lang w:val="en-US" w:eastAsia="zh-CN" w:bidi="ar"/>
                      <w14:textFill>
                        <w14:solidFill>
                          <w14:schemeClr w14:val="tx1"/>
                        </w14:solidFill>
                      </w14:textFill>
                    </w:rPr>
                    <w:t>煤基柴油</w:t>
                  </w: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储罐</w:t>
                  </w:r>
                </w:p>
              </w:tc>
              <w:tc>
                <w:tcPr>
                  <w:tcW w:w="1166"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spacing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lang w:val="en-US" w:eastAsia="zh-CN"/>
                      <w14:textFill>
                        <w14:solidFill>
                          <w14:schemeClr w14:val="tx1"/>
                        </w14:solidFill>
                      </w14:textFill>
                    </w:rPr>
                    <w:t>1</w:t>
                  </w:r>
                  <w:r>
                    <w:rPr>
                      <w:rFonts w:hint="default" w:ascii="Times New Roman" w:hAnsi="Times New Roman" w:eastAsia="Times New Roman" w:cs="Times New Roman"/>
                      <w:color w:val="000000" w:themeColor="text1"/>
                      <w:spacing w:val="-2"/>
                      <w:sz w:val="21"/>
                      <w:szCs w:val="21"/>
                      <w14:textFill>
                        <w14:solidFill>
                          <w14:schemeClr w14:val="tx1"/>
                        </w14:solidFill>
                      </w14:textFill>
                    </w:rPr>
                    <w:t>000m³</w:t>
                  </w:r>
                  <w:r>
                    <w:rPr>
                      <w:rFonts w:hint="default" w:ascii="Times New Roman" w:hAnsi="Times New Roman" w:cs="Times New Roman"/>
                      <w:color w:val="000000" w:themeColor="text1"/>
                      <w:spacing w:val="-2"/>
                      <w:sz w:val="21"/>
                      <w:szCs w:val="21"/>
                      <w14:textFill>
                        <w14:solidFill>
                          <w14:schemeClr w14:val="tx1"/>
                        </w14:solidFill>
                      </w14:textFill>
                    </w:rPr>
                    <w:t>×</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1</w:t>
                  </w:r>
                </w:p>
              </w:tc>
              <w:tc>
                <w:tcPr>
                  <w:tcW w:w="181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1171.31</w:t>
                  </w:r>
                </w:p>
              </w:tc>
              <w:tc>
                <w:tcPr>
                  <w:tcW w:w="15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14.64 </w:t>
                  </w:r>
                </w:p>
              </w:tc>
              <w:tc>
                <w:tcPr>
                  <w:tcW w:w="11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1185.95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09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20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i w:val="0"/>
                      <w:iCs w:val="0"/>
                      <w:color w:val="000000" w:themeColor="text1"/>
                      <w:kern w:val="0"/>
                      <w:sz w:val="21"/>
                      <w:szCs w:val="21"/>
                      <w:u w:val="none"/>
                      <w:lang w:val="en-US" w:eastAsia="zh-CN" w:bidi="ar"/>
                      <w14:textFill>
                        <w14:solidFill>
                          <w14:schemeClr w14:val="tx1"/>
                        </w14:solidFill>
                      </w14:textFill>
                    </w:rPr>
                    <w:t>轻质柴油</w:t>
                  </w: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储罐</w:t>
                  </w:r>
                </w:p>
              </w:tc>
              <w:tc>
                <w:tcPr>
                  <w:tcW w:w="1166"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2"/>
                      <w:sz w:val="21"/>
                      <w:szCs w:val="21"/>
                      <w14:textFill>
                        <w14:solidFill>
                          <w14:schemeClr w14:val="tx1"/>
                        </w14:solidFill>
                      </w14:textFill>
                    </w:rPr>
                    <w:t>000m³</w:t>
                  </w:r>
                  <w:r>
                    <w:rPr>
                      <w:rFonts w:hint="default" w:ascii="Times New Roman" w:hAnsi="Times New Roman" w:cs="Times New Roman"/>
                      <w:color w:val="000000" w:themeColor="text1"/>
                      <w:spacing w:val="-2"/>
                      <w:sz w:val="21"/>
                      <w:szCs w:val="21"/>
                      <w14:textFill>
                        <w14:solidFill>
                          <w14:schemeClr w14:val="tx1"/>
                        </w14:solidFill>
                      </w14:textFill>
                    </w:rPr>
                    <w:t>×</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3</w:t>
                  </w:r>
                </w:p>
              </w:tc>
              <w:tc>
                <w:tcPr>
                  <w:tcW w:w="181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9403.33</w:t>
                  </w:r>
                </w:p>
              </w:tc>
              <w:tc>
                <w:tcPr>
                  <w:tcW w:w="15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76.70 </w:t>
                  </w:r>
                </w:p>
              </w:tc>
              <w:tc>
                <w:tcPr>
                  <w:tcW w:w="11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9588.11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09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20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汽油组分罐</w:t>
                  </w:r>
                </w:p>
              </w:tc>
              <w:tc>
                <w:tcPr>
                  <w:tcW w:w="1166"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500m³</w:t>
                  </w:r>
                  <w:r>
                    <w:rPr>
                      <w:rFonts w:hint="default" w:ascii="Times New Roman" w:hAnsi="Times New Roman" w:cs="Times New Roman"/>
                      <w:color w:val="000000" w:themeColor="text1"/>
                      <w:spacing w:val="-2"/>
                      <w:sz w:val="21"/>
                      <w:szCs w:val="21"/>
                      <w14:textFill>
                        <w14:solidFill>
                          <w14:schemeClr w14:val="tx1"/>
                        </w14:solidFill>
                      </w14:textFill>
                    </w:rPr>
                    <w:t>×</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1</w:t>
                  </w:r>
                </w:p>
              </w:tc>
              <w:tc>
                <w:tcPr>
                  <w:tcW w:w="181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962.63</w:t>
                  </w:r>
                </w:p>
              </w:tc>
              <w:tc>
                <w:tcPr>
                  <w:tcW w:w="15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170.93 </w:t>
                  </w:r>
                </w:p>
              </w:tc>
              <w:tc>
                <w:tcPr>
                  <w:tcW w:w="11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1133.56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099" w:type="dxa"/>
                  <w:vMerge w:val="restart"/>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cs="Times New Roman"/>
                      <w:color w:val="000000" w:themeColor="text1"/>
                      <w:spacing w:val="-2"/>
                      <w:sz w:val="21"/>
                      <w:szCs w:val="21"/>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lang w:val="en-US" w:eastAsia="zh-CN"/>
                      <w14:textFill>
                        <w14:solidFill>
                          <w14:schemeClr w14:val="tx1"/>
                        </w14:solidFill>
                      </w14:textFill>
                    </w:rPr>
                    <w:t>成品罐</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val="en-US" w:eastAsia="zh-CN"/>
                      <w14:textFill>
                        <w14:solidFill>
                          <w14:schemeClr w14:val="tx1"/>
                        </w14:solidFill>
                      </w14:textFill>
                    </w:rPr>
                    <w:t>（调和罐）</w:t>
                  </w:r>
                </w:p>
              </w:tc>
              <w:tc>
                <w:tcPr>
                  <w:tcW w:w="120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调和罐</w:t>
                  </w:r>
                </w:p>
              </w:tc>
              <w:tc>
                <w:tcPr>
                  <w:tcW w:w="1166"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2"/>
                      <w:sz w:val="21"/>
                      <w:szCs w:val="21"/>
                      <w14:textFill>
                        <w14:solidFill>
                          <w14:schemeClr w14:val="tx1"/>
                        </w14:solidFill>
                      </w14:textFill>
                    </w:rPr>
                    <w:t>000m³</w:t>
                  </w:r>
                  <w:r>
                    <w:rPr>
                      <w:rFonts w:hint="default" w:ascii="Times New Roman" w:hAnsi="Times New Roman" w:cs="Times New Roman"/>
                      <w:color w:val="000000" w:themeColor="text1"/>
                      <w:spacing w:val="-2"/>
                      <w:sz w:val="21"/>
                      <w:szCs w:val="21"/>
                      <w14:textFill>
                        <w14:solidFill>
                          <w14:schemeClr w14:val="tx1"/>
                        </w14:solidFill>
                      </w14:textFill>
                    </w:rPr>
                    <w:t>×</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5</w:t>
                  </w:r>
                </w:p>
              </w:tc>
              <w:tc>
                <w:tcPr>
                  <w:tcW w:w="181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11812.06</w:t>
                  </w:r>
                </w:p>
              </w:tc>
              <w:tc>
                <w:tcPr>
                  <w:tcW w:w="15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eastAsia" w:ascii="Times New Roman" w:hAnsi="Times New Roman" w:eastAsia="宋体" w:cs="Times New Roman"/>
                      <w:i w:val="0"/>
                      <w:iCs w:val="0"/>
                      <w:color w:val="FF0000"/>
                      <w:kern w:val="0"/>
                      <w:sz w:val="22"/>
                      <w:szCs w:val="22"/>
                      <w:u w:val="none"/>
                      <w:lang w:val="en-US" w:eastAsia="zh-CN" w:bidi="ar"/>
                    </w:rPr>
                    <w:t xml:space="preserve">114.61 </w:t>
                  </w:r>
                </w:p>
              </w:tc>
              <w:tc>
                <w:tcPr>
                  <w:tcW w:w="11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eastAsia" w:ascii="Times New Roman" w:hAnsi="Times New Roman" w:eastAsia="宋体" w:cs="Times New Roman"/>
                      <w:i w:val="0"/>
                      <w:iCs w:val="0"/>
                      <w:color w:val="FF0000"/>
                      <w:kern w:val="0"/>
                      <w:sz w:val="22"/>
                      <w:szCs w:val="22"/>
                      <w:u w:val="none"/>
                      <w:lang w:val="en-US" w:eastAsia="zh-CN" w:bidi="ar"/>
                    </w:rPr>
                    <w:t xml:space="preserve">11926.67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099"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20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调和罐</w:t>
                  </w:r>
                </w:p>
              </w:tc>
              <w:tc>
                <w:tcPr>
                  <w:tcW w:w="1166"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Times New Roman" w:cs="Times New Roman"/>
                      <w:color w:val="000000" w:themeColor="text1"/>
                      <w:spacing w:val="-3"/>
                      <w:sz w:val="21"/>
                      <w:szCs w:val="21"/>
                      <w14:textFill>
                        <w14:solidFill>
                          <w14:schemeClr w14:val="tx1"/>
                        </w14:solidFill>
                      </w14:textFill>
                    </w:rPr>
                    <w:t>1000 m³</w:t>
                  </w:r>
                  <w:r>
                    <w:rPr>
                      <w:rFonts w:hint="default" w:ascii="Times New Roman" w:hAnsi="Times New Roman" w:cs="Times New Roman"/>
                      <w:color w:val="000000" w:themeColor="text1"/>
                      <w:spacing w:val="-3"/>
                      <w:sz w:val="21"/>
                      <w:szCs w:val="21"/>
                      <w14:textFill>
                        <w14:solidFill>
                          <w14:schemeClr w14:val="tx1"/>
                        </w14:solidFill>
                      </w14:textFill>
                    </w:rPr>
                    <w:t>×</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1</w:t>
                  </w:r>
                </w:p>
              </w:tc>
              <w:tc>
                <w:tcPr>
                  <w:tcW w:w="181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1616.26</w:t>
                  </w:r>
                </w:p>
              </w:tc>
              <w:tc>
                <w:tcPr>
                  <w:tcW w:w="15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eastAsia" w:ascii="Times New Roman" w:hAnsi="Times New Roman" w:eastAsia="宋体" w:cs="Times New Roman"/>
                      <w:i w:val="0"/>
                      <w:iCs w:val="0"/>
                      <w:color w:val="FF0000"/>
                      <w:kern w:val="0"/>
                      <w:sz w:val="22"/>
                      <w:szCs w:val="22"/>
                      <w:u w:val="none"/>
                      <w:lang w:val="en-US" w:eastAsia="zh-CN" w:bidi="ar"/>
                    </w:rPr>
                    <w:t xml:space="preserve">21.36 </w:t>
                  </w:r>
                </w:p>
              </w:tc>
              <w:tc>
                <w:tcPr>
                  <w:tcW w:w="11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eastAsia" w:ascii="Times New Roman" w:hAnsi="Times New Roman" w:eastAsia="宋体" w:cs="Times New Roman"/>
                      <w:i w:val="0"/>
                      <w:iCs w:val="0"/>
                      <w:color w:val="FF0000"/>
                      <w:kern w:val="0"/>
                      <w:sz w:val="22"/>
                      <w:szCs w:val="22"/>
                      <w:u w:val="none"/>
                      <w:lang w:val="en-US" w:eastAsia="zh-CN" w:bidi="ar"/>
                    </w:rPr>
                    <w:t xml:space="preserve">1637.62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3466" w:type="dxa"/>
                  <w:gridSpan w:val="3"/>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textAlignment w:val="auto"/>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pacing w:val="-3"/>
                      <w:sz w:val="21"/>
                      <w:szCs w:val="21"/>
                      <w:lang w:val="en-US" w:eastAsia="zh-CN"/>
                      <w14:textFill>
                        <w14:solidFill>
                          <w14:schemeClr w14:val="tx1"/>
                        </w14:solidFill>
                      </w14:textFill>
                    </w:rPr>
                    <w:t>合计</w:t>
                  </w:r>
                  <w:r>
                    <w:rPr>
                      <w:rFonts w:hint="default" w:ascii="Times New Roman" w:hAnsi="Times New Roman" w:cs="Times New Roman"/>
                      <w:b/>
                      <w:bCs/>
                      <w:color w:val="000000" w:themeColor="text1"/>
                      <w:spacing w:val="-3"/>
                      <w:sz w:val="21"/>
                      <w:szCs w:val="21"/>
                      <w:lang w:val="en-US" w:eastAsia="zh-CN"/>
                      <w14:textFill>
                        <w14:solidFill>
                          <w14:schemeClr w14:val="tx1"/>
                        </w14:solidFill>
                      </w14:textFill>
                    </w:rPr>
                    <w:t>（t/a）</w:t>
                  </w:r>
                </w:p>
              </w:tc>
              <w:tc>
                <w:tcPr>
                  <w:tcW w:w="181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eastAsia" w:ascii="Times New Roman" w:hAnsi="Times New Roman" w:eastAsia="宋体" w:cs="Times New Roman"/>
                      <w:i w:val="0"/>
                      <w:iCs w:val="0"/>
                      <w:color w:val="FF0000"/>
                      <w:kern w:val="0"/>
                      <w:sz w:val="22"/>
                      <w:szCs w:val="22"/>
                      <w:u w:val="none"/>
                      <w:lang w:val="en-US" w:eastAsia="zh-CN" w:bidi="ar"/>
                    </w:rPr>
                    <w:t>27.</w:t>
                  </w:r>
                  <w:r>
                    <w:rPr>
                      <w:rFonts w:hint="eastAsia" w:cs="Times New Roman"/>
                      <w:i w:val="0"/>
                      <w:iCs w:val="0"/>
                      <w:color w:val="FF0000"/>
                      <w:kern w:val="0"/>
                      <w:sz w:val="22"/>
                      <w:szCs w:val="22"/>
                      <w:u w:val="none"/>
                      <w:lang w:val="en-US" w:eastAsia="zh-CN" w:bidi="ar"/>
                    </w:rPr>
                    <w:t>34</w:t>
                  </w:r>
                  <w:r>
                    <w:rPr>
                      <w:rFonts w:hint="eastAsia" w:ascii="Times New Roman" w:hAnsi="Times New Roman" w:eastAsia="宋体" w:cs="Times New Roman"/>
                      <w:i w:val="0"/>
                      <w:iCs w:val="0"/>
                      <w:color w:val="FF0000"/>
                      <w:kern w:val="0"/>
                      <w:sz w:val="22"/>
                      <w:szCs w:val="22"/>
                      <w:u w:val="none"/>
                      <w:lang w:val="en-US" w:eastAsia="zh-CN" w:bidi="ar"/>
                    </w:rPr>
                    <w:t xml:space="preserve"> </w:t>
                  </w:r>
                </w:p>
              </w:tc>
              <w:tc>
                <w:tcPr>
                  <w:tcW w:w="15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eastAsia" w:ascii="Times New Roman" w:hAnsi="Times New Roman" w:eastAsia="宋体" w:cs="Times New Roman"/>
                      <w:i w:val="0"/>
                      <w:iCs w:val="0"/>
                      <w:color w:val="FF0000"/>
                      <w:kern w:val="0"/>
                      <w:sz w:val="22"/>
                      <w:szCs w:val="22"/>
                      <w:u w:val="none"/>
                      <w:lang w:val="en-US" w:eastAsia="zh-CN" w:bidi="ar"/>
                    </w:rPr>
                    <w:t xml:space="preserve">0.44 </w:t>
                  </w:r>
                </w:p>
              </w:tc>
              <w:tc>
                <w:tcPr>
                  <w:tcW w:w="11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kern w:val="0"/>
                      <w:sz w:val="22"/>
                      <w:szCs w:val="22"/>
                      <w:u w:val="none"/>
                      <w:lang w:val="en-US" w:eastAsia="zh-CN" w:bidi="ar"/>
                    </w:rPr>
                  </w:pPr>
                  <w:r>
                    <w:rPr>
                      <w:rFonts w:hint="eastAsia" w:ascii="Times New Roman" w:hAnsi="Times New Roman" w:eastAsia="宋体" w:cs="Times New Roman"/>
                      <w:i w:val="0"/>
                      <w:iCs w:val="0"/>
                      <w:color w:val="FF0000"/>
                      <w:kern w:val="0"/>
                      <w:sz w:val="22"/>
                      <w:szCs w:val="22"/>
                      <w:u w:val="none"/>
                      <w:lang w:val="en-US" w:eastAsia="zh-CN" w:bidi="ar"/>
                    </w:rPr>
                    <w:t>27.</w:t>
                  </w:r>
                  <w:r>
                    <w:rPr>
                      <w:rFonts w:hint="eastAsia" w:cs="Times New Roman"/>
                      <w:i w:val="0"/>
                      <w:iCs w:val="0"/>
                      <w:color w:val="FF0000"/>
                      <w:kern w:val="0"/>
                      <w:sz w:val="22"/>
                      <w:szCs w:val="22"/>
                      <w:u w:val="none"/>
                      <w:lang w:val="en-US" w:eastAsia="zh-CN" w:bidi="ar"/>
                    </w:rPr>
                    <w:t>78</w:t>
                  </w:r>
                  <w:r>
                    <w:rPr>
                      <w:rFonts w:hint="eastAsia" w:ascii="Times New Roman" w:hAnsi="Times New Roman" w:eastAsia="宋体" w:cs="Times New Roman"/>
                      <w:i w:val="0"/>
                      <w:iCs w:val="0"/>
                      <w:color w:val="FF0000"/>
                      <w:kern w:val="0"/>
                      <w:sz w:val="22"/>
                      <w:szCs w:val="22"/>
                      <w:u w:val="none"/>
                      <w:lang w:val="en-US" w:eastAsia="zh-CN" w:bidi="ar"/>
                    </w:rPr>
                    <w:t xml:space="preserve"> </w:t>
                  </w:r>
                </w:p>
              </w:tc>
            </w:tr>
          </w:tbl>
          <w:p>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68" w:firstLineChars="200"/>
              <w:textAlignment w:val="auto"/>
              <w:rPr>
                <w:color w:val="000000" w:themeColor="text1"/>
                <w:spacing w:val="-3"/>
                <w:position w:val="2"/>
                <w:sz w:val="24"/>
                <w:szCs w:val="24"/>
                <w14:textFill>
                  <w14:solidFill>
                    <w14:schemeClr w14:val="tx1"/>
                  </w14:solidFill>
                </w14:textFill>
              </w:rPr>
            </w:pPr>
            <w:r>
              <w:rPr>
                <w:color w:val="000000" w:themeColor="text1"/>
                <w:spacing w:val="-3"/>
                <w:sz w:val="24"/>
                <w:szCs w:val="24"/>
                <w14:textFill>
                  <w14:solidFill>
                    <w14:schemeClr w14:val="tx1"/>
                  </w14:solidFill>
                </w14:textFill>
              </w:rPr>
              <w:t>经计算，本项目储罐非甲烷总烃</w:t>
            </w:r>
            <w:r>
              <w:rPr>
                <w:rFonts w:hint="eastAsia"/>
                <w:color w:val="000000" w:themeColor="text1"/>
                <w:spacing w:val="-3"/>
                <w:sz w:val="24"/>
                <w:szCs w:val="24"/>
                <w:lang w:val="en-US" w:eastAsia="zh-CN"/>
                <w14:textFill>
                  <w14:solidFill>
                    <w14:schemeClr w14:val="tx1"/>
                  </w14:solidFill>
                </w14:textFill>
              </w:rPr>
              <w:t>大小</w:t>
            </w:r>
            <w:r>
              <w:rPr>
                <w:color w:val="000000" w:themeColor="text1"/>
                <w:spacing w:val="-3"/>
                <w:sz w:val="24"/>
                <w:szCs w:val="24"/>
                <w14:textFill>
                  <w14:solidFill>
                    <w14:schemeClr w14:val="tx1"/>
                  </w14:solidFill>
                </w14:textFill>
              </w:rPr>
              <w:t>呼吸</w:t>
            </w:r>
            <w:r>
              <w:rPr>
                <w:rFonts w:hint="eastAsia"/>
                <w:color w:val="000000" w:themeColor="text1"/>
                <w:spacing w:val="-3"/>
                <w:sz w:val="24"/>
                <w:szCs w:val="24"/>
                <w:lang w:val="en-US" w:eastAsia="zh-CN"/>
                <w14:textFill>
                  <w14:solidFill>
                    <w14:schemeClr w14:val="tx1"/>
                  </w14:solidFill>
                </w14:textFill>
              </w:rPr>
              <w:t>总产生</w:t>
            </w:r>
            <w:r>
              <w:rPr>
                <w:color w:val="000000" w:themeColor="text1"/>
                <w:spacing w:val="-3"/>
                <w:sz w:val="24"/>
                <w:szCs w:val="24"/>
                <w14:textFill>
                  <w14:solidFill>
                    <w14:schemeClr w14:val="tx1"/>
                  </w14:solidFill>
                </w14:textFill>
              </w:rPr>
              <w:t>量</w:t>
            </w:r>
            <w:r>
              <w:rPr>
                <w:color w:val="FF0000"/>
                <w:spacing w:val="-3"/>
                <w:sz w:val="24"/>
                <w:szCs w:val="24"/>
              </w:rPr>
              <w:t>为</w:t>
            </w:r>
            <w:r>
              <w:rPr>
                <w:rFonts w:hint="eastAsia" w:cs="Times New Roman"/>
                <w:color w:val="FF0000"/>
                <w:spacing w:val="-4"/>
                <w:sz w:val="24"/>
                <w:szCs w:val="24"/>
                <w:lang w:val="en-US" w:eastAsia="zh-CN"/>
              </w:rPr>
              <w:t>27.78</w:t>
            </w:r>
            <w:r>
              <w:rPr>
                <w:rFonts w:ascii="Times New Roman" w:hAnsi="Times New Roman" w:eastAsia="Times New Roman" w:cs="Times New Roman"/>
                <w:color w:val="FF0000"/>
                <w:spacing w:val="-4"/>
                <w:sz w:val="24"/>
                <w:szCs w:val="24"/>
              </w:rPr>
              <w:t>t/a</w:t>
            </w:r>
            <w:r>
              <w:rPr>
                <w:color w:val="FF0000"/>
                <w:spacing w:val="-2"/>
                <w:sz w:val="24"/>
                <w:szCs w:val="24"/>
              </w:rPr>
              <w:t>。</w:t>
            </w:r>
          </w:p>
          <w:p>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firstLine="468" w:firstLineChars="200"/>
              <w:textAlignment w:val="auto"/>
              <w:rPr>
                <w:rFonts w:hint="eastAsia"/>
                <w:color w:val="000000" w:themeColor="text1"/>
                <w:lang w:val="en-US" w:eastAsia="zh-CN"/>
                <w14:textFill>
                  <w14:solidFill>
                    <w14:schemeClr w14:val="tx1"/>
                  </w14:solidFill>
                </w14:textFill>
              </w:rPr>
            </w:pPr>
            <w:r>
              <w:rPr>
                <w:color w:val="000000" w:themeColor="text1"/>
                <w:spacing w:val="-3"/>
                <w:position w:val="2"/>
                <w:sz w:val="24"/>
                <w:szCs w:val="24"/>
                <w14:textFill>
                  <w14:solidFill>
                    <w14:schemeClr w14:val="tx1"/>
                  </w14:solidFill>
                </w14:textFill>
              </w:rPr>
              <w:t>（</w:t>
            </w:r>
            <w:r>
              <w:rPr>
                <w:rFonts w:ascii="Times New Roman" w:hAnsi="Times New Roman" w:eastAsia="Times New Roman" w:cs="Times New Roman"/>
                <w:color w:val="000000" w:themeColor="text1"/>
                <w:spacing w:val="-3"/>
                <w:position w:val="2"/>
                <w:sz w:val="24"/>
                <w:szCs w:val="24"/>
                <w14:textFill>
                  <w14:solidFill>
                    <w14:schemeClr w14:val="tx1"/>
                  </w14:solidFill>
                </w14:textFill>
              </w:rPr>
              <w:t>2</w:t>
            </w:r>
            <w:r>
              <w:rPr>
                <w:color w:val="000000" w:themeColor="text1"/>
                <w:spacing w:val="-3"/>
                <w:position w:val="2"/>
                <w:sz w:val="24"/>
                <w:szCs w:val="24"/>
                <w14:textFill>
                  <w14:solidFill>
                    <w14:schemeClr w14:val="tx1"/>
                  </w14:solidFill>
                </w14:textFill>
              </w:rPr>
              <w:t>）装载废气</w:t>
            </w:r>
          </w:p>
          <w:p>
            <w:pPr>
              <w:pStyle w:val="9"/>
              <w:keepNext w:val="0"/>
              <w:keepLines w:val="0"/>
              <w:pageBreakBefore w:val="0"/>
              <w:widowControl w:val="0"/>
              <w:kinsoku/>
              <w:wordWrap/>
              <w:overflowPunct/>
              <w:topLinePunct w:val="0"/>
              <w:autoSpaceDE/>
              <w:autoSpaceDN/>
              <w:bidi w:val="0"/>
              <w:adjustRightInd/>
              <w:snapToGrid/>
              <w:spacing w:after="0"/>
              <w:ind w:left="0" w:leftChars="0" w:firstLine="480" w:firstLineChars="200"/>
              <w:textAlignment w:val="auto"/>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项目汽油、柴油转运存在装载废气，收集后进入油气回收系统，本</w:t>
            </w:r>
            <w:r>
              <w:rPr>
                <w:color w:val="000000" w:themeColor="text1"/>
                <w:spacing w:val="-1"/>
                <w14:textFill>
                  <w14:solidFill>
                    <w14:schemeClr w14:val="tx1"/>
                  </w14:solidFill>
                </w14:textFill>
              </w:rPr>
              <w:t>评价采用公式法计算装载废气产生量，参考《石油库节能设计导则》（</w:t>
            </w:r>
            <w:r>
              <w:rPr>
                <w:rFonts w:ascii="Times New Roman" w:hAnsi="Times New Roman" w:eastAsia="Times New Roman" w:cs="Times New Roman"/>
                <w:color w:val="000000" w:themeColor="text1"/>
                <w:spacing w:val="-1"/>
                <w14:textFill>
                  <w14:solidFill>
                    <w14:schemeClr w14:val="tx1"/>
                  </w14:solidFill>
                </w14:textFill>
              </w:rPr>
              <w:t>SH/T</w:t>
            </w:r>
            <w:r>
              <w:rPr>
                <w:rFonts w:ascii="Times New Roman" w:hAnsi="Times New Roman" w:eastAsia="Times New Roman" w:cs="Times New Roman"/>
                <w:color w:val="000000" w:themeColor="text1"/>
                <w:spacing w:val="16"/>
                <w:w w:val="101"/>
                <w14:textFill>
                  <w14:solidFill>
                    <w14:schemeClr w14:val="tx1"/>
                  </w14:solidFill>
                </w14:textFill>
              </w:rPr>
              <w:t xml:space="preserve"> </w:t>
            </w:r>
            <w:r>
              <w:rPr>
                <w:rFonts w:ascii="Times New Roman" w:hAnsi="Times New Roman" w:eastAsia="Times New Roman" w:cs="Times New Roman"/>
                <w:color w:val="000000" w:themeColor="text1"/>
                <w:spacing w:val="-2"/>
                <w14:textFill>
                  <w14:solidFill>
                    <w14:schemeClr w14:val="tx1"/>
                  </w14:solidFill>
                </w14:textFill>
              </w:rPr>
              <w:t>3002-2019</w:t>
            </w:r>
            <w:r>
              <w:rPr>
                <w:color w:val="000000" w:themeColor="text1"/>
                <w:spacing w:val="-2"/>
                <w14:textFill>
                  <w14:solidFill>
                    <w14:schemeClr w14:val="tx1"/>
                  </w14:solidFill>
                </w14:textFill>
              </w:rPr>
              <w:t>）附录</w:t>
            </w:r>
            <w:r>
              <w:rPr>
                <w:color w:val="000000" w:themeColor="text1"/>
                <w:spacing w:val="-45"/>
                <w14:textFill>
                  <w14:solidFill>
                    <w14:schemeClr w14:val="tx1"/>
                  </w14:solidFill>
                </w14:textFill>
              </w:rPr>
              <w:t xml:space="preserve"> </w:t>
            </w:r>
            <w:r>
              <w:rPr>
                <w:rFonts w:ascii="Times New Roman" w:hAnsi="Times New Roman" w:eastAsia="Times New Roman" w:cs="Times New Roman"/>
                <w:color w:val="000000" w:themeColor="text1"/>
                <w:spacing w:val="-2"/>
                <w14:textFill>
                  <w14:solidFill>
                    <w14:schemeClr w14:val="tx1"/>
                  </w14:solidFill>
                </w14:textFill>
              </w:rPr>
              <w:t>B.0.1</w:t>
            </w:r>
            <w:r>
              <w:rPr>
                <w:color w:val="000000" w:themeColor="text1"/>
                <w:spacing w:val="-2"/>
                <w14:textFill>
                  <w14:solidFill>
                    <w14:schemeClr w14:val="tx1"/>
                  </w14:solidFill>
                </w14:textFill>
              </w:rPr>
              <w:t>公式计算：</w:t>
            </w:r>
          </w:p>
          <w:p>
            <w:pPr>
              <w:pStyle w:val="9"/>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firstLine="480" w:firstLineChars="200"/>
              <w:textAlignment w:val="auto"/>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1552" behindDoc="0" locked="0" layoutInCell="1" allowOverlap="1">
                  <wp:simplePos x="0" y="0"/>
                  <wp:positionH relativeFrom="column">
                    <wp:posOffset>268605</wp:posOffset>
                  </wp:positionH>
                  <wp:positionV relativeFrom="page">
                    <wp:posOffset>399415</wp:posOffset>
                  </wp:positionV>
                  <wp:extent cx="4608195" cy="478790"/>
                  <wp:effectExtent l="0" t="0" r="1905" b="16510"/>
                  <wp:wrapTopAndBottom/>
                  <wp:docPr id="19"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true"/>
                          </pic:cNvPicPr>
                        </pic:nvPicPr>
                        <pic:blipFill>
                          <a:blip r:embed="rId62"/>
                          <a:srcRect b="28323"/>
                          <a:stretch>
                            <a:fillRect/>
                          </a:stretch>
                        </pic:blipFill>
                        <pic:spPr>
                          <a:xfrm>
                            <a:off x="0" y="0"/>
                            <a:ext cx="4608195" cy="478790"/>
                          </a:xfrm>
                          <a:prstGeom prst="rect">
                            <a:avLst/>
                          </a:prstGeom>
                          <a:noFill/>
                          <a:ln>
                            <a:noFill/>
                          </a:ln>
                        </pic:spPr>
                      </pic:pic>
                    </a:graphicData>
                  </a:graphic>
                </wp:anchor>
              </w:drawing>
            </w:r>
            <w:r>
              <w:rPr>
                <w:rFonts w:hint="eastAsia"/>
                <w:color w:val="000000" w:themeColor="text1"/>
                <w:lang w:val="en-US" w:eastAsia="zh-CN"/>
                <w14:textFill>
                  <w14:solidFill>
                    <w14:schemeClr w14:val="tx1"/>
                  </w14:solidFill>
                </w14:textFill>
              </w:rPr>
              <w:t>式中：</w:t>
            </w:r>
          </w:p>
          <w:p>
            <w:pPr>
              <w:pStyle w:val="96"/>
              <w:keepNext w:val="0"/>
              <w:keepLines w:val="0"/>
              <w:pageBreakBefore w:val="0"/>
              <w:widowControl w:val="0"/>
              <w:kinsoku/>
              <w:wordWrap/>
              <w:overflowPunct/>
              <w:topLinePunct w:val="0"/>
              <w:autoSpaceDE/>
              <w:autoSpaceDN/>
              <w:bidi w:val="0"/>
              <w:adjustRightInd w:val="0"/>
              <w:snapToGrid w:val="0"/>
              <w:spacing w:line="360" w:lineRule="auto"/>
              <w:ind w:left="0" w:right="0" w:firstLine="952" w:firstLineChars="400"/>
              <w:jc w:val="both"/>
              <w:textAlignment w:val="auto"/>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1"/>
                <w:position w:val="3"/>
                <w:sz w:val="24"/>
                <w:szCs w:val="24"/>
                <w14:textFill>
                  <w14:solidFill>
                    <w14:schemeClr w14:val="tx1"/>
                  </w14:solidFill>
                </w14:textFill>
              </w:rPr>
              <w:t>L</w:t>
            </w:r>
            <w:r>
              <w:rPr>
                <w:rFonts w:ascii="Times New Roman" w:hAnsi="Times New Roman" w:eastAsia="Times New Roman" w:cs="Times New Roman"/>
                <w:color w:val="000000" w:themeColor="text1"/>
                <w:spacing w:val="-1"/>
                <w:position w:val="2"/>
                <w:sz w:val="24"/>
                <w:szCs w:val="24"/>
                <w14:textFill>
                  <w14:solidFill>
                    <w14:schemeClr w14:val="tx1"/>
                  </w14:solidFill>
                </w14:textFill>
              </w:rPr>
              <w:t>w</w:t>
            </w:r>
            <w:r>
              <w:rPr>
                <w:color w:val="000000" w:themeColor="text1"/>
                <w:spacing w:val="-1"/>
                <w:position w:val="3"/>
                <w:sz w:val="24"/>
                <w:szCs w:val="24"/>
                <w14:textFill>
                  <w14:solidFill>
                    <w14:schemeClr w14:val="tx1"/>
                  </w14:solidFill>
                </w14:textFill>
              </w:rPr>
              <w:t>——同品种物料装载过程损耗量，</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kg/h</w:t>
            </w:r>
            <w:r>
              <w:rPr>
                <w:color w:val="000000" w:themeColor="text1"/>
                <w:spacing w:val="-1"/>
                <w:position w:val="3"/>
                <w:sz w:val="24"/>
                <w:szCs w:val="24"/>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val="0"/>
              <w:snapToGrid w:val="0"/>
              <w:spacing w:line="360" w:lineRule="auto"/>
              <w:ind w:left="0" w:right="0" w:firstLine="952" w:firstLineChars="400"/>
              <w:jc w:val="both"/>
              <w:textAlignment w:val="auto"/>
              <w:rPr>
                <w:rFonts w:ascii="Times New Roman" w:hAnsi="Times New Roman" w:eastAsia="Times New Roman" w:cs="Times New Roman"/>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1"/>
                <w:position w:val="3"/>
                <w:sz w:val="24"/>
                <w:szCs w:val="24"/>
                <w14:textFill>
                  <w14:solidFill>
                    <w14:schemeClr w14:val="tx1"/>
                  </w14:solidFill>
                </w14:textFill>
              </w:rPr>
              <w:t>q</w:t>
            </w:r>
            <w:r>
              <w:rPr>
                <w:rFonts w:ascii="Times New Roman" w:hAnsi="Times New Roman" w:eastAsia="Times New Roman" w:cs="Times New Roman"/>
                <w:color w:val="000000" w:themeColor="text1"/>
                <w:spacing w:val="-1"/>
                <w:position w:val="1"/>
                <w:sz w:val="24"/>
                <w:szCs w:val="24"/>
                <w14:textFill>
                  <w14:solidFill>
                    <w14:schemeClr w14:val="tx1"/>
                  </w14:solidFill>
                </w14:textFill>
              </w:rPr>
              <w:t>w</w:t>
            </w:r>
            <w:r>
              <w:rPr>
                <w:color w:val="000000" w:themeColor="text1"/>
                <w:spacing w:val="-1"/>
                <w:position w:val="3"/>
                <w:sz w:val="24"/>
                <w:szCs w:val="24"/>
                <w14:textFill>
                  <w14:solidFill>
                    <w14:schemeClr w14:val="tx1"/>
                  </w14:solidFill>
                </w14:textFill>
              </w:rPr>
              <w:t>——同品种物料装车总流量，</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m</w:t>
            </w:r>
            <w:r>
              <w:rPr>
                <w:rFonts w:hint="eastAsia" w:ascii="Times New Roman" w:hAnsi="Times New Roman" w:eastAsia="宋体" w:cs="Times New Roman"/>
                <w:color w:val="000000" w:themeColor="text1"/>
                <w:spacing w:val="-1"/>
                <w:position w:val="3"/>
                <w:sz w:val="24"/>
                <w:szCs w:val="24"/>
                <w:vertAlign w:val="superscript"/>
                <w:lang w:val="en-US" w:eastAsia="zh-CN"/>
                <w14:textFill>
                  <w14:solidFill>
                    <w14:schemeClr w14:val="tx1"/>
                  </w14:solidFill>
                </w14:textFill>
              </w:rPr>
              <w:t>3</w:t>
            </w:r>
            <w:r>
              <w:rPr>
                <w:rFonts w:ascii="Times New Roman" w:hAnsi="Times New Roman" w:eastAsia="Times New Roman" w:cs="Times New Roman"/>
                <w:color w:val="000000" w:themeColor="text1"/>
                <w:spacing w:val="-1"/>
                <w:position w:val="3"/>
                <w:sz w:val="24"/>
                <w:szCs w:val="24"/>
                <w14:textFill>
                  <w14:solidFill>
                    <w14:schemeClr w14:val="tx1"/>
                  </w14:solidFill>
                </w14:textFill>
              </w:rPr>
              <w:t>/h;</w:t>
            </w:r>
          </w:p>
          <w:p>
            <w:pPr>
              <w:pStyle w:val="96"/>
              <w:keepNext w:val="0"/>
              <w:keepLines w:val="0"/>
              <w:pageBreakBefore w:val="0"/>
              <w:widowControl w:val="0"/>
              <w:kinsoku/>
              <w:wordWrap/>
              <w:overflowPunct/>
              <w:topLinePunct w:val="0"/>
              <w:autoSpaceDE/>
              <w:autoSpaceDN/>
              <w:bidi w:val="0"/>
              <w:spacing w:line="360" w:lineRule="auto"/>
              <w:ind w:right="0" w:firstLine="976" w:firstLineChars="400"/>
              <w:jc w:val="both"/>
              <w:textAlignment w:val="auto"/>
              <w:rPr>
                <w:rFonts w:ascii="Times New Roman" w:hAnsi="Times New Roman" w:eastAsia="Times New Roman" w:cs="Times New Roman"/>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2"/>
                <w:position w:val="2"/>
                <w:sz w:val="24"/>
                <w:szCs w:val="24"/>
                <w14:textFill>
                  <w14:solidFill>
                    <w14:schemeClr w14:val="tx1"/>
                  </w14:solidFill>
                </w14:textFill>
              </w:rPr>
              <w:t>S</w:t>
            </w:r>
            <w:r>
              <w:rPr>
                <w:color w:val="000000" w:themeColor="text1"/>
                <w:spacing w:val="2"/>
                <w:position w:val="2"/>
                <w:sz w:val="24"/>
                <w:szCs w:val="24"/>
                <w14:textFill>
                  <w14:solidFill>
                    <w14:schemeClr w14:val="tx1"/>
                  </w14:solidFill>
                </w14:textFill>
              </w:rPr>
              <w:t>——油气饱和系数，无量纲，</w:t>
            </w:r>
            <w:r>
              <w:rPr>
                <w:rFonts w:hint="eastAsia" w:ascii="Times New Roman" w:hAnsi="Times New Roman" w:cs="Times New Roman"/>
                <w:color w:val="000000" w:themeColor="text1"/>
                <w:spacing w:val="-10"/>
                <w:position w:val="3"/>
                <w:sz w:val="24"/>
                <w:szCs w:val="24"/>
                <w:lang w:val="en-US" w:eastAsia="zh-CN"/>
                <w14:textFill>
                  <w14:solidFill>
                    <w14:schemeClr w14:val="tx1"/>
                  </w14:solidFill>
                </w14:textFill>
              </w:rPr>
              <w:t>本项目汽油组分油为液下装车，柴油为底部装车，根据</w:t>
            </w:r>
            <w:r>
              <w:rPr>
                <w:rFonts w:ascii="宋体" w:hAnsi="宋体" w:eastAsia="宋体" w:cs="宋体"/>
                <w:color w:val="000000" w:themeColor="text1"/>
                <w:sz w:val="24"/>
                <w:szCs w:val="24"/>
                <w14:textFill>
                  <w14:solidFill>
                    <w14:schemeClr w14:val="tx1"/>
                  </w14:solidFill>
                </w14:textFill>
              </w:rPr>
              <w:t>《石油库节能设计导则》（SH/T 3002-2019）</w:t>
            </w:r>
            <w:r>
              <w:rPr>
                <w:rFonts w:hint="eastAsia" w:ascii="宋体" w:hAnsi="宋体" w:eastAsia="宋体" w:cs="宋体"/>
                <w:color w:val="000000" w:themeColor="text1"/>
                <w:sz w:val="24"/>
                <w:szCs w:val="24"/>
                <w:lang w:val="en-US" w:eastAsia="zh-CN"/>
                <w14:textFill>
                  <w14:solidFill>
                    <w14:schemeClr w14:val="tx1"/>
                  </w14:solidFill>
                </w14:textFill>
              </w:rPr>
              <w:t>附表B.0.1正常工况,</w:t>
            </w:r>
            <w:r>
              <w:rPr>
                <w:color w:val="000000" w:themeColor="text1"/>
                <w:spacing w:val="2"/>
                <w:position w:val="2"/>
                <w:sz w:val="24"/>
                <w:szCs w:val="24"/>
                <w14:textFill>
                  <w14:solidFill>
                    <w14:schemeClr w14:val="tx1"/>
                  </w14:solidFill>
                </w14:textFill>
              </w:rPr>
              <w:t>本项目取值</w:t>
            </w:r>
            <w:r>
              <w:rPr>
                <w:rFonts w:ascii="Times New Roman" w:hAnsi="Times New Roman" w:eastAsia="Times New Roman" w:cs="Times New Roman"/>
                <w:color w:val="000000" w:themeColor="text1"/>
                <w:spacing w:val="2"/>
                <w:position w:val="2"/>
                <w:sz w:val="24"/>
                <w:szCs w:val="24"/>
                <w14:textFill>
                  <w14:solidFill>
                    <w14:schemeClr w14:val="tx1"/>
                  </w14:solidFill>
                </w14:textFill>
              </w:rPr>
              <w:t>0.6</w:t>
            </w:r>
            <w:r>
              <w:rPr>
                <w:rFonts w:hint="eastAsia"/>
                <w:color w:val="000000" w:themeColor="text1"/>
                <w:lang w:eastAsia="zh-CN"/>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line="360" w:lineRule="auto"/>
              <w:ind w:right="0" w:firstLine="992" w:firstLineChars="400"/>
              <w:jc w:val="both"/>
              <w:textAlignment w:val="auto"/>
              <w:rPr>
                <w:rFonts w:hint="default" w:ascii="Times New Roman" w:hAnsi="Times New Roman" w:eastAsia="Times New Roman" w:cs="Times New Roman"/>
                <w:color w:val="000000" w:themeColor="text1"/>
                <w:sz w:val="24"/>
                <w:szCs w:val="24"/>
                <w:lang w:val="en-US"/>
                <w14:textFill>
                  <w14:solidFill>
                    <w14:schemeClr w14:val="tx1"/>
                  </w14:solidFill>
                </w14:textFill>
              </w:rPr>
            </w:pPr>
            <w:r>
              <w:rPr>
                <w:rFonts w:ascii="Times New Roman" w:hAnsi="Times New Roman" w:eastAsia="Times New Roman" w:cs="Times New Roman"/>
                <w:color w:val="000000" w:themeColor="text1"/>
                <w:spacing w:val="4"/>
                <w:position w:val="2"/>
                <w:sz w:val="24"/>
                <w:szCs w:val="24"/>
                <w14:textFill>
                  <w14:solidFill>
                    <w14:schemeClr w14:val="tx1"/>
                  </w14:solidFill>
                </w14:textFill>
              </w:rPr>
              <w:t>T</w:t>
            </w:r>
            <w:r>
              <w:rPr>
                <w:color w:val="000000" w:themeColor="text1"/>
                <w:spacing w:val="4"/>
                <w:position w:val="2"/>
                <w:sz w:val="24"/>
                <w:szCs w:val="24"/>
                <w14:textFill>
                  <w14:solidFill>
                    <w14:schemeClr w14:val="tx1"/>
                  </w14:solidFill>
                </w14:textFill>
              </w:rPr>
              <w:t>——装载温度，取值</w:t>
            </w:r>
            <w:r>
              <w:rPr>
                <w:rFonts w:hint="eastAsia" w:ascii="Times New Roman" w:hAnsi="Times New Roman" w:eastAsia="宋体" w:cs="Times New Roman"/>
                <w:color w:val="000000" w:themeColor="text1"/>
                <w:spacing w:val="4"/>
                <w:position w:val="2"/>
                <w:sz w:val="24"/>
                <w:szCs w:val="24"/>
                <w:lang w:val="en-US" w:eastAsia="zh-CN"/>
                <w14:textFill>
                  <w14:solidFill>
                    <w14:schemeClr w14:val="tx1"/>
                  </w14:solidFill>
                </w14:textFill>
              </w:rPr>
              <w:t>298；</w:t>
            </w:r>
          </w:p>
          <w:p>
            <w:pPr>
              <w:pStyle w:val="96"/>
              <w:keepNext w:val="0"/>
              <w:keepLines w:val="0"/>
              <w:pageBreakBefore w:val="0"/>
              <w:widowControl w:val="0"/>
              <w:kinsoku/>
              <w:wordWrap/>
              <w:overflowPunct/>
              <w:topLinePunct w:val="0"/>
              <w:autoSpaceDE/>
              <w:autoSpaceDN/>
              <w:bidi w:val="0"/>
              <w:spacing w:beforeLines="0" w:afterLines="0" w:line="360" w:lineRule="auto"/>
              <w:ind w:right="0" w:firstLine="952" w:firstLineChars="400"/>
              <w:jc w:val="both"/>
              <w:textAlignment w:val="auto"/>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1"/>
                <w:sz w:val="24"/>
                <w:szCs w:val="24"/>
                <w14:textFill>
                  <w14:solidFill>
                    <w14:schemeClr w14:val="tx1"/>
                  </w14:solidFill>
                </w14:textFill>
              </w:rPr>
              <w:t>p</w:t>
            </w:r>
            <w:r>
              <w:rPr>
                <w:rFonts w:ascii="Times New Roman" w:hAnsi="Times New Roman" w:eastAsia="Times New Roman" w:cs="Times New Roman"/>
                <w:color w:val="000000" w:themeColor="text1"/>
                <w:spacing w:val="-1"/>
                <w:position w:val="-1"/>
                <w:sz w:val="24"/>
                <w:szCs w:val="24"/>
                <w14:textFill>
                  <w14:solidFill>
                    <w14:schemeClr w14:val="tx1"/>
                  </w14:solidFill>
                </w14:textFill>
              </w:rPr>
              <w:t xml:space="preserve">T </w:t>
            </w:r>
            <w:r>
              <w:rPr>
                <w:color w:val="000000" w:themeColor="text1"/>
                <w:spacing w:val="-1"/>
                <w:sz w:val="24"/>
                <w:szCs w:val="24"/>
                <w14:textFill>
                  <w14:solidFill>
                    <w14:schemeClr w14:val="tx1"/>
                  </w14:solidFill>
                </w14:textFill>
              </w:rPr>
              <w:t>——装载温度</w:t>
            </w:r>
            <w:r>
              <w:rPr>
                <w:color w:val="000000" w:themeColor="text1"/>
                <w:spacing w:val="-45"/>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1"/>
                <w:sz w:val="24"/>
                <w:szCs w:val="24"/>
                <w14:textFill>
                  <w14:solidFill>
                    <w14:schemeClr w14:val="tx1"/>
                  </w14:solidFill>
                </w14:textFill>
              </w:rPr>
              <w:t>T</w:t>
            </w:r>
            <w:r>
              <w:rPr>
                <w:color w:val="000000" w:themeColor="text1"/>
                <w:spacing w:val="-1"/>
                <w:sz w:val="24"/>
                <w:szCs w:val="24"/>
                <w14:textFill>
                  <w14:solidFill>
                    <w14:schemeClr w14:val="tx1"/>
                  </w14:solidFill>
                </w14:textFill>
              </w:rPr>
              <w:t>对应的物料真实蒸气压，</w:t>
            </w:r>
            <w:r>
              <w:rPr>
                <w:rFonts w:ascii="Times New Roman" w:hAnsi="Times New Roman" w:eastAsia="Times New Roman" w:cs="Times New Roman"/>
                <w:color w:val="000000" w:themeColor="text1"/>
                <w:spacing w:val="-1"/>
                <w:sz w:val="24"/>
                <w:szCs w:val="24"/>
                <w14:textFill>
                  <w14:solidFill>
                    <w14:schemeClr w14:val="tx1"/>
                  </w14:solidFill>
                </w14:textFill>
              </w:rPr>
              <w:t>kPa</w:t>
            </w:r>
            <w:r>
              <w:rPr>
                <w:rFonts w:ascii="Times New Roman" w:hAnsi="Times New Roman" w:eastAsia="Times New Roman" w:cs="Times New Roman"/>
                <w:color w:val="000000" w:themeColor="text1"/>
                <w:spacing w:val="-34"/>
                <w:sz w:val="24"/>
                <w:szCs w:val="24"/>
                <w14:textFill>
                  <w14:solidFill>
                    <w14:schemeClr w14:val="tx1"/>
                  </w14:solidFill>
                </w14:textFill>
              </w:rPr>
              <w:t xml:space="preserve"> </w:t>
            </w:r>
            <w:r>
              <w:rPr>
                <w:color w:val="000000" w:themeColor="text1"/>
                <w:spacing w:val="-1"/>
                <w:sz w:val="24"/>
                <w:szCs w:val="24"/>
                <w14:textFill>
                  <w14:solidFill>
                    <w14:schemeClr w14:val="tx1"/>
                  </w14:solidFill>
                </w14:textFill>
              </w:rPr>
              <w:t>，汽油取值</w:t>
            </w:r>
            <w:r>
              <w:rPr>
                <w:rFonts w:ascii="Times New Roman" w:hAnsi="Times New Roman" w:eastAsia="Times New Roman" w:cs="Times New Roman"/>
                <w:color w:val="000000" w:themeColor="text1"/>
                <w:spacing w:val="-1"/>
                <w:sz w:val="24"/>
                <w:szCs w:val="24"/>
                <w14:textFill>
                  <w14:solidFill>
                    <w14:schemeClr w14:val="tx1"/>
                  </w14:solidFill>
                </w14:textFill>
              </w:rPr>
              <w:t>42kPa</w:t>
            </w:r>
            <w:r>
              <w:rPr>
                <w:color w:val="000000" w:themeColor="text1"/>
                <w:spacing w:val="-1"/>
                <w:sz w:val="24"/>
                <w:szCs w:val="24"/>
                <w14:textFill>
                  <w14:solidFill>
                    <w14:schemeClr w14:val="tx1"/>
                  </w14:solidFill>
                </w14:textFill>
              </w:rPr>
              <w:t>，</w:t>
            </w:r>
            <w:r>
              <w:rPr>
                <w:color w:val="000000" w:themeColor="text1"/>
                <w:sz w:val="24"/>
                <w:szCs w:val="24"/>
                <w14:textFill>
                  <w14:solidFill>
                    <w14:schemeClr w14:val="tx1"/>
                  </w14:solidFill>
                </w14:textFill>
              </w:rPr>
              <w:t xml:space="preserve"> </w:t>
            </w:r>
            <w:r>
              <w:rPr>
                <w:color w:val="000000" w:themeColor="text1"/>
                <w:spacing w:val="-3"/>
                <w:sz w:val="24"/>
                <w:szCs w:val="24"/>
                <w14:textFill>
                  <w14:solidFill>
                    <w14:schemeClr w14:val="tx1"/>
                  </w14:solidFill>
                </w14:textFill>
              </w:rPr>
              <w:t>柴油取值</w:t>
            </w:r>
            <w:r>
              <w:rPr>
                <w:color w:val="000000" w:themeColor="text1"/>
                <w:spacing w:val="-46"/>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3"/>
                <w:sz w:val="24"/>
                <w:szCs w:val="24"/>
                <w14:textFill>
                  <w14:solidFill>
                    <w14:schemeClr w14:val="tx1"/>
                  </w14:solidFill>
                </w14:textFill>
              </w:rPr>
              <w:t>3kPa</w:t>
            </w:r>
            <w:r>
              <w:rPr>
                <w:rFonts w:hint="eastAsia" w:ascii="Times New Roman" w:hAnsi="Times New Roman" w:eastAsia="宋体" w:cs="Times New Roman"/>
                <w:color w:val="000000" w:themeColor="text1"/>
                <w:spacing w:val="-3"/>
                <w:sz w:val="24"/>
                <w:szCs w:val="24"/>
                <w:lang w:eastAsia="zh-CN"/>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360" w:lineRule="auto"/>
              <w:ind w:left="0" w:leftChars="0" w:right="0" w:firstLine="960" w:firstLineChars="400"/>
              <w:jc w:val="both"/>
              <w:textAlignment w:val="auto"/>
              <w:rPr>
                <w:rFonts w:hint="eastAsia" w:eastAsia="宋体"/>
                <w:color w:val="000000" w:themeColor="text1"/>
                <w:sz w:val="24"/>
                <w:szCs w:val="24"/>
                <w:lang w:eastAsia="zh-CN"/>
                <w14:textFill>
                  <w14:solidFill>
                    <w14:schemeClr w14:val="tx1"/>
                  </w14:solidFill>
                </w14:textFill>
              </w:rPr>
            </w:pPr>
            <w:r>
              <w:rPr>
                <w:rFonts w:ascii="Times New Roman" w:hAnsi="Times New Roman" w:eastAsia="Times New Roman" w:cs="Times New Roman"/>
                <w:color w:val="000000" w:themeColor="text1"/>
                <w:sz w:val="24"/>
                <w:szCs w:val="24"/>
                <w14:textFill>
                  <w14:solidFill>
                    <w14:schemeClr w14:val="tx1"/>
                  </w14:solidFill>
                </w14:textFill>
              </w:rPr>
              <w:t>M</w:t>
            </w:r>
            <w:r>
              <w:rPr>
                <w:rFonts w:ascii="Times New Roman" w:hAnsi="Times New Roman" w:eastAsia="Times New Roman" w:cs="Times New Roman"/>
                <w:color w:val="000000" w:themeColor="text1"/>
                <w:spacing w:val="31"/>
                <w:sz w:val="24"/>
                <w:szCs w:val="24"/>
                <w14:textFill>
                  <w14:solidFill>
                    <w14:schemeClr w14:val="tx1"/>
                  </w14:solidFill>
                </w14:textFill>
              </w:rPr>
              <w:t xml:space="preserve"> </w:t>
            </w:r>
            <w:r>
              <w:rPr>
                <w:color w:val="000000" w:themeColor="text1"/>
                <w:sz w:val="24"/>
                <w:szCs w:val="24"/>
                <w14:textFill>
                  <w14:solidFill>
                    <w14:schemeClr w14:val="tx1"/>
                  </w14:solidFill>
                </w14:textFill>
              </w:rPr>
              <w:t>——物料的分子量，</w:t>
            </w:r>
            <w:r>
              <w:rPr>
                <w:rFonts w:ascii="Times New Roman" w:hAnsi="Times New Roman" w:eastAsia="Times New Roman" w:cs="Times New Roman"/>
                <w:color w:val="000000" w:themeColor="text1"/>
                <w:sz w:val="24"/>
                <w:szCs w:val="24"/>
                <w14:textFill>
                  <w14:solidFill>
                    <w14:schemeClr w14:val="tx1"/>
                  </w14:solidFill>
                </w14:textFill>
              </w:rPr>
              <w:t>kg/kg-mol</w:t>
            </w:r>
            <w:r>
              <w:rPr>
                <w:rFonts w:ascii="Times New Roman" w:hAnsi="Times New Roman" w:eastAsia="Times New Roman" w:cs="Times New Roman"/>
                <w:color w:val="000000" w:themeColor="text1"/>
                <w:spacing w:val="-29"/>
                <w:sz w:val="24"/>
                <w:szCs w:val="24"/>
                <w14:textFill>
                  <w14:solidFill>
                    <w14:schemeClr w14:val="tx1"/>
                  </w14:solidFill>
                </w14:textFill>
              </w:rPr>
              <w:t xml:space="preserve"> </w:t>
            </w:r>
            <w:r>
              <w:rPr>
                <w:color w:val="000000" w:themeColor="text1"/>
                <w:sz w:val="24"/>
                <w:szCs w:val="24"/>
                <w14:textFill>
                  <w14:solidFill>
                    <w14:schemeClr w14:val="tx1"/>
                  </w14:solidFill>
                </w14:textFill>
              </w:rPr>
              <w:t>，汽油取值</w:t>
            </w:r>
            <w:r>
              <w:rPr>
                <w:color w:val="000000" w:themeColor="text1"/>
                <w:spacing w:val="-46"/>
                <w:sz w:val="24"/>
                <w:szCs w:val="24"/>
                <w14:textFill>
                  <w14:solidFill>
                    <w14:schemeClr w14:val="tx1"/>
                  </w14:solidFill>
                </w14:textFill>
              </w:rPr>
              <w:t xml:space="preserve"> </w:t>
            </w:r>
            <w:r>
              <w:rPr>
                <w:rFonts w:ascii="Times New Roman" w:hAnsi="Times New Roman" w:eastAsia="Times New Roman" w:cs="Times New Roman"/>
                <w:color w:val="000000" w:themeColor="text1"/>
                <w:sz w:val="24"/>
                <w:szCs w:val="24"/>
                <w14:textFill>
                  <w14:solidFill>
                    <w14:schemeClr w14:val="tx1"/>
                  </w14:solidFill>
                </w14:textFill>
              </w:rPr>
              <w:t>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11</w:t>
            </w: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ascii="Times New Roman" w:hAnsi="Times New Roman" w:eastAsia="Times New Roman" w:cs="Times New Roman"/>
                <w:color w:val="000000" w:themeColor="text1"/>
                <w:sz w:val="24"/>
                <w:szCs w:val="24"/>
                <w14:textFill>
                  <w14:solidFill>
                    <w14:schemeClr w14:val="tx1"/>
                  </w14:solidFill>
                </w14:textFill>
              </w:rPr>
              <w:t>kg/mol</w:t>
            </w:r>
            <w:r>
              <w:rPr>
                <w:rFonts w:ascii="Times New Roman" w:hAnsi="Times New Roman" w:eastAsia="Times New Roman" w:cs="Times New Roman"/>
                <w:color w:val="000000" w:themeColor="text1"/>
                <w:spacing w:val="-29"/>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，柴油取 </w:t>
            </w:r>
            <w:r>
              <w:rPr>
                <w:color w:val="000000" w:themeColor="text1"/>
                <w:spacing w:val="-4"/>
                <w:sz w:val="24"/>
                <w:szCs w:val="24"/>
                <w14:textFill>
                  <w14:solidFill>
                    <w14:schemeClr w14:val="tx1"/>
                  </w14:solidFill>
                </w14:textFill>
              </w:rPr>
              <w:t>值</w:t>
            </w:r>
            <w:r>
              <w:rPr>
                <w:color w:val="000000" w:themeColor="text1"/>
                <w:spacing w:val="-52"/>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4"/>
                <w:sz w:val="24"/>
                <w:szCs w:val="24"/>
                <w14:textFill>
                  <w14:solidFill>
                    <w14:schemeClr w14:val="tx1"/>
                  </w14:solidFill>
                </w14:textFill>
              </w:rPr>
              <w:t>0.</w:t>
            </w:r>
            <w:r>
              <w:rPr>
                <w:rFonts w:ascii="Times New Roman" w:hAnsi="Times New Roman" w:eastAsia="Times New Roman" w:cs="Times New Roman"/>
                <w:color w:val="000000" w:themeColor="text1"/>
                <w:spacing w:val="-32"/>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4"/>
                <w:sz w:val="24"/>
                <w:szCs w:val="24"/>
                <w14:textFill>
                  <w14:solidFill>
                    <w14:schemeClr w14:val="tx1"/>
                  </w14:solidFill>
                </w14:textFill>
              </w:rPr>
              <w:t>13kg/mol</w:t>
            </w:r>
            <w:r>
              <w:rPr>
                <w:rFonts w:hint="eastAsia" w:ascii="Times New Roman" w:hAnsi="Times New Roman" w:eastAsia="宋体" w:cs="Times New Roman"/>
                <w:color w:val="000000" w:themeColor="text1"/>
                <w:spacing w:val="-4"/>
                <w:sz w:val="24"/>
                <w:szCs w:val="24"/>
                <w:lang w:eastAsia="zh-CN"/>
                <w14:textFill>
                  <w14:solidFill>
                    <w14:schemeClr w14:val="tx1"/>
                  </w14:solidFill>
                </w14:textFill>
              </w:rPr>
              <w:t>；</w:t>
            </w:r>
          </w:p>
          <w:p>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944" w:firstLineChars="400"/>
              <w:jc w:val="both"/>
              <w:textAlignment w:val="auto"/>
              <w:rPr>
                <w:rFonts w:hint="eastAsia"/>
                <w:color w:val="000000" w:themeColor="text1"/>
                <w:spacing w:val="-2"/>
                <w:position w:val="2"/>
                <w:sz w:val="24"/>
                <w:szCs w:val="24"/>
                <w:lang w:eastAsia="zh-CN"/>
                <w14:textFill>
                  <w14:solidFill>
                    <w14:schemeClr w14:val="tx1"/>
                  </w14:solidFill>
                </w14:textFill>
              </w:rPr>
            </w:pPr>
            <w:r>
              <w:rPr>
                <w:rFonts w:ascii="Times New Roman" w:hAnsi="Times New Roman" w:eastAsia="Times New Roman" w:cs="Times New Roman"/>
                <w:color w:val="000000" w:themeColor="text1"/>
                <w:spacing w:val="-2"/>
                <w:position w:val="2"/>
                <w:sz w:val="24"/>
                <w:szCs w:val="24"/>
                <w14:textFill>
                  <w14:solidFill>
                    <w14:schemeClr w14:val="tx1"/>
                  </w14:solidFill>
                </w14:textFill>
              </w:rPr>
              <w:t>C</w:t>
            </w:r>
            <w:r>
              <w:rPr>
                <w:color w:val="000000" w:themeColor="text1"/>
                <w:spacing w:val="-2"/>
                <w:position w:val="2"/>
                <w:sz w:val="24"/>
                <w:szCs w:val="24"/>
                <w14:textFill>
                  <w14:solidFill>
                    <w14:schemeClr w14:val="tx1"/>
                  </w14:solidFill>
                </w14:textFill>
              </w:rPr>
              <w:t>——蒸发气收集系统的效率，</w:t>
            </w:r>
            <w:r>
              <w:rPr>
                <w:rFonts w:ascii="Times New Roman" w:hAnsi="Times New Roman" w:eastAsia="Times New Roman" w:cs="Times New Roman"/>
                <w:color w:val="000000" w:themeColor="text1"/>
                <w:spacing w:val="-2"/>
                <w:position w:val="2"/>
                <w:sz w:val="24"/>
                <w:szCs w:val="24"/>
                <w14:textFill>
                  <w14:solidFill>
                    <w14:schemeClr w14:val="tx1"/>
                  </w14:solidFill>
                </w14:textFill>
              </w:rPr>
              <w:t>%</w:t>
            </w:r>
            <w:r>
              <w:rPr>
                <w:rFonts w:ascii="Times New Roman" w:hAnsi="Times New Roman" w:eastAsia="Times New Roman" w:cs="Times New Roman"/>
                <w:color w:val="000000" w:themeColor="text1"/>
                <w:spacing w:val="-19"/>
                <w:position w:val="2"/>
                <w:sz w:val="24"/>
                <w:szCs w:val="24"/>
                <w14:textFill>
                  <w14:solidFill>
                    <w14:schemeClr w14:val="tx1"/>
                  </w14:solidFill>
                </w14:textFill>
              </w:rPr>
              <w:t xml:space="preserve"> </w:t>
            </w:r>
            <w:r>
              <w:rPr>
                <w:color w:val="000000" w:themeColor="text1"/>
                <w:spacing w:val="-2"/>
                <w:position w:val="2"/>
                <w:sz w:val="24"/>
                <w:szCs w:val="24"/>
                <w14:textFill>
                  <w14:solidFill>
                    <w14:schemeClr w14:val="tx1"/>
                  </w14:solidFill>
                </w14:textFill>
              </w:rPr>
              <w:t>。密闭装车系统取</w:t>
            </w:r>
            <w:r>
              <w:rPr>
                <w:color w:val="000000" w:themeColor="text1"/>
                <w:spacing w:val="-51"/>
                <w:position w:val="2"/>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2"/>
                <w:position w:val="2"/>
                <w:sz w:val="24"/>
                <w:szCs w:val="24"/>
                <w14:textFill>
                  <w14:solidFill>
                    <w14:schemeClr w14:val="tx1"/>
                  </w14:solidFill>
                </w14:textFill>
              </w:rPr>
              <w:t>C=100%</w:t>
            </w:r>
            <w:r>
              <w:rPr>
                <w:rFonts w:hint="eastAsia"/>
                <w:color w:val="000000" w:themeColor="text1"/>
                <w:spacing w:val="-2"/>
                <w:position w:val="2"/>
                <w:sz w:val="24"/>
                <w:szCs w:val="24"/>
                <w:lang w:eastAsia="zh-CN"/>
                <w14:textFill>
                  <w14:solidFill>
                    <w14:schemeClr w14:val="tx1"/>
                  </w14:solidFill>
                </w14:textFill>
              </w:rPr>
              <w:t>。</w:t>
            </w:r>
          </w:p>
          <w:p>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76" w:firstLineChars="200"/>
              <w:textAlignment w:val="auto"/>
              <w:rPr>
                <w:rFonts w:hint="eastAsia"/>
                <w:color w:val="000000" w:themeColor="text1"/>
                <w:spacing w:val="-1"/>
                <w:lang w:val="en-US" w:eastAsia="zh-CN"/>
                <w14:textFill>
                  <w14:solidFill>
                    <w14:schemeClr w14:val="tx1"/>
                  </w14:solidFill>
                </w14:textFill>
              </w:rPr>
            </w:pPr>
            <w:r>
              <w:rPr>
                <w:color w:val="000000" w:themeColor="text1"/>
                <w:spacing w:val="-1"/>
                <w14:textFill>
                  <w14:solidFill>
                    <w14:schemeClr w14:val="tx1"/>
                  </w14:solidFill>
                </w14:textFill>
              </w:rPr>
              <w:t>经计算，</w:t>
            </w:r>
            <w:r>
              <w:rPr>
                <w:rFonts w:hint="eastAsia"/>
                <w:color w:val="000000" w:themeColor="text1"/>
                <w:spacing w:val="-1"/>
                <w:lang w:val="en-US" w:eastAsia="zh-CN"/>
                <w14:textFill>
                  <w14:solidFill>
                    <w14:schemeClr w14:val="tx1"/>
                  </w14:solidFill>
                </w14:textFill>
              </w:rPr>
              <w:t>项目装载废气产生情况如下表。</w:t>
            </w:r>
          </w:p>
          <w:p>
            <w:pPr>
              <w:pStyle w:val="9"/>
              <w:keepNext w:val="0"/>
              <w:keepLines w:val="0"/>
              <w:pageBreakBefore w:val="0"/>
              <w:widowControl w:val="0"/>
              <w:kinsoku/>
              <w:wordWrap/>
              <w:overflowPunct/>
              <w:topLinePunct w:val="0"/>
              <w:autoSpaceDE/>
              <w:autoSpaceDN/>
              <w:bidi w:val="0"/>
              <w:adjustRightInd/>
              <w:snapToGrid/>
              <w:spacing w:after="0" w:line="360" w:lineRule="auto"/>
              <w:ind w:left="0" w:leftChars="0" w:right="0" w:firstLine="477" w:firstLineChars="200"/>
              <w:jc w:val="center"/>
              <w:textAlignment w:val="auto"/>
              <w:rPr>
                <w:rFonts w:hint="eastAsia"/>
                <w:b/>
                <w:bCs/>
                <w:color w:val="000000" w:themeColor="text1"/>
                <w:spacing w:val="-1"/>
                <w:lang w:val="en-US" w:eastAsia="zh-CN"/>
                <w14:textFill>
                  <w14:solidFill>
                    <w14:schemeClr w14:val="tx1"/>
                  </w14:solidFill>
                </w14:textFill>
              </w:rPr>
            </w:pPr>
            <w:r>
              <w:rPr>
                <w:rFonts w:hint="eastAsia"/>
                <w:b/>
                <w:bCs/>
                <w:color w:val="000000" w:themeColor="text1"/>
                <w:spacing w:val="-1"/>
                <w:lang w:val="en-US" w:eastAsia="zh-CN"/>
                <w14:textFill>
                  <w14:solidFill>
                    <w14:schemeClr w14:val="tx1"/>
                  </w14:solidFill>
                </w14:textFill>
              </w:rPr>
              <w:t>表4-3 装载废气产生情况表</w:t>
            </w:r>
          </w:p>
          <w:tbl>
            <w:tblPr>
              <w:tblStyle w:val="28"/>
              <w:tblW w:w="78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6"/>
              <w:gridCol w:w="1006"/>
              <w:gridCol w:w="1006"/>
              <w:gridCol w:w="1006"/>
              <w:gridCol w:w="1552"/>
              <w:gridCol w:w="1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油品类别</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装车总流量m³/h</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装卸车总量t</w:t>
                  </w:r>
                </w:p>
              </w:tc>
              <w:tc>
                <w:tcPr>
                  <w:tcW w:w="100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年工作时间h</w:t>
                  </w:r>
                </w:p>
              </w:tc>
              <w:tc>
                <w:tcPr>
                  <w:tcW w:w="15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产生速率Lw（kg/h）</w:t>
                  </w:r>
                </w:p>
              </w:tc>
              <w:tc>
                <w:tcPr>
                  <w:tcW w:w="10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年产生量t/a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柴油（原料油）</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150</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1</w:t>
                  </w:r>
                  <w:r>
                    <w:rPr>
                      <w:rFonts w:hint="eastAsia" w:cs="Times New Roman"/>
                      <w:b w:val="0"/>
                      <w:bCs w:val="0"/>
                      <w:i w:val="0"/>
                      <w:iCs w:val="0"/>
                      <w:color w:val="000000" w:themeColor="text1"/>
                      <w:kern w:val="0"/>
                      <w:sz w:val="22"/>
                      <w:szCs w:val="22"/>
                      <w:u w:val="none"/>
                      <w:lang w:val="en-US" w:eastAsia="zh-CN" w:bidi="ar"/>
                      <w14:textFill>
                        <w14:solidFill>
                          <w14:schemeClr w14:val="tx1"/>
                        </w14:solidFill>
                      </w14:textFill>
                    </w:rPr>
                    <w:t>9</w:t>
                  </w: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0000</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12</w:t>
                  </w:r>
                  <w:r>
                    <w:rPr>
                      <w:rFonts w:hint="eastAsia" w:cs="Times New Roman"/>
                      <w:b w:val="0"/>
                      <w:bCs w:val="0"/>
                      <w:i w:val="0"/>
                      <w:iCs w:val="0"/>
                      <w:color w:val="000000" w:themeColor="text1"/>
                      <w:kern w:val="0"/>
                      <w:sz w:val="22"/>
                      <w:szCs w:val="22"/>
                      <w:u w:val="none"/>
                      <w:lang w:val="en-US" w:eastAsia="zh-CN" w:bidi="ar"/>
                      <w14:textFill>
                        <w14:solidFill>
                          <w14:schemeClr w14:val="tx1"/>
                        </w14:solidFill>
                      </w14:textFill>
                    </w:rPr>
                    <w:t>66.7</w:t>
                  </w: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 xml:space="preserve"> </w:t>
                  </w:r>
                </w:p>
              </w:tc>
              <w:tc>
                <w:tcPr>
                  <w:tcW w:w="15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1.</w:t>
                  </w:r>
                  <w:r>
                    <w:rPr>
                      <w:rFonts w:hint="eastAsia" w:cs="Times New Roman"/>
                      <w:b w:val="0"/>
                      <w:bCs w:val="0"/>
                      <w:i w:val="0"/>
                      <w:iCs w:val="0"/>
                      <w:color w:val="000000" w:themeColor="text1"/>
                      <w:kern w:val="0"/>
                      <w:sz w:val="22"/>
                      <w:szCs w:val="22"/>
                      <w:u w:val="none"/>
                      <w:lang w:val="en-US" w:eastAsia="zh-CN" w:bidi="ar"/>
                      <w14:textFill>
                        <w14:solidFill>
                          <w14:schemeClr w14:val="tx1"/>
                        </w14:solidFill>
                      </w14:textFill>
                    </w:rPr>
                    <w:t>40×10</w:t>
                  </w:r>
                  <w:r>
                    <w:rPr>
                      <w:rFonts w:hint="eastAsia" w:cs="Times New Roman"/>
                      <w:b w:val="0"/>
                      <w:bCs w:val="0"/>
                      <w:i w:val="0"/>
                      <w:iCs w:val="0"/>
                      <w:color w:val="000000" w:themeColor="text1"/>
                      <w:kern w:val="0"/>
                      <w:sz w:val="22"/>
                      <w:szCs w:val="22"/>
                      <w:u w:val="none"/>
                      <w:vertAlign w:val="superscript"/>
                      <w:lang w:val="en-US" w:eastAsia="zh-CN" w:bidi="ar"/>
                      <w14:textFill>
                        <w14:solidFill>
                          <w14:schemeClr w14:val="tx1"/>
                        </w14:solidFill>
                      </w14:textFill>
                    </w:rPr>
                    <w:t>-5</w:t>
                  </w:r>
                </w:p>
              </w:tc>
              <w:tc>
                <w:tcPr>
                  <w:tcW w:w="108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 xml:space="preserve">0.00002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柴油（成品油）</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180</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200000</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 xml:space="preserve">1111.1 </w:t>
                  </w:r>
                </w:p>
              </w:tc>
              <w:tc>
                <w:tcPr>
                  <w:tcW w:w="15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1.6</w:t>
                  </w:r>
                  <w:r>
                    <w:rPr>
                      <w:rFonts w:hint="eastAsia" w:cs="Times New Roman"/>
                      <w:b w:val="0"/>
                      <w:bCs w:val="0"/>
                      <w:i w:val="0"/>
                      <w:iCs w:val="0"/>
                      <w:color w:val="000000" w:themeColor="text1"/>
                      <w:kern w:val="0"/>
                      <w:sz w:val="22"/>
                      <w:szCs w:val="22"/>
                      <w:u w:val="none"/>
                      <w:lang w:val="en-US" w:eastAsia="zh-CN" w:bidi="ar"/>
                      <w14:textFill>
                        <w14:solidFill>
                          <w14:schemeClr w14:val="tx1"/>
                        </w14:solidFill>
                      </w14:textFill>
                    </w:rPr>
                    <w:t>8×10</w:t>
                  </w:r>
                  <w:r>
                    <w:rPr>
                      <w:rFonts w:hint="eastAsia" w:cs="Times New Roman"/>
                      <w:b w:val="0"/>
                      <w:bCs w:val="0"/>
                      <w:i w:val="0"/>
                      <w:iCs w:val="0"/>
                      <w:color w:val="000000" w:themeColor="text1"/>
                      <w:kern w:val="0"/>
                      <w:sz w:val="22"/>
                      <w:szCs w:val="22"/>
                      <w:u w:val="none"/>
                      <w:vertAlign w:val="superscript"/>
                      <w:lang w:val="en-US" w:eastAsia="zh-CN" w:bidi="ar"/>
                      <w14:textFill>
                        <w14:solidFill>
                          <w14:schemeClr w14:val="tx1"/>
                        </w14:solidFill>
                      </w14:textFill>
                    </w:rPr>
                    <w:t>-5</w:t>
                  </w:r>
                </w:p>
              </w:tc>
              <w:tc>
                <w:tcPr>
                  <w:tcW w:w="108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 xml:space="preserve">0.00002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汽油组分油（原料油）</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30</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9500</w:t>
                  </w:r>
                </w:p>
              </w:tc>
              <w:tc>
                <w:tcPr>
                  <w:tcW w:w="100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 xml:space="preserve">316.7 </w:t>
                  </w:r>
                </w:p>
              </w:tc>
              <w:tc>
                <w:tcPr>
                  <w:tcW w:w="15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3.4</w:t>
                  </w:r>
                  <w:r>
                    <w:rPr>
                      <w:rFonts w:hint="eastAsia" w:cs="Times New Roman"/>
                      <w:b w:val="0"/>
                      <w:bCs w:val="0"/>
                      <w:i w:val="0"/>
                      <w:iCs w:val="0"/>
                      <w:color w:val="000000" w:themeColor="text1"/>
                      <w:kern w:val="0"/>
                      <w:sz w:val="22"/>
                      <w:szCs w:val="22"/>
                      <w:u w:val="none"/>
                      <w:lang w:val="en-US" w:eastAsia="zh-CN" w:bidi="ar"/>
                      <w14:textFill>
                        <w14:solidFill>
                          <w14:schemeClr w14:val="tx1"/>
                        </w14:solidFill>
                      </w14:textFill>
                    </w:rPr>
                    <w:t>1×10</w:t>
                  </w:r>
                  <w:r>
                    <w:rPr>
                      <w:rFonts w:hint="eastAsia" w:cs="Times New Roman"/>
                      <w:b w:val="0"/>
                      <w:bCs w:val="0"/>
                      <w:i w:val="0"/>
                      <w:iCs w:val="0"/>
                      <w:color w:val="000000" w:themeColor="text1"/>
                      <w:kern w:val="0"/>
                      <w:sz w:val="22"/>
                      <w:szCs w:val="22"/>
                      <w:u w:val="none"/>
                      <w:vertAlign w:val="superscript"/>
                      <w:lang w:val="en-US" w:eastAsia="zh-CN" w:bidi="ar"/>
                      <w14:textFill>
                        <w14:solidFill>
                          <w14:schemeClr w14:val="tx1"/>
                        </w14:solidFill>
                      </w14:textFill>
                    </w:rPr>
                    <w:t>-5</w:t>
                  </w:r>
                </w:p>
              </w:tc>
              <w:tc>
                <w:tcPr>
                  <w:tcW w:w="108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 xml:space="preserve">0.00001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264"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合计</w:t>
                  </w:r>
                </w:p>
              </w:tc>
              <w:tc>
                <w:tcPr>
                  <w:tcW w:w="15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6.48</w:t>
                  </w:r>
                  <w:r>
                    <w:rPr>
                      <w:rFonts w:hint="eastAsia" w:cs="Times New Roman"/>
                      <w:b w:val="0"/>
                      <w:bCs w:val="0"/>
                      <w:i w:val="0"/>
                      <w:iCs w:val="0"/>
                      <w:color w:val="000000" w:themeColor="text1"/>
                      <w:kern w:val="0"/>
                      <w:sz w:val="22"/>
                      <w:szCs w:val="22"/>
                      <w:u w:val="none"/>
                      <w:lang w:val="en-US" w:eastAsia="zh-CN" w:bidi="ar"/>
                      <w14:textFill>
                        <w14:solidFill>
                          <w14:schemeClr w14:val="tx1"/>
                        </w14:solidFill>
                      </w14:textFill>
                    </w:rPr>
                    <w:t>×10</w:t>
                  </w:r>
                  <w:r>
                    <w:rPr>
                      <w:rFonts w:hint="eastAsia" w:cs="Times New Roman"/>
                      <w:b w:val="0"/>
                      <w:bCs w:val="0"/>
                      <w:i w:val="0"/>
                      <w:iCs w:val="0"/>
                      <w:color w:val="000000" w:themeColor="text1"/>
                      <w:kern w:val="0"/>
                      <w:sz w:val="22"/>
                      <w:szCs w:val="22"/>
                      <w:u w:val="none"/>
                      <w:vertAlign w:val="superscript"/>
                      <w:lang w:val="en-US" w:eastAsia="zh-CN" w:bidi="ar"/>
                      <w14:textFill>
                        <w14:solidFill>
                          <w14:schemeClr w14:val="tx1"/>
                        </w14:solidFill>
                      </w14:textFill>
                    </w:rPr>
                    <w:t>-5</w:t>
                  </w:r>
                </w:p>
              </w:tc>
              <w:tc>
                <w:tcPr>
                  <w:tcW w:w="108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2"/>
                      <w:szCs w:val="22"/>
                      <w:u w:val="none"/>
                      <w:lang w:val="en-US" w:eastAsia="zh-CN" w:bidi="ar"/>
                      <w14:textFill>
                        <w14:solidFill>
                          <w14:schemeClr w14:val="tx1"/>
                        </w14:solidFill>
                      </w14:textFill>
                    </w:rPr>
                    <w:t xml:space="preserve">0.00005 </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根据表4-3，项目装载废气约为0.00005t/a。</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t>（</w:t>
            </w:r>
            <w:r>
              <w:rPr>
                <w:rFonts w:hint="eastAsia" w:ascii="Times New Roman" w:hAnsi="Times New Roman" w:eastAsia="宋体" w:cs="Times New Roman"/>
                <w:b/>
                <w:bCs/>
                <w:color w:val="000000" w:themeColor="text1"/>
                <w:sz w:val="24"/>
                <w:szCs w:val="24"/>
                <w:vertAlign w:val="baseli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vertAlign w:val="baseline"/>
                <w:lang w:val="en-US" w:eastAsia="zh-CN"/>
                <w14:textFill>
                  <w14:solidFill>
                    <w14:schemeClr w14:val="tx1"/>
                  </w14:solidFill>
                </w14:textFill>
              </w:rPr>
              <w:t>）污水处理站</w:t>
            </w:r>
            <w:r>
              <w:rPr>
                <w:rFonts w:hint="eastAsia" w:ascii="Times New Roman" w:hAnsi="Times New Roman" w:eastAsia="宋体" w:cs="Times New Roman"/>
                <w:b/>
                <w:bCs/>
                <w:color w:val="000000" w:themeColor="text1"/>
                <w:sz w:val="24"/>
                <w:szCs w:val="24"/>
                <w:vertAlign w:val="baseline"/>
                <w:lang w:val="en-US" w:eastAsia="zh-CN"/>
                <w14:textFill>
                  <w14:solidFill>
                    <w14:schemeClr w14:val="tx1"/>
                  </w14:solidFill>
                </w14:textFill>
              </w:rPr>
              <w:t>臭气</w:t>
            </w:r>
          </w:p>
          <w:p>
            <w:pPr>
              <w:bidi w:val="0"/>
              <w:rPr>
                <w:rFonts w:hint="eastAsia"/>
                <w:b/>
                <w:bCs/>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本项目</w:t>
            </w:r>
            <w:r>
              <w:rPr>
                <w:rFonts w:hint="eastAsia" w:cs="Times New Roman"/>
                <w:color w:val="000000" w:themeColor="text1"/>
                <w:sz w:val="24"/>
                <w:szCs w:val="24"/>
                <w:highlight w:val="none"/>
                <w:lang w:val="en-US" w:eastAsia="zh-CN"/>
                <w14:textFill>
                  <w14:solidFill>
                    <w14:schemeClr w14:val="tx1"/>
                  </w14:solidFill>
                </w14:textFill>
              </w:rPr>
              <w:t>依托的</w:t>
            </w:r>
            <w:r>
              <w:rPr>
                <w:rFonts w:hint="default" w:ascii="Times New Roman" w:hAnsi="Times New Roman" w:cs="Times New Roman"/>
                <w:color w:val="000000" w:themeColor="text1"/>
                <w:sz w:val="24"/>
                <w:szCs w:val="24"/>
                <w:highlight w:val="none"/>
                <w14:textFill>
                  <w14:solidFill>
                    <w14:schemeClr w14:val="tx1"/>
                  </w14:solidFill>
                </w14:textFill>
              </w:rPr>
              <w:t>污水</w:t>
            </w:r>
            <w:r>
              <w:rPr>
                <w:rFonts w:hint="eastAsia" w:cs="Times New Roman"/>
                <w:color w:val="000000" w:themeColor="text1"/>
                <w:sz w:val="24"/>
                <w:szCs w:val="24"/>
                <w:highlight w:val="none"/>
                <w:lang w:val="en-US" w:eastAsia="zh-CN"/>
                <w14:textFill>
                  <w14:solidFill>
                    <w14:schemeClr w14:val="tx1"/>
                  </w14:solidFill>
                </w14:textFill>
              </w:rPr>
              <w:t>处理</w:t>
            </w:r>
            <w:r>
              <w:rPr>
                <w:rFonts w:hint="default" w:ascii="Times New Roman" w:hAnsi="Times New Roman" w:cs="Times New Roman"/>
                <w:color w:val="000000" w:themeColor="text1"/>
                <w:sz w:val="24"/>
                <w:szCs w:val="24"/>
                <w:highlight w:val="none"/>
                <w14:textFill>
                  <w14:solidFill>
                    <w14:schemeClr w14:val="tx1"/>
                  </w14:solidFill>
                </w14:textFill>
              </w:rPr>
              <w:t>站会产生恶臭气体，</w:t>
            </w:r>
            <w:r>
              <w:rPr>
                <w:rFonts w:hint="eastAsia" w:ascii="Times New Roman" w:hAnsi="Times New Roman" w:cs="Times New Roman"/>
                <w:color w:val="000000" w:themeColor="text1"/>
                <w:sz w:val="24"/>
                <w:szCs w:val="24"/>
                <w:highlight w:val="none"/>
                <w:lang w:eastAsia="zh-CN"/>
                <w14:textFill>
                  <w14:solidFill>
                    <w14:schemeClr w14:val="tx1"/>
                  </w14:solidFill>
                </w14:textFill>
              </w:rPr>
              <w:t>但由于污水处理站污水处理量较小且</w:t>
            </w:r>
            <w:r>
              <w:rPr>
                <w:rFonts w:hint="default" w:ascii="Times New Roman" w:hAnsi="Times New Roman" w:cs="Times New Roman"/>
                <w:color w:val="000000" w:themeColor="text1"/>
                <w:sz w:val="24"/>
                <w:szCs w:val="24"/>
                <w:highlight w:val="none"/>
                <w14:textFill>
                  <w14:solidFill>
                    <w14:schemeClr w14:val="tx1"/>
                  </w14:solidFill>
                </w14:textFill>
              </w:rPr>
              <w:t>污水处理站设置有单独操作间，操作间封闭，各污水处理池设盖。</w:t>
            </w:r>
            <w:r>
              <w:rPr>
                <w:rFonts w:hint="eastAsia" w:ascii="Times New Roman" w:hAnsi="Times New Roman" w:cs="Times New Roman"/>
                <w:color w:val="000000" w:themeColor="text1"/>
                <w:sz w:val="24"/>
                <w:szCs w:val="24"/>
                <w:highlight w:val="none"/>
                <w:lang w:eastAsia="zh-CN"/>
                <w14:textFill>
                  <w14:solidFill>
                    <w14:schemeClr w14:val="tx1"/>
                  </w14:solidFill>
                </w14:textFill>
              </w:rPr>
              <w:t>本项目不对恶臭定量分析，</w:t>
            </w:r>
            <w:r>
              <w:rPr>
                <w:rFonts w:hint="default" w:ascii="Times New Roman" w:hAnsi="Times New Roman" w:cs="Times New Roman"/>
                <w:color w:val="000000" w:themeColor="text1"/>
                <w:sz w:val="24"/>
                <w:szCs w:val="24"/>
                <w:highlight w:val="none"/>
                <w14:textFill>
                  <w14:solidFill>
                    <w14:schemeClr w14:val="tx1"/>
                  </w14:solidFill>
                </w14:textFill>
              </w:rPr>
              <w:t>在厂区平面布置中，厂区内加强平面绿化和垂直绿化，四周种植宽带绿叶树种，可减少气味向厂外扩散。采取上述措施后，产生少量废气对项目周围环境影响</w:t>
            </w:r>
            <w:r>
              <w:rPr>
                <w:rFonts w:hint="default" w:ascii="Times New Roman" w:hAnsi="Times New Roman" w:cs="Times New Roman"/>
                <w:color w:val="000000" w:themeColor="text1"/>
                <w:sz w:val="24"/>
                <w:szCs w:val="24"/>
                <w:highlight w:val="none"/>
                <w:lang w:eastAsia="zh-CN"/>
                <w14:textFill>
                  <w14:solidFill>
                    <w14:schemeClr w14:val="tx1"/>
                  </w14:solidFill>
                </w14:textFill>
              </w:rPr>
              <w:t>几乎</w:t>
            </w:r>
            <w:r>
              <w:rPr>
                <w:rFonts w:hint="eastAsia" w:ascii="Times New Roman" w:hAnsi="Times New Roman" w:cs="Times New Roman"/>
                <w:color w:val="000000" w:themeColor="text1"/>
                <w:sz w:val="24"/>
                <w:szCs w:val="24"/>
                <w:highlight w:val="none"/>
                <w:lang w:eastAsia="zh-CN"/>
                <w14:textFill>
                  <w14:solidFill>
                    <w14:schemeClr w14:val="tx1"/>
                  </w14:solidFill>
                </w14:textFill>
              </w:rPr>
              <w:t>可以</w:t>
            </w:r>
            <w:r>
              <w:rPr>
                <w:rFonts w:hint="default" w:ascii="Times New Roman" w:hAnsi="Times New Roman" w:cs="Times New Roman"/>
                <w:color w:val="000000" w:themeColor="text1"/>
                <w:sz w:val="24"/>
                <w:szCs w:val="24"/>
                <w:highlight w:val="none"/>
                <w:lang w:eastAsia="zh-CN"/>
                <w14:textFill>
                  <w14:solidFill>
                    <w14:schemeClr w14:val="tx1"/>
                  </w14:solidFill>
                </w14:textFill>
              </w:rPr>
              <w:t>忽略</w:t>
            </w:r>
            <w:r>
              <w:rPr>
                <w:rFonts w:hint="default" w:ascii="Times New Roman" w:hAnsi="Times New Roman" w:cs="Times New Roman"/>
                <w:color w:val="000000" w:themeColor="text1"/>
                <w:sz w:val="24"/>
                <w:szCs w:val="24"/>
                <w:highlight w:val="none"/>
                <w14:textFill>
                  <w14:solidFill>
                    <w14:schemeClr w14:val="tx1"/>
                  </w14:solidFill>
                </w14:textFill>
              </w:rPr>
              <w:t>。厂界氨、硫化氢</w:t>
            </w:r>
            <w:r>
              <w:rPr>
                <w:rFonts w:hint="eastAsia" w:ascii="Times New Roman" w:hAnsi="Times New Roman" w:cs="Times New Roman"/>
                <w:color w:val="000000" w:themeColor="text1"/>
                <w:sz w:val="24"/>
                <w:szCs w:val="24"/>
                <w:highlight w:val="none"/>
                <w:lang w:eastAsia="zh-CN"/>
                <w14:textFill>
                  <w14:solidFill>
                    <w14:schemeClr w14:val="tx1"/>
                  </w14:solidFill>
                </w14:textFill>
              </w:rPr>
              <w:t>、臭气</w:t>
            </w:r>
            <w:r>
              <w:rPr>
                <w:rFonts w:hint="default" w:ascii="Times New Roman" w:hAnsi="Times New Roman" w:cs="Times New Roman"/>
                <w:color w:val="000000" w:themeColor="text1"/>
                <w:sz w:val="24"/>
                <w:szCs w:val="24"/>
                <w:highlight w:val="none"/>
                <w14:textFill>
                  <w14:solidFill>
                    <w14:schemeClr w14:val="tx1"/>
                  </w14:solidFill>
                </w14:textFill>
              </w:rPr>
              <w:t>浓度能满足《恶臭污染物排放标准》</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GBl4554-93</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二级标准。</w:t>
            </w:r>
          </w:p>
          <w:p>
            <w:pPr>
              <w:bidi w:val="0"/>
              <w:rPr>
                <w:rFonts w:hint="default"/>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2、废气</w:t>
            </w:r>
            <w:r>
              <w:rPr>
                <w:rFonts w:hint="default"/>
                <w:b/>
                <w:bCs/>
                <w:color w:val="000000" w:themeColor="text1"/>
                <w:highlight w:val="none"/>
                <w14:textFill>
                  <w14:solidFill>
                    <w14:schemeClr w14:val="tx1"/>
                  </w14:solidFill>
                </w14:textFill>
              </w:rPr>
              <w:t>治理措施可行性分析</w:t>
            </w:r>
          </w:p>
          <w:p>
            <w:pPr>
              <w:bidi w:val="0"/>
              <w:rPr>
                <w:rFonts w:hint="eastAsia"/>
                <w:color w:val="000000" w:themeColor="text1"/>
                <w:spacing w:val="4"/>
                <w:lang w:eastAsia="zh-CN"/>
                <w14:textFill>
                  <w14:solidFill>
                    <w14:schemeClr w14:val="tx1"/>
                  </w14:solidFill>
                </w14:textFill>
              </w:rPr>
            </w:pPr>
            <w:r>
              <w:rPr>
                <w:color w:val="000000" w:themeColor="text1"/>
                <w:spacing w:val="-4"/>
                <w14:textFill>
                  <w14:solidFill>
                    <w14:schemeClr w14:val="tx1"/>
                  </w14:solidFill>
                </w14:textFill>
              </w:rPr>
              <w:t>本项目采用</w:t>
            </w:r>
            <w:r>
              <w:rPr>
                <w:rFonts w:ascii="Times New Roman" w:hAnsi="Times New Roman" w:eastAsia="Times New Roman" w:cs="Times New Roman"/>
                <w:color w:val="000000" w:themeColor="text1"/>
                <w:spacing w:val="-2"/>
                <w14:textFill>
                  <w14:solidFill>
                    <w14:schemeClr w14:val="tx1"/>
                  </w14:solidFill>
                </w14:textFill>
              </w:rPr>
              <w:t>1</w:t>
            </w:r>
            <w:r>
              <w:rPr>
                <w:color w:val="000000" w:themeColor="text1"/>
                <w:spacing w:val="-2"/>
                <w14:textFill>
                  <w14:solidFill>
                    <w14:schemeClr w14:val="tx1"/>
                  </w14:solidFill>
                </w14:textFill>
              </w:rPr>
              <w:t>套油气回收系统（采用</w:t>
            </w:r>
            <w:r>
              <w:rPr>
                <w:rFonts w:hint="eastAsia"/>
                <w:color w:val="000000" w:themeColor="text1"/>
                <w:spacing w:val="-2"/>
                <w:lang w:val="en-US" w:eastAsia="zh-CN"/>
                <w14:textFill>
                  <w14:solidFill>
                    <w14:schemeClr w14:val="tx1"/>
                  </w14:solidFill>
                </w14:textFill>
              </w:rPr>
              <w:t>吸附/脱附回收</w:t>
            </w:r>
            <w:r>
              <w:rPr>
                <w:color w:val="000000" w:themeColor="text1"/>
                <w:spacing w:val="-2"/>
                <w14:textFill>
                  <w14:solidFill>
                    <w14:schemeClr w14:val="tx1"/>
                  </w14:solidFill>
                </w14:textFill>
              </w:rPr>
              <w:t>工艺）对油品装载、储罐大</w:t>
            </w:r>
            <w:r>
              <w:rPr>
                <w:rFonts w:hint="eastAsia"/>
                <w:color w:val="000000" w:themeColor="text1"/>
                <w:spacing w:val="-2"/>
                <w:lang w:val="en-US" w:eastAsia="zh-CN"/>
                <w14:textFill>
                  <w14:solidFill>
                    <w14:schemeClr w14:val="tx1"/>
                  </w14:solidFill>
                </w14:textFill>
              </w:rPr>
              <w:t>小</w:t>
            </w:r>
            <w:r>
              <w:rPr>
                <w:color w:val="000000" w:themeColor="text1"/>
                <w:spacing w:val="-2"/>
                <w14:textFill>
                  <w14:solidFill>
                    <w14:schemeClr w14:val="tx1"/>
                  </w14:solidFill>
                </w14:textFill>
              </w:rPr>
              <w:t>呼</w:t>
            </w:r>
            <w:r>
              <w:rPr>
                <w:color w:val="000000" w:themeColor="text1"/>
                <w:spacing w:val="4"/>
                <w14:textFill>
                  <w14:solidFill>
                    <w14:schemeClr w14:val="tx1"/>
                  </w14:solidFill>
                </w14:textFill>
              </w:rPr>
              <w:t>吸过程中产生的油气进行回收</w:t>
            </w:r>
            <w:r>
              <w:rPr>
                <w:rFonts w:hint="eastAsia"/>
                <w:color w:val="000000" w:themeColor="text1"/>
                <w:spacing w:val="4"/>
                <w:lang w:eastAsia="zh-CN"/>
                <w14:textFill>
                  <w14:solidFill>
                    <w14:schemeClr w14:val="tx1"/>
                  </w14:solidFill>
                </w14:textFill>
              </w:rPr>
              <w:t>。</w:t>
            </w:r>
          </w:p>
          <w:p>
            <w:pPr>
              <w:bidi w:val="0"/>
              <w:rPr>
                <w:rFonts w:hint="eastAsia"/>
                <w:color w:val="000000" w:themeColor="text1"/>
                <w:spacing w:val="-4"/>
                <w14:textFill>
                  <w14:solidFill>
                    <w14:schemeClr w14:val="tx1"/>
                  </w14:solidFill>
                </w14:textFill>
              </w:rPr>
            </w:pPr>
            <w:r>
              <w:rPr>
                <w:rFonts w:hint="eastAsia"/>
                <w:color w:val="000000" w:themeColor="text1"/>
                <w:spacing w:val="-4"/>
                <w:lang w:val="en-US" w:eastAsia="zh-CN"/>
                <w14:textFill>
                  <w14:solidFill>
                    <w14:schemeClr w14:val="tx1"/>
                  </w14:solidFill>
                </w14:textFill>
              </w:rPr>
              <w:t>项目</w:t>
            </w:r>
            <w:r>
              <w:rPr>
                <w:rFonts w:hint="eastAsia"/>
                <w:color w:val="000000" w:themeColor="text1"/>
                <w:spacing w:val="-4"/>
                <w14:textFill>
                  <w14:solidFill>
                    <w14:schemeClr w14:val="tx1"/>
                  </w14:solidFill>
                </w14:textFill>
              </w:rPr>
              <w:t>储罐呼吸口、装卸过程产生的废气设置收集管道直接与油气</w:t>
            </w:r>
            <w:r>
              <w:rPr>
                <w:rFonts w:hint="eastAsia"/>
                <w:color w:val="000000" w:themeColor="text1"/>
                <w:spacing w:val="-4"/>
                <w:lang w:val="en-US" w:eastAsia="zh-CN"/>
                <w14:textFill>
                  <w14:solidFill>
                    <w14:schemeClr w14:val="tx1"/>
                  </w14:solidFill>
                </w14:textFill>
              </w:rPr>
              <w:t>回收</w:t>
            </w:r>
            <w:r>
              <w:rPr>
                <w:rFonts w:hint="eastAsia"/>
                <w:color w:val="000000" w:themeColor="text1"/>
                <w:spacing w:val="-4"/>
                <w14:textFill>
                  <w14:solidFill>
                    <w14:schemeClr w14:val="tx1"/>
                  </w14:solidFill>
                </w14:textFill>
              </w:rPr>
              <w:t>处理装置连接，利用风机经回收管路引入吸附塔，采用</w:t>
            </w:r>
            <w:r>
              <w:rPr>
                <w:rFonts w:hint="eastAsia"/>
                <w:color w:val="000000" w:themeColor="text1"/>
                <w:spacing w:val="-4"/>
                <w:lang w:val="en-US" w:eastAsia="zh-CN"/>
                <w14:textFill>
                  <w14:solidFill>
                    <w14:schemeClr w14:val="tx1"/>
                  </w14:solidFill>
                </w14:textFill>
              </w:rPr>
              <w:t>活性炭</w:t>
            </w:r>
            <w:r>
              <w:rPr>
                <w:rFonts w:hint="eastAsia"/>
                <w:color w:val="000000" w:themeColor="text1"/>
                <w:spacing w:val="-4"/>
                <w14:textFill>
                  <w14:solidFill>
                    <w14:schemeClr w14:val="tx1"/>
                  </w14:solidFill>
                </w14:textFill>
              </w:rPr>
              <w:t>对废气进行吸附，吸附饱和后采用真空方式进行脱附提浓，提浓的有机气体进行压缩浓缩并进行冷凝液化，不凝部分循环吸附，经“</w:t>
            </w:r>
            <w:r>
              <w:rPr>
                <w:rFonts w:hint="eastAsia"/>
                <w:color w:val="000000" w:themeColor="text1"/>
                <w:spacing w:val="-4"/>
                <w:lang w:val="en-US" w:eastAsia="zh-CN"/>
                <w14:textFill>
                  <w14:solidFill>
                    <w14:schemeClr w14:val="tx1"/>
                  </w14:solidFill>
                </w14:textFill>
              </w:rPr>
              <w:t>吸附/脱附回收</w:t>
            </w:r>
            <w:r>
              <w:rPr>
                <w:rFonts w:hint="eastAsia"/>
                <w:color w:val="000000" w:themeColor="text1"/>
                <w:spacing w:val="-4"/>
                <w14:textFill>
                  <w14:solidFill>
                    <w14:schemeClr w14:val="tx1"/>
                  </w14:solidFill>
                </w14:textFill>
              </w:rPr>
              <w:t>”处理后， 液态油品均返回储罐，少量尾气</w:t>
            </w:r>
            <w:r>
              <w:rPr>
                <w:rFonts w:hint="eastAsia"/>
                <w:color w:val="000000" w:themeColor="text1"/>
                <w:spacing w:val="-4"/>
                <w:lang w:val="en-US" w:eastAsia="zh-CN"/>
                <w14:textFill>
                  <w14:solidFill>
                    <w14:schemeClr w14:val="tx1"/>
                  </w14:solidFill>
                </w14:textFill>
              </w:rPr>
              <w:t>达到</w:t>
            </w:r>
            <w:r>
              <w:rPr>
                <w:rFonts w:hint="eastAsia"/>
                <w:color w:val="FF0000"/>
                <w:spacing w:val="-4"/>
                <w:lang w:val="en-US" w:eastAsia="zh-CN"/>
              </w:rPr>
              <w:t>《石油炼制工业污染物排放标准》（GB31570-2015）及其修改单表3中大气污染物排放限值后，</w:t>
            </w:r>
            <w:r>
              <w:rPr>
                <w:rFonts w:hint="eastAsia"/>
                <w:color w:val="000000" w:themeColor="text1"/>
                <w:spacing w:val="-4"/>
                <w14:textFill>
                  <w14:solidFill>
                    <w14:schemeClr w14:val="tx1"/>
                  </w14:solidFill>
                </w14:textFill>
              </w:rPr>
              <w:t>由</w:t>
            </w:r>
            <w:r>
              <w:rPr>
                <w:rFonts w:hint="eastAsia"/>
                <w:color w:val="000000" w:themeColor="text1"/>
                <w:spacing w:val="-4"/>
                <w:lang w:val="en-US" w:eastAsia="zh-CN"/>
                <w14:textFill>
                  <w14:solidFill>
                    <w14:schemeClr w14:val="tx1"/>
                  </w14:solidFill>
                </w14:textFill>
              </w:rPr>
              <w:t>1</w:t>
            </w:r>
            <w:r>
              <w:rPr>
                <w:rFonts w:hint="eastAsia"/>
                <w:color w:val="000000" w:themeColor="text1"/>
                <w:spacing w:val="-4"/>
                <w14:textFill>
                  <w14:solidFill>
                    <w14:schemeClr w14:val="tx1"/>
                  </w14:solidFill>
                </w14:textFill>
              </w:rPr>
              <w:t>5m</w:t>
            </w:r>
            <w:r>
              <w:commentReference w:id="77"/>
            </w:r>
            <w:r>
              <w:rPr>
                <w:rFonts w:hint="eastAsia"/>
                <w:color w:val="000000" w:themeColor="text1"/>
                <w:spacing w:val="-4"/>
                <w14:textFill>
                  <w14:solidFill>
                    <w14:schemeClr w14:val="tx1"/>
                  </w14:solidFill>
                </w14:textFill>
              </w:rPr>
              <w:t>排气筒外排</w:t>
            </w:r>
            <w:r>
              <w:rPr>
                <w:rFonts w:hint="eastAsia"/>
                <w:color w:val="000000" w:themeColor="text1"/>
                <w:spacing w:val="-4"/>
                <w:lang w:eastAsia="zh-CN"/>
                <w14:textFill>
                  <w14:solidFill>
                    <w14:schemeClr w14:val="tx1"/>
                  </w14:solidFill>
                </w14:textFill>
              </w:rPr>
              <w:t>，</w:t>
            </w:r>
            <w:r>
              <w:rPr>
                <w:rFonts w:hint="eastAsia"/>
                <w:color w:val="000000" w:themeColor="text1"/>
                <w:spacing w:val="-4"/>
                <w14:textFill>
                  <w14:solidFill>
                    <w14:schemeClr w14:val="tx1"/>
                  </w14:solidFill>
                </w14:textFill>
              </w:rPr>
              <w:t>以此达到达标排放，同时回收VOC的目的。</w:t>
            </w:r>
          </w:p>
          <w:p>
            <w:pPr>
              <w:bidi w:val="0"/>
              <w:rPr>
                <w:rFonts w:hint="eastAsia" w:eastAsia="宋体"/>
                <w:color w:val="000000" w:themeColor="text1"/>
                <w:spacing w:val="-4"/>
                <w:lang w:eastAsia="zh-CN"/>
                <w14:textFill>
                  <w14:solidFill>
                    <w14:schemeClr w14:val="tx1"/>
                  </w14:solidFill>
                </w14:textFill>
              </w:rPr>
            </w:pPr>
            <w:r>
              <w:rPr>
                <w:rFonts w:hint="eastAsia"/>
                <w:color w:val="000000" w:themeColor="text1"/>
                <w:spacing w:val="-4"/>
                <w14:textFill>
                  <w14:solidFill>
                    <w14:schemeClr w14:val="tx1"/>
                  </w14:solidFill>
                </w14:textFill>
              </w:rPr>
              <w:t>根据“《排污许可证申请与核发技术规范 储油库、加油站》（HJ1118-2020）表C 1储油库排污单位废气治理可行技术”，油气回收装置排气筒挥发性有机物可行技术为吸附、吸收冷凝、膜分离、热力焚烧、催化燃烧或组合技术</w:t>
            </w:r>
            <w:r>
              <w:rPr>
                <w:rFonts w:hint="eastAsia"/>
                <w:color w:val="000000" w:themeColor="text1"/>
                <w:spacing w:val="-4"/>
                <w:lang w:eastAsia="zh-CN"/>
                <w14:textFill>
                  <w14:solidFill>
                    <w14:schemeClr w14:val="tx1"/>
                  </w14:solidFill>
                </w14:textFill>
              </w:rPr>
              <w:t>。</w:t>
            </w:r>
          </w:p>
          <w:p>
            <w:pPr>
              <w:bidi w:val="0"/>
              <w:rPr>
                <w:rFonts w:hint="eastAsia"/>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项目油气回收装置工艺为吸附/脱附回收工艺，属于</w:t>
            </w:r>
            <w:r>
              <w:rPr>
                <w:rFonts w:hint="eastAsia"/>
                <w:color w:val="000000" w:themeColor="text1"/>
                <w:spacing w:val="-4"/>
                <w:lang w:val="en-US" w:eastAsia="zh-CN"/>
                <w14:textFill>
                  <w14:solidFill>
                    <w14:schemeClr w14:val="tx1"/>
                  </w14:solidFill>
                </w14:textFill>
              </w:rPr>
              <w:t>上述</w:t>
            </w:r>
            <w:r>
              <w:rPr>
                <w:rFonts w:hint="eastAsia"/>
                <w:color w:val="000000" w:themeColor="text1"/>
                <w:spacing w:val="-4"/>
                <w14:textFill>
                  <w14:solidFill>
                    <w14:schemeClr w14:val="tx1"/>
                  </w14:solidFill>
                </w14:textFill>
              </w:rPr>
              <w:t>可行技术</w:t>
            </w:r>
            <w:r>
              <w:rPr>
                <w:rFonts w:hint="eastAsia"/>
                <w:color w:val="000000" w:themeColor="text1"/>
                <w:spacing w:val="-4"/>
                <w:lang w:eastAsia="zh-CN"/>
                <w14:textFill>
                  <w14:solidFill>
                    <w14:schemeClr w14:val="tx1"/>
                  </w14:solidFill>
                </w14:textFill>
              </w:rPr>
              <w:t>。</w:t>
            </w:r>
            <w:r>
              <w:rPr>
                <w:rFonts w:hint="eastAsia"/>
                <w:color w:val="000000" w:themeColor="text1"/>
                <w:spacing w:val="-4"/>
                <w:lang w:val="en-US" w:eastAsia="zh-CN"/>
                <w14:textFill>
                  <w14:solidFill>
                    <w14:schemeClr w14:val="tx1"/>
                  </w14:solidFill>
                </w14:textFill>
              </w:rPr>
              <w:t>因此</w:t>
            </w:r>
            <w:r>
              <w:rPr>
                <w:rFonts w:hint="eastAsia"/>
                <w:color w:val="000000" w:themeColor="text1"/>
                <w:spacing w:val="-4"/>
                <w14:textFill>
                  <w14:solidFill>
                    <w14:schemeClr w14:val="tx1"/>
                  </w14:solidFill>
                </w14:textFill>
              </w:rPr>
              <w:t>项目采取的废气处理措施可行。</w:t>
            </w:r>
          </w:p>
          <w:p>
            <w:pPr>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spacing w:val="-4"/>
                <w14:textFill>
                  <w14:solidFill>
                    <w14:schemeClr w14:val="tx1"/>
                  </w14:solidFill>
                </w14:textFill>
              </w:rPr>
              <w:t>评价要求企业定期对设备动静密封点进行泄漏检测与修复，发现密封点出现泄漏现象或超过泄漏认定浓度时，及时进行修复，并建立LDAR信息管理平台，及时上传相关数据。通过采取以上污染防治和控制措施，可使本项目排放的废气满足《</w:t>
            </w:r>
            <w:r>
              <w:rPr>
                <w:rFonts w:hint="eastAsia"/>
                <w:color w:val="000000" w:themeColor="text1"/>
                <w:spacing w:val="-4"/>
                <w:lang w:eastAsia="zh-CN"/>
                <w14:textFill>
                  <w14:solidFill>
                    <w14:schemeClr w14:val="tx1"/>
                  </w14:solidFill>
                </w14:textFill>
              </w:rPr>
              <w:t>石油炼制工业</w:t>
            </w:r>
            <w:r>
              <w:rPr>
                <w:rFonts w:hint="eastAsia"/>
                <w:color w:val="000000" w:themeColor="text1"/>
                <w:spacing w:val="-4"/>
                <w14:textFill>
                  <w14:solidFill>
                    <w14:schemeClr w14:val="tx1"/>
                  </w14:solidFill>
                </w14:textFill>
              </w:rPr>
              <w:t>污染物排放标准》（GB</w:t>
            </w:r>
            <w:r>
              <w:rPr>
                <w:rFonts w:hint="eastAsia"/>
                <w:color w:val="000000" w:themeColor="text1"/>
                <w:spacing w:val="-4"/>
                <w:lang w:eastAsia="zh-CN"/>
                <w14:textFill>
                  <w14:solidFill>
                    <w14:schemeClr w14:val="tx1"/>
                  </w14:solidFill>
                </w14:textFill>
              </w:rPr>
              <w:t>31570</w:t>
            </w:r>
            <w:r>
              <w:rPr>
                <w:rFonts w:hint="eastAsia"/>
                <w:color w:val="000000" w:themeColor="text1"/>
                <w:spacing w:val="-4"/>
                <w14:textFill>
                  <w14:solidFill>
                    <w14:schemeClr w14:val="tx1"/>
                  </w14:solidFill>
                </w14:textFill>
              </w:rPr>
              <w:t>-2015）及其修改单</w:t>
            </w:r>
            <w:r>
              <w:rPr>
                <w:rFonts w:hint="eastAsia"/>
                <w:color w:val="000000" w:themeColor="text1"/>
                <w:spacing w:val="-4"/>
                <w:lang w:val="en-US" w:eastAsia="zh-CN"/>
                <w14:textFill>
                  <w14:solidFill>
                    <w14:schemeClr w14:val="tx1"/>
                  </w14:solidFill>
                </w14:textFill>
              </w:rPr>
              <w:t>中</w:t>
            </w:r>
            <w:r>
              <w:rPr>
                <w:rFonts w:hint="eastAsia"/>
                <w:color w:val="000000" w:themeColor="text1"/>
                <w:spacing w:val="-4"/>
                <w14:textFill>
                  <w14:solidFill>
                    <w14:schemeClr w14:val="tx1"/>
                  </w14:solidFill>
                </w14:textFill>
              </w:rPr>
              <w:t>表</w:t>
            </w:r>
            <w:r>
              <w:rPr>
                <w:rFonts w:hint="eastAsia"/>
                <w:color w:val="000000" w:themeColor="text1"/>
                <w:spacing w:val="-4"/>
                <w:lang w:val="en-US" w:eastAsia="zh-CN"/>
                <w14:textFill>
                  <w14:solidFill>
                    <w14:schemeClr w14:val="tx1"/>
                  </w14:solidFill>
                </w14:textFill>
              </w:rPr>
              <w:t>5</w:t>
            </w:r>
            <w:r>
              <w:rPr>
                <w:rFonts w:hint="eastAsia"/>
                <w:color w:val="000000" w:themeColor="text1"/>
                <w:spacing w:val="-4"/>
                <w14:textFill>
                  <w14:solidFill>
                    <w14:schemeClr w14:val="tx1"/>
                  </w14:solidFill>
                </w14:textFill>
              </w:rPr>
              <w:t>大气污染物排放限值</w:t>
            </w:r>
            <w:r>
              <w:rPr>
                <w:rFonts w:hint="eastAsia"/>
                <w:color w:val="000000" w:themeColor="text1"/>
                <w:spacing w:val="-4"/>
                <w:lang w:val="en-US" w:eastAsia="zh-CN"/>
                <w14:textFill>
                  <w14:solidFill>
                    <w14:schemeClr w14:val="tx1"/>
                  </w14:solidFill>
                </w14:textFill>
              </w:rPr>
              <w:t>及</w:t>
            </w:r>
            <w:r>
              <w:rPr>
                <w:rFonts w:hint="eastAsia"/>
                <w:color w:val="000000" w:themeColor="text1"/>
                <w:spacing w:val="-4"/>
                <w14:textFill>
                  <w14:solidFill>
                    <w14:schemeClr w14:val="tx1"/>
                  </w14:solidFill>
                </w14:textFill>
              </w:rPr>
              <w:t>《挥发性有机物无组织排放控制标准》（GB37822-2019）表A.1厂区内VOCs无组织排放限值要求。</w:t>
            </w:r>
          </w:p>
          <w:p>
            <w:pPr>
              <w:bidi w:val="0"/>
              <w:rPr>
                <w:rFonts w:hint="default" w:eastAsia="宋体"/>
                <w:color w:val="000000" w:themeColor="text1"/>
                <w:spacing w:val="4"/>
                <w:lang w:val="en-US" w:eastAsia="zh-CN"/>
                <w14:textFill>
                  <w14:solidFill>
                    <w14:schemeClr w14:val="tx1"/>
                  </w14:solidFill>
                </w14:textFill>
              </w:rPr>
            </w:pPr>
            <w:r>
              <w:rPr>
                <w:rFonts w:hint="eastAsia"/>
                <w:b/>
                <w:bCs/>
                <w:color w:val="000000" w:themeColor="text1"/>
                <w:spacing w:val="4"/>
                <w:lang w:val="en-US" w:eastAsia="zh-CN"/>
                <w14:textFill>
                  <w14:solidFill>
                    <w14:schemeClr w14:val="tx1"/>
                  </w14:solidFill>
                </w14:textFill>
              </w:rPr>
              <w:t>3、污染物排放情况</w:t>
            </w:r>
          </w:p>
          <w:p>
            <w:pPr>
              <w:bidi w:val="0"/>
              <w:rPr>
                <w:rFonts w:hint="default" w:eastAsia="宋体"/>
                <w:color w:val="000000" w:themeColor="text1"/>
                <w:spacing w:val="4"/>
                <w:lang w:val="en-US" w:eastAsia="zh-CN"/>
                <w14:textFill>
                  <w14:solidFill>
                    <w14:schemeClr w14:val="tx1"/>
                  </w14:solidFill>
                </w14:textFill>
              </w:rPr>
            </w:pPr>
            <w:r>
              <w:rPr>
                <w:rFonts w:hint="eastAsia"/>
                <w:color w:val="000000" w:themeColor="text1"/>
                <w:spacing w:val="4"/>
                <w:lang w:val="en-US" w:eastAsia="zh-CN"/>
                <w14:textFill>
                  <w14:solidFill>
                    <w14:schemeClr w14:val="tx1"/>
                  </w14:solidFill>
                </w14:textFill>
              </w:rPr>
              <w:t>项目储罐大呼吸</w:t>
            </w:r>
            <w:r>
              <w:rPr>
                <w:rFonts w:hint="eastAsia"/>
                <w:color w:val="FF0000"/>
                <w:spacing w:val="4"/>
                <w:lang w:val="en-US" w:eastAsia="zh-CN"/>
              </w:rPr>
              <w:t>（含调和）废气（27.34t/a）</w:t>
            </w:r>
            <w:r>
              <w:rPr>
                <w:rFonts w:hint="eastAsia"/>
                <w:color w:val="000000" w:themeColor="text1"/>
                <w:spacing w:val="4"/>
                <w:lang w:val="en-US" w:eastAsia="zh-CN"/>
                <w14:textFill>
                  <w14:solidFill>
                    <w14:schemeClr w14:val="tx1"/>
                  </w14:solidFill>
                </w14:textFill>
              </w:rPr>
              <w:t>、装卸废气（0.00005t/a）经</w:t>
            </w:r>
            <w:r>
              <w:rPr>
                <w:rFonts w:hint="eastAsia"/>
                <w:color w:val="000000" w:themeColor="text1"/>
                <w:spacing w:val="-4"/>
                <w14:textFill>
                  <w14:solidFill>
                    <w14:schemeClr w14:val="tx1"/>
                  </w14:solidFill>
                </w14:textFill>
              </w:rPr>
              <w:t>收集管道直接与油气</w:t>
            </w:r>
            <w:r>
              <w:rPr>
                <w:rFonts w:hint="eastAsia"/>
                <w:color w:val="000000" w:themeColor="text1"/>
                <w:spacing w:val="-4"/>
                <w:lang w:val="en-US" w:eastAsia="zh-CN"/>
                <w14:textFill>
                  <w14:solidFill>
                    <w14:schemeClr w14:val="tx1"/>
                  </w14:solidFill>
                </w14:textFill>
              </w:rPr>
              <w:t>回收</w:t>
            </w:r>
            <w:r>
              <w:rPr>
                <w:rFonts w:hint="eastAsia"/>
                <w:color w:val="000000" w:themeColor="text1"/>
                <w:spacing w:val="-4"/>
                <w14:textFill>
                  <w14:solidFill>
                    <w14:schemeClr w14:val="tx1"/>
                  </w14:solidFill>
                </w14:textFill>
              </w:rPr>
              <w:t>处理装置连接，油气进入油气</w:t>
            </w:r>
            <w:r>
              <w:rPr>
                <w:rFonts w:hint="eastAsia"/>
                <w:color w:val="000000" w:themeColor="text1"/>
                <w:spacing w:val="-4"/>
                <w:lang w:val="en-US" w:eastAsia="zh-CN"/>
                <w14:textFill>
                  <w14:solidFill>
                    <w14:schemeClr w14:val="tx1"/>
                  </w14:solidFill>
                </w14:textFill>
              </w:rPr>
              <w:t>回收</w:t>
            </w:r>
            <w:r>
              <w:rPr>
                <w:rFonts w:hint="eastAsia"/>
                <w:color w:val="000000" w:themeColor="text1"/>
                <w:spacing w:val="-4"/>
                <w14:textFill>
                  <w14:solidFill>
                    <w14:schemeClr w14:val="tx1"/>
                  </w14:solidFill>
                </w14:textFill>
              </w:rPr>
              <w:t>处理装置进行</w:t>
            </w:r>
            <w:r>
              <w:rPr>
                <w:rFonts w:hint="eastAsia"/>
                <w:color w:val="000000" w:themeColor="text1"/>
                <w:spacing w:val="-4"/>
                <w:lang w:val="en-US" w:eastAsia="zh-CN"/>
                <w14:textFill>
                  <w14:solidFill>
                    <w14:schemeClr w14:val="tx1"/>
                  </w14:solidFill>
                </w14:textFill>
              </w:rPr>
              <w:t>吸附/脱附回收</w:t>
            </w:r>
            <w:r>
              <w:rPr>
                <w:rFonts w:hint="eastAsia"/>
                <w:color w:val="000000" w:themeColor="text1"/>
                <w:spacing w:val="-4"/>
                <w14:textFill>
                  <w14:solidFill>
                    <w14:schemeClr w14:val="tx1"/>
                  </w14:solidFill>
                </w14:textFill>
              </w:rPr>
              <w:t>处理后，液态油品均返回储罐，少量尾气由</w:t>
            </w:r>
            <w:r>
              <w:rPr>
                <w:rFonts w:hint="eastAsia"/>
                <w:color w:val="000000" w:themeColor="text1"/>
                <w:spacing w:val="-4"/>
                <w:lang w:val="en-US" w:eastAsia="zh-CN"/>
                <w14:textFill>
                  <w14:solidFill>
                    <w14:schemeClr w14:val="tx1"/>
                  </w14:solidFill>
                </w14:textFill>
              </w:rPr>
              <w:t>1</w:t>
            </w:r>
            <w:r>
              <w:rPr>
                <w:rFonts w:hint="eastAsia"/>
                <w:color w:val="000000" w:themeColor="text1"/>
                <w:spacing w:val="-4"/>
                <w14:textFill>
                  <w14:solidFill>
                    <w14:schemeClr w14:val="tx1"/>
                  </w14:solidFill>
                </w14:textFill>
              </w:rPr>
              <w:t>5m排气筒外排。</w:t>
            </w:r>
          </w:p>
          <w:p>
            <w:pPr>
              <w:bidi w:val="0"/>
              <w:rPr>
                <w:rFonts w:hint="default" w:eastAsia="宋体"/>
                <w:color w:val="000000" w:themeColor="text1"/>
                <w:highlight w:val="none"/>
                <w:lang w:val="en-US" w:eastAsia="zh-CN"/>
                <w14:textFill>
                  <w14:solidFill>
                    <w14:schemeClr w14:val="tx1"/>
                  </w14:solidFill>
                </w14:textFill>
              </w:rPr>
            </w:pPr>
            <w:r>
              <w:rPr>
                <w:color w:val="000000" w:themeColor="text1"/>
                <w:spacing w:val="4"/>
                <w14:textFill>
                  <w14:solidFill>
                    <w14:schemeClr w14:val="tx1"/>
                  </w14:solidFill>
                </w14:textFill>
              </w:rPr>
              <w:t>油气回收处理装置</w:t>
            </w:r>
            <w:r>
              <w:rPr>
                <w:rFonts w:hint="eastAsia"/>
                <w:color w:val="000000" w:themeColor="text1"/>
                <w:spacing w:val="4"/>
                <w14:textFill>
                  <w14:solidFill>
                    <w14:schemeClr w14:val="tx1"/>
                  </w14:solidFill>
                </w14:textFill>
              </w:rPr>
              <w:t>第一级吸附效率取</w:t>
            </w:r>
            <w:r>
              <w:rPr>
                <w:rFonts w:hint="eastAsia"/>
                <w:color w:val="000000" w:themeColor="text1"/>
                <w:spacing w:val="4"/>
                <w:lang w:val="en-US" w:eastAsia="zh-CN"/>
                <w14:textFill>
                  <w14:solidFill>
                    <w14:schemeClr w14:val="tx1"/>
                  </w14:solidFill>
                </w14:textFill>
              </w:rPr>
              <w:t>8</w:t>
            </w:r>
            <w:r>
              <w:rPr>
                <w:rFonts w:hint="eastAsia"/>
                <w:color w:val="000000" w:themeColor="text1"/>
                <w:spacing w:val="4"/>
                <w14:textFill>
                  <w14:solidFill>
                    <w14:schemeClr w14:val="tx1"/>
                  </w14:solidFill>
                </w14:textFill>
              </w:rPr>
              <w:t>0%，第二级活性炭吸附效率取</w:t>
            </w:r>
            <w:r>
              <w:rPr>
                <w:rFonts w:hint="eastAsia"/>
                <w:color w:val="000000" w:themeColor="text1"/>
                <w:spacing w:val="4"/>
                <w:lang w:val="en-US" w:eastAsia="zh-CN"/>
                <w14:textFill>
                  <w14:solidFill>
                    <w14:schemeClr w14:val="tx1"/>
                  </w14:solidFill>
                </w14:textFill>
              </w:rPr>
              <w:t>8</w:t>
            </w:r>
            <w:r>
              <w:rPr>
                <w:rFonts w:hint="eastAsia"/>
                <w:color w:val="000000" w:themeColor="text1"/>
                <w:spacing w:val="4"/>
                <w14:textFill>
                  <w14:solidFill>
                    <w14:schemeClr w14:val="tx1"/>
                  </w14:solidFill>
                </w14:textFill>
              </w:rPr>
              <w:t>0%，则综合效率</w:t>
            </w:r>
            <w:r>
              <w:rPr>
                <w:rFonts w:hint="eastAsia"/>
                <w:color w:val="000000" w:themeColor="text1"/>
                <w:spacing w:val="4"/>
                <w:lang w:val="en-US" w:eastAsia="zh-CN"/>
                <w14:textFill>
                  <w14:solidFill>
                    <w14:schemeClr w14:val="tx1"/>
                  </w14:solidFill>
                </w14:textFill>
              </w:rPr>
              <w:t>以96%计，引风机风量</w:t>
            </w:r>
            <w:r>
              <w:rPr>
                <w:color w:val="000000" w:themeColor="text1"/>
                <w:spacing w:val="4"/>
                <w14:textFill>
                  <w14:solidFill>
                    <w14:schemeClr w14:val="tx1"/>
                  </w14:solidFill>
                </w14:textFill>
              </w:rPr>
              <w:t>为</w:t>
            </w:r>
            <w:r>
              <w:rPr>
                <w:rFonts w:hint="eastAsia" w:cs="Times New Roman"/>
                <w:color w:val="000000" w:themeColor="text1"/>
                <w:spacing w:val="4"/>
                <w:lang w:val="en-US" w:eastAsia="zh-CN"/>
                <w14:textFill>
                  <w14:solidFill>
                    <w14:schemeClr w14:val="tx1"/>
                  </w14:solidFill>
                </w14:textFill>
              </w:rPr>
              <w:t>30</w:t>
            </w:r>
            <w:r>
              <w:rPr>
                <w:rFonts w:ascii="Times New Roman" w:hAnsi="Times New Roman" w:eastAsia="Times New Roman" w:cs="Times New Roman"/>
                <w:color w:val="000000" w:themeColor="text1"/>
                <w:spacing w:val="3"/>
                <w14:textFill>
                  <w14:solidFill>
                    <w14:schemeClr w14:val="tx1"/>
                  </w14:solidFill>
                </w14:textFill>
              </w:rPr>
              <w:t>00m</w:t>
            </w:r>
            <w:r>
              <w:rPr>
                <w:rFonts w:ascii="Times New Roman" w:hAnsi="Times New Roman" w:eastAsia="Times New Roman" w:cs="Times New Roman"/>
                <w:color w:val="000000" w:themeColor="text1"/>
                <w:spacing w:val="3"/>
                <w:position w:val="7"/>
                <w:sz w:val="15"/>
                <w:szCs w:val="15"/>
                <w14:textFill>
                  <w14:solidFill>
                    <w14:schemeClr w14:val="tx1"/>
                  </w14:solidFill>
                </w14:textFill>
              </w:rPr>
              <w:t>3</w:t>
            </w:r>
            <w:r>
              <w:rPr>
                <w:rFonts w:ascii="Times New Roman" w:hAnsi="Times New Roman" w:eastAsia="Times New Roman" w:cs="Times New Roman"/>
                <w:color w:val="000000" w:themeColor="text1"/>
                <w:spacing w:val="3"/>
                <w14:textFill>
                  <w14:solidFill>
                    <w14:schemeClr w14:val="tx1"/>
                  </w14:solidFill>
                </w14:textFill>
              </w:rPr>
              <w:t>/h</w:t>
            </w:r>
            <w:r>
              <w:rPr>
                <w:color w:val="000000" w:themeColor="text1"/>
                <w:spacing w:val="3"/>
                <w14:textFill>
                  <w14:solidFill>
                    <w14:schemeClr w14:val="tx1"/>
                  </w14:solidFill>
                </w14:textFill>
              </w:rPr>
              <w:t>，</w:t>
            </w:r>
            <w:r>
              <w:rPr>
                <w:rFonts w:hint="eastAsia"/>
                <w:color w:val="000000" w:themeColor="text1"/>
                <w:spacing w:val="3"/>
                <w:lang w:val="en-US" w:eastAsia="zh-CN"/>
                <w14:textFill>
                  <w14:solidFill>
                    <w14:schemeClr w14:val="tx1"/>
                  </w14:solidFill>
                </w14:textFill>
              </w:rPr>
              <w:t>回收装置治理废气过程自身产生的废气循环进入系统处理，不外排。</w:t>
            </w:r>
            <w:r>
              <w:rPr>
                <w:color w:val="000000" w:themeColor="text1"/>
                <w:spacing w:val="3"/>
                <w14:textFill>
                  <w14:solidFill>
                    <w14:schemeClr w14:val="tx1"/>
                  </w14:solidFill>
                </w14:textFill>
              </w:rPr>
              <w:t>年</w:t>
            </w:r>
            <w:r>
              <w:rPr>
                <w:color w:val="000000" w:themeColor="text1"/>
                <w:spacing w:val="-3"/>
                <w14:textFill>
                  <w14:solidFill>
                    <w14:schemeClr w14:val="tx1"/>
                  </w14:solidFill>
                </w14:textFill>
              </w:rPr>
              <w:t>工作时间</w:t>
            </w:r>
            <w:r>
              <w:rPr>
                <w:color w:val="000000" w:themeColor="text1"/>
                <w:spacing w:val="-44"/>
                <w14:textFill>
                  <w14:solidFill>
                    <w14:schemeClr w14:val="tx1"/>
                  </w14:solidFill>
                </w14:textFill>
              </w:rPr>
              <w:t xml:space="preserve"> </w:t>
            </w:r>
            <w:r>
              <w:rPr>
                <w:rFonts w:ascii="Times New Roman" w:hAnsi="Times New Roman" w:eastAsia="Times New Roman" w:cs="Times New Roman"/>
                <w:color w:val="000000" w:themeColor="text1"/>
                <w:spacing w:val="-3"/>
                <w14:textFill>
                  <w14:solidFill>
                    <w14:schemeClr w14:val="tx1"/>
                  </w14:solidFill>
                </w14:textFill>
              </w:rPr>
              <w:t>7</w:t>
            </w:r>
            <w:r>
              <w:rPr>
                <w:rFonts w:hint="eastAsia" w:ascii="Times New Roman" w:hAnsi="Times New Roman" w:eastAsia="宋体" w:cs="Times New Roman"/>
                <w:color w:val="000000" w:themeColor="text1"/>
                <w:spacing w:val="-3"/>
                <w:lang w:val="en-US" w:eastAsia="zh-CN"/>
                <w14:textFill>
                  <w14:solidFill>
                    <w14:schemeClr w14:val="tx1"/>
                  </w14:solidFill>
                </w14:textFill>
              </w:rPr>
              <w:t>20</w:t>
            </w:r>
            <w:r>
              <w:rPr>
                <w:rFonts w:ascii="Times New Roman" w:hAnsi="Times New Roman" w:eastAsia="Times New Roman" w:cs="Times New Roman"/>
                <w:color w:val="000000" w:themeColor="text1"/>
                <w:spacing w:val="-3"/>
                <w14:textFill>
                  <w14:solidFill>
                    <w14:schemeClr w14:val="tx1"/>
                  </w14:solidFill>
                </w14:textFill>
              </w:rPr>
              <w:t>0h</w:t>
            </w:r>
            <w:r>
              <w:rPr>
                <w:rFonts w:hint="eastAsia"/>
                <w:color w:val="000000" w:themeColor="text1"/>
                <w:highlight w:val="none"/>
                <w:lang w:val="en-US" w:eastAsia="zh-CN"/>
                <w14:textFill>
                  <w14:solidFill>
                    <w14:schemeClr w14:val="tx1"/>
                  </w14:solidFill>
                </w14:textFill>
              </w:rPr>
              <w:t>。则有组织非甲烷总烃排放量</w:t>
            </w:r>
            <w:r>
              <w:rPr>
                <w:rFonts w:hint="eastAsia"/>
                <w:color w:val="FF0000"/>
                <w:highlight w:val="none"/>
                <w:lang w:val="en-US" w:eastAsia="zh-CN"/>
              </w:rPr>
              <w:t>为1.09t/</w:t>
            </w:r>
            <w:r>
              <w:rPr>
                <w:rFonts w:hint="eastAsia"/>
                <w:color w:val="000000" w:themeColor="text1"/>
                <w:highlight w:val="none"/>
                <w:lang w:val="en-US" w:eastAsia="zh-CN"/>
                <w14:textFill>
                  <w14:solidFill>
                    <w14:schemeClr w14:val="tx1"/>
                  </w14:solidFill>
                </w14:textFill>
              </w:rPr>
              <w:t>a，排放速率为0.15kg/h，排放浓度为</w:t>
            </w:r>
            <w:r>
              <w:rPr>
                <w:rFonts w:hint="eastAsia"/>
                <w:color w:val="FF0000"/>
                <w:highlight w:val="none"/>
                <w:lang w:val="en-US" w:eastAsia="zh-CN"/>
              </w:rPr>
              <w:t>50.64</w:t>
            </w:r>
            <w:r>
              <w:rPr>
                <w:rFonts w:hint="eastAsia"/>
                <w:color w:val="000000" w:themeColor="text1"/>
                <w:highlight w:val="none"/>
                <w:lang w:val="en-US" w:eastAsia="zh-CN"/>
                <w14:textFill>
                  <w14:solidFill>
                    <w14:schemeClr w14:val="tx1"/>
                  </w14:solidFill>
                </w14:textFill>
              </w:rPr>
              <w:t>mg/m³</w:t>
            </w:r>
            <w:r>
              <w:rPr>
                <w:rFonts w:hint="eastAsia"/>
                <w:color w:val="000000" w:themeColor="text1"/>
                <w:highlight w:val="none"/>
                <w:lang w:eastAsia="zh-CN"/>
                <w14:textFill>
                  <w14:solidFill>
                    <w14:schemeClr w14:val="tx1"/>
                  </w14:solidFill>
                </w14:textFill>
              </w:rPr>
              <w:t>，</w:t>
            </w:r>
            <w:commentRangeStart w:id="78"/>
            <w:r>
              <w:rPr>
                <w:rFonts w:hint="eastAsia"/>
                <w:color w:val="000000" w:themeColor="text1"/>
                <w:highlight w:val="none"/>
                <w:lang w:val="en-US" w:eastAsia="zh-CN"/>
                <w14:textFill>
                  <w14:solidFill>
                    <w14:schemeClr w14:val="tx1"/>
                  </w14:solidFill>
                </w14:textFill>
              </w:rPr>
              <w:t>满足《石油炼制工业污染物排放标准》</w:t>
            </w:r>
            <w:commentRangeEnd w:id="78"/>
            <w:r>
              <w:commentReference w:id="78"/>
            </w:r>
            <w:r>
              <w:rPr>
                <w:rFonts w:hint="eastAsia"/>
                <w:color w:val="000000" w:themeColor="text1"/>
                <w:highlight w:val="none"/>
                <w:lang w:val="en-US" w:eastAsia="zh-CN"/>
                <w14:textFill>
                  <w14:solidFill>
                    <w14:schemeClr w14:val="tx1"/>
                  </w14:solidFill>
                </w14:textFill>
              </w:rPr>
              <w:t>（GB31570-2015）及其修改单表3大气污染物排放限值</w:t>
            </w:r>
            <w:r>
              <w:rPr>
                <w:rFonts w:hint="eastAsia"/>
                <w:color w:val="FF0000"/>
                <w:highlight w:val="none"/>
                <w:lang w:val="en-US" w:eastAsia="zh-CN"/>
              </w:rPr>
              <w:t>（排放浓度参照执行120mg/m³，处理效率执行95%）</w:t>
            </w:r>
            <w:r>
              <w:rPr>
                <w:rFonts w:hint="eastAsia"/>
                <w:color w:val="000000" w:themeColor="text1"/>
                <w:highlight w:val="none"/>
                <w:lang w:val="en-US" w:eastAsia="zh-CN"/>
                <w14:textFill>
                  <w14:solidFill>
                    <w14:schemeClr w14:val="tx1"/>
                  </w14:solidFill>
                </w14:textFill>
              </w:rPr>
              <w:t>。</w:t>
            </w:r>
          </w:p>
          <w:p>
            <w:pPr>
              <w:adjustRightInd w:val="0"/>
              <w:snapToGrid w:val="0"/>
              <w:spacing w:line="360" w:lineRule="auto"/>
              <w:ind w:firstLine="480" w:firstLineChars="200"/>
              <w:jc w:val="both"/>
              <w:rPr>
                <w:rFonts w:hint="default"/>
                <w:b w:val="0"/>
                <w:bCs w:val="0"/>
                <w:color w:val="000000" w:themeColor="text1"/>
                <w:highlight w:val="none"/>
                <w:lang w:val="en-US" w:eastAsia="zh-CN"/>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储罐小呼吸废气无组织排放，根据表4-2，项目非甲烷总烃无组织排放量为0.44t/a。通过定期对阀门、管线、泵接口处等进行维护、LDAR监测，以预防跑、冒、滴、漏，从而减少无组织排放。</w:t>
            </w:r>
          </w:p>
          <w:p>
            <w:pPr>
              <w:adjustRightInd w:val="0"/>
              <w:snapToGrid w:val="0"/>
              <w:spacing w:line="360" w:lineRule="auto"/>
              <w:ind w:firstLine="480" w:firstLineChars="200"/>
              <w:jc w:val="both"/>
              <w:rPr>
                <w:rFonts w:ascii="Times New Roman" w:hAnsi="Times New Roman" w:cs="Times New Roman"/>
                <w:color w:val="000000" w:themeColor="text1"/>
                <w:sz w:val="24"/>
                <w:szCs w:val="24"/>
                <w:highlight w:val="none"/>
                <w:u w:val="none" w:color="auto"/>
                <w:lang w:val="en-US"/>
                <w14:textFill>
                  <w14:solidFill>
                    <w14:schemeClr w14:val="tx1"/>
                  </w14:solidFill>
                </w14:textFill>
              </w:rPr>
            </w:pPr>
            <w:r>
              <w:rPr>
                <w:rFonts w:hint="eastAsia"/>
                <w:b w:val="0"/>
                <w:bCs w:val="0"/>
                <w:color w:val="000000" w:themeColor="text1"/>
                <w:highlight w:val="none"/>
                <w:lang w:val="en-US" w:eastAsia="zh-CN"/>
                <w14:textFill>
                  <w14:solidFill>
                    <w14:schemeClr w14:val="tx1"/>
                  </w14:solidFill>
                </w14:textFill>
              </w:rPr>
              <w:t>项目</w:t>
            </w:r>
            <w:r>
              <w:rPr>
                <w:rFonts w:ascii="Times New Roman" w:hAnsi="Times New Roman" w:cs="Times New Roman"/>
                <w:color w:val="000000" w:themeColor="text1"/>
                <w:sz w:val="24"/>
                <w:szCs w:val="24"/>
                <w:highlight w:val="none"/>
                <w:u w:val="none" w:color="auto"/>
                <w:lang w:val="en-US"/>
                <w14:textFill>
                  <w14:solidFill>
                    <w14:schemeClr w14:val="tx1"/>
                  </w14:solidFill>
                </w14:textFill>
              </w:rPr>
              <w:t>项目废气产排情况见下表。</w:t>
            </w:r>
          </w:p>
          <w:p>
            <w:pPr>
              <w:jc w:val="center"/>
              <w:rPr>
                <w:rFonts w:ascii="Times New Roman" w:hAnsi="Times New Roman" w:cs="Times New Roman"/>
                <w:b/>
                <w:bCs/>
                <w:color w:val="000000" w:themeColor="text1"/>
                <w:sz w:val="24"/>
                <w:highlight w:val="none"/>
                <w:u w:val="none" w:color="auto"/>
                <w14:textFill>
                  <w14:solidFill>
                    <w14:schemeClr w14:val="tx1"/>
                  </w14:solidFill>
                </w14:textFill>
              </w:rPr>
            </w:pPr>
            <w:r>
              <w:rPr>
                <w:rFonts w:ascii="Times New Roman" w:hAnsi="Times New Roman" w:cs="Times New Roman"/>
                <w:b/>
                <w:bCs/>
                <w:color w:val="000000" w:themeColor="text1"/>
                <w:sz w:val="24"/>
                <w:highlight w:val="none"/>
                <w:u w:val="none" w:color="auto"/>
                <w14:textFill>
                  <w14:solidFill>
                    <w14:schemeClr w14:val="tx1"/>
                  </w14:solidFill>
                </w14:textFill>
              </w:rPr>
              <w:t>表</w:t>
            </w:r>
            <w:r>
              <w:rPr>
                <w:rFonts w:ascii="Times New Roman" w:hAnsi="Times New Roman" w:cs="Times New Roman"/>
                <w:b/>
                <w:bCs/>
                <w:color w:val="000000" w:themeColor="text1"/>
                <w:sz w:val="24"/>
                <w:highlight w:val="none"/>
                <w:u w:val="none" w:color="auto"/>
                <w:lang w:val="en-US"/>
                <w14:textFill>
                  <w14:solidFill>
                    <w14:schemeClr w14:val="tx1"/>
                  </w14:solidFill>
                </w14:textFill>
              </w:rPr>
              <w:t>4-</w:t>
            </w:r>
            <w:r>
              <w:rPr>
                <w:rFonts w:hint="eastAsia" w:ascii="Times New Roman" w:hAnsi="Times New Roman" w:cs="Times New Roman"/>
                <w:b/>
                <w:bCs/>
                <w:color w:val="000000" w:themeColor="text1"/>
                <w:sz w:val="24"/>
                <w:highlight w:val="none"/>
                <w:u w:val="none" w:color="auto"/>
                <w:lang w:val="en-US" w:eastAsia="zh-CN"/>
                <w14:textFill>
                  <w14:solidFill>
                    <w14:schemeClr w14:val="tx1"/>
                  </w14:solidFill>
                </w14:textFill>
              </w:rPr>
              <w:t>4</w:t>
            </w:r>
            <w:r>
              <w:rPr>
                <w:rFonts w:ascii="Times New Roman" w:hAnsi="Times New Roman" w:cs="Times New Roman"/>
                <w:b/>
                <w:bCs/>
                <w:color w:val="000000" w:themeColor="text1"/>
                <w:sz w:val="24"/>
                <w:highlight w:val="none"/>
                <w:u w:val="none" w:color="auto"/>
                <w14:textFill>
                  <w14:solidFill>
                    <w14:schemeClr w14:val="tx1"/>
                  </w14:solidFill>
                </w14:textFill>
              </w:rPr>
              <w:t xml:space="preserve"> 废气产生及排放情况一览表</w:t>
            </w:r>
          </w:p>
          <w:tbl>
            <w:tblPr>
              <w:tblStyle w:val="27"/>
              <w:tblW w:w="80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1"/>
              <w:gridCol w:w="501"/>
              <w:gridCol w:w="728"/>
              <w:gridCol w:w="612"/>
              <w:gridCol w:w="525"/>
              <w:gridCol w:w="797"/>
              <w:gridCol w:w="1008"/>
              <w:gridCol w:w="618"/>
              <w:gridCol w:w="983"/>
              <w:gridCol w:w="715"/>
              <w:gridCol w:w="593"/>
              <w:gridCol w:w="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jc w:val="center"/>
              </w:trPr>
              <w:tc>
                <w:tcPr>
                  <w:tcW w:w="63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产污环节</w:t>
                  </w:r>
                </w:p>
              </w:tc>
              <w:tc>
                <w:tcPr>
                  <w:tcW w:w="50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污染物</w:t>
                  </w:r>
                </w:p>
              </w:tc>
              <w:tc>
                <w:tcPr>
                  <w:tcW w:w="1340" w:type="dxa"/>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污染物产生</w:t>
                  </w:r>
                </w:p>
              </w:tc>
              <w:tc>
                <w:tcPr>
                  <w:tcW w:w="525"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排放形式</w:t>
                  </w:r>
                </w:p>
              </w:tc>
              <w:tc>
                <w:tcPr>
                  <w:tcW w:w="797"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风机</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风量</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m³/h</w:t>
                  </w:r>
                </w:p>
              </w:tc>
              <w:tc>
                <w:tcPr>
                  <w:tcW w:w="2609" w:type="dxa"/>
                  <w:gridSpan w:val="3"/>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处理措施</w:t>
                  </w:r>
                </w:p>
              </w:tc>
              <w:tc>
                <w:tcPr>
                  <w:tcW w:w="1308" w:type="dxa"/>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污染物排放</w:t>
                  </w:r>
                </w:p>
              </w:tc>
              <w:tc>
                <w:tcPr>
                  <w:tcW w:w="310"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5" w:hRule="atLeast"/>
                <w:jc w:val="center"/>
              </w:trPr>
              <w:tc>
                <w:tcPr>
                  <w:tcW w:w="63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c>
                <w:tcPr>
                  <w:tcW w:w="50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c>
                <w:tcPr>
                  <w:tcW w:w="72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产生浓度</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mg/m³</w:t>
                  </w:r>
                </w:p>
              </w:tc>
              <w:tc>
                <w:tcPr>
                  <w:tcW w:w="612"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产生量</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t/a</w:t>
                  </w:r>
                </w:p>
              </w:tc>
              <w:tc>
                <w:tcPr>
                  <w:tcW w:w="525"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c>
                <w:tcPr>
                  <w:tcW w:w="797"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c>
                <w:tcPr>
                  <w:tcW w:w="100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工艺</w:t>
                  </w:r>
                </w:p>
              </w:tc>
              <w:tc>
                <w:tcPr>
                  <w:tcW w:w="61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效率</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w:t>
                  </w:r>
                </w:p>
              </w:tc>
              <w:tc>
                <w:tcPr>
                  <w:tcW w:w="98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是否为可行性</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技术</w:t>
                  </w:r>
                </w:p>
              </w:tc>
              <w:tc>
                <w:tcPr>
                  <w:tcW w:w="715"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排放浓度</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mg/m³</w:t>
                  </w:r>
                </w:p>
              </w:tc>
              <w:tc>
                <w:tcPr>
                  <w:tcW w:w="59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排放量</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t/a</w:t>
                  </w:r>
                </w:p>
              </w:tc>
              <w:tc>
                <w:tcPr>
                  <w:tcW w:w="310"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51" w:hRule="atLeast"/>
                <w:jc w:val="center"/>
              </w:trPr>
              <w:tc>
                <w:tcPr>
                  <w:tcW w:w="6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储罐</w:t>
                  </w:r>
                  <w:r>
                    <w:rPr>
                      <w:rFonts w:hint="eastAsia" w:cs="Times New Roman"/>
                      <w:color w:val="000000" w:themeColor="text1"/>
                      <w:sz w:val="21"/>
                      <w:szCs w:val="21"/>
                      <w:highlight w:val="none"/>
                      <w:u w:val="none" w:color="auto"/>
                      <w:lang w:val="en-US" w:eastAsia="zh-CN"/>
                      <w14:textFill>
                        <w14:solidFill>
                          <w14:schemeClr w14:val="tx1"/>
                        </w14:solidFill>
                      </w14:textFill>
                    </w:rPr>
                    <w:t>大</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呼吸（调和）</w:t>
                  </w:r>
                </w:p>
              </w:tc>
              <w:tc>
                <w:tcPr>
                  <w:tcW w:w="50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非甲烷总烃</w:t>
                  </w:r>
                </w:p>
              </w:tc>
              <w:tc>
                <w:tcPr>
                  <w:tcW w:w="72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u w:val="none" w:color="auto"/>
                      <w:lang w:val="en-US" w:eastAsia="zh-CN"/>
                    </w:rPr>
                  </w:pPr>
                  <w:r>
                    <w:rPr>
                      <w:rFonts w:hint="default" w:ascii="Times New Roman" w:hAnsi="Times New Roman" w:eastAsia="宋体" w:cs="Times New Roman"/>
                      <w:color w:val="FF0000"/>
                      <w:sz w:val="21"/>
                      <w:szCs w:val="21"/>
                      <w:highlight w:val="none"/>
                      <w:u w:val="none" w:color="auto"/>
                      <w:lang w:val="en-US" w:eastAsia="zh-CN"/>
                    </w:rPr>
                    <w:t xml:space="preserve">1265.90 </w:t>
                  </w:r>
                </w:p>
              </w:tc>
              <w:tc>
                <w:tcPr>
                  <w:tcW w:w="612"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FF0000"/>
                      <w:sz w:val="21"/>
                      <w:szCs w:val="21"/>
                      <w:highlight w:val="none"/>
                      <w:u w:val="none" w:color="auto"/>
                      <w:lang w:val="en-US" w:eastAsia="zh-CN"/>
                    </w:rPr>
                  </w:pPr>
                  <w:r>
                    <w:rPr>
                      <w:rFonts w:hint="default" w:ascii="Times New Roman" w:hAnsi="Times New Roman" w:eastAsia="宋体" w:cs="Times New Roman"/>
                      <w:color w:val="FF0000"/>
                      <w:sz w:val="21"/>
                      <w:szCs w:val="21"/>
                      <w:highlight w:val="none"/>
                      <w:u w:val="none" w:color="auto"/>
                      <w:lang w:val="en-US" w:eastAsia="zh-CN"/>
                    </w:rPr>
                    <w:t xml:space="preserve">27.34 </w:t>
                  </w:r>
                </w:p>
              </w:tc>
              <w:tc>
                <w:tcPr>
                  <w:tcW w:w="525"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有组织</w:t>
                  </w:r>
                </w:p>
              </w:tc>
              <w:tc>
                <w:tcPr>
                  <w:tcW w:w="797"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30</w:t>
                  </w:r>
                  <w:r>
                    <w:rPr>
                      <w:rFonts w:ascii="Times New Roman" w:hAnsi="Times New Roman" w:cs="Times New Roman"/>
                      <w:color w:val="000000" w:themeColor="text1"/>
                      <w:sz w:val="21"/>
                      <w:szCs w:val="21"/>
                      <w:highlight w:val="none"/>
                      <w:u w:val="none" w:color="auto"/>
                      <w:lang w:val="en-US"/>
                      <w14:textFill>
                        <w14:solidFill>
                          <w14:schemeClr w14:val="tx1"/>
                        </w14:solidFill>
                      </w14:textFill>
                    </w:rPr>
                    <w:t>00</w:t>
                  </w:r>
                </w:p>
              </w:tc>
              <w:tc>
                <w:tcPr>
                  <w:tcW w:w="1008"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油气回收装置</w:t>
                  </w:r>
                </w:p>
              </w:tc>
              <w:tc>
                <w:tcPr>
                  <w:tcW w:w="618"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9</w:t>
                  </w:r>
                  <w:r>
                    <w:rPr>
                      <w:rFonts w:hint="eastAsia" w:cs="Times New Roman"/>
                      <w:color w:val="000000" w:themeColor="text1"/>
                      <w:sz w:val="21"/>
                      <w:szCs w:val="21"/>
                      <w:highlight w:val="none"/>
                      <w:u w:val="none" w:color="auto"/>
                      <w:lang w:val="en-US" w:eastAsia="zh-CN"/>
                      <w14:textFill>
                        <w14:solidFill>
                          <w14:schemeClr w14:val="tx1"/>
                        </w14:solidFill>
                      </w14:textFill>
                    </w:rPr>
                    <w:t>6</w:t>
                  </w:r>
                </w:p>
              </w:tc>
              <w:tc>
                <w:tcPr>
                  <w:tcW w:w="983"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r>
                    <w:rPr>
                      <w:rFonts w:ascii="Times New Roman" w:hAnsi="Times New Roman" w:cs="Times New Roman"/>
                      <w:color w:val="000000" w:themeColor="text1"/>
                      <w:sz w:val="21"/>
                      <w:szCs w:val="21"/>
                      <w:highlight w:val="none"/>
                      <w:u w:val="none" w:color="auto"/>
                      <w14:textFill>
                        <w14:solidFill>
                          <w14:schemeClr w14:val="tx1"/>
                        </w14:solidFill>
                      </w14:textFill>
                    </w:rPr>
                    <w:t>是</w:t>
                  </w:r>
                </w:p>
              </w:tc>
              <w:tc>
                <w:tcPr>
                  <w:tcW w:w="715"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u w:val="none" w:color="auto"/>
                      <w:lang w:val="en-US" w:eastAsia="zh-CN"/>
                    </w:rPr>
                  </w:pPr>
                  <w:r>
                    <w:rPr>
                      <w:rFonts w:hint="default" w:ascii="Times New Roman" w:hAnsi="Times New Roman" w:eastAsia="宋体" w:cs="Times New Roman"/>
                      <w:color w:val="FF0000"/>
                      <w:sz w:val="21"/>
                      <w:szCs w:val="21"/>
                      <w:highlight w:val="none"/>
                      <w:u w:val="none" w:color="auto"/>
                      <w:lang w:val="en-US" w:eastAsia="zh-CN"/>
                    </w:rPr>
                    <w:t xml:space="preserve">50.64 </w:t>
                  </w:r>
                </w:p>
              </w:tc>
              <w:tc>
                <w:tcPr>
                  <w:tcW w:w="593"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FF0000"/>
                      <w:sz w:val="21"/>
                      <w:szCs w:val="21"/>
                      <w:highlight w:val="none"/>
                      <w:u w:val="none" w:color="auto"/>
                      <w:lang w:val="en-US" w:eastAsia="zh-CN"/>
                    </w:rPr>
                  </w:pPr>
                  <w:r>
                    <w:rPr>
                      <w:rFonts w:hint="eastAsia" w:ascii="Times New Roman" w:hAnsi="Times New Roman" w:eastAsia="宋体" w:cs="Times New Roman"/>
                      <w:color w:val="FF0000"/>
                      <w:sz w:val="21"/>
                      <w:szCs w:val="21"/>
                      <w:highlight w:val="none"/>
                      <w:u w:val="none" w:color="auto"/>
                      <w:lang w:val="en-US" w:eastAsia="zh-CN"/>
                    </w:rPr>
                    <w:t xml:space="preserve">1.09 </w:t>
                  </w:r>
                </w:p>
              </w:tc>
              <w:tc>
                <w:tcPr>
                  <w:tcW w:w="310"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eastAsia" w:ascii="Times New Roman" w:hAnsi="Times New Roman" w:eastAsia="宋体" w:cs="Times New Roman"/>
                      <w:color w:val="000000" w:themeColor="text1"/>
                      <w:sz w:val="21"/>
                      <w:szCs w:val="21"/>
                      <w:highlight w:val="none"/>
                      <w:u w:val="none" w:color="auto"/>
                      <w:lang w:eastAsia="zh-CN" w:bidi="ar"/>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eastAsia="zh-CN" w:bidi="ar"/>
                      <w14:textFill>
                        <w14:solidFill>
                          <w14:schemeClr w14:val="tx1"/>
                        </w14:solidFill>
                      </w14:textFill>
                    </w:rPr>
                    <w:t>排气筒DA001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5" w:hRule="atLeast"/>
                <w:jc w:val="center"/>
              </w:trPr>
              <w:tc>
                <w:tcPr>
                  <w:tcW w:w="6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装卸车</w:t>
                  </w:r>
                </w:p>
              </w:tc>
              <w:tc>
                <w:tcPr>
                  <w:tcW w:w="50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c>
                <w:tcPr>
                  <w:tcW w:w="72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0.05 </w:t>
                  </w:r>
                </w:p>
              </w:tc>
              <w:tc>
                <w:tcPr>
                  <w:tcW w:w="61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0.00005</w:t>
                  </w:r>
                </w:p>
              </w:tc>
              <w:tc>
                <w:tcPr>
                  <w:tcW w:w="525"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c>
                <w:tcPr>
                  <w:tcW w:w="797"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c>
                <w:tcPr>
                  <w:tcW w:w="100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cs="Times New Roman"/>
                      <w:color w:val="000000" w:themeColor="text1"/>
                      <w:sz w:val="21"/>
                      <w:szCs w:val="21"/>
                      <w:highlight w:val="none"/>
                      <w:u w:val="none" w:color="auto"/>
                      <w:lang w:val="en-US"/>
                      <w14:textFill>
                        <w14:solidFill>
                          <w14:schemeClr w14:val="tx1"/>
                        </w14:solidFill>
                      </w14:textFill>
                    </w:rPr>
                  </w:pPr>
                </w:p>
              </w:tc>
              <w:tc>
                <w:tcPr>
                  <w:tcW w:w="61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lang w:val="en-US"/>
                      <w14:textFill>
                        <w14:solidFill>
                          <w14:schemeClr w14:val="tx1"/>
                        </w14:solidFill>
                      </w14:textFill>
                    </w:rPr>
                  </w:pPr>
                </w:p>
              </w:tc>
              <w:tc>
                <w:tcPr>
                  <w:tcW w:w="983"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c>
                <w:tcPr>
                  <w:tcW w:w="715"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ascii="Times New Roman" w:hAnsi="Times New Roman" w:cs="Times New Roman"/>
                      <w:color w:val="000000" w:themeColor="text1"/>
                      <w:sz w:val="21"/>
                      <w:szCs w:val="21"/>
                      <w:highlight w:val="none"/>
                      <w:u w:val="none" w:color="auto"/>
                      <w:lang w:val="en-US" w:bidi="ar"/>
                      <w14:textFill>
                        <w14:solidFill>
                          <w14:schemeClr w14:val="tx1"/>
                        </w14:solidFill>
                      </w14:textFill>
                    </w:rPr>
                  </w:pPr>
                </w:p>
              </w:tc>
              <w:tc>
                <w:tcPr>
                  <w:tcW w:w="59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ascii="Times New Roman" w:hAnsi="Times New Roman" w:cs="Times New Roman"/>
                      <w:color w:val="000000" w:themeColor="text1"/>
                      <w:sz w:val="21"/>
                      <w:szCs w:val="21"/>
                      <w:highlight w:val="none"/>
                      <w:u w:val="none" w:color="auto"/>
                      <w:lang w:val="en-US" w:bidi="ar"/>
                      <w14:textFill>
                        <w14:solidFill>
                          <w14:schemeClr w14:val="tx1"/>
                        </w14:solidFill>
                      </w14:textFill>
                    </w:rPr>
                  </w:pPr>
                </w:p>
              </w:tc>
              <w:tc>
                <w:tcPr>
                  <w:tcW w:w="31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ascii="Times New Roman" w:hAnsi="Times New Roman" w:cs="Times New Roman"/>
                      <w:color w:val="000000" w:themeColor="text1"/>
                      <w:sz w:val="21"/>
                      <w:szCs w:val="21"/>
                      <w:highlight w:val="none"/>
                      <w:u w:val="none" w:color="auto"/>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5" w:hRule="atLeast"/>
                <w:jc w:val="center"/>
              </w:trPr>
              <w:tc>
                <w:tcPr>
                  <w:tcW w:w="6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储罐</w:t>
                  </w:r>
                  <w:r>
                    <w:rPr>
                      <w:rFonts w:hint="eastAsia" w:cs="Times New Roman"/>
                      <w:color w:val="000000" w:themeColor="text1"/>
                      <w:sz w:val="21"/>
                      <w:szCs w:val="21"/>
                      <w:highlight w:val="none"/>
                      <w:u w:val="none" w:color="auto"/>
                      <w:lang w:val="en-US" w:eastAsia="zh-CN"/>
                      <w14:textFill>
                        <w14:solidFill>
                          <w14:schemeClr w14:val="tx1"/>
                        </w14:solidFill>
                      </w14:textFill>
                    </w:rPr>
                    <w:t>小</w:t>
                  </w:r>
                  <w:r>
                    <w:rPr>
                      <w:rFonts w:hint="eastAsia" w:ascii="Times New Roman" w:hAnsi="Times New Roman" w:cs="Times New Roman"/>
                      <w:color w:val="000000" w:themeColor="text1"/>
                      <w:sz w:val="21"/>
                      <w:szCs w:val="21"/>
                      <w:highlight w:val="none"/>
                      <w:u w:val="none" w:color="auto"/>
                      <w:lang w:val="en-US" w:eastAsia="zh-CN"/>
                      <w14:textFill>
                        <w14:solidFill>
                          <w14:schemeClr w14:val="tx1"/>
                        </w14:solidFill>
                      </w14:textFill>
                    </w:rPr>
                    <w:t>呼吸</w:t>
                  </w:r>
                </w:p>
              </w:tc>
              <w:tc>
                <w:tcPr>
                  <w:tcW w:w="50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ascii="Times New Roman" w:hAnsi="Times New Roman" w:cs="Times New Roman"/>
                      <w:color w:val="000000" w:themeColor="text1"/>
                      <w:sz w:val="21"/>
                      <w:szCs w:val="21"/>
                      <w:highlight w:val="none"/>
                      <w:u w:val="none" w:color="auto"/>
                      <w14:textFill>
                        <w14:solidFill>
                          <w14:schemeClr w14:val="tx1"/>
                        </w14:solidFill>
                      </w14:textFill>
                    </w:rPr>
                  </w:pPr>
                </w:p>
              </w:tc>
              <w:tc>
                <w:tcPr>
                  <w:tcW w:w="72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612"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0.44</w:t>
                  </w:r>
                </w:p>
              </w:tc>
              <w:tc>
                <w:tcPr>
                  <w:tcW w:w="525"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无组织</w:t>
                  </w:r>
                </w:p>
              </w:tc>
              <w:tc>
                <w:tcPr>
                  <w:tcW w:w="7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100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61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98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715"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eastAsia"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w:t>
                  </w:r>
                </w:p>
              </w:tc>
              <w:tc>
                <w:tcPr>
                  <w:tcW w:w="593"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0.44</w:t>
                  </w:r>
                </w:p>
              </w:tc>
              <w:tc>
                <w:tcPr>
                  <w:tcW w:w="310"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rPr>
                      <w:rFonts w:hint="eastAsia" w:ascii="Times New Roman" w:hAnsi="Times New Roman" w:eastAsia="宋体" w:cs="Times New Roman"/>
                      <w:color w:val="000000" w:themeColor="text1"/>
                      <w:sz w:val="21"/>
                      <w:szCs w:val="21"/>
                      <w:highlight w:val="none"/>
                      <w:u w:val="none" w:color="auto"/>
                      <w:lang w:val="en-US" w:eastAsia="zh-CN" w:bidi="ar"/>
                      <w14:textFill>
                        <w14:solidFill>
                          <w14:schemeClr w14:val="tx1"/>
                        </w14:solidFill>
                      </w14:textFill>
                    </w:rPr>
                  </w:pPr>
                  <w:r>
                    <w:rPr>
                      <w:rFonts w:hint="eastAsia" w:cs="Times New Roman"/>
                      <w:color w:val="000000" w:themeColor="text1"/>
                      <w:sz w:val="21"/>
                      <w:szCs w:val="21"/>
                      <w:highlight w:val="none"/>
                      <w:u w:val="none" w:color="auto"/>
                      <w:lang w:val="en-US" w:eastAsia="zh-CN" w:bidi="ar"/>
                      <w14:textFill>
                        <w14:solidFill>
                          <w14:schemeClr w14:val="tx1"/>
                        </w14:solidFill>
                      </w14:textFill>
                    </w:rPr>
                    <w:t>厂界</w:t>
                  </w:r>
                </w:p>
              </w:tc>
            </w:tr>
          </w:tbl>
          <w:p>
            <w:pPr>
              <w:bidi w:val="0"/>
              <w:rPr>
                <w:rFonts w:hint="default"/>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w:t>
            </w:r>
            <w:r>
              <w:rPr>
                <w:rFonts w:hint="default"/>
                <w:b/>
                <w:bCs/>
                <w:color w:val="000000" w:themeColor="text1"/>
                <w:highlight w:val="none"/>
                <w14:textFill>
                  <w14:solidFill>
                    <w14:schemeClr w14:val="tx1"/>
                  </w14:solidFill>
                </w14:textFill>
              </w:rPr>
              <w:t>非正常工况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非正常情况下，废气处理系统处理效率降低。按照处理效率为0%，无环保治理措施计算，则非正常情况下的排放情况见表：</w:t>
            </w:r>
          </w:p>
          <w:p>
            <w:pPr>
              <w:keepNext w:val="0"/>
              <w:keepLines w:val="0"/>
              <w:pageBreakBefore w:val="0"/>
              <w:widowControl w:val="0"/>
              <w:kinsoku/>
              <w:wordWrap/>
              <w:overflowPunct/>
              <w:topLinePunct w:val="0"/>
              <w:autoSpaceDE/>
              <w:autoSpaceDN/>
              <w:bidi w:val="0"/>
              <w:adjustRightInd/>
              <w:snapToGrid/>
              <w:spacing w:line="360" w:lineRule="auto"/>
              <w:ind w:firstLine="1686" w:firstLineChars="800"/>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表4-</w:t>
            </w: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5</w:t>
            </w: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 xml:space="preserve"> 非正常情况下污染物排放情况一览表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51"/>
              <w:gridCol w:w="865"/>
              <w:gridCol w:w="477"/>
              <w:gridCol w:w="1237"/>
              <w:gridCol w:w="425"/>
              <w:gridCol w:w="740"/>
              <w:gridCol w:w="564"/>
              <w:gridCol w:w="619"/>
              <w:gridCol w:w="560"/>
              <w:gridCol w:w="1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1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lang w:val="en-US" w:eastAsia="zh-CN"/>
                      <w14:textFill>
                        <w14:solidFill>
                          <w14:schemeClr w14:val="tx1"/>
                        </w14:solidFill>
                      </w14:textFill>
                    </w:rPr>
                  </w:pPr>
                  <w:r>
                    <w:rPr>
                      <w:rFonts w:hint="eastAsia" w:ascii="Times New Roman" w:hAnsi="Times New Roman" w:eastAsia="宋体" w:cs="Times New Roman"/>
                      <w:b/>
                      <w:color w:val="000000" w:themeColor="text1"/>
                      <w:spacing w:val="0"/>
                      <w:kern w:val="21"/>
                      <w:sz w:val="21"/>
                      <w:szCs w:val="21"/>
                      <w:highlight w:val="none"/>
                      <w:lang w:val="en-US" w:eastAsia="zh-CN"/>
                      <w14:textFill>
                        <w14:solidFill>
                          <w14:schemeClr w14:val="tx1"/>
                        </w14:solidFill>
                      </w14:textFill>
                    </w:rPr>
                    <w:t>废气设施</w:t>
                  </w:r>
                </w:p>
              </w:tc>
              <w:tc>
                <w:tcPr>
                  <w:tcW w:w="54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t>排气量</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vertAlign w:val="superscript"/>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t>（m</w:t>
                  </w:r>
                  <w:r>
                    <w:rPr>
                      <w:rFonts w:hint="default" w:ascii="Times New Roman" w:hAnsi="Times New Roman" w:eastAsia="宋体" w:cs="Times New Roman"/>
                      <w:b/>
                      <w:color w:val="000000" w:themeColor="text1"/>
                      <w:spacing w:val="0"/>
                      <w:kern w:val="21"/>
                      <w:sz w:val="21"/>
                      <w:szCs w:val="21"/>
                      <w:highlight w:val="none"/>
                      <w:vertAlign w:val="superscript"/>
                      <w14:textFill>
                        <w14:solidFill>
                          <w14:schemeClr w14:val="tx1"/>
                        </w14:solidFill>
                      </w14:textFill>
                    </w:rPr>
                    <w:t>3</w:t>
                  </w:r>
                  <w:r>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t>/h）</w:t>
                  </w:r>
                </w:p>
              </w:tc>
              <w:tc>
                <w:tcPr>
                  <w:tcW w:w="30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t>污染物</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t>名称</w:t>
                  </w:r>
                </w:p>
              </w:tc>
              <w:tc>
                <w:tcPr>
                  <w:tcW w:w="77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lang w:eastAsia="zh-CN"/>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lang w:eastAsia="zh-CN"/>
                      <w14:textFill>
                        <w14:solidFill>
                          <w14:schemeClr w14:val="tx1"/>
                        </w14:solidFill>
                      </w14:textFill>
                    </w:rPr>
                    <w:t>非正常排放原因</w:t>
                  </w:r>
                </w:p>
              </w:tc>
              <w:tc>
                <w:tcPr>
                  <w:tcW w:w="26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t>去除率％</w:t>
                  </w:r>
                </w:p>
              </w:tc>
              <w:tc>
                <w:tcPr>
                  <w:tcW w:w="82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t>排放状况</w:t>
                  </w:r>
                </w:p>
              </w:tc>
              <w:tc>
                <w:tcPr>
                  <w:tcW w:w="39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lang w:eastAsia="zh-CN"/>
                      <w14:textFill>
                        <w14:solidFill>
                          <w14:schemeClr w14:val="tx1"/>
                        </w14:solidFill>
                      </w14:textFill>
                    </w:rPr>
                    <w:t>单次持续时间</w:t>
                  </w:r>
                  <w:r>
                    <w:rPr>
                      <w:rFonts w:hint="default" w:ascii="Times New Roman" w:hAnsi="Times New Roman" w:eastAsia="宋体" w:cs="Times New Roman"/>
                      <w:b/>
                      <w:color w:val="000000" w:themeColor="text1"/>
                      <w:spacing w:val="0"/>
                      <w:kern w:val="21"/>
                      <w:sz w:val="21"/>
                      <w:szCs w:val="21"/>
                      <w:highlight w:val="none"/>
                      <w:lang w:val="en-US" w:eastAsia="zh-CN"/>
                      <w14:textFill>
                        <w14:solidFill>
                          <w14:schemeClr w14:val="tx1"/>
                        </w14:solidFill>
                      </w14:textFill>
                    </w:rPr>
                    <w:t>/h</w:t>
                  </w:r>
                </w:p>
              </w:tc>
              <w:tc>
                <w:tcPr>
                  <w:tcW w:w="3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lang w:eastAsia="zh-CN"/>
                      <w14:textFill>
                        <w14:solidFill>
                          <w14:schemeClr w14:val="tx1"/>
                        </w14:solidFill>
                      </w14:textFill>
                    </w:rPr>
                    <w:t>年发生频次</w:t>
                  </w:r>
                  <w:r>
                    <w:rPr>
                      <w:rFonts w:hint="default" w:ascii="Times New Roman" w:hAnsi="Times New Roman" w:eastAsia="宋体" w:cs="Times New Roman"/>
                      <w:b/>
                      <w:color w:val="000000" w:themeColor="text1"/>
                      <w:spacing w:val="0"/>
                      <w:kern w:val="21"/>
                      <w:sz w:val="21"/>
                      <w:szCs w:val="21"/>
                      <w:highlight w:val="none"/>
                      <w:lang w:val="en-US" w:eastAsia="zh-CN"/>
                      <w14:textFill>
                        <w14:solidFill>
                          <w14:schemeClr w14:val="tx1"/>
                        </w14:solidFill>
                      </w14:textFill>
                    </w:rPr>
                    <w:t>/次</w:t>
                  </w:r>
                </w:p>
              </w:tc>
              <w:tc>
                <w:tcPr>
                  <w:tcW w:w="113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lang w:val="en-US" w:eastAsia="zh-CN"/>
                      <w14:textFill>
                        <w14:solidFill>
                          <w14:schemeClr w14:val="tx1"/>
                        </w14:solidFill>
                      </w14:textFill>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1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p>
              </w:tc>
              <w:tc>
                <w:tcPr>
                  <w:tcW w:w="54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p>
              </w:tc>
              <w:tc>
                <w:tcPr>
                  <w:tcW w:w="30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p>
              </w:tc>
              <w:tc>
                <w:tcPr>
                  <w:tcW w:w="7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p>
              </w:tc>
              <w:tc>
                <w:tcPr>
                  <w:tcW w:w="2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p>
              </w:tc>
              <w:tc>
                <w:tcPr>
                  <w:tcW w:w="4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lang w:eastAsia="zh-CN"/>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t>浓度mg/m</w:t>
                  </w:r>
                  <w:r>
                    <w:rPr>
                      <w:rFonts w:hint="default" w:ascii="Times New Roman" w:hAnsi="Times New Roman" w:eastAsia="宋体" w:cs="Times New Roman"/>
                      <w:b/>
                      <w:color w:val="000000" w:themeColor="text1"/>
                      <w:spacing w:val="0"/>
                      <w:kern w:val="21"/>
                      <w:sz w:val="21"/>
                      <w:szCs w:val="21"/>
                      <w:highlight w:val="none"/>
                      <w:vertAlign w:val="superscript"/>
                      <w14:textFill>
                        <w14:solidFill>
                          <w14:schemeClr w14:val="tx1"/>
                        </w14:solidFill>
                      </w14:textFill>
                    </w:rPr>
                    <w:t>3</w:t>
                  </w:r>
                </w:p>
              </w:tc>
              <w:tc>
                <w:tcPr>
                  <w:tcW w:w="3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t>速率kg/h</w:t>
                  </w:r>
                </w:p>
              </w:tc>
              <w:tc>
                <w:tcPr>
                  <w:tcW w:w="39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p>
              </w:tc>
              <w:tc>
                <w:tcPr>
                  <w:tcW w:w="353"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p>
              </w:tc>
              <w:tc>
                <w:tcPr>
                  <w:tcW w:w="1130"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color w:val="000000" w:themeColor="text1"/>
                      <w:spacing w:val="0"/>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1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eastAsia" w:ascii="Times New Roman" w:hAnsi="Times New Roman" w:eastAsia="宋体" w:cs="Times New Roman"/>
                      <w:b w:val="0"/>
                      <w:bCs/>
                      <w:color w:val="000000" w:themeColor="text1"/>
                      <w:spacing w:val="0"/>
                      <w:kern w:val="21"/>
                      <w:sz w:val="21"/>
                      <w:szCs w:val="21"/>
                      <w:highlight w:val="none"/>
                      <w:lang w:val="en-US" w:eastAsia="zh-CN"/>
                      <w14:textFill>
                        <w14:solidFill>
                          <w14:schemeClr w14:val="tx1"/>
                        </w14:solidFill>
                      </w14:textFill>
                    </w:rPr>
                  </w:pPr>
                  <w:r>
                    <w:rPr>
                      <w:rFonts w:hint="eastAsia" w:cs="Times New Roman"/>
                      <w:color w:val="000000" w:themeColor="text1"/>
                      <w:spacing w:val="0"/>
                      <w:kern w:val="21"/>
                      <w:sz w:val="21"/>
                      <w:szCs w:val="21"/>
                      <w:highlight w:val="none"/>
                      <w:lang w:val="en-US" w:eastAsia="zh-CN"/>
                      <w14:textFill>
                        <w14:solidFill>
                          <w14:schemeClr w14:val="tx1"/>
                        </w14:solidFill>
                      </w14:textFill>
                    </w:rPr>
                    <w:t>油气回收装置</w:t>
                  </w:r>
                </w:p>
              </w:tc>
              <w:tc>
                <w:tcPr>
                  <w:tcW w:w="544" w:type="pct"/>
                  <w:tcBorders>
                    <w:tl2br w:val="nil"/>
                    <w:tr2bl w:val="nil"/>
                  </w:tcBorders>
                  <w:noWrap w:val="0"/>
                  <w:vAlign w:val="center"/>
                </w:tcPr>
                <w:p>
                  <w:pPr>
                    <w:keepNext/>
                    <w:keepLines/>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2"/>
                    <w:rPr>
                      <w:rFonts w:hint="default" w:ascii="Times New Roman" w:hAnsi="Times New Roman" w:eastAsia="宋体" w:cs="Times New Roman"/>
                      <w:b w:val="0"/>
                      <w:bCs/>
                      <w:color w:val="000000" w:themeColor="text1"/>
                      <w:spacing w:val="0"/>
                      <w:kern w:val="2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3000</w:t>
                  </w:r>
                </w:p>
              </w:tc>
              <w:tc>
                <w:tcPr>
                  <w:tcW w:w="3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color w:val="000000" w:themeColor="text1"/>
                      <w:spacing w:val="0"/>
                      <w:kern w:val="2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pacing w:val="0"/>
                      <w:kern w:val="21"/>
                      <w:sz w:val="21"/>
                      <w:szCs w:val="21"/>
                      <w:highlight w:val="none"/>
                      <w:lang w:eastAsia="zh-CN"/>
                      <w14:textFill>
                        <w14:solidFill>
                          <w14:schemeClr w14:val="tx1"/>
                        </w14:solidFill>
                      </w14:textFill>
                    </w:rPr>
                    <w:t>非甲烷总烃</w:t>
                  </w:r>
                </w:p>
              </w:tc>
              <w:tc>
                <w:tcPr>
                  <w:tcW w:w="779"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kern w:val="21"/>
                      <w:sz w:val="21"/>
                      <w:szCs w:val="24"/>
                      <w:highlight w:val="none"/>
                      <w14:textFill>
                        <w14:solidFill>
                          <w14:schemeClr w14:val="tx1"/>
                        </w14:solidFill>
                      </w14:textFill>
                    </w:rPr>
                    <w:t>设施故障，达不到规定效率</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val="0"/>
                      <w:bCs/>
                      <w:color w:val="000000" w:themeColor="text1"/>
                      <w:spacing w:val="0"/>
                      <w:kern w:val="2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pacing w:val="0"/>
                      <w:kern w:val="21"/>
                      <w:sz w:val="21"/>
                      <w:szCs w:val="21"/>
                      <w:highlight w:val="none"/>
                      <w:lang w:val="en-US" w:eastAsia="zh-CN"/>
                      <w14:textFill>
                        <w14:solidFill>
                          <w14:schemeClr w14:val="tx1"/>
                        </w14:solidFill>
                      </w14:textFill>
                    </w:rPr>
                    <w:t>0</w:t>
                  </w:r>
                </w:p>
              </w:tc>
              <w:tc>
                <w:tcPr>
                  <w:tcW w:w="4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b w:val="0"/>
                      <w:bCs/>
                      <w:color w:val="FF0000"/>
                      <w:spacing w:val="0"/>
                      <w:kern w:val="21"/>
                      <w:sz w:val="21"/>
                      <w:szCs w:val="21"/>
                      <w:highlight w:val="none"/>
                      <w:lang w:val="en-US" w:eastAsia="zh-CN"/>
                    </w:rPr>
                  </w:pPr>
                  <w:r>
                    <w:rPr>
                      <w:rFonts w:hint="eastAsia" w:cs="Times New Roman"/>
                      <w:b w:val="0"/>
                      <w:bCs/>
                      <w:color w:val="FF0000"/>
                      <w:spacing w:val="0"/>
                      <w:kern w:val="21"/>
                      <w:sz w:val="21"/>
                      <w:szCs w:val="21"/>
                      <w:highlight w:val="none"/>
                      <w:lang w:val="en-US" w:eastAsia="zh-CN"/>
                    </w:rPr>
                    <w:t>1265.90</w:t>
                  </w:r>
                </w:p>
              </w:tc>
              <w:tc>
                <w:tcPr>
                  <w:tcW w:w="355" w:type="pct"/>
                  <w:tcBorders>
                    <w:tl2br w:val="nil"/>
                    <w:tr2bl w:val="nil"/>
                  </w:tcBorders>
                  <w:noWrap w:val="0"/>
                  <w:vAlign w:val="center"/>
                </w:tcPr>
                <w:p>
                  <w:pPr>
                    <w:pStyle w:val="91"/>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b w:val="0"/>
                      <w:bCs/>
                      <w:color w:val="FF0000"/>
                      <w:spacing w:val="0"/>
                      <w:kern w:val="21"/>
                      <w:sz w:val="21"/>
                      <w:szCs w:val="21"/>
                      <w:highlight w:val="none"/>
                      <w:lang w:val="en-US" w:eastAsia="zh-CN"/>
                    </w:rPr>
                  </w:pPr>
                  <w:r>
                    <w:rPr>
                      <w:rFonts w:hint="eastAsia" w:cs="Times New Roman"/>
                      <w:b w:val="0"/>
                      <w:bCs/>
                      <w:color w:val="FF0000"/>
                      <w:spacing w:val="0"/>
                      <w:kern w:val="21"/>
                      <w:sz w:val="21"/>
                      <w:szCs w:val="21"/>
                      <w:highlight w:val="none"/>
                      <w:lang w:val="en-US" w:eastAsia="zh-CN"/>
                    </w:rPr>
                    <w:t>3.80</w:t>
                  </w:r>
                </w:p>
              </w:tc>
              <w:tc>
                <w:tcPr>
                  <w:tcW w:w="390" w:type="pct"/>
                  <w:tcBorders>
                    <w:tl2br w:val="nil"/>
                    <w:tr2bl w:val="nil"/>
                  </w:tcBorders>
                  <w:noWrap w:val="0"/>
                  <w:vAlign w:val="center"/>
                </w:tcPr>
                <w:p>
                  <w:pPr>
                    <w:pStyle w:val="91"/>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color w:val="000000" w:themeColor="text1"/>
                      <w:spacing w:val="0"/>
                      <w:kern w:val="2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0"/>
                      <w:kern w:val="21"/>
                      <w:sz w:val="21"/>
                      <w:szCs w:val="21"/>
                      <w:highlight w:val="none"/>
                      <w:lang w:val="en-US" w:eastAsia="zh-CN"/>
                      <w14:textFill>
                        <w14:solidFill>
                          <w14:schemeClr w14:val="tx1"/>
                        </w14:solidFill>
                      </w14:textFill>
                    </w:rPr>
                    <w:t>0.5</w:t>
                  </w:r>
                </w:p>
              </w:tc>
              <w:tc>
                <w:tcPr>
                  <w:tcW w:w="353"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val="0"/>
                      <w:bCs/>
                      <w:color w:val="000000" w:themeColor="text1"/>
                      <w:spacing w:val="0"/>
                      <w:kern w:val="2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0"/>
                      <w:kern w:val="21"/>
                      <w:sz w:val="21"/>
                      <w:szCs w:val="21"/>
                      <w:highlight w:val="none"/>
                      <w:lang w:val="en-US" w:eastAsia="zh-CN"/>
                      <w14:textFill>
                        <w14:solidFill>
                          <w14:schemeClr w14:val="tx1"/>
                        </w14:solidFill>
                      </w14:textFill>
                    </w:rPr>
                    <w:t>≤1</w:t>
                  </w:r>
                </w:p>
              </w:tc>
              <w:tc>
                <w:tcPr>
                  <w:tcW w:w="1130"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contextualSpacing/>
                    <w:jc w:val="center"/>
                    <w:textAlignment w:val="auto"/>
                    <w:rPr>
                      <w:rFonts w:hint="default" w:ascii="Times New Roman" w:hAnsi="Times New Roman" w:eastAsia="宋体" w:cs="Times New Roman"/>
                      <w:b w:val="0"/>
                      <w:bCs w:val="0"/>
                      <w:color w:val="000000" w:themeColor="text1"/>
                      <w:spacing w:val="0"/>
                      <w:kern w:val="2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pacing w:val="0"/>
                      <w:kern w:val="21"/>
                      <w:sz w:val="21"/>
                      <w:szCs w:val="21"/>
                      <w:highlight w:val="none"/>
                      <w14:textFill>
                        <w14:solidFill>
                          <w14:schemeClr w14:val="tx1"/>
                        </w14:solidFill>
                      </w14:textFill>
                    </w:rPr>
                    <w:t>加强</w:t>
                  </w:r>
                  <w:r>
                    <w:rPr>
                      <w:rFonts w:hint="default" w:ascii="Times New Roman" w:hAnsi="Times New Roman" w:eastAsia="宋体" w:cs="Times New Roman"/>
                      <w:b w:val="0"/>
                      <w:bCs w:val="0"/>
                      <w:color w:val="000000" w:themeColor="text1"/>
                      <w:spacing w:val="0"/>
                      <w:kern w:val="21"/>
                      <w:sz w:val="21"/>
                      <w:szCs w:val="21"/>
                      <w:highlight w:val="none"/>
                      <w:lang w:eastAsia="zh-CN"/>
                      <w14:textFill>
                        <w14:solidFill>
                          <w14:schemeClr w14:val="tx1"/>
                        </w14:solidFill>
                      </w14:textFill>
                    </w:rPr>
                    <w:t>维护，</w:t>
                  </w:r>
                  <w:r>
                    <w:rPr>
                      <w:rFonts w:hint="default" w:ascii="Times New Roman" w:hAnsi="Times New Roman" w:eastAsia="宋体" w:cs="Times New Roman"/>
                      <w:b w:val="0"/>
                      <w:bCs w:val="0"/>
                      <w:color w:val="000000" w:themeColor="text1"/>
                      <w:spacing w:val="0"/>
                      <w:kern w:val="21"/>
                      <w:sz w:val="21"/>
                      <w:szCs w:val="21"/>
                      <w:highlight w:val="none"/>
                      <w14:textFill>
                        <w14:solidFill>
                          <w14:schemeClr w14:val="tx1"/>
                        </w14:solidFill>
                      </w14:textFill>
                    </w:rPr>
                    <w:t>选用可靠设备</w:t>
                  </w:r>
                  <w:r>
                    <w:rPr>
                      <w:rFonts w:hint="default" w:ascii="Times New Roman" w:hAnsi="Times New Roman" w:eastAsia="宋体" w:cs="Times New Roman"/>
                      <w:b w:val="0"/>
                      <w:bCs w:val="0"/>
                      <w:color w:val="000000" w:themeColor="text1"/>
                      <w:spacing w:val="0"/>
                      <w:kern w:val="2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pacing w:val="0"/>
                      <w:kern w:val="21"/>
                      <w:sz w:val="21"/>
                      <w:szCs w:val="21"/>
                      <w:highlight w:val="none"/>
                      <w14:textFill>
                        <w14:solidFill>
                          <w14:schemeClr w14:val="tx1"/>
                        </w14:solidFill>
                      </w14:textFill>
                    </w:rPr>
                    <w:t>废气日常监测与记录，加强</w:t>
                  </w:r>
                  <w:r>
                    <w:rPr>
                      <w:rFonts w:hint="default" w:ascii="Times New Roman" w:hAnsi="Times New Roman" w:eastAsia="宋体" w:cs="Times New Roman"/>
                      <w:b w:val="0"/>
                      <w:bCs w:val="0"/>
                      <w:color w:val="000000" w:themeColor="text1"/>
                      <w:spacing w:val="0"/>
                      <w:kern w:val="21"/>
                      <w:sz w:val="21"/>
                      <w:szCs w:val="21"/>
                      <w:highlight w:val="none"/>
                      <w:lang w:eastAsia="zh-CN"/>
                      <w14:textFill>
                        <w14:solidFill>
                          <w14:schemeClr w14:val="tx1"/>
                        </w14:solidFill>
                      </w14:textFill>
                    </w:rPr>
                    <w:t>管理</w:t>
                  </w:r>
                </w:p>
              </w:tc>
            </w:tr>
          </w:tbl>
          <w:p>
            <w:pPr>
              <w:pStyle w:val="101"/>
              <w:rPr>
                <w:rFonts w:hint="default" w:eastAsia="宋体"/>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5、废气排放口设置情况</w:t>
            </w:r>
          </w:p>
          <w:p>
            <w:pPr>
              <w:pStyle w:val="101"/>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项目废气排放口设置情况见表4-6。</w:t>
            </w:r>
          </w:p>
          <w:p>
            <w:pPr>
              <w:widowControl/>
              <w:jc w:val="center"/>
              <w:rPr>
                <w:b/>
                <w:color w:val="000000" w:themeColor="text1"/>
                <w:kern w:val="0"/>
                <w14:textFill>
                  <w14:solidFill>
                    <w14:schemeClr w14:val="tx1"/>
                  </w14:solidFill>
                </w14:textFill>
              </w:rPr>
            </w:pPr>
            <w:r>
              <w:rPr>
                <w:rStyle w:val="102"/>
                <w:rFonts w:hint="default" w:ascii="Times New Roman" w:hAnsi="Times New Roman"/>
                <w:b/>
                <w:color w:val="000000" w:themeColor="text1"/>
                <w:sz w:val="21"/>
                <w14:textFill>
                  <w14:solidFill>
                    <w14:schemeClr w14:val="tx1"/>
                  </w14:solidFill>
                </w14:textFill>
              </w:rPr>
              <w:t>表4-</w:t>
            </w:r>
            <w:r>
              <w:rPr>
                <w:rStyle w:val="102"/>
                <w:rFonts w:hint="eastAsia" w:eastAsia="宋体"/>
                <w:b/>
                <w:color w:val="000000" w:themeColor="text1"/>
                <w:sz w:val="21"/>
                <w:lang w:val="en-US" w:eastAsia="zh-CN"/>
                <w14:textFill>
                  <w14:solidFill>
                    <w14:schemeClr w14:val="tx1"/>
                  </w14:solidFill>
                </w14:textFill>
              </w:rPr>
              <w:t>6</w:t>
            </w:r>
            <w:r>
              <w:rPr>
                <w:rStyle w:val="102"/>
                <w:rFonts w:hint="eastAsia" w:ascii="Times New Roman" w:hAnsi="Times New Roman" w:eastAsia="宋体"/>
                <w:b/>
                <w:color w:val="000000" w:themeColor="text1"/>
                <w:sz w:val="21"/>
                <w:lang w:val="en-US" w:eastAsia="zh-CN"/>
                <w14:textFill>
                  <w14:solidFill>
                    <w14:schemeClr w14:val="tx1"/>
                  </w14:solidFill>
                </w14:textFill>
              </w:rPr>
              <w:t xml:space="preserve"> </w:t>
            </w:r>
            <w:r>
              <w:rPr>
                <w:rStyle w:val="102"/>
                <w:rFonts w:hint="default" w:ascii="Times New Roman" w:hAnsi="Times New Roman"/>
                <w:b/>
                <w:color w:val="000000" w:themeColor="text1"/>
                <w:sz w:val="21"/>
                <w14:textFill>
                  <w14:solidFill>
                    <w14:schemeClr w14:val="tx1"/>
                  </w14:solidFill>
                </w14:textFill>
              </w:rPr>
              <w:t>废气排放口基情况一览表</w:t>
            </w:r>
          </w:p>
          <w:tbl>
            <w:tblPr>
              <w:tblStyle w:val="27"/>
              <w:tblW w:w="80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4"/>
              <w:gridCol w:w="1205"/>
              <w:gridCol w:w="1448"/>
              <w:gridCol w:w="1303"/>
              <w:gridCol w:w="614"/>
              <w:gridCol w:w="842"/>
              <w:gridCol w:w="925"/>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82" w:type="pct"/>
                  <w:vMerge w:val="restart"/>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名称</w:t>
                  </w:r>
                </w:p>
              </w:tc>
              <w:tc>
                <w:tcPr>
                  <w:tcW w:w="751" w:type="pct"/>
                  <w:vMerge w:val="restart"/>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编号</w:t>
                  </w:r>
                </w:p>
              </w:tc>
              <w:tc>
                <w:tcPr>
                  <w:tcW w:w="1715" w:type="pct"/>
                  <w:gridSpan w:val="2"/>
                  <w:noWrap w:val="0"/>
                  <w:vAlign w:val="center"/>
                </w:tcPr>
                <w:p>
                  <w:pPr>
                    <w:pStyle w:val="103"/>
                    <w:ind w:firstLine="0" w:firstLineChars="0"/>
                    <w:rPr>
                      <w:color w:val="000000" w:themeColor="text1"/>
                      <w:sz w:val="21"/>
                      <w:szCs w:val="21"/>
                      <w14:textFill>
                        <w14:solidFill>
                          <w14:schemeClr w14:val="tx1"/>
                        </w14:solidFill>
                      </w14:textFill>
                    </w:rPr>
                  </w:pPr>
                  <w:r>
                    <w:rPr>
                      <w:b/>
                      <w:color w:val="000000" w:themeColor="text1"/>
                      <w:sz w:val="18"/>
                      <w:szCs w:val="18"/>
                      <w14:textFill>
                        <w14:solidFill>
                          <w14:schemeClr w14:val="tx1"/>
                        </w14:solidFill>
                      </w14:textFill>
                    </w:rPr>
                    <w:t>排气筒底部中心坐标（º）</w:t>
                  </w:r>
                </w:p>
              </w:tc>
              <w:tc>
                <w:tcPr>
                  <w:tcW w:w="382" w:type="pct"/>
                  <w:vMerge w:val="restart"/>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高度m</w:t>
                  </w:r>
                </w:p>
              </w:tc>
              <w:tc>
                <w:tcPr>
                  <w:tcW w:w="525" w:type="pct"/>
                  <w:vMerge w:val="restart"/>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内径m</w:t>
                  </w:r>
                </w:p>
              </w:tc>
              <w:tc>
                <w:tcPr>
                  <w:tcW w:w="576" w:type="pct"/>
                  <w:vMerge w:val="restart"/>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温度℃</w:t>
                  </w:r>
                </w:p>
              </w:tc>
              <w:tc>
                <w:tcPr>
                  <w:tcW w:w="664" w:type="pct"/>
                  <w:vMerge w:val="restart"/>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82" w:type="pct"/>
                  <w:vMerge w:val="continue"/>
                  <w:noWrap w:val="0"/>
                  <w:vAlign w:val="center"/>
                </w:tcPr>
                <w:p>
                  <w:pPr>
                    <w:pStyle w:val="101"/>
                    <w:spacing w:line="240" w:lineRule="auto"/>
                    <w:ind w:firstLine="0" w:firstLineChars="0"/>
                    <w:jc w:val="center"/>
                    <w:rPr>
                      <w:color w:val="000000" w:themeColor="text1"/>
                      <w14:textFill>
                        <w14:solidFill>
                          <w14:schemeClr w14:val="tx1"/>
                        </w14:solidFill>
                      </w14:textFill>
                    </w:rPr>
                  </w:pPr>
                </w:p>
              </w:tc>
              <w:tc>
                <w:tcPr>
                  <w:tcW w:w="751" w:type="pct"/>
                  <w:vMerge w:val="continue"/>
                  <w:noWrap w:val="0"/>
                  <w:vAlign w:val="center"/>
                </w:tcPr>
                <w:p>
                  <w:pPr>
                    <w:pStyle w:val="101"/>
                    <w:spacing w:line="240" w:lineRule="auto"/>
                    <w:ind w:firstLine="0" w:firstLineChars="0"/>
                    <w:jc w:val="center"/>
                    <w:rPr>
                      <w:color w:val="000000" w:themeColor="text1"/>
                      <w14:textFill>
                        <w14:solidFill>
                          <w14:schemeClr w14:val="tx1"/>
                        </w14:solidFill>
                      </w14:textFill>
                    </w:rPr>
                  </w:pPr>
                </w:p>
              </w:tc>
              <w:tc>
                <w:tcPr>
                  <w:tcW w:w="903" w:type="pct"/>
                  <w:noWrap w:val="0"/>
                  <w:vAlign w:val="center"/>
                </w:tcPr>
                <w:p>
                  <w:pPr>
                    <w:pStyle w:val="103"/>
                    <w:ind w:firstLine="0" w:firstLineChars="0"/>
                    <w:rPr>
                      <w:color w:val="000000" w:themeColor="text1"/>
                      <w:sz w:val="21"/>
                      <w:szCs w:val="21"/>
                      <w14:textFill>
                        <w14:solidFill>
                          <w14:schemeClr w14:val="tx1"/>
                        </w14:solidFill>
                      </w14:textFill>
                    </w:rPr>
                  </w:pPr>
                  <w:r>
                    <w:rPr>
                      <w:b/>
                      <w:color w:val="000000" w:themeColor="text1"/>
                      <w:sz w:val="18"/>
                      <w:szCs w:val="18"/>
                      <w14:textFill>
                        <w14:solidFill>
                          <w14:schemeClr w14:val="tx1"/>
                        </w14:solidFill>
                      </w14:textFill>
                    </w:rPr>
                    <w:t>经度</w:t>
                  </w:r>
                </w:p>
              </w:tc>
              <w:tc>
                <w:tcPr>
                  <w:tcW w:w="812" w:type="pct"/>
                  <w:noWrap w:val="0"/>
                  <w:vAlign w:val="center"/>
                </w:tcPr>
                <w:p>
                  <w:pPr>
                    <w:pStyle w:val="103"/>
                    <w:ind w:firstLine="0" w:firstLineChars="0"/>
                    <w:rPr>
                      <w:color w:val="000000" w:themeColor="text1"/>
                      <w:sz w:val="21"/>
                      <w:szCs w:val="21"/>
                      <w14:textFill>
                        <w14:solidFill>
                          <w14:schemeClr w14:val="tx1"/>
                        </w14:solidFill>
                      </w14:textFill>
                    </w:rPr>
                  </w:pPr>
                  <w:r>
                    <w:rPr>
                      <w:b/>
                      <w:color w:val="000000" w:themeColor="text1"/>
                      <w:sz w:val="18"/>
                      <w:szCs w:val="18"/>
                      <w14:textFill>
                        <w14:solidFill>
                          <w14:schemeClr w14:val="tx1"/>
                        </w14:solidFill>
                      </w14:textFill>
                    </w:rPr>
                    <w:t>纬度</w:t>
                  </w:r>
                </w:p>
              </w:tc>
              <w:tc>
                <w:tcPr>
                  <w:tcW w:w="382" w:type="pct"/>
                  <w:vMerge w:val="continue"/>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p>
              </w:tc>
              <w:tc>
                <w:tcPr>
                  <w:tcW w:w="525" w:type="pct"/>
                  <w:vMerge w:val="continue"/>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p>
              </w:tc>
              <w:tc>
                <w:tcPr>
                  <w:tcW w:w="576" w:type="pct"/>
                  <w:vMerge w:val="continue"/>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p>
              </w:tc>
              <w:tc>
                <w:tcPr>
                  <w:tcW w:w="664" w:type="pct"/>
                  <w:vMerge w:val="continue"/>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382" w:type="pct"/>
                  <w:noWrap w:val="0"/>
                  <w:vAlign w:val="center"/>
                </w:tcPr>
                <w:p>
                  <w:pPr>
                    <w:pStyle w:val="101"/>
                    <w:spacing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color w:val="000000" w:themeColor="text1"/>
                      <w:sz w:val="21"/>
                      <w:szCs w:val="21"/>
                      <w14:textFill>
                        <w14:solidFill>
                          <w14:schemeClr w14:val="tx1"/>
                        </w14:solidFill>
                      </w14:textFill>
                    </w:rPr>
                    <w:t>排气筒</w:t>
                  </w:r>
                </w:p>
              </w:tc>
              <w:tc>
                <w:tcPr>
                  <w:tcW w:w="751" w:type="pct"/>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DA</w:t>
                  </w:r>
                  <w:r>
                    <w:rPr>
                      <w:rFonts w:hint="eastAsia"/>
                      <w:color w:val="000000" w:themeColor="text1"/>
                      <w:sz w:val="21"/>
                      <w:szCs w:val="21"/>
                      <w:lang w:val="en-US" w:eastAsia="zh-CN"/>
                      <w14:textFill>
                        <w14:solidFill>
                          <w14:schemeClr w14:val="tx1"/>
                        </w14:solidFill>
                      </w14:textFill>
                    </w:rPr>
                    <w:t>00</w:t>
                  </w:r>
                  <w:r>
                    <w:rPr>
                      <w:color w:val="000000" w:themeColor="text1"/>
                      <w:sz w:val="21"/>
                      <w:szCs w:val="21"/>
                      <w14:textFill>
                        <w14:solidFill>
                          <w14:schemeClr w14:val="tx1"/>
                        </w14:solidFill>
                      </w14:textFill>
                    </w:rPr>
                    <w:t>1</w:t>
                  </w:r>
                </w:p>
              </w:tc>
              <w:tc>
                <w:tcPr>
                  <w:tcW w:w="903" w:type="pct"/>
                  <w:noWrap w:val="0"/>
                  <w:vAlign w:val="center"/>
                </w:tcPr>
                <w:p>
                  <w:pPr>
                    <w:keepNext/>
                    <w:keepLines/>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outlineLvl w:val="2"/>
                    <w:rPr>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110.392998</w:t>
                  </w:r>
                </w:p>
              </w:tc>
              <w:tc>
                <w:tcPr>
                  <w:tcW w:w="812" w:type="pct"/>
                  <w:noWrap w:val="0"/>
                  <w:vAlign w:val="center"/>
                </w:tcPr>
                <w:p>
                  <w:pPr>
                    <w:keepNext/>
                    <w:keepLines/>
                    <w:pageBreakBefore w:val="0"/>
                    <w:widowControl w:val="0"/>
                    <w:kinsoku/>
                    <w:wordWrap/>
                    <w:overflowPunct/>
                    <w:topLinePunct w:val="0"/>
                    <w:autoSpaceDE/>
                    <w:autoSpaceDN/>
                    <w:bidi w:val="0"/>
                    <w:adjustRightInd/>
                    <w:snapToGrid/>
                    <w:spacing w:line="240" w:lineRule="auto"/>
                    <w:ind w:left="-120" w:leftChars="-50" w:right="-120" w:rightChars="-50" w:firstLine="0" w:firstLineChars="0"/>
                    <w:jc w:val="center"/>
                    <w:textAlignment w:val="auto"/>
                    <w:outlineLvl w:val="2"/>
                    <w:rPr>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39.350097</w:t>
                  </w:r>
                </w:p>
              </w:tc>
              <w:tc>
                <w:tcPr>
                  <w:tcW w:w="382" w:type="pct"/>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525" w:type="pct"/>
                  <w:noWrap w:val="0"/>
                  <w:vAlign w:val="center"/>
                </w:tcPr>
                <w:p>
                  <w:pPr>
                    <w:pStyle w:val="101"/>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0.3</w:t>
                  </w:r>
                </w:p>
              </w:tc>
              <w:tc>
                <w:tcPr>
                  <w:tcW w:w="576" w:type="pct"/>
                  <w:noWrap w:val="0"/>
                  <w:vAlign w:val="center"/>
                </w:tcPr>
                <w:p>
                  <w:pPr>
                    <w:pStyle w:val="101"/>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color w:val="000000" w:themeColor="text1"/>
                      <w:sz w:val="21"/>
                      <w:szCs w:val="21"/>
                      <w14:textFill>
                        <w14:solidFill>
                          <w14:schemeClr w14:val="tx1"/>
                        </w14:solidFill>
                      </w14:textFill>
                    </w:rPr>
                    <w:t>2</w:t>
                  </w:r>
                  <w:r>
                    <w:rPr>
                      <w:rFonts w:hint="eastAsia"/>
                      <w:color w:val="000000" w:themeColor="text1"/>
                      <w:sz w:val="21"/>
                      <w:szCs w:val="21"/>
                      <w:lang w:val="en-US" w:eastAsia="zh-CN"/>
                      <w14:textFill>
                        <w14:solidFill>
                          <w14:schemeClr w14:val="tx1"/>
                        </w14:solidFill>
                      </w14:textFill>
                    </w:rPr>
                    <w:t>5</w:t>
                  </w:r>
                </w:p>
              </w:tc>
              <w:tc>
                <w:tcPr>
                  <w:tcW w:w="664" w:type="pct"/>
                  <w:noWrap w:val="0"/>
                  <w:vAlign w:val="center"/>
                </w:tcPr>
                <w:p>
                  <w:pPr>
                    <w:pStyle w:val="101"/>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一般排放口</w:t>
                  </w:r>
                </w:p>
              </w:tc>
            </w:tr>
          </w:tbl>
          <w:p>
            <w:pPr>
              <w:pStyle w:val="96"/>
              <w:spacing w:before="49" w:line="360" w:lineRule="auto"/>
              <w:ind w:left="0" w:leftChars="0" w:firstLine="469" w:firstLineChars="200"/>
              <w:jc w:val="both"/>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pacing w:val="-3"/>
                <w:sz w:val="24"/>
                <w:szCs w:val="24"/>
                <w:lang w:val="en-US" w:eastAsia="zh-CN"/>
                <w14:textFill>
                  <w14:solidFill>
                    <w14:schemeClr w14:val="tx1"/>
                  </w14:solidFill>
                </w14:textFill>
              </w:rPr>
              <w:t>6、</w:t>
            </w:r>
            <w:r>
              <w:rPr>
                <w:rFonts w:hint="default" w:ascii="Times New Roman" w:hAnsi="Times New Roman" w:cs="Times New Roman"/>
                <w:b/>
                <w:bCs/>
                <w:color w:val="000000" w:themeColor="text1"/>
                <w:spacing w:val="-3"/>
                <w:sz w:val="24"/>
                <w:szCs w:val="24"/>
                <w14:textFill>
                  <w14:solidFill>
                    <w14:schemeClr w14:val="tx1"/>
                  </w14:solidFill>
                </w14:textFill>
              </w:rPr>
              <w:t>废气监测要求</w:t>
            </w:r>
          </w:p>
          <w:p>
            <w:pPr>
              <w:pStyle w:val="96"/>
              <w:keepNext w:val="0"/>
              <w:keepLines w:val="0"/>
              <w:pageBreakBefore w:val="0"/>
              <w:widowControl w:val="0"/>
              <w:kinsoku/>
              <w:wordWrap/>
              <w:overflowPunct/>
              <w:topLinePunct w:val="0"/>
              <w:autoSpaceDE/>
              <w:autoSpaceDN/>
              <w:bidi w:val="0"/>
              <w:adjustRightInd/>
              <w:snapToGrid/>
              <w:spacing w:line="360" w:lineRule="auto"/>
              <w:ind w:left="0" w:right="0" w:firstLine="480"/>
              <w:jc w:val="both"/>
              <w:textAlignment w:val="auto"/>
              <w:rPr>
                <w:color w:val="000000" w:themeColor="text1"/>
                <w14:textFill>
                  <w14:solidFill>
                    <w14:schemeClr w14:val="tx1"/>
                  </w14:solidFill>
                </w14:textFill>
              </w:rPr>
            </w:pPr>
            <w:r>
              <w:rPr>
                <w:rFonts w:hint="default" w:ascii="Times New Roman" w:hAnsi="Times New Roman" w:cs="Times New Roman"/>
                <w:color w:val="000000" w:themeColor="text1"/>
                <w:spacing w:val="-3"/>
                <w:sz w:val="24"/>
                <w:szCs w:val="24"/>
                <w14:textFill>
                  <w14:solidFill>
                    <w14:schemeClr w14:val="tx1"/>
                  </w14:solidFill>
                </w14:textFill>
              </w:rPr>
              <w:t>参考《排</w:t>
            </w:r>
            <w:r>
              <w:rPr>
                <w:color w:val="000000" w:themeColor="text1"/>
                <w:spacing w:val="-3"/>
                <w:sz w:val="24"/>
                <w:szCs w:val="24"/>
                <w14:textFill>
                  <w14:solidFill>
                    <w14:schemeClr w14:val="tx1"/>
                  </w14:solidFill>
                </w14:textFill>
              </w:rPr>
              <w:t>污单位自行监测技术指南 总则》（</w:t>
            </w:r>
            <w:r>
              <w:rPr>
                <w:rFonts w:ascii="Times New Roman" w:hAnsi="Times New Roman" w:eastAsia="Times New Roman" w:cs="Times New Roman"/>
                <w:color w:val="000000" w:themeColor="text1"/>
                <w:spacing w:val="-3"/>
                <w:sz w:val="24"/>
                <w:szCs w:val="24"/>
                <w14:textFill>
                  <w14:solidFill>
                    <w14:schemeClr w14:val="tx1"/>
                  </w14:solidFill>
                </w14:textFill>
              </w:rPr>
              <w:t>HJ819-2017</w:t>
            </w:r>
            <w:r>
              <w:rPr>
                <w:color w:val="000000" w:themeColor="text1"/>
                <w:spacing w:val="-3"/>
                <w:sz w:val="24"/>
                <w:szCs w:val="24"/>
                <w14:textFill>
                  <w14:solidFill>
                    <w14:schemeClr w14:val="tx1"/>
                  </w14:solidFill>
                </w14:textFill>
              </w:rPr>
              <w:t>）</w:t>
            </w:r>
            <w:r>
              <w:rPr>
                <w:color w:val="000000" w:themeColor="text1"/>
                <w:sz w:val="24"/>
                <w:szCs w:val="24"/>
                <w14:textFill>
                  <w14:solidFill>
                    <w14:schemeClr w14:val="tx1"/>
                  </w14:solidFill>
                </w14:textFill>
              </w:rPr>
              <w:t>、</w:t>
            </w:r>
            <w:r>
              <w:rPr>
                <w:rFonts w:hint="default" w:ascii="Times New Roman" w:hAnsi="Times New Roman" w:cs="Times New Roman"/>
                <w:color w:val="FF0000"/>
                <w:sz w:val="24"/>
                <w:szCs w:val="24"/>
                <w:lang w:eastAsia="zh-CN"/>
              </w:rPr>
              <w:t>《</w:t>
            </w:r>
            <w:r>
              <w:rPr>
                <w:rFonts w:hint="default" w:ascii="Times New Roman" w:hAnsi="Times New Roman" w:cs="Times New Roman"/>
                <w:color w:val="FF0000"/>
                <w:sz w:val="24"/>
                <w:szCs w:val="24"/>
              </w:rPr>
              <w:t>排污单位自行监测技术指南</w:t>
            </w:r>
            <w:r>
              <w:rPr>
                <w:rFonts w:hint="eastAsia" w:ascii="Times New Roman" w:hAnsi="Times New Roman" w:cs="Times New Roman"/>
                <w:color w:val="FF0000"/>
                <w:sz w:val="24"/>
                <w:szCs w:val="24"/>
                <w:lang w:val="en-US" w:eastAsia="zh-CN"/>
              </w:rPr>
              <w:t xml:space="preserve"> </w:t>
            </w:r>
            <w:r>
              <w:rPr>
                <w:rFonts w:hint="default" w:ascii="Times New Roman" w:hAnsi="Times New Roman" w:cs="Times New Roman"/>
                <w:color w:val="FF0000"/>
                <w:sz w:val="24"/>
                <w:szCs w:val="24"/>
              </w:rPr>
              <w:t>石油炼制工业</w:t>
            </w:r>
            <w:r>
              <w:rPr>
                <w:rFonts w:hint="default" w:ascii="Times New Roman" w:hAnsi="Times New Roman" w:cs="Times New Roman"/>
                <w:color w:val="FF0000"/>
                <w:sz w:val="24"/>
                <w:szCs w:val="24"/>
                <w:lang w:eastAsia="zh-CN"/>
              </w:rPr>
              <w:t>》</w:t>
            </w:r>
            <w:r>
              <w:rPr>
                <w:rFonts w:hint="default" w:ascii="Times New Roman" w:hAnsi="Times New Roman" w:cs="Times New Roman"/>
                <w:color w:val="FF0000"/>
                <w:spacing w:val="-2"/>
                <w:sz w:val="24"/>
                <w:szCs w:val="24"/>
              </w:rPr>
              <w:t>（HJ 880-2017）</w:t>
            </w:r>
            <w:r>
              <w:rPr>
                <w:color w:val="000000" w:themeColor="text1"/>
                <w:spacing w:val="-3"/>
                <w:sz w:val="24"/>
                <w:szCs w:val="24"/>
                <w14:textFill>
                  <w14:solidFill>
                    <w14:schemeClr w14:val="tx1"/>
                  </w14:solidFill>
                </w14:textFill>
              </w:rPr>
              <w:t>中规定，结合项目实际情况，监</w:t>
            </w:r>
            <w:r>
              <w:rPr>
                <w:color w:val="000000" w:themeColor="text1"/>
                <w:spacing w:val="-2"/>
                <w:sz w:val="24"/>
                <w:szCs w:val="24"/>
                <w14:textFill>
                  <w14:solidFill>
                    <w14:schemeClr w14:val="tx1"/>
                  </w14:solidFill>
                </w14:textFill>
              </w:rPr>
              <w:t>测计划见下表。</w:t>
            </w:r>
            <w:r>
              <w:commentReference w:id="79"/>
            </w:r>
          </w:p>
          <w:p>
            <w:pPr>
              <w:pStyle w:val="96"/>
              <w:spacing w:before="76" w:line="213" w:lineRule="auto"/>
              <w:ind w:left="2691"/>
              <w:jc w:val="both"/>
              <w:rPr>
                <w:color w:val="000000" w:themeColor="text1"/>
                <w:sz w:val="22"/>
                <w:szCs w:val="22"/>
                <w14:textFill>
                  <w14:solidFill>
                    <w14:schemeClr w14:val="tx1"/>
                  </w14:solidFill>
                </w14:textFill>
              </w:rPr>
            </w:pPr>
            <w:r>
              <w:rPr>
                <w:b/>
                <w:bCs/>
                <w:color w:val="000000" w:themeColor="text1"/>
                <w:spacing w:val="-2"/>
                <w:sz w:val="22"/>
                <w:szCs w:val="22"/>
                <w14:textFill>
                  <w14:solidFill>
                    <w14:schemeClr w14:val="tx1"/>
                  </w14:solidFill>
                </w14:textFill>
              </w:rPr>
              <w:t>表</w:t>
            </w:r>
            <w:r>
              <w:rPr>
                <w:color w:val="000000" w:themeColor="text1"/>
                <w:spacing w:val="-45"/>
                <w:sz w:val="22"/>
                <w:szCs w:val="22"/>
                <w14:textFill>
                  <w14:solidFill>
                    <w14:schemeClr w14:val="tx1"/>
                  </w14:solidFill>
                </w14:textFill>
              </w:rPr>
              <w:t xml:space="preserve"> </w:t>
            </w:r>
            <w:r>
              <w:rPr>
                <w:rFonts w:ascii="Times New Roman" w:hAnsi="Times New Roman" w:eastAsia="Times New Roman" w:cs="Times New Roman"/>
                <w:b/>
                <w:bCs/>
                <w:color w:val="000000" w:themeColor="text1"/>
                <w:spacing w:val="-2"/>
                <w:sz w:val="22"/>
                <w:szCs w:val="22"/>
                <w14:textFill>
                  <w14:solidFill>
                    <w14:schemeClr w14:val="tx1"/>
                  </w14:solidFill>
                </w14:textFill>
              </w:rPr>
              <w:t>4-</w:t>
            </w:r>
            <w:r>
              <w:rPr>
                <w:rFonts w:hint="eastAsia" w:ascii="Times New Roman" w:hAnsi="Times New Roman" w:eastAsia="宋体" w:cs="Times New Roman"/>
                <w:b/>
                <w:bCs/>
                <w:color w:val="000000" w:themeColor="text1"/>
                <w:spacing w:val="-2"/>
                <w:sz w:val="22"/>
                <w:szCs w:val="22"/>
                <w:lang w:val="en-US" w:eastAsia="zh-CN"/>
                <w14:textFill>
                  <w14:solidFill>
                    <w14:schemeClr w14:val="tx1"/>
                  </w14:solidFill>
                </w14:textFill>
              </w:rPr>
              <w:t>7</w:t>
            </w:r>
            <w:r>
              <w:rPr>
                <w:rFonts w:ascii="Times New Roman" w:hAnsi="Times New Roman" w:eastAsia="Times New Roman" w:cs="Times New Roman"/>
                <w:b/>
                <w:bCs/>
                <w:color w:val="000000" w:themeColor="text1"/>
                <w:spacing w:val="-2"/>
                <w:sz w:val="22"/>
                <w:szCs w:val="22"/>
                <w14:textFill>
                  <w14:solidFill>
                    <w14:schemeClr w14:val="tx1"/>
                  </w14:solidFill>
                </w14:textFill>
              </w:rPr>
              <w:t xml:space="preserve"> </w:t>
            </w:r>
            <w:r>
              <w:rPr>
                <w:b/>
                <w:bCs/>
                <w:color w:val="000000" w:themeColor="text1"/>
                <w:spacing w:val="-2"/>
                <w:sz w:val="22"/>
                <w:szCs w:val="22"/>
                <w14:textFill>
                  <w14:solidFill>
                    <w14:schemeClr w14:val="tx1"/>
                  </w14:solidFill>
                </w14:textFill>
              </w:rPr>
              <w:t>废气污染源监测计划</w:t>
            </w:r>
          </w:p>
          <w:tbl>
            <w:tblPr>
              <w:tblStyle w:val="99"/>
              <w:tblW w:w="793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46"/>
              <w:gridCol w:w="972"/>
              <w:gridCol w:w="938"/>
              <w:gridCol w:w="2861"/>
              <w:gridCol w:w="1330"/>
              <w:gridCol w:w="128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5" w:hRule="atLeast"/>
                <w:jc w:val="center"/>
              </w:trPr>
              <w:tc>
                <w:tcPr>
                  <w:tcW w:w="546"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序号</w:t>
                  </w:r>
                </w:p>
              </w:tc>
              <w:tc>
                <w:tcPr>
                  <w:tcW w:w="4771" w:type="dxa"/>
                  <w:gridSpan w:val="3"/>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color w:val="000000" w:themeColor="text1"/>
                      <w:spacing w:val="7"/>
                      <w:sz w:val="21"/>
                      <w:szCs w:val="21"/>
                      <w14:textFill>
                        <w14:solidFill>
                          <w14:schemeClr w14:val="tx1"/>
                        </w14:solidFill>
                      </w14:textFill>
                    </w:rPr>
                    <w:t>监测点位</w:t>
                  </w:r>
                </w:p>
              </w:tc>
              <w:tc>
                <w:tcPr>
                  <w:tcW w:w="1330"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color w:val="000000" w:themeColor="text1"/>
                      <w:spacing w:val="7"/>
                      <w:sz w:val="21"/>
                      <w:szCs w:val="21"/>
                      <w14:textFill>
                        <w14:solidFill>
                          <w14:schemeClr w14:val="tx1"/>
                        </w14:solidFill>
                      </w14:textFill>
                    </w:rPr>
                    <w:t>监测项目</w:t>
                  </w:r>
                </w:p>
              </w:tc>
              <w:tc>
                <w:tcPr>
                  <w:tcW w:w="1284"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color w:val="000000" w:themeColor="text1"/>
                      <w:spacing w:val="7"/>
                      <w:sz w:val="21"/>
                      <w:szCs w:val="21"/>
                      <w14:textFill>
                        <w14:solidFill>
                          <w14:schemeClr w14:val="tx1"/>
                        </w14:solidFill>
                      </w14:textFill>
                    </w:rPr>
                    <w:t>监测频次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jc w:val="center"/>
              </w:trPr>
              <w:tc>
                <w:tcPr>
                  <w:tcW w:w="5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position w:val="1"/>
                      <w:sz w:val="21"/>
                      <w:szCs w:val="21"/>
                      <w14:textFill>
                        <w14:solidFill>
                          <w14:schemeClr w14:val="tx1"/>
                        </w14:solidFill>
                      </w14:textFill>
                    </w:rPr>
                    <w:t>1</w:t>
                  </w:r>
                </w:p>
              </w:tc>
              <w:tc>
                <w:tcPr>
                  <w:tcW w:w="972"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color w:val="000000" w:themeColor="text1"/>
                      <w:spacing w:val="6"/>
                      <w:sz w:val="21"/>
                      <w:szCs w:val="21"/>
                      <w14:textFill>
                        <w14:solidFill>
                          <w14:schemeClr w14:val="tx1"/>
                        </w14:solidFill>
                      </w14:textFill>
                    </w:rPr>
                    <w:t>有组织</w:t>
                  </w:r>
                </w:p>
              </w:tc>
              <w:tc>
                <w:tcPr>
                  <w:tcW w:w="3799" w:type="dxa"/>
                  <w:gridSpan w:val="2"/>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rFonts w:hint="eastAsia"/>
                      <w:color w:val="FF0000"/>
                      <w:sz w:val="21"/>
                      <w:szCs w:val="21"/>
                    </w:rPr>
                    <w:t>有机废气回收处理装置进口及其排放口</w:t>
                  </w:r>
                </w:p>
              </w:tc>
              <w:tc>
                <w:tcPr>
                  <w:tcW w:w="1330"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color w:val="000000" w:themeColor="text1"/>
                      <w:spacing w:val="7"/>
                      <w:sz w:val="21"/>
                      <w:szCs w:val="21"/>
                      <w14:textFill>
                        <w14:solidFill>
                          <w14:schemeClr w14:val="tx1"/>
                        </w14:solidFill>
                      </w14:textFill>
                    </w:rPr>
                    <w:t>非甲烷总烃</w:t>
                  </w:r>
                </w:p>
              </w:tc>
              <w:tc>
                <w:tcPr>
                  <w:tcW w:w="1284"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rFonts w:ascii="Arial" w:hAnsi="Arial" w:eastAsia="Arial" w:cs="Arial"/>
                      <w:color w:val="000000" w:themeColor="text1"/>
                      <w:spacing w:val="-2"/>
                      <w:position w:val="1"/>
                      <w:sz w:val="21"/>
                      <w:szCs w:val="21"/>
                      <w14:textFill>
                        <w14:solidFill>
                          <w14:schemeClr w14:val="tx1"/>
                        </w14:solidFill>
                      </w14:textFill>
                    </w:rPr>
                    <w:t>1</w:t>
                  </w:r>
                  <w:r>
                    <w:rPr>
                      <w:color w:val="000000" w:themeColor="text1"/>
                      <w:spacing w:val="-2"/>
                      <w:position w:val="1"/>
                      <w:sz w:val="21"/>
                      <w:szCs w:val="21"/>
                      <w14:textFill>
                        <w14:solidFill>
                          <w14:schemeClr w14:val="tx1"/>
                        </w14:solidFill>
                      </w14:textFill>
                    </w:rPr>
                    <w:t>次</w:t>
                  </w:r>
                  <w:r>
                    <w:rPr>
                      <w:rFonts w:ascii="Arial" w:hAnsi="Arial" w:eastAsia="Arial" w:cs="Arial"/>
                      <w:color w:val="000000" w:themeColor="text1"/>
                      <w:spacing w:val="-2"/>
                      <w:position w:val="1"/>
                      <w:sz w:val="21"/>
                      <w:szCs w:val="21"/>
                      <w14:textFill>
                        <w14:solidFill>
                          <w14:schemeClr w14:val="tx1"/>
                        </w14:solidFill>
                      </w14:textFill>
                    </w:rPr>
                    <w:t>/</w:t>
                  </w:r>
                  <w:r>
                    <w:rPr>
                      <w:color w:val="000000" w:themeColor="text1"/>
                      <w:spacing w:val="-2"/>
                      <w:position w:val="1"/>
                      <w:sz w:val="21"/>
                      <w:szCs w:val="21"/>
                      <w14:textFill>
                        <w14:solidFill>
                          <w14:schemeClr w14:val="tx1"/>
                        </w14:solidFill>
                      </w14:textFill>
                    </w:rPr>
                    <w:t>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jc w:val="center"/>
              </w:trPr>
              <w:tc>
                <w:tcPr>
                  <w:tcW w:w="5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position w:val="1"/>
                      <w:sz w:val="21"/>
                      <w:szCs w:val="21"/>
                      <w14:textFill>
                        <w14:solidFill>
                          <w14:schemeClr w14:val="tx1"/>
                        </w14:solidFill>
                      </w14:textFill>
                    </w:rPr>
                    <w:t>2</w:t>
                  </w:r>
                </w:p>
              </w:tc>
              <w:tc>
                <w:tcPr>
                  <w:tcW w:w="972" w:type="dxa"/>
                  <w:vMerge w:val="restart"/>
                  <w:tcBorders>
                    <w:bottom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color w:val="000000" w:themeColor="text1"/>
                      <w:spacing w:val="6"/>
                      <w:sz w:val="21"/>
                      <w:szCs w:val="21"/>
                      <w14:textFill>
                        <w14:solidFill>
                          <w14:schemeClr w14:val="tx1"/>
                        </w14:solidFill>
                      </w14:textFill>
                    </w:rPr>
                    <w:t>无组织</w:t>
                  </w:r>
                </w:p>
              </w:tc>
              <w:tc>
                <w:tcPr>
                  <w:tcW w:w="3799" w:type="dxa"/>
                  <w:gridSpan w:val="2"/>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color w:val="000000" w:themeColor="text1"/>
                      <w:spacing w:val="6"/>
                      <w:sz w:val="21"/>
                      <w:szCs w:val="21"/>
                      <w14:textFill>
                        <w14:solidFill>
                          <w14:schemeClr w14:val="tx1"/>
                        </w14:solidFill>
                      </w14:textFill>
                    </w:rPr>
                    <w:t>企业边界</w:t>
                  </w:r>
                </w:p>
              </w:tc>
              <w:tc>
                <w:tcPr>
                  <w:tcW w:w="1330"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color w:val="000000" w:themeColor="text1"/>
                      <w:spacing w:val="7"/>
                      <w:sz w:val="21"/>
                      <w:szCs w:val="21"/>
                      <w14:textFill>
                        <w14:solidFill>
                          <w14:schemeClr w14:val="tx1"/>
                        </w14:solidFill>
                      </w14:textFill>
                    </w:rPr>
                    <w:t>非甲烷总烃</w:t>
                  </w:r>
                </w:p>
              </w:tc>
              <w:tc>
                <w:tcPr>
                  <w:tcW w:w="1284"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rFonts w:ascii="Arial" w:hAnsi="Arial" w:eastAsia="Arial" w:cs="Arial"/>
                      <w:color w:val="000000" w:themeColor="text1"/>
                      <w:spacing w:val="-1"/>
                      <w:position w:val="1"/>
                      <w:sz w:val="21"/>
                      <w:szCs w:val="21"/>
                      <w14:textFill>
                        <w14:solidFill>
                          <w14:schemeClr w14:val="tx1"/>
                        </w14:solidFill>
                      </w14:textFill>
                    </w:rPr>
                    <w:t>1</w:t>
                  </w:r>
                  <w:r>
                    <w:rPr>
                      <w:color w:val="000000" w:themeColor="text1"/>
                      <w:spacing w:val="-1"/>
                      <w:position w:val="1"/>
                      <w:sz w:val="21"/>
                      <w:szCs w:val="21"/>
                      <w14:textFill>
                        <w14:solidFill>
                          <w14:schemeClr w14:val="tx1"/>
                        </w14:solidFill>
                      </w14:textFill>
                    </w:rPr>
                    <w:t>次</w:t>
                  </w:r>
                  <w:r>
                    <w:rPr>
                      <w:rFonts w:ascii="Arial" w:hAnsi="Arial" w:eastAsia="Arial" w:cs="Arial"/>
                      <w:color w:val="000000" w:themeColor="text1"/>
                      <w:spacing w:val="-1"/>
                      <w:position w:val="1"/>
                      <w:sz w:val="21"/>
                      <w:szCs w:val="21"/>
                      <w14:textFill>
                        <w14:solidFill>
                          <w14:schemeClr w14:val="tx1"/>
                        </w14:solidFill>
                      </w14:textFill>
                    </w:rPr>
                    <w:t>/</w:t>
                  </w:r>
                  <w:r>
                    <w:rPr>
                      <w:color w:val="000000" w:themeColor="text1"/>
                      <w:spacing w:val="-1"/>
                      <w:position w:val="1"/>
                      <w:sz w:val="21"/>
                      <w:szCs w:val="21"/>
                      <w14:textFill>
                        <w14:solidFill>
                          <w14:schemeClr w14:val="tx1"/>
                        </w14:solidFill>
                      </w14:textFill>
                    </w:rPr>
                    <w:t>季度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546"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000000" w:themeColor="text1"/>
                      <w:position w:val="1"/>
                      <w:sz w:val="21"/>
                      <w:szCs w:val="21"/>
                      <w:lang w:val="en-US" w:eastAsia="zh-CN"/>
                      <w14:textFill>
                        <w14:solidFill>
                          <w14:schemeClr w14:val="tx1"/>
                        </w14:solidFill>
                      </w14:textFill>
                    </w:rPr>
                  </w:pPr>
                  <w:r>
                    <w:rPr>
                      <w:rFonts w:hint="eastAsia" w:eastAsia="宋体" w:cs="Times New Roman"/>
                      <w:color w:val="000000" w:themeColor="text1"/>
                      <w:position w:val="1"/>
                      <w:sz w:val="21"/>
                      <w:szCs w:val="21"/>
                      <w:lang w:val="en-US" w:eastAsia="zh-CN"/>
                      <w14:textFill>
                        <w14:solidFill>
                          <w14:schemeClr w14:val="tx1"/>
                        </w14:solidFill>
                      </w14:textFill>
                    </w:rPr>
                    <w:t>3</w:t>
                  </w:r>
                </w:p>
              </w:tc>
              <w:tc>
                <w:tcPr>
                  <w:tcW w:w="972" w:type="dxa"/>
                  <w:vMerge w:val="continue"/>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pacing w:val="6"/>
                      <w:sz w:val="21"/>
                      <w:szCs w:val="21"/>
                      <w14:textFill>
                        <w14:solidFill>
                          <w14:schemeClr w14:val="tx1"/>
                        </w14:solidFill>
                      </w14:textFill>
                    </w:rPr>
                  </w:pPr>
                </w:p>
              </w:tc>
              <w:tc>
                <w:tcPr>
                  <w:tcW w:w="938" w:type="dxa"/>
                  <w:vMerge w:val="restart"/>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eastAsia="宋体"/>
                      <w:color w:val="000000" w:themeColor="text1"/>
                      <w:spacing w:val="6"/>
                      <w:sz w:val="21"/>
                      <w:szCs w:val="21"/>
                      <w:lang w:val="en-US" w:eastAsia="zh-CN"/>
                      <w14:textFill>
                        <w14:solidFill>
                          <w14:schemeClr w14:val="tx1"/>
                        </w14:solidFill>
                      </w14:textFill>
                    </w:rPr>
                  </w:pPr>
                  <w:r>
                    <w:rPr>
                      <w:rFonts w:hint="eastAsia"/>
                      <w:color w:val="000000" w:themeColor="text1"/>
                      <w:spacing w:val="6"/>
                      <w:sz w:val="21"/>
                      <w:szCs w:val="21"/>
                      <w:lang w:val="en-US" w:eastAsia="zh-CN"/>
                      <w14:textFill>
                        <w14:solidFill>
                          <w14:schemeClr w14:val="tx1"/>
                        </w14:solidFill>
                      </w14:textFill>
                    </w:rPr>
                    <w:t>厂区内</w:t>
                  </w:r>
                </w:p>
              </w:tc>
              <w:tc>
                <w:tcPr>
                  <w:tcW w:w="2861"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color w:val="000000" w:themeColor="text1"/>
                      <w:spacing w:val="6"/>
                      <w:sz w:val="21"/>
                      <w:szCs w:val="21"/>
                      <w:lang w:val="en-US" w:eastAsia="zh-CN"/>
                      <w14:textFill>
                        <w14:solidFill>
                          <w14:schemeClr w14:val="tx1"/>
                        </w14:solidFill>
                      </w14:textFill>
                    </w:rPr>
                  </w:pPr>
                  <w:r>
                    <w:rPr>
                      <w:rFonts w:hint="default" w:ascii="Times New Roman" w:hAnsi="Times New Roman" w:cs="Times New Roman"/>
                      <w:color w:val="000000" w:themeColor="text1"/>
                      <w:spacing w:val="8"/>
                      <w:sz w:val="21"/>
                      <w:szCs w:val="21"/>
                      <w14:textFill>
                        <w14:solidFill>
                          <w14:schemeClr w14:val="tx1"/>
                        </w14:solidFill>
                      </w14:textFill>
                    </w:rPr>
                    <w:t>监控点处</w:t>
                  </w:r>
                  <w:r>
                    <w:rPr>
                      <w:rFonts w:hint="default" w:ascii="Times New Roman" w:hAnsi="Times New Roman" w:eastAsia="Times New Roman" w:cs="Times New Roman"/>
                      <w:color w:val="000000" w:themeColor="text1"/>
                      <w:spacing w:val="4"/>
                      <w:sz w:val="21"/>
                      <w:szCs w:val="21"/>
                      <w14:textFill>
                        <w14:solidFill>
                          <w14:schemeClr w14:val="tx1"/>
                        </w14:solidFill>
                      </w14:textFill>
                    </w:rPr>
                    <w:t>1h</w:t>
                  </w:r>
                  <w:r>
                    <w:rPr>
                      <w:rFonts w:hint="default" w:ascii="Times New Roman" w:hAnsi="Times New Roman" w:cs="Times New Roman"/>
                      <w:color w:val="000000" w:themeColor="text1"/>
                      <w:spacing w:val="4"/>
                      <w:sz w:val="21"/>
                      <w:szCs w:val="21"/>
                      <w14:textFill>
                        <w14:solidFill>
                          <w14:schemeClr w14:val="tx1"/>
                        </w14:solidFill>
                      </w14:textFill>
                    </w:rPr>
                    <w:t>平均浓度值</w:t>
                  </w:r>
                </w:p>
              </w:tc>
              <w:tc>
                <w:tcPr>
                  <w:tcW w:w="1330"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color w:val="000000" w:themeColor="text1"/>
                      <w:spacing w:val="7"/>
                      <w:sz w:val="21"/>
                      <w:szCs w:val="21"/>
                      <w14:textFill>
                        <w14:solidFill>
                          <w14:schemeClr w14:val="tx1"/>
                        </w14:solidFill>
                      </w14:textFill>
                    </w:rPr>
                  </w:pPr>
                  <w:r>
                    <w:rPr>
                      <w:color w:val="000000" w:themeColor="text1"/>
                      <w:spacing w:val="7"/>
                      <w:sz w:val="21"/>
                      <w:szCs w:val="21"/>
                      <w14:textFill>
                        <w14:solidFill>
                          <w14:schemeClr w14:val="tx1"/>
                        </w14:solidFill>
                      </w14:textFill>
                    </w:rPr>
                    <w:t>非甲烷总烃</w:t>
                  </w:r>
                </w:p>
              </w:tc>
              <w:tc>
                <w:tcPr>
                  <w:tcW w:w="128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ascii="Arial" w:hAnsi="Arial" w:eastAsia="Arial" w:cs="Arial"/>
                      <w:color w:val="000000" w:themeColor="text1"/>
                      <w:spacing w:val="-1"/>
                      <w:position w:val="1"/>
                      <w:sz w:val="21"/>
                      <w:szCs w:val="21"/>
                      <w14:textFill>
                        <w14:solidFill>
                          <w14:schemeClr w14:val="tx1"/>
                        </w14:solidFill>
                      </w14:textFill>
                    </w:rPr>
                  </w:pPr>
                  <w:r>
                    <w:rPr>
                      <w:rFonts w:ascii="Arial" w:hAnsi="Arial" w:eastAsia="Arial" w:cs="Arial"/>
                      <w:color w:val="000000" w:themeColor="text1"/>
                      <w:spacing w:val="-3"/>
                      <w:sz w:val="21"/>
                      <w:szCs w:val="21"/>
                      <w14:textFill>
                        <w14:solidFill>
                          <w14:schemeClr w14:val="tx1"/>
                        </w14:solidFill>
                      </w14:textFill>
                    </w:rPr>
                    <w:t>1</w:t>
                  </w:r>
                  <w:r>
                    <w:rPr>
                      <w:color w:val="000000" w:themeColor="text1"/>
                      <w:spacing w:val="-3"/>
                      <w:sz w:val="21"/>
                      <w:szCs w:val="21"/>
                      <w14:textFill>
                        <w14:solidFill>
                          <w14:schemeClr w14:val="tx1"/>
                        </w14:solidFill>
                      </w14:textFill>
                    </w:rPr>
                    <w:t>次</w:t>
                  </w:r>
                  <w:r>
                    <w:rPr>
                      <w:rFonts w:ascii="Arial" w:hAnsi="Arial" w:eastAsia="Arial" w:cs="Arial"/>
                      <w:color w:val="000000" w:themeColor="text1"/>
                      <w:spacing w:val="-3"/>
                      <w:sz w:val="21"/>
                      <w:szCs w:val="21"/>
                      <w14:textFill>
                        <w14:solidFill>
                          <w14:schemeClr w14:val="tx1"/>
                        </w14:solidFill>
                      </w14:textFill>
                    </w:rPr>
                    <w:t>/</w:t>
                  </w:r>
                  <w:r>
                    <w:rPr>
                      <w:color w:val="000000" w:themeColor="text1"/>
                      <w:spacing w:val="-3"/>
                      <w:sz w:val="21"/>
                      <w:szCs w:val="21"/>
                      <w14:textFill>
                        <w14:solidFill>
                          <w14:schemeClr w14:val="tx1"/>
                        </w14:solidFill>
                      </w14:textFill>
                    </w:rPr>
                    <w:t>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3" w:hRule="atLeast"/>
                <w:jc w:val="center"/>
              </w:trPr>
              <w:tc>
                <w:tcPr>
                  <w:tcW w:w="546" w:type="dxa"/>
                  <w:vMerge w:val="continue"/>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p>
              </w:tc>
              <w:tc>
                <w:tcPr>
                  <w:tcW w:w="972" w:type="dxa"/>
                  <w:vMerge w:val="continue"/>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p>
              </w:tc>
              <w:tc>
                <w:tcPr>
                  <w:tcW w:w="938" w:type="dxa"/>
                  <w:vMerge w:val="continue"/>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color w:val="000000" w:themeColor="text1"/>
                      <w:spacing w:val="6"/>
                      <w:sz w:val="21"/>
                      <w:szCs w:val="21"/>
                      <w:lang w:val="en-US" w:eastAsia="zh-CN"/>
                      <w14:textFill>
                        <w14:solidFill>
                          <w14:schemeClr w14:val="tx1"/>
                        </w14:solidFill>
                      </w14:textFill>
                    </w:rPr>
                  </w:pPr>
                </w:p>
              </w:tc>
              <w:tc>
                <w:tcPr>
                  <w:tcW w:w="2861"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color w:val="000000" w:themeColor="text1"/>
                      <w:spacing w:val="6"/>
                      <w:sz w:val="21"/>
                      <w:szCs w:val="21"/>
                      <w:lang w:val="en-US" w:eastAsia="zh-CN"/>
                      <w14:textFill>
                        <w14:solidFill>
                          <w14:schemeClr w14:val="tx1"/>
                        </w14:solidFill>
                      </w14:textFill>
                    </w:rPr>
                  </w:pPr>
                  <w:r>
                    <w:rPr>
                      <w:rFonts w:hint="default" w:ascii="Times New Roman" w:hAnsi="Times New Roman" w:cs="Times New Roman"/>
                      <w:color w:val="000000" w:themeColor="text1"/>
                      <w:spacing w:val="8"/>
                      <w:sz w:val="21"/>
                      <w:szCs w:val="21"/>
                      <w14:textFill>
                        <w14:solidFill>
                          <w14:schemeClr w14:val="tx1"/>
                        </w14:solidFill>
                      </w14:textFill>
                    </w:rPr>
                    <w:t>监测点处</w:t>
                  </w:r>
                  <w:r>
                    <w:rPr>
                      <w:rFonts w:hint="default" w:ascii="Times New Roman" w:hAnsi="Times New Roman" w:cs="Times New Roman"/>
                      <w:color w:val="000000" w:themeColor="text1"/>
                      <w:spacing w:val="7"/>
                      <w:sz w:val="21"/>
                      <w:szCs w:val="21"/>
                      <w14:textFill>
                        <w14:solidFill>
                          <w14:schemeClr w14:val="tx1"/>
                        </w14:solidFill>
                      </w14:textFill>
                    </w:rPr>
                    <w:t>任意一次浓度限值</w:t>
                  </w:r>
                </w:p>
              </w:tc>
              <w:tc>
                <w:tcPr>
                  <w:tcW w:w="1330" w:type="dxa"/>
                  <w:vMerge w:val="continue"/>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color w:val="000000" w:themeColor="text1"/>
                      <w:spacing w:val="6"/>
                      <w:sz w:val="21"/>
                      <w:szCs w:val="21"/>
                      <w:lang w:val="en-US" w:eastAsia="zh-CN"/>
                      <w14:textFill>
                        <w14:solidFill>
                          <w14:schemeClr w14:val="tx1"/>
                        </w14:solidFill>
                      </w14:textFill>
                    </w:rPr>
                  </w:pPr>
                </w:p>
              </w:tc>
              <w:tc>
                <w:tcPr>
                  <w:tcW w:w="1284" w:type="dxa"/>
                  <w:vMerge w:val="continue"/>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color w:val="000000" w:themeColor="text1"/>
                      <w:spacing w:val="6"/>
                      <w:sz w:val="21"/>
                      <w:szCs w:val="21"/>
                      <w:lang w:val="en-US" w:eastAsia="zh-CN"/>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jc w:val="center"/>
              </w:trPr>
              <w:tc>
                <w:tcPr>
                  <w:tcW w:w="5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5</w:t>
                  </w:r>
                </w:p>
              </w:tc>
              <w:tc>
                <w:tcPr>
                  <w:tcW w:w="972"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000000" w:themeColor="text1"/>
                      <w:sz w:val="21"/>
                      <w:szCs w:val="21"/>
                      <w14:textFill>
                        <w14:solidFill>
                          <w14:schemeClr w14:val="tx1"/>
                        </w14:solidFill>
                      </w14:textFill>
                    </w:rPr>
                  </w:pPr>
                </w:p>
              </w:tc>
              <w:tc>
                <w:tcPr>
                  <w:tcW w:w="3799" w:type="dxa"/>
                  <w:gridSpan w:val="2"/>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000000" w:themeColor="text1"/>
                      <w:sz w:val="21"/>
                      <w:szCs w:val="21"/>
                      <w14:textFill>
                        <w14:solidFill>
                          <w14:schemeClr w14:val="tx1"/>
                        </w14:solidFill>
                      </w14:textFill>
                    </w:rPr>
                  </w:pPr>
                  <w:r>
                    <w:rPr>
                      <w:rFonts w:hint="eastAsia" w:ascii="Times New Roman" w:hAnsi="Times New Roman" w:eastAsia="Times New Roman" w:cs="Times New Roman"/>
                      <w:color w:val="000000" w:themeColor="text1"/>
                      <w:sz w:val="21"/>
                      <w:szCs w:val="21"/>
                      <w14:textFill>
                        <w14:solidFill>
                          <w14:schemeClr w14:val="tx1"/>
                        </w14:solidFill>
                      </w14:textFill>
                    </w:rPr>
                    <w:t>泵、压缩机、阀门、开口阀或开口管线、气体/蒸气泄压设备、取样连接系统</w:t>
                  </w:r>
                </w:p>
              </w:tc>
              <w:tc>
                <w:tcPr>
                  <w:tcW w:w="1330"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挥发性有机物</w:t>
                  </w:r>
                </w:p>
              </w:tc>
              <w:tc>
                <w:tcPr>
                  <w:tcW w:w="1284"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commentRangeStart w:id="80"/>
                  <w:r>
                    <w:rPr>
                      <w:rFonts w:ascii="Arial" w:hAnsi="Arial" w:eastAsia="Arial" w:cs="Arial"/>
                      <w:color w:val="000000" w:themeColor="text1"/>
                      <w:position w:val="1"/>
                      <w:sz w:val="21"/>
                      <w:szCs w:val="21"/>
                      <w14:textFill>
                        <w14:solidFill>
                          <w14:schemeClr w14:val="tx1"/>
                        </w14:solidFill>
                      </w14:textFill>
                    </w:rPr>
                    <w:t>1</w:t>
                  </w:r>
                  <w:r>
                    <w:rPr>
                      <w:color w:val="000000" w:themeColor="text1"/>
                      <w:position w:val="1"/>
                      <w:sz w:val="21"/>
                      <w:szCs w:val="21"/>
                      <w14:textFill>
                        <w14:solidFill>
                          <w14:schemeClr w14:val="tx1"/>
                        </w14:solidFill>
                      </w14:textFill>
                    </w:rPr>
                    <w:t>次</w:t>
                  </w:r>
                  <w:r>
                    <w:rPr>
                      <w:rFonts w:ascii="Arial" w:hAnsi="Arial" w:eastAsia="Arial" w:cs="Arial"/>
                      <w:color w:val="000000" w:themeColor="text1"/>
                      <w:position w:val="1"/>
                      <w:sz w:val="21"/>
                      <w:szCs w:val="21"/>
                      <w14:textFill>
                        <w14:solidFill>
                          <w14:schemeClr w14:val="tx1"/>
                        </w14:solidFill>
                      </w14:textFill>
                    </w:rPr>
                    <w:t>/</w:t>
                  </w:r>
                  <w:commentRangeEnd w:id="80"/>
                  <w:r>
                    <w:rPr>
                      <w:color w:val="FF0000"/>
                    </w:rPr>
                    <w:commentReference w:id="80"/>
                  </w:r>
                  <w:r>
                    <w:rPr>
                      <w:rFonts w:hint="eastAsia" w:eastAsia="宋体"/>
                      <w:color w:val="FF0000"/>
                      <w:position w:val="1"/>
                      <w:sz w:val="21"/>
                      <w:szCs w:val="21"/>
                      <w:lang w:val="en-US" w:eastAsia="zh-CN"/>
                    </w:rPr>
                    <w:t>季度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jc w:val="center"/>
              </w:trPr>
              <w:tc>
                <w:tcPr>
                  <w:tcW w:w="5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6</w:t>
                  </w:r>
                </w:p>
              </w:tc>
              <w:tc>
                <w:tcPr>
                  <w:tcW w:w="972"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Arial"/>
                      <w:color w:val="000000" w:themeColor="text1"/>
                      <w:sz w:val="21"/>
                      <w:szCs w:val="21"/>
                      <w14:textFill>
                        <w14:solidFill>
                          <w14:schemeClr w14:val="tx1"/>
                        </w14:solidFill>
                      </w14:textFill>
                    </w:rPr>
                  </w:pPr>
                </w:p>
              </w:tc>
              <w:tc>
                <w:tcPr>
                  <w:tcW w:w="3799" w:type="dxa"/>
                  <w:gridSpan w:val="2"/>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8"/>
                      <w:position w:val="1"/>
                      <w:sz w:val="21"/>
                      <w:szCs w:val="21"/>
                      <w14:textFill>
                        <w14:solidFill>
                          <w14:schemeClr w14:val="tx1"/>
                        </w14:solidFill>
                      </w14:textFill>
                    </w:rPr>
                    <w:t>法兰及其他连接件、其他密封设备</w:t>
                  </w:r>
                </w:p>
              </w:tc>
              <w:tc>
                <w:tcPr>
                  <w:tcW w:w="1330"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挥发性有机物</w:t>
                  </w:r>
                </w:p>
              </w:tc>
              <w:tc>
                <w:tcPr>
                  <w:tcW w:w="1284" w:type="dxa"/>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color w:val="000000" w:themeColor="text1"/>
                      <w:sz w:val="21"/>
                      <w:szCs w:val="21"/>
                      <w14:textFill>
                        <w14:solidFill>
                          <w14:schemeClr w14:val="tx1"/>
                        </w14:solidFill>
                      </w14:textFill>
                    </w:rPr>
                  </w:pPr>
                  <w:commentRangeStart w:id="81"/>
                  <w:r>
                    <w:rPr>
                      <w:rFonts w:ascii="Arial" w:hAnsi="Arial" w:eastAsia="Arial" w:cs="Arial"/>
                      <w:color w:val="000000" w:themeColor="text1"/>
                      <w:spacing w:val="-3"/>
                      <w:sz w:val="21"/>
                      <w:szCs w:val="21"/>
                      <w14:textFill>
                        <w14:solidFill>
                          <w14:schemeClr w14:val="tx1"/>
                        </w14:solidFill>
                      </w14:textFill>
                    </w:rPr>
                    <w:t>1</w:t>
                  </w:r>
                  <w:r>
                    <w:rPr>
                      <w:color w:val="000000" w:themeColor="text1"/>
                      <w:spacing w:val="-3"/>
                      <w:sz w:val="21"/>
                      <w:szCs w:val="21"/>
                      <w14:textFill>
                        <w14:solidFill>
                          <w14:schemeClr w14:val="tx1"/>
                        </w14:solidFill>
                      </w14:textFill>
                    </w:rPr>
                    <w:t>次</w:t>
                  </w:r>
                  <w:r>
                    <w:rPr>
                      <w:rFonts w:ascii="Arial" w:hAnsi="Arial" w:eastAsia="Arial" w:cs="Arial"/>
                      <w:color w:val="000000" w:themeColor="text1"/>
                      <w:spacing w:val="-3"/>
                      <w:sz w:val="21"/>
                      <w:szCs w:val="21"/>
                      <w14:textFill>
                        <w14:solidFill>
                          <w14:schemeClr w14:val="tx1"/>
                        </w14:solidFill>
                      </w14:textFill>
                    </w:rPr>
                    <w:t>/</w:t>
                  </w:r>
                  <w:r>
                    <w:rPr>
                      <w:rFonts w:hint="eastAsia" w:ascii="Arial" w:hAnsi="Arial" w:eastAsia="宋体" w:cs="Arial"/>
                      <w:color w:val="FF0000"/>
                      <w:spacing w:val="-3"/>
                      <w:sz w:val="21"/>
                      <w:szCs w:val="21"/>
                      <w:lang w:val="en-US" w:eastAsia="zh-CN"/>
                    </w:rPr>
                    <w:t>半</w:t>
                  </w:r>
                  <w:r>
                    <w:rPr>
                      <w:color w:val="FF0000"/>
                      <w:spacing w:val="-3"/>
                      <w:sz w:val="21"/>
                      <w:szCs w:val="21"/>
                    </w:rPr>
                    <w:t>年</w:t>
                  </w:r>
                  <w:commentRangeEnd w:id="81"/>
                  <w:r>
                    <w:rPr>
                      <w:color w:val="FF0000"/>
                    </w:rPr>
                    <w:commentReference w:id="81"/>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6" w:hRule="atLeast"/>
                <w:jc w:val="center"/>
              </w:trPr>
              <w:tc>
                <w:tcPr>
                  <w:tcW w:w="7931" w:type="dxa"/>
                  <w:gridSpan w:val="6"/>
                  <w:vAlign w:val="center"/>
                </w:tcPr>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both"/>
                    <w:textAlignment w:val="auto"/>
                    <w:rPr>
                      <w:rFonts w:hint="eastAsia" w:eastAsia="宋体"/>
                      <w:color w:val="000000" w:themeColor="text1"/>
                      <w:sz w:val="21"/>
                      <w:szCs w:val="21"/>
                      <w:lang w:eastAsia="zh-CN"/>
                      <w14:textFill>
                        <w14:solidFill>
                          <w14:schemeClr w14:val="tx1"/>
                        </w14:solidFill>
                      </w14:textFill>
                    </w:rPr>
                  </w:pPr>
                  <w:r>
                    <w:rPr>
                      <w:b/>
                      <w:bCs/>
                      <w:color w:val="000000" w:themeColor="text1"/>
                      <w:spacing w:val="8"/>
                      <w:sz w:val="21"/>
                      <w:szCs w:val="21"/>
                      <w14:textFill>
                        <w14:solidFill>
                          <w14:schemeClr w14:val="tx1"/>
                        </w14:solidFill>
                      </w14:textFill>
                    </w:rPr>
                    <w:t>注：储油库油气收集系统密封点的泄漏检测应在发油时段进行</w:t>
                  </w:r>
                  <w:r>
                    <w:rPr>
                      <w:rFonts w:hint="eastAsia"/>
                      <w:b/>
                      <w:bCs/>
                      <w:color w:val="000000" w:themeColor="text1"/>
                      <w:spacing w:val="8"/>
                      <w:sz w:val="21"/>
                      <w:szCs w:val="21"/>
                      <w:lang w:eastAsia="zh-CN"/>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both"/>
                    <w:textAlignment w:val="auto"/>
                    <w:rPr>
                      <w:color w:val="000000" w:themeColor="text1"/>
                      <w:sz w:val="21"/>
                      <w:szCs w:val="21"/>
                      <w14:textFill>
                        <w14:solidFill>
                          <w14:schemeClr w14:val="tx1"/>
                        </w14:solidFill>
                      </w14:textFill>
                    </w:rPr>
                  </w:pPr>
                  <w:r>
                    <w:rPr>
                      <w:rFonts w:ascii="Times New Roman" w:hAnsi="Times New Roman" w:eastAsia="Times New Roman" w:cs="Times New Roman"/>
                      <w:b/>
                      <w:bCs/>
                      <w:color w:val="000000" w:themeColor="text1"/>
                      <w:spacing w:val="8"/>
                      <w:position w:val="6"/>
                      <w:sz w:val="21"/>
                      <w:szCs w:val="21"/>
                      <w14:textFill>
                        <w14:solidFill>
                          <w14:schemeClr w14:val="tx1"/>
                        </w14:solidFill>
                      </w14:textFill>
                    </w:rPr>
                    <w:t>b</w:t>
                  </w:r>
                  <w:r>
                    <w:rPr>
                      <w:b/>
                      <w:bCs/>
                      <w:color w:val="000000" w:themeColor="text1"/>
                      <w:spacing w:val="8"/>
                      <w:sz w:val="21"/>
                      <w:szCs w:val="21"/>
                      <w14:textFill>
                        <w14:solidFill>
                          <w14:schemeClr w14:val="tx1"/>
                        </w14:solidFill>
                      </w14:textFill>
                    </w:rPr>
                    <w:t>储油库中载有气态</w:t>
                  </w:r>
                  <w:r>
                    <w:rPr>
                      <w:rFonts w:ascii="Times New Roman" w:hAnsi="Times New Roman" w:eastAsia="Times New Roman" w:cs="Times New Roman"/>
                      <w:b/>
                      <w:bCs/>
                      <w:color w:val="000000" w:themeColor="text1"/>
                      <w:sz w:val="21"/>
                      <w:szCs w:val="21"/>
                      <w14:textFill>
                        <w14:solidFill>
                          <w14:schemeClr w14:val="tx1"/>
                        </w14:solidFill>
                      </w14:textFill>
                    </w:rPr>
                    <w:t>VOCs</w:t>
                  </w:r>
                  <w:r>
                    <w:rPr>
                      <w:b/>
                      <w:bCs/>
                      <w:color w:val="000000" w:themeColor="text1"/>
                      <w:spacing w:val="8"/>
                      <w:sz w:val="21"/>
                      <w:szCs w:val="21"/>
                      <w14:textFill>
                        <w14:solidFill>
                          <w14:schemeClr w14:val="tx1"/>
                        </w14:solidFill>
                      </w14:textFill>
                    </w:rPr>
                    <w:t>物料、液态</w:t>
                  </w:r>
                  <w:r>
                    <w:rPr>
                      <w:rFonts w:ascii="Times New Roman" w:hAnsi="Times New Roman" w:eastAsia="Times New Roman" w:cs="Times New Roman"/>
                      <w:b/>
                      <w:bCs/>
                      <w:color w:val="000000" w:themeColor="text1"/>
                      <w:sz w:val="21"/>
                      <w:szCs w:val="21"/>
                      <w14:textFill>
                        <w14:solidFill>
                          <w14:schemeClr w14:val="tx1"/>
                        </w14:solidFill>
                      </w14:textFill>
                    </w:rPr>
                    <w:t>VOCs</w:t>
                  </w:r>
                  <w:r>
                    <w:rPr>
                      <w:b/>
                      <w:bCs/>
                      <w:color w:val="000000" w:themeColor="text1"/>
                      <w:spacing w:val="8"/>
                      <w:sz w:val="21"/>
                      <w:szCs w:val="21"/>
                      <w14:textFill>
                        <w14:solidFill>
                          <w14:schemeClr w14:val="tx1"/>
                        </w14:solidFill>
                      </w14:textFill>
                    </w:rPr>
                    <w:t>物料的设备与管线组件，密</w:t>
                  </w:r>
                  <w:r>
                    <w:rPr>
                      <w:b/>
                      <w:bCs/>
                      <w:color w:val="000000" w:themeColor="text1"/>
                      <w:spacing w:val="7"/>
                      <w:sz w:val="21"/>
                      <w:szCs w:val="21"/>
                      <w14:textFill>
                        <w14:solidFill>
                          <w14:schemeClr w14:val="tx1"/>
                        </w14:solidFill>
                      </w14:textFill>
                    </w:rPr>
                    <w:t>封点数量</w:t>
                  </w:r>
                  <w:r>
                    <w:rPr>
                      <w:rFonts w:ascii="Arial" w:hAnsi="Arial" w:eastAsia="Arial" w:cs="Arial"/>
                      <w:b/>
                      <w:bCs/>
                      <w:color w:val="000000" w:themeColor="text1"/>
                      <w:spacing w:val="7"/>
                      <w:sz w:val="21"/>
                      <w:szCs w:val="21"/>
                      <w14:textFill>
                        <w14:solidFill>
                          <w14:schemeClr w14:val="tx1"/>
                        </w14:solidFill>
                      </w14:textFill>
                    </w:rPr>
                    <w:t>≥</w:t>
                  </w:r>
                  <w:r>
                    <w:rPr>
                      <w:rFonts w:ascii="Times New Roman" w:hAnsi="Times New Roman" w:eastAsia="Times New Roman" w:cs="Times New Roman"/>
                      <w:b/>
                      <w:bCs/>
                      <w:color w:val="000000" w:themeColor="text1"/>
                      <w:spacing w:val="7"/>
                      <w:sz w:val="21"/>
                      <w:szCs w:val="21"/>
                      <w14:textFill>
                        <w14:solidFill>
                          <w14:schemeClr w14:val="tx1"/>
                        </w14:solidFill>
                      </w14:textFill>
                    </w:rPr>
                    <w:t>2000</w:t>
                  </w:r>
                  <w:r>
                    <w:rPr>
                      <w:rFonts w:ascii="Times New Roman" w:hAnsi="Times New Roman" w:eastAsia="Times New Roman" w:cs="Times New Roman"/>
                      <w:b/>
                      <w:bCs/>
                      <w:color w:val="000000" w:themeColor="text1"/>
                      <w:sz w:val="21"/>
                      <w:szCs w:val="21"/>
                      <w14:textFill>
                        <w14:solidFill>
                          <w14:schemeClr w14:val="tx1"/>
                        </w14:solidFill>
                      </w14:textFill>
                    </w:rPr>
                    <w:t xml:space="preserve">  </w:t>
                  </w:r>
                  <w:r>
                    <w:rPr>
                      <w:b/>
                      <w:bCs/>
                      <w:color w:val="000000" w:themeColor="text1"/>
                      <w:spacing w:val="8"/>
                      <w:sz w:val="21"/>
                      <w:szCs w:val="21"/>
                      <w14:textFill>
                        <w14:solidFill>
                          <w14:schemeClr w14:val="tx1"/>
                        </w14:solidFill>
                      </w14:textFill>
                    </w:rPr>
                    <w:t>个的，应开展泄漏检测；满足</w:t>
                  </w:r>
                  <w:r>
                    <w:rPr>
                      <w:rFonts w:ascii="Times New Roman" w:hAnsi="Times New Roman" w:eastAsia="Times New Roman" w:cs="Times New Roman"/>
                      <w:b/>
                      <w:bCs/>
                      <w:color w:val="000000" w:themeColor="text1"/>
                      <w:sz w:val="21"/>
                      <w:szCs w:val="21"/>
                      <w14:textFill>
                        <w14:solidFill>
                          <w14:schemeClr w14:val="tx1"/>
                        </w14:solidFill>
                      </w14:textFill>
                    </w:rPr>
                    <w:t>GB</w:t>
                  </w:r>
                  <w:r>
                    <w:rPr>
                      <w:rFonts w:ascii="Times New Roman" w:hAnsi="Times New Roman" w:eastAsia="Times New Roman" w:cs="Times New Roman"/>
                      <w:b/>
                      <w:bCs/>
                      <w:color w:val="000000" w:themeColor="text1"/>
                      <w:spacing w:val="8"/>
                      <w:sz w:val="21"/>
                      <w:szCs w:val="21"/>
                      <w14:textFill>
                        <w14:solidFill>
                          <w14:schemeClr w14:val="tx1"/>
                        </w14:solidFill>
                      </w14:textFill>
                    </w:rPr>
                    <w:t>37822</w:t>
                  </w:r>
                  <w:r>
                    <w:rPr>
                      <w:b/>
                      <w:bCs/>
                      <w:color w:val="000000" w:themeColor="text1"/>
                      <w:spacing w:val="8"/>
                      <w:sz w:val="21"/>
                      <w:szCs w:val="21"/>
                      <w14:textFill>
                        <w14:solidFill>
                          <w14:schemeClr w14:val="tx1"/>
                        </w14:solidFill>
                      </w14:textFill>
                    </w:rPr>
                    <w:t>中豁免条件的，可免予泄漏</w:t>
                  </w:r>
                  <w:r>
                    <w:rPr>
                      <w:b/>
                      <w:bCs/>
                      <w:color w:val="000000" w:themeColor="text1"/>
                      <w:spacing w:val="7"/>
                      <w:sz w:val="21"/>
                      <w:szCs w:val="21"/>
                      <w14:textFill>
                        <w14:solidFill>
                          <w14:schemeClr w14:val="tx1"/>
                        </w14:solidFill>
                      </w14:textFill>
                    </w:rPr>
                    <w:t>测。</w:t>
                  </w:r>
                </w:p>
                <w:p>
                  <w:pPr>
                    <w:pStyle w:val="9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both"/>
                    <w:textAlignment w:val="auto"/>
                    <w:rPr>
                      <w:color w:val="000000" w:themeColor="text1"/>
                      <w:sz w:val="21"/>
                      <w:szCs w:val="21"/>
                      <w14:textFill>
                        <w14:solidFill>
                          <w14:schemeClr w14:val="tx1"/>
                        </w14:solidFill>
                      </w14:textFill>
                    </w:rPr>
                  </w:pPr>
                  <w:r>
                    <w:rPr>
                      <w:rFonts w:ascii="Arial" w:hAnsi="Arial" w:eastAsia="Arial" w:cs="Arial"/>
                      <w:b/>
                      <w:bCs/>
                      <w:color w:val="000000" w:themeColor="text1"/>
                      <w:spacing w:val="8"/>
                      <w:position w:val="6"/>
                      <w:sz w:val="21"/>
                      <w:szCs w:val="21"/>
                      <w14:textFill>
                        <w14:solidFill>
                          <w14:schemeClr w14:val="tx1"/>
                        </w14:solidFill>
                      </w14:textFill>
                    </w:rPr>
                    <w:t>c</w:t>
                  </w:r>
                  <w:r>
                    <w:rPr>
                      <w:b/>
                      <w:bCs/>
                      <w:color w:val="000000" w:themeColor="text1"/>
                      <w:spacing w:val="8"/>
                      <w:sz w:val="21"/>
                      <w:szCs w:val="21"/>
                      <w14:textFill>
                        <w14:solidFill>
                          <w14:schemeClr w14:val="tx1"/>
                        </w14:solidFill>
                      </w14:textFill>
                    </w:rPr>
                    <w:t>油品滴酒量的测定应在罐车底部发油结束断开快速接头时开展，取连续</w:t>
                  </w:r>
                  <w:r>
                    <w:rPr>
                      <w:rFonts w:ascii="Times New Roman" w:hAnsi="Times New Roman" w:eastAsia="Times New Roman" w:cs="Times New Roman"/>
                      <w:b/>
                      <w:bCs/>
                      <w:color w:val="000000" w:themeColor="text1"/>
                      <w:spacing w:val="8"/>
                      <w:sz w:val="21"/>
                      <w:szCs w:val="21"/>
                      <w14:textFill>
                        <w14:solidFill>
                          <w14:schemeClr w14:val="tx1"/>
                        </w14:solidFill>
                      </w14:textFill>
                    </w:rPr>
                    <w:t>3</w:t>
                  </w:r>
                  <w:r>
                    <w:rPr>
                      <w:b/>
                      <w:bCs/>
                      <w:color w:val="000000" w:themeColor="text1"/>
                      <w:spacing w:val="8"/>
                      <w:sz w:val="21"/>
                      <w:szCs w:val="21"/>
                      <w14:textFill>
                        <w14:solidFill>
                          <w14:schemeClr w14:val="tx1"/>
                        </w14:solidFill>
                      </w14:textFill>
                    </w:rPr>
                    <w:t>次断开操作</w:t>
                  </w:r>
                  <w:r>
                    <w:rPr>
                      <w:b/>
                      <w:bCs/>
                      <w:color w:val="000000" w:themeColor="text1"/>
                      <w:spacing w:val="1"/>
                      <w:sz w:val="21"/>
                      <w:szCs w:val="21"/>
                      <w14:textFill>
                        <w14:solidFill>
                          <w14:schemeClr w14:val="tx1"/>
                        </w14:solidFill>
                      </w14:textFill>
                    </w:rPr>
                    <w:t>的平均值。</w:t>
                  </w:r>
                </w:p>
              </w:tc>
            </w:tr>
          </w:tbl>
          <w:p>
            <w:pPr>
              <w:kinsoku w:val="0"/>
              <w:overflowPunct w:val="0"/>
              <w:autoSpaceDE w:val="0"/>
              <w:autoSpaceDN w:val="0"/>
              <w:spacing w:line="360" w:lineRule="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w:t>
            </w:r>
            <w:r>
              <w:rPr>
                <w:rFonts w:hint="default" w:ascii="Times New Roman" w:hAnsi="Times New Roman" w:cs="Times New Roman"/>
                <w:b/>
                <w:bCs/>
                <w:color w:val="000000" w:themeColor="text1"/>
                <w:sz w:val="21"/>
                <w:szCs w:val="21"/>
                <w:highlight w:val="none"/>
                <w14:textFill>
                  <w14:solidFill>
                    <w14:schemeClr w14:val="tx1"/>
                  </w14:solidFill>
                </w14:textFill>
              </w:rPr>
              <w:t>水环境影响分析及防治措施</w:t>
            </w:r>
          </w:p>
          <w:p>
            <w:pPr>
              <w:pStyle w:val="62"/>
              <w:ind w:firstLine="48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1、废水产生情况</w:t>
            </w:r>
          </w:p>
          <w:p>
            <w:pPr>
              <w:pStyle w:val="62"/>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本项目废水主要为生活污水、地面清洗废水、初期雨水。</w:t>
            </w:r>
          </w:p>
          <w:p>
            <w:pPr>
              <w:pStyle w:val="62"/>
              <w:ind w:firstLine="480"/>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生活污水：生活污水产生量按生活用水量的</w:t>
            </w:r>
            <w:r>
              <w:rPr>
                <w:rFonts w:hint="default" w:ascii="Times New Roman" w:hAnsi="Times New Roman" w:cs="Times New Roman"/>
                <w:color w:val="000000" w:themeColor="text1"/>
                <w:highlight w:val="none"/>
                <w14:textFill>
                  <w14:solidFill>
                    <w14:schemeClr w14:val="tx1"/>
                  </w14:solidFill>
                </w14:textFill>
              </w:rPr>
              <w:t>80%计</w:t>
            </w:r>
            <w:r>
              <w:rPr>
                <w:rFonts w:hint="eastAsia" w:ascii="Times New Roman" w:hAnsi="Times New Roman" w:cs="Times New Roman"/>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则生活污水产生量为</w:t>
            </w:r>
            <w:r>
              <w:rPr>
                <w:rFonts w:hint="eastAsia" w:cs="Times New Roman"/>
                <w:color w:val="000000" w:themeColor="text1"/>
                <w:highlight w:val="none"/>
                <w:lang w:val="en-US" w:eastAsia="zh-CN"/>
                <w14:textFill>
                  <w14:solidFill>
                    <w14:schemeClr w14:val="tx1"/>
                  </w14:solidFill>
                </w14:textFill>
              </w:rPr>
              <w:t>0.9</w:t>
            </w:r>
            <w:r>
              <w:rPr>
                <w:rFonts w:hint="eastAsia" w:ascii="Times New Roman" w:hAnsi="Times New Roman" w:cs="Times New Roman"/>
                <w:color w:val="000000" w:themeColor="text1"/>
                <w:highlight w:val="none"/>
                <w:lang w:val="en-US" w:eastAsia="zh-CN"/>
                <w14:textFill>
                  <w14:solidFill>
                    <w14:schemeClr w14:val="tx1"/>
                  </w14:solidFill>
                </w14:textFill>
              </w:rPr>
              <w:t>6m³/d，即为</w:t>
            </w:r>
            <w:r>
              <w:rPr>
                <w:rFonts w:hint="eastAsia" w:cs="Times New Roman"/>
                <w:color w:val="000000" w:themeColor="text1"/>
                <w:highlight w:val="none"/>
                <w:lang w:val="en-US" w:eastAsia="zh-CN"/>
                <w14:textFill>
                  <w14:solidFill>
                    <w14:schemeClr w14:val="tx1"/>
                  </w14:solidFill>
                </w14:textFill>
              </w:rPr>
              <w:t>288</w:t>
            </w:r>
            <w:r>
              <w:rPr>
                <w:rFonts w:hint="eastAsia" w:ascii="Times New Roman" w:hAnsi="Times New Roman" w:cs="Times New Roman"/>
                <w:color w:val="000000" w:themeColor="text1"/>
                <w:highlight w:val="none"/>
                <w:lang w:val="en-US" w:eastAsia="zh-CN"/>
                <w14:textFill>
                  <w14:solidFill>
                    <w14:schemeClr w14:val="tx1"/>
                  </w14:solidFill>
                </w14:textFill>
              </w:rPr>
              <w:t>m³/a。主要污染物为</w:t>
            </w:r>
            <w:r>
              <w:rPr>
                <w:rFonts w:hint="eastAsia"/>
                <w:color w:val="000000" w:themeColor="text1"/>
                <w:sz w:val="24"/>
                <w:szCs w:val="24"/>
                <w:highlight w:val="none"/>
                <w:u w:val="none"/>
                <w:lang w:val="en-US" w:eastAsia="zh-CN"/>
                <w14:textFill>
                  <w14:solidFill>
                    <w14:schemeClr w14:val="tx1"/>
                  </w14:solidFill>
                </w14:textFill>
              </w:rPr>
              <w:t>生活污水经原有化粪池处理后，排入厂区原有污水处理站（100m³/d）进行处理。</w:t>
            </w:r>
          </w:p>
          <w:p>
            <w:pPr>
              <w:rPr>
                <w:color w:val="000000" w:themeColor="text1"/>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地面清洗废水：地面清洗废水以使用量的80%计，即666.66m³/a，</w:t>
            </w:r>
            <w:r>
              <w:rPr>
                <w:rFonts w:hint="eastAsia"/>
                <w:color w:val="000000" w:themeColor="text1"/>
                <w:sz w:val="24"/>
                <w:szCs w:val="24"/>
                <w:highlight w:val="none"/>
                <w:u w:val="none"/>
                <w:lang w:val="en-US" w:eastAsia="zh-CN"/>
                <w14:textFill>
                  <w14:solidFill>
                    <w14:schemeClr w14:val="tx1"/>
                  </w14:solidFill>
                </w14:textFill>
              </w:rPr>
              <w:t>经厂区原有污水处理站处理</w:t>
            </w:r>
            <w:r>
              <w:rPr>
                <w:rFonts w:hint="eastAsia"/>
                <w:color w:val="000000" w:themeColor="text1"/>
                <w:highlight w:val="none"/>
                <w:lang w:val="en-US" w:eastAsia="zh-CN"/>
                <w14:textFill>
                  <w14:solidFill>
                    <w14:schemeClr w14:val="tx1"/>
                  </w14:solidFill>
                </w14:textFill>
              </w:rPr>
              <w:t>。</w:t>
            </w:r>
          </w:p>
          <w:p>
            <w:pPr>
              <w:rPr>
                <w:rFonts w:hint="default"/>
                <w:color w:val="000000" w:themeColor="text1"/>
                <w:sz w:val="24"/>
                <w:szCs w:val="24"/>
                <w:highlight w:val="none"/>
                <w:u w:val="none"/>
                <w:lang w:val="en-US" w:eastAsia="zh-CN"/>
                <w14:textFill>
                  <w14:solidFill>
                    <w14:schemeClr w14:val="tx1"/>
                  </w14:solidFill>
                </w14:textFill>
              </w:rPr>
            </w:pPr>
            <w:r>
              <w:rPr>
                <w:rFonts w:hint="eastAsia"/>
                <w:color w:val="000000" w:themeColor="text1"/>
                <w:sz w:val="24"/>
                <w:szCs w:val="24"/>
                <w:highlight w:val="none"/>
                <w:u w:val="none"/>
                <w:lang w:val="en-US" w:eastAsia="zh-CN"/>
                <w14:textFill>
                  <w14:solidFill>
                    <w14:schemeClr w14:val="tx1"/>
                  </w14:solidFill>
                </w14:textFill>
              </w:rPr>
              <w:t>初期雨水经前文估算约</w:t>
            </w:r>
            <w:r>
              <w:rPr>
                <w:rFonts w:hint="default" w:ascii="Times New Roman" w:hAnsi="Times New Roman" w:eastAsia="宋体" w:cs="Times New Roman"/>
                <w:color w:val="000000" w:themeColor="text1"/>
                <w:sz w:val="24"/>
                <w:szCs w:val="24"/>
                <w:highlight w:val="none"/>
                <w14:textFill>
                  <w14:solidFill>
                    <w14:schemeClr w14:val="tx1"/>
                  </w14:solidFill>
                </w14:textFill>
              </w:rPr>
              <w:t>约</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31</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/次</w:t>
            </w:r>
            <w:r>
              <w:rPr>
                <w:rFonts w:hint="eastAsia"/>
                <w:color w:val="000000" w:themeColor="text1"/>
                <w:sz w:val="24"/>
                <w:szCs w:val="24"/>
                <w:highlight w:val="none"/>
                <w:u w:val="none"/>
                <w:lang w:val="en-US" w:eastAsia="zh-CN"/>
                <w14:textFill>
                  <w14:solidFill>
                    <w14:schemeClr w14:val="tx1"/>
                  </w14:solidFill>
                </w14:textFill>
              </w:rPr>
              <w:t>，与</w:t>
            </w:r>
            <w:r>
              <w:rPr>
                <w:rFonts w:hint="eastAsia"/>
                <w:color w:val="000000" w:themeColor="text1"/>
                <w:highlight w:val="none"/>
                <w:lang w:val="en-US" w:eastAsia="zh-CN"/>
                <w14:textFill>
                  <w14:solidFill>
                    <w14:schemeClr w14:val="tx1"/>
                  </w14:solidFill>
                </w14:textFill>
              </w:rPr>
              <w:t>地面清洗废水一并进入</w:t>
            </w:r>
            <w:r>
              <w:rPr>
                <w:rFonts w:hint="eastAsia"/>
                <w:color w:val="000000" w:themeColor="text1"/>
                <w:sz w:val="24"/>
                <w:szCs w:val="24"/>
                <w:highlight w:val="none"/>
                <w:u w:val="none"/>
                <w:lang w:val="en-US" w:eastAsia="zh-CN"/>
                <w14:textFill>
                  <w14:solidFill>
                    <w14:schemeClr w14:val="tx1"/>
                  </w14:solidFill>
                </w14:textFill>
              </w:rPr>
              <w:t>原有污水处理站处理。</w:t>
            </w:r>
          </w:p>
          <w:p>
            <w:pPr>
              <w:rPr>
                <w:color w:val="000000" w:themeColor="text1"/>
                <w14:textFill>
                  <w14:solidFill>
                    <w14:schemeClr w14:val="tx1"/>
                  </w14:solidFill>
                </w14:textFill>
              </w:rPr>
            </w:pPr>
            <w:r>
              <w:rPr>
                <w:rFonts w:hint="eastAsia"/>
                <w:color w:val="000000" w:themeColor="text1"/>
                <w:sz w:val="24"/>
                <w:szCs w:val="24"/>
                <w:highlight w:val="none"/>
                <w:u w:val="none"/>
                <w:lang w:val="en-US" w:eastAsia="zh-CN"/>
                <w14:textFill>
                  <w14:solidFill>
                    <w14:schemeClr w14:val="tx1"/>
                  </w14:solidFill>
                </w14:textFill>
              </w:rPr>
              <w:t>经厂区原有污水处理站处理后的生活污水、地面清洗废水、初期雨水一并排至</w:t>
            </w:r>
            <w:r>
              <w:rPr>
                <w:rFonts w:hint="default"/>
                <w:color w:val="000000" w:themeColor="text1"/>
                <w:highlight w:val="none"/>
                <w14:textFill>
                  <w14:solidFill>
                    <w14:schemeClr w14:val="tx1"/>
                  </w14:solidFill>
                </w14:textFill>
              </w:rPr>
              <w:t>鄂尔多斯市泰鑫煤炭有限公司</w:t>
            </w:r>
            <w:r>
              <w:rPr>
                <w:rFonts w:hint="eastAsia"/>
                <w:color w:val="000000" w:themeColor="text1"/>
                <w:sz w:val="24"/>
                <w:szCs w:val="24"/>
                <w:highlight w:val="none"/>
                <w:u w:val="none"/>
                <w:lang w:val="en-US" w:eastAsia="zh-CN"/>
                <w14:textFill>
                  <w14:solidFill>
                    <w14:schemeClr w14:val="tx1"/>
                  </w14:solidFill>
                </w14:textFill>
              </w:rPr>
              <w:t>洗煤综合利用，不直接排放。</w:t>
            </w:r>
          </w:p>
          <w:p>
            <w:pPr>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2、依托污水处理站可行性分析</w:t>
            </w:r>
          </w:p>
          <w:p>
            <w:pPr>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厂区现有污水处理站1座，设计处理规模</w:t>
            </w:r>
            <w:r>
              <w:rPr>
                <w:rFonts w:hint="eastAsia"/>
                <w:color w:val="000000" w:themeColor="text1"/>
                <w:highlight w:val="none"/>
                <w:lang w:eastAsia="zh-CN"/>
                <w14:textFill>
                  <w14:solidFill>
                    <w14:schemeClr w14:val="tx1"/>
                  </w14:solidFill>
                </w14:textFill>
              </w:rPr>
              <w:t>100m³/d</w:t>
            </w:r>
            <w:r>
              <w:rPr>
                <w:rFonts w:hint="default"/>
                <w:color w:val="000000" w:themeColor="text1"/>
                <w:highlight w:val="none"/>
                <w14:textFill>
                  <w14:solidFill>
                    <w14:schemeClr w14:val="tx1"/>
                  </w14:solidFill>
                </w14:textFill>
              </w:rPr>
              <w:t>，采用“格栅+湿式氧化+气浮+生化+过滤”工艺，出水水质满足《</w:t>
            </w:r>
            <w:r>
              <w:rPr>
                <w:rFonts w:hint="eastAsia"/>
                <w:color w:val="000000" w:themeColor="text1"/>
                <w:highlight w:val="none"/>
                <w:lang w:eastAsia="zh-CN"/>
                <w14:textFill>
                  <w14:solidFill>
                    <w14:schemeClr w14:val="tx1"/>
                  </w14:solidFill>
                </w14:textFill>
              </w:rPr>
              <w:t>石油炼制工业污染物排放标准</w:t>
            </w:r>
            <w:r>
              <w:rPr>
                <w:rFonts w:hint="default"/>
                <w:color w:val="000000" w:themeColor="text1"/>
                <w:highlight w:val="none"/>
                <w14:textFill>
                  <w14:solidFill>
                    <w14:schemeClr w14:val="tx1"/>
                  </w14:solidFill>
                </w14:textFill>
              </w:rPr>
              <w:t>》（GB</w:t>
            </w:r>
            <w:r>
              <w:rPr>
                <w:rFonts w:hint="eastAsia"/>
                <w:color w:val="000000" w:themeColor="text1"/>
                <w:highlight w:val="none"/>
                <w:lang w:eastAsia="zh-CN"/>
                <w14:textFill>
                  <w14:solidFill>
                    <w14:schemeClr w14:val="tx1"/>
                  </w14:solidFill>
                </w14:textFill>
              </w:rPr>
              <w:t>31570-2015</w:t>
            </w:r>
            <w:r>
              <w:rPr>
                <w:rFonts w:hint="default"/>
                <w:color w:val="000000" w:themeColor="text1"/>
                <w:highlight w:val="none"/>
                <w14:textFill>
                  <w14:solidFill>
                    <w14:schemeClr w14:val="tx1"/>
                  </w14:solidFill>
                </w14:textFill>
              </w:rPr>
              <w:t>）和《煤炭工业污染物排放标准》（GB20426-2006）表3标准限值。</w:t>
            </w:r>
          </w:p>
          <w:p>
            <w:pPr>
              <w:bidi w:val="0"/>
              <w:rPr>
                <w:rFonts w:hint="default" w:ascii="Times New Roman" w:hAnsi="Times New Roman" w:eastAsia="宋体" w:cs="Times New Roman"/>
                <w:color w:val="000000" w:themeColor="text1"/>
                <w:highlight w:val="none"/>
                <w:lang w:val="en-US" w:eastAsia="zh-CN"/>
                <w14:textFill>
                  <w14:solidFill>
                    <w14:schemeClr w14:val="tx1"/>
                  </w14:solidFill>
                </w14:textFill>
              </w:rPr>
            </w:pPr>
            <w:commentRangeStart w:id="82"/>
            <w:r>
              <w:rPr>
                <w:rFonts w:hint="default"/>
                <w:color w:val="000000" w:themeColor="text1"/>
                <w:highlight w:val="none"/>
                <w14:textFill>
                  <w14:solidFill>
                    <w14:schemeClr w14:val="tx1"/>
                  </w14:solidFill>
                </w14:textFill>
              </w:rPr>
              <w:t>目前，该污水处理站用于处理汇金达溶剂油公司环境事故污染地下水，</w:t>
            </w:r>
            <w:r>
              <w:rPr>
                <w:rFonts w:hint="eastAsia"/>
                <w:color w:val="000000" w:themeColor="text1"/>
                <w:highlight w:val="none"/>
                <w:lang w:val="en-US" w:eastAsia="zh-CN"/>
                <w14:textFill>
                  <w14:solidFill>
                    <w14:schemeClr w14:val="tx1"/>
                  </w14:solidFill>
                </w14:textFill>
              </w:rPr>
              <w:t>目前</w:t>
            </w:r>
            <w:r>
              <w:rPr>
                <w:rFonts w:hint="default" w:ascii="Times New Roman" w:hAnsi="Times New Roman" w:eastAsia="宋体" w:cs="Times New Roman"/>
                <w:color w:val="000000" w:themeColor="text1"/>
                <w:highlight w:val="none"/>
                <w14:textFill>
                  <w14:solidFill>
                    <w14:schemeClr w14:val="tx1"/>
                  </w14:solidFill>
                </w14:textFill>
              </w:rPr>
              <w:t>处理量为90.2m</w:t>
            </w:r>
            <w:r>
              <w:rPr>
                <w:rFonts w:hint="default" w:ascii="Times New Roman" w:hAnsi="Times New Roman" w:eastAsia="宋体" w:cs="Times New Roman"/>
                <w:color w:val="000000" w:themeColor="text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highlight w:val="none"/>
                <w14:textFill>
                  <w14:solidFill>
                    <w14:schemeClr w14:val="tx1"/>
                  </w14:solidFill>
                </w14:textFill>
              </w:rPr>
              <w:t>/d</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现状剩余负荷为9.8m³/d</w:t>
            </w:r>
            <w:r>
              <w:rPr>
                <w:rFonts w:hint="default" w:ascii="Times New Roman" w:hAnsi="Times New Roman" w:eastAsia="宋体" w:cs="Times New Roman"/>
                <w:color w:val="000000" w:themeColor="text1"/>
                <w:highlight w:val="none"/>
                <w14:textFill>
                  <w14:solidFill>
                    <w14:schemeClr w14:val="tx1"/>
                  </w14:solidFill>
                </w14:textFill>
              </w:rPr>
              <w:t>。</w:t>
            </w:r>
            <w:commentRangeEnd w:id="82"/>
            <w:r>
              <w:commentReference w:id="82"/>
            </w:r>
            <w:r>
              <w:rPr>
                <w:rFonts w:hint="eastAsia" w:ascii="Times New Roman" w:hAnsi="Times New Roman" w:eastAsia="宋体" w:cs="Times New Roman"/>
                <w:color w:val="000000" w:themeColor="text1"/>
                <w:highlight w:val="none"/>
                <w:lang w:val="en-US" w:eastAsia="zh-CN"/>
                <w14:textFill>
                  <w14:solidFill>
                    <w14:schemeClr w14:val="tx1"/>
                  </w14:solidFill>
                </w14:textFill>
              </w:rPr>
              <w:t>本项目综合废水产生量为3.</w:t>
            </w:r>
            <w:r>
              <w:rPr>
                <w:rFonts w:hint="eastAsia" w:cs="Times New Roman"/>
                <w:color w:val="000000" w:themeColor="text1"/>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highlight w:val="none"/>
                <w:lang w:val="en-US" w:eastAsia="zh-CN"/>
                <w14:textFill>
                  <w14:solidFill>
                    <w14:schemeClr w14:val="tx1"/>
                  </w14:solidFill>
                </w14:textFill>
              </w:rPr>
              <w:t>m³/d，</w:t>
            </w:r>
            <w:r>
              <w:rPr>
                <w:rFonts w:hint="eastAsia" w:cs="Times New Roman"/>
                <w:color w:val="000000" w:themeColor="text1"/>
                <w:highlight w:val="none"/>
                <w:lang w:val="en-US" w:eastAsia="zh-CN"/>
                <w14:textFill>
                  <w14:solidFill>
                    <w14:schemeClr w14:val="tx1"/>
                  </w14:solidFill>
                </w14:textFill>
              </w:rPr>
              <w:t>对污水处理站负荷影响较小，</w:t>
            </w:r>
            <w:r>
              <w:rPr>
                <w:rFonts w:hint="eastAsia" w:ascii="Times New Roman" w:hAnsi="Times New Roman" w:eastAsia="宋体" w:cs="Times New Roman"/>
                <w:color w:val="000000" w:themeColor="text1"/>
                <w:highlight w:val="none"/>
                <w:lang w:val="en-US" w:eastAsia="zh-CN"/>
                <w14:textFill>
                  <w14:solidFill>
                    <w14:schemeClr w14:val="tx1"/>
                  </w14:solidFill>
                </w14:textFill>
              </w:rPr>
              <w:t>从水量方面分析，依托可行。</w:t>
            </w:r>
            <w:r>
              <w:rPr>
                <w:rFonts w:hint="eastAsia" w:cs="Times New Roman"/>
                <w:color w:val="000000" w:themeColor="text1"/>
                <w:highlight w:val="none"/>
                <w:lang w:val="en-US" w:eastAsia="zh-CN"/>
                <w14:textFill>
                  <w14:solidFill>
                    <w14:schemeClr w14:val="tx1"/>
                  </w14:solidFill>
                </w14:textFill>
              </w:rPr>
              <w:t>考</w:t>
            </w:r>
            <w:r>
              <w:rPr>
                <w:rFonts w:hint="eastAsia" w:cs="Times New Roman"/>
                <w:color w:val="FF0000"/>
                <w:highlight w:val="none"/>
                <w:lang w:val="en-US" w:eastAsia="zh-CN"/>
              </w:rPr>
              <w:t>虑后期会对事故区地下水加大抽水量，污水处理站剩余负荷较为局促，后续建设单位将进行污水处理站扩建。</w:t>
            </w:r>
            <w:r>
              <w:commentReference w:id="83"/>
            </w:r>
          </w:p>
          <w:p>
            <w:pPr>
              <w:bidi w:val="0"/>
              <w:spacing w:line="360" w:lineRule="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项目厂区污水处理站</w:t>
            </w:r>
            <w:r>
              <w:rPr>
                <w:rFonts w:hint="eastAsia" w:cs="Times New Roman"/>
                <w:color w:val="000000" w:themeColor="text1"/>
                <w:highlight w:val="none"/>
                <w:lang w:val="en-US" w:eastAsia="zh-CN"/>
                <w14:textFill>
                  <w14:solidFill>
                    <w14:schemeClr w14:val="tx1"/>
                  </w14:solidFill>
                </w14:textFill>
              </w:rPr>
              <w:t>设计</w:t>
            </w:r>
            <w:r>
              <w:rPr>
                <w:rFonts w:hint="default" w:ascii="Times New Roman" w:hAnsi="Times New Roman" w:eastAsia="宋体" w:cs="Times New Roman"/>
                <w:color w:val="000000" w:themeColor="text1"/>
                <w:highlight w:val="none"/>
                <w14:textFill>
                  <w14:solidFill>
                    <w14:schemeClr w14:val="tx1"/>
                  </w14:solidFill>
                </w14:textFill>
              </w:rPr>
              <w:t>进出水水质，见表</w:t>
            </w:r>
            <w:r>
              <w:rPr>
                <w:rFonts w:hint="eastAsia" w:ascii="Times New Roman" w:hAnsi="Times New Roman" w:eastAsia="宋体" w:cs="Times New Roman"/>
                <w:color w:val="000000" w:themeColor="text1"/>
                <w:highlight w:val="none"/>
                <w:lang w:val="en-US" w:eastAsia="zh-CN"/>
                <w14:textFill>
                  <w14:solidFill>
                    <w14:schemeClr w14:val="tx1"/>
                  </w14:solidFill>
                </w14:textFill>
              </w:rPr>
              <w:t>4-8</w:t>
            </w:r>
            <w:r>
              <w:rPr>
                <w:rFonts w:hint="default" w:ascii="Times New Roman" w:hAnsi="Times New Roman" w:eastAsia="宋体" w:cs="Times New Roman"/>
                <w:color w:val="000000" w:themeColor="text1"/>
                <w:highlight w:val="none"/>
                <w14:textFill>
                  <w14:solidFill>
                    <w14:schemeClr w14:val="tx1"/>
                  </w14:solidFill>
                </w14:textFill>
              </w:rPr>
              <w:t>。</w:t>
            </w:r>
          </w:p>
          <w:p>
            <w:pPr>
              <w:snapToGrid w:val="0"/>
              <w:spacing w:line="360" w:lineRule="auto"/>
              <w:ind w:firstLine="482"/>
              <w:jc w:val="center"/>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eastAsia" w:cs="Times New Roman"/>
                <w:b/>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sz w:val="24"/>
                <w:szCs w:val="24"/>
                <w:highlight w:val="none"/>
                <w14:textFill>
                  <w14:solidFill>
                    <w14:schemeClr w14:val="tx1"/>
                  </w14:solidFill>
                </w14:textFill>
              </w:rPr>
              <w:t>表</w:t>
            </w:r>
            <w:r>
              <w:rPr>
                <w:rFonts w:hint="eastAsia" w:cs="Times New Roman"/>
                <w:b/>
                <w:color w:val="000000" w:themeColor="text1"/>
                <w:sz w:val="24"/>
                <w:szCs w:val="24"/>
                <w:highlight w:val="none"/>
                <w:lang w:val="en-US" w:eastAsia="zh-CN"/>
                <w14:textFill>
                  <w14:solidFill>
                    <w14:schemeClr w14:val="tx1"/>
                  </w14:solidFill>
                </w14:textFill>
              </w:rPr>
              <w:t>4-8</w:t>
            </w:r>
            <w:r>
              <w:rPr>
                <w:rFonts w:hint="default" w:ascii="Times New Roman" w:hAnsi="Times New Roman" w:eastAsia="宋体" w:cs="Times New Roman"/>
                <w:b/>
                <w:color w:val="000000" w:themeColor="text1"/>
                <w:sz w:val="24"/>
                <w:szCs w:val="24"/>
                <w:highlight w:val="none"/>
                <w14:textFill>
                  <w14:solidFill>
                    <w14:schemeClr w14:val="tx1"/>
                  </w14:solidFill>
                </w14:textFill>
              </w:rPr>
              <w:t xml:space="preserve"> 厂区污水处理站进出水质 </w:t>
            </w:r>
            <w:r>
              <w:commentReference w:id="84"/>
            </w:r>
            <w:r>
              <w:rPr>
                <w:rFonts w:hint="default" w:ascii="Times New Roman" w:hAnsi="Times New Roman" w:eastAsia="宋体" w:cs="Times New Roman"/>
                <w:b/>
                <w:color w:val="000000" w:themeColor="text1"/>
                <w:sz w:val="24"/>
                <w:szCs w:val="24"/>
                <w:highlight w:val="none"/>
                <w14:textFill>
                  <w14:solidFill>
                    <w14:schemeClr w14:val="tx1"/>
                  </w14:solidFill>
                </w14:textFill>
              </w:rPr>
              <w:t xml:space="preserve">  </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sz w:val="24"/>
                <w:szCs w:val="24"/>
                <w:highlight w:val="none"/>
                <w14:textFill>
                  <w14:solidFill>
                    <w14:schemeClr w14:val="tx1"/>
                  </w14:solidFill>
                </w14:textFill>
              </w:rPr>
              <w:t xml:space="preserve"> 单位：mg/L</w:t>
            </w:r>
          </w:p>
          <w:tbl>
            <w:tblPr>
              <w:tblStyle w:val="27"/>
              <w:tblW w:w="49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21"/>
              <w:gridCol w:w="982"/>
              <w:gridCol w:w="982"/>
              <w:gridCol w:w="982"/>
              <w:gridCol w:w="982"/>
              <w:gridCol w:w="982"/>
              <w:gridCol w:w="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项目</w:t>
                  </w:r>
                </w:p>
              </w:tc>
              <w:tc>
                <w:tcPr>
                  <w:tcW w:w="628" w:type="pct"/>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w:t>
                  </w:r>
                </w:p>
              </w:tc>
              <w:tc>
                <w:tcPr>
                  <w:tcW w:w="62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COD</w:t>
                  </w:r>
                </w:p>
              </w:tc>
              <w:tc>
                <w:tcPr>
                  <w:tcW w:w="62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BOD</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5</w:t>
                  </w:r>
                </w:p>
              </w:tc>
              <w:tc>
                <w:tcPr>
                  <w:tcW w:w="62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SS</w:t>
                  </w:r>
                </w:p>
              </w:tc>
              <w:tc>
                <w:tcPr>
                  <w:tcW w:w="62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氨氮</w:t>
                  </w:r>
                </w:p>
              </w:tc>
              <w:tc>
                <w:tcPr>
                  <w:tcW w:w="629"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 w:hRule="atLeast"/>
                <w:jc w:val="center"/>
              </w:trPr>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进水</w:t>
                  </w:r>
                  <w:r>
                    <w:rPr>
                      <w:rFonts w:hint="eastAsia" w:cs="Times New Roman"/>
                      <w:color w:val="000000" w:themeColor="text1"/>
                      <w:kern w:val="0"/>
                      <w:sz w:val="21"/>
                      <w:szCs w:val="21"/>
                      <w:highlight w:val="none"/>
                      <w:lang w:val="en-US" w:eastAsia="zh-CN"/>
                      <w14:textFill>
                        <w14:solidFill>
                          <w14:schemeClr w14:val="tx1"/>
                        </w14:solidFill>
                      </w14:textFill>
                    </w:rPr>
                    <w:t>指标</w:t>
                  </w:r>
                </w:p>
              </w:tc>
              <w:tc>
                <w:tcPr>
                  <w:tcW w:w="628" w:type="pct"/>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6~9</w:t>
                  </w:r>
                </w:p>
              </w:tc>
              <w:tc>
                <w:tcPr>
                  <w:tcW w:w="628" w:type="pct"/>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500</w:t>
                  </w:r>
                </w:p>
              </w:tc>
              <w:tc>
                <w:tcPr>
                  <w:tcW w:w="628" w:type="pct"/>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300</w:t>
                  </w:r>
                </w:p>
              </w:tc>
              <w:tc>
                <w:tcPr>
                  <w:tcW w:w="628" w:type="pct"/>
                  <w:noWrap w:val="0"/>
                  <w:tcMar>
                    <w:left w:w="23" w:type="dxa"/>
                    <w:right w:w="23"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1000</w:t>
                  </w:r>
                </w:p>
              </w:tc>
              <w:tc>
                <w:tcPr>
                  <w:tcW w:w="628" w:type="pct"/>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30</w:t>
                  </w:r>
                </w:p>
              </w:tc>
              <w:tc>
                <w:tcPr>
                  <w:tcW w:w="629" w:type="pct"/>
                  <w:noWrap w:val="0"/>
                  <w:tcMar>
                    <w:left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3" w:hRule="atLeast"/>
                <w:jc w:val="center"/>
              </w:trPr>
              <w:tc>
                <w:tcPr>
                  <w:tcW w:w="1229"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出水</w:t>
                  </w:r>
                  <w:r>
                    <w:rPr>
                      <w:rFonts w:hint="eastAsia" w:cs="Times New Roman"/>
                      <w:color w:val="000000" w:themeColor="text1"/>
                      <w:sz w:val="21"/>
                      <w:szCs w:val="21"/>
                      <w:highlight w:val="none"/>
                      <w:lang w:val="en-US" w:eastAsia="zh-CN"/>
                      <w14:textFill>
                        <w14:solidFill>
                          <w14:schemeClr w14:val="tx1"/>
                        </w14:solidFill>
                      </w14:textFill>
                    </w:rPr>
                    <w:t>指标</w:t>
                  </w:r>
                </w:p>
              </w:tc>
              <w:tc>
                <w:tcPr>
                  <w:tcW w:w="62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6～9</w:t>
                  </w:r>
                </w:p>
              </w:tc>
              <w:tc>
                <w:tcPr>
                  <w:tcW w:w="62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62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30</w:t>
                  </w:r>
                </w:p>
              </w:tc>
              <w:tc>
                <w:tcPr>
                  <w:tcW w:w="628" w:type="pct"/>
                  <w:noWrap w:val="0"/>
                  <w:tcMar>
                    <w:left w:w="23" w:type="dxa"/>
                    <w:right w:w="23"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628"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5</w:t>
                  </w:r>
                </w:p>
              </w:tc>
              <w:tc>
                <w:tcPr>
                  <w:tcW w:w="629" w:type="pct"/>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w:t>
                  </w:r>
                </w:p>
              </w:tc>
            </w:tr>
          </w:tbl>
          <w:p>
            <w:pPr>
              <w:bidi w:val="0"/>
              <w:rPr>
                <w:rFonts w:hint="default"/>
                <w:color w:val="000000" w:themeColor="text1"/>
                <w:highlight w:val="none"/>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污水处理站</w:t>
            </w:r>
            <w:r>
              <w:rPr>
                <w:rFonts w:hint="default" w:ascii="Times New Roman" w:hAnsi="Times New Roman" w:eastAsia="宋体" w:cs="Times New Roman"/>
                <w:color w:val="000000" w:themeColor="text1"/>
                <w:sz w:val="24"/>
                <w:highlight w:val="none"/>
                <w14:textFill>
                  <w14:solidFill>
                    <w14:schemeClr w14:val="tx1"/>
                  </w14:solidFill>
                </w14:textFill>
              </w:rPr>
              <w:t>废水排放执行</w:t>
            </w:r>
            <w:r>
              <w:rPr>
                <w:rFonts w:hint="eastAsia" w:cs="Times New Roman"/>
                <w:color w:val="000000" w:themeColor="text1"/>
                <w:sz w:val="24"/>
                <w:highlight w:val="none"/>
                <w:lang w:eastAsia="zh-CN"/>
                <w14:textFill>
                  <w14:solidFill>
                    <w14:schemeClr w14:val="tx1"/>
                  </w14:solidFill>
                </w14:textFill>
              </w:rPr>
              <w:t>《石油炼制工业污染物排放标准》（GB31570-2015）及其修改单表1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新建企业水污染物排放浓度限值</w:t>
            </w:r>
            <w:r>
              <w:rPr>
                <w:rFonts w:hint="eastAsia" w:cs="Times New Roman"/>
                <w:color w:val="000000" w:themeColor="text1"/>
                <w:sz w:val="24"/>
                <w:highlight w:val="none"/>
                <w:lang w:val="en-US" w:eastAsia="zh-CN"/>
                <w14:textFill>
                  <w14:solidFill>
                    <w14:schemeClr w14:val="tx1"/>
                  </w14:solidFill>
                </w14:textFill>
              </w:rPr>
              <w:t>及</w:t>
            </w:r>
            <w:r>
              <w:rPr>
                <w:rFonts w:hint="default" w:ascii="Times New Roman" w:hAnsi="Times New Roman" w:eastAsia="宋体" w:cs="Times New Roman"/>
                <w:color w:val="000000" w:themeColor="text1"/>
                <w:sz w:val="24"/>
                <w:highlight w:val="none"/>
                <w14:textFill>
                  <w14:solidFill>
                    <w14:schemeClr w14:val="tx1"/>
                  </w14:solidFill>
                </w14:textFill>
              </w:rPr>
              <w:t>《煤炭工业污染物排放标准》（GB20426-2006）表3</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标准</w:t>
            </w:r>
            <w:r>
              <w:rPr>
                <w:rFonts w:hint="default" w:ascii="Times New Roman" w:hAnsi="Times New Roman" w:eastAsia="宋体" w:cs="Times New Roman"/>
                <w:color w:val="000000" w:themeColor="text1"/>
                <w:sz w:val="24"/>
                <w:highlight w:val="none"/>
                <w14:textFill>
                  <w14:solidFill>
                    <w14:schemeClr w14:val="tx1"/>
                  </w14:solidFill>
                </w14:textFill>
              </w:rPr>
              <w:t>限值</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类比同类项目《东方石化股份有限公司年产300万吨高清洁油品（汽油、柴油）的调和生产项目》，</w:t>
            </w:r>
            <w:commentRangeStart w:id="85"/>
            <w:commentRangeStart w:id="86"/>
            <w:r>
              <w:rPr>
                <w:rFonts w:hint="eastAsia"/>
                <w:color w:val="000000" w:themeColor="text1"/>
                <w:highlight w:val="none"/>
                <w:lang w:val="en-US" w:eastAsia="zh-CN"/>
                <w14:textFill>
                  <w14:solidFill>
                    <w14:schemeClr w14:val="tx1"/>
                  </w14:solidFill>
                </w14:textFill>
              </w:rPr>
              <w:t>本项目地面冲洗废水源强如下表。</w:t>
            </w:r>
            <w:commentRangeEnd w:id="85"/>
            <w:r>
              <w:commentReference w:id="85"/>
            </w:r>
            <w:commentRangeEnd w:id="86"/>
            <w:r>
              <w:commentReference w:id="86"/>
            </w:r>
          </w:p>
          <w:p>
            <w:pPr>
              <w:bidi w:val="0"/>
              <w:jc w:val="center"/>
              <w:rPr>
                <w:rFonts w:hint="eastAsia"/>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表4-9 本项目废水产生源强一览表</w:t>
            </w:r>
          </w:p>
          <w:tbl>
            <w:tblPr>
              <w:tblStyle w:val="27"/>
              <w:tblW w:w="494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6"/>
              <w:gridCol w:w="1647"/>
              <w:gridCol w:w="805"/>
              <w:gridCol w:w="810"/>
              <w:gridCol w:w="813"/>
              <w:gridCol w:w="810"/>
              <w:gridCol w:w="810"/>
              <w:gridCol w:w="810"/>
              <w:gridCol w:w="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335" w:type="pct"/>
                  <w:vMerge w:val="restart"/>
                  <w:noWrap w:val="0"/>
                  <w:vAlign w:val="center"/>
                </w:tcPr>
                <w:p>
                  <w:pPr>
                    <w:keepNext w:val="0"/>
                    <w:keepLines w:val="0"/>
                    <w:pageBreakBefore w:val="0"/>
                    <w:kinsoku/>
                    <w:wordWrap/>
                    <w:overflowPunct/>
                    <w:topLinePunct w:val="0"/>
                    <w:autoSpaceDE/>
                    <w:autoSpaceDN/>
                    <w:bidi w:val="0"/>
                    <w:snapToGrid/>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分</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类</w:t>
                  </w:r>
                </w:p>
              </w:tc>
              <w:tc>
                <w:tcPr>
                  <w:tcW w:w="1049" w:type="pct"/>
                  <w:vMerge w:val="restart"/>
                  <w:noWrap w:val="0"/>
                  <w:vAlign w:val="center"/>
                </w:tcPr>
                <w:p>
                  <w:pPr>
                    <w:keepNext w:val="0"/>
                    <w:keepLines w:val="0"/>
                    <w:pageBreakBefore w:val="0"/>
                    <w:kinsoku/>
                    <w:wordWrap/>
                    <w:overflowPunct/>
                    <w:topLinePunct w:val="0"/>
                    <w:autoSpaceDE/>
                    <w:autoSpaceDN/>
                    <w:bidi w:val="0"/>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污染源</w:t>
                  </w:r>
                </w:p>
              </w:tc>
              <w:tc>
                <w:tcPr>
                  <w:tcW w:w="513" w:type="pct"/>
                  <w:vMerge w:val="restart"/>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产生量</w:t>
                  </w:r>
                </w:p>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/d)</w:t>
                  </w:r>
                </w:p>
              </w:tc>
              <w:tc>
                <w:tcPr>
                  <w:tcW w:w="3101" w:type="pct"/>
                  <w:gridSpan w:val="6"/>
                  <w:noWrap w:val="0"/>
                  <w:tcMar>
                    <w:top w:w="0" w:type="dxa"/>
                    <w:left w:w="57" w:type="dxa"/>
                    <w:bottom w:w="0" w:type="dxa"/>
                    <w:right w:w="57" w:type="dxa"/>
                  </w:tcMar>
                  <w:vAlign w:val="center"/>
                </w:tcPr>
                <w:p>
                  <w:pPr>
                    <w:keepNext w:val="0"/>
                    <w:keepLines w:val="0"/>
                    <w:pageBreakBefore w:val="0"/>
                    <w:widowControl/>
                    <w:kinsoku/>
                    <w:wordWrap/>
                    <w:overflowPunct/>
                    <w:topLinePunct w:val="0"/>
                    <w:autoSpaceDE/>
                    <w:autoSpaceDN/>
                    <w:bidi w:val="0"/>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trPr>
              <w:tc>
                <w:tcPr>
                  <w:tcW w:w="335" w:type="pct"/>
                  <w:vMerge w:val="continue"/>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49" w:type="pct"/>
                  <w:vMerge w:val="continue"/>
                  <w:noWrap w:val="0"/>
                  <w:vAlign w:val="center"/>
                </w:tcPr>
                <w:p>
                  <w:pPr>
                    <w:keepNext w:val="0"/>
                    <w:keepLines w:val="0"/>
                    <w:pageBreakBefore w:val="0"/>
                    <w:widowControl/>
                    <w:kinsoku/>
                    <w:wordWrap/>
                    <w:overflowPunct/>
                    <w:topLinePunct w:val="0"/>
                    <w:autoSpaceDE/>
                    <w:autoSpaceDN/>
                    <w:bidi w:val="0"/>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13" w:type="pct"/>
                  <w:vMerge w:val="continue"/>
                  <w:noWrap w:val="0"/>
                  <w:vAlign w:val="center"/>
                </w:tcPr>
                <w:p>
                  <w:pPr>
                    <w:keepNext w:val="0"/>
                    <w:keepLines w:val="0"/>
                    <w:pageBreakBefore w:val="0"/>
                    <w:widowControl/>
                    <w:kinsoku/>
                    <w:wordWrap/>
                    <w:overflowPunct/>
                    <w:topLinePunct w:val="0"/>
                    <w:autoSpaceDE/>
                    <w:autoSpaceDN/>
                    <w:bidi w:val="0"/>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16"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w:t>
                  </w:r>
                </w:p>
              </w:tc>
              <w:tc>
                <w:tcPr>
                  <w:tcW w:w="518"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COD</w:t>
                  </w:r>
                </w:p>
              </w:tc>
              <w:tc>
                <w:tcPr>
                  <w:tcW w:w="516"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BOD</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5</w:t>
                  </w:r>
                </w:p>
              </w:tc>
              <w:tc>
                <w:tcPr>
                  <w:tcW w:w="51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SS</w:t>
                  </w:r>
                </w:p>
              </w:tc>
              <w:tc>
                <w:tcPr>
                  <w:tcW w:w="516"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氨氮</w:t>
                  </w:r>
                </w:p>
              </w:tc>
              <w:tc>
                <w:tcPr>
                  <w:tcW w:w="518"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trPr>
              <w:tc>
                <w:tcPr>
                  <w:tcW w:w="335" w:type="pct"/>
                  <w:vMerge w:val="restart"/>
                  <w:noWrap w:val="0"/>
                  <w:vAlign w:val="center"/>
                </w:tcPr>
                <w:p>
                  <w:pPr>
                    <w:keepNext w:val="0"/>
                    <w:keepLines w:val="0"/>
                    <w:pageBreakBefore w:val="0"/>
                    <w:kinsoku/>
                    <w:wordWrap/>
                    <w:overflowPunct/>
                    <w:topLinePunct w:val="0"/>
                    <w:autoSpaceDE/>
                    <w:autoSpaceDN/>
                    <w:bidi w:val="0"/>
                    <w:snapToGrid/>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p>
              </w:tc>
              <w:tc>
                <w:tcPr>
                  <w:tcW w:w="1049" w:type="pct"/>
                  <w:noWrap w:val="0"/>
                  <w:vAlign w:val="center"/>
                </w:tcPr>
                <w:p>
                  <w:pPr>
                    <w:keepNext w:val="0"/>
                    <w:keepLines w:val="0"/>
                    <w:pageBreakBefore w:val="0"/>
                    <w:kinsoku/>
                    <w:wordWrap/>
                    <w:overflowPunct/>
                    <w:topLinePunct w:val="0"/>
                    <w:autoSpaceDE/>
                    <w:autoSpaceDN/>
                    <w:bidi w:val="0"/>
                    <w:snapToGrid/>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地面冲洗</w:t>
                  </w:r>
                  <w:r>
                    <w:rPr>
                      <w:rFonts w:hint="eastAsia" w:cs="Times New Roman"/>
                      <w:color w:val="000000" w:themeColor="text1"/>
                      <w:sz w:val="21"/>
                      <w:szCs w:val="21"/>
                      <w:highlight w:val="none"/>
                      <w:lang w:val="en-US" w:eastAsia="zh-CN"/>
                      <w14:textFill>
                        <w14:solidFill>
                          <w14:schemeClr w14:val="tx1"/>
                        </w14:solidFill>
                      </w14:textFill>
                    </w:rPr>
                    <w:t>废</w:t>
                  </w:r>
                  <w:r>
                    <w:rPr>
                      <w:rFonts w:hint="default" w:ascii="Times New Roman" w:hAnsi="Times New Roman" w:eastAsia="宋体" w:cs="Times New Roman"/>
                      <w:color w:val="000000" w:themeColor="text1"/>
                      <w:sz w:val="21"/>
                      <w:szCs w:val="21"/>
                      <w:highlight w:val="none"/>
                      <w14:textFill>
                        <w14:solidFill>
                          <w14:schemeClr w14:val="tx1"/>
                        </w14:solidFill>
                      </w14:textFill>
                    </w:rPr>
                    <w:t>水</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2.96</w:t>
                  </w:r>
                </w:p>
              </w:tc>
              <w:tc>
                <w:tcPr>
                  <w:tcW w:w="810" w:type="dxa"/>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6~9</w:t>
                  </w:r>
                </w:p>
              </w:tc>
              <w:tc>
                <w:tcPr>
                  <w:tcW w:w="813" w:type="dxa"/>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w:t>
                  </w:r>
                </w:p>
              </w:tc>
              <w:tc>
                <w:tcPr>
                  <w:tcW w:w="810" w:type="dxa"/>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35</w:t>
                  </w:r>
                </w:p>
              </w:tc>
              <w:tc>
                <w:tcPr>
                  <w:tcW w:w="8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w:t>
                  </w:r>
                </w:p>
              </w:tc>
              <w:tc>
                <w:tcPr>
                  <w:tcW w:w="810" w:type="dxa"/>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813" w:type="dxa"/>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trPr>
              <w:tc>
                <w:tcPr>
                  <w:tcW w:w="335" w:type="pct"/>
                  <w:vMerge w:val="continue"/>
                  <w:noWrap w:val="0"/>
                  <w:vAlign w:val="center"/>
                </w:tcPr>
                <w:p>
                  <w:pPr>
                    <w:keepNext w:val="0"/>
                    <w:keepLines w:val="0"/>
                    <w:pageBreakBefore w:val="0"/>
                    <w:kinsoku/>
                    <w:wordWrap/>
                    <w:overflowPunct/>
                    <w:topLinePunct w:val="0"/>
                    <w:autoSpaceDE/>
                    <w:autoSpaceDN/>
                    <w:bidi w:val="0"/>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49" w:type="pct"/>
                  <w:noWrap w:val="0"/>
                  <w:vAlign w:val="center"/>
                </w:tcPr>
                <w:p>
                  <w:pPr>
                    <w:keepNext w:val="0"/>
                    <w:keepLines w:val="0"/>
                    <w:pageBreakBefore w:val="0"/>
                    <w:kinsoku/>
                    <w:wordWrap/>
                    <w:overflowPunct/>
                    <w:topLinePunct w:val="0"/>
                    <w:autoSpaceDE/>
                    <w:autoSpaceDN/>
                    <w:bidi w:val="0"/>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生活污水</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0.96</w:t>
                  </w:r>
                </w:p>
              </w:tc>
              <w:tc>
                <w:tcPr>
                  <w:tcW w:w="8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6~9</w:t>
                  </w:r>
                </w:p>
              </w:tc>
              <w:tc>
                <w:tcPr>
                  <w:tcW w:w="8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350</w:t>
                  </w:r>
                </w:p>
              </w:tc>
              <w:tc>
                <w:tcPr>
                  <w:tcW w:w="8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200</w:t>
                  </w:r>
                </w:p>
              </w:tc>
              <w:tc>
                <w:tcPr>
                  <w:tcW w:w="8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200</w:t>
                  </w:r>
                </w:p>
              </w:tc>
              <w:tc>
                <w:tcPr>
                  <w:tcW w:w="8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w:t>
                  </w:r>
                </w:p>
              </w:tc>
              <w:tc>
                <w:tcPr>
                  <w:tcW w:w="8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noWrap w:val="0"/>
                  <w:vAlign w:val="center"/>
                </w:tcPr>
                <w:p>
                  <w:pPr>
                    <w:keepNext w:val="0"/>
                    <w:keepLines w:val="0"/>
                    <w:pageBreakBefore w:val="0"/>
                    <w:kinsoku/>
                    <w:wordWrap/>
                    <w:overflowPunct/>
                    <w:topLinePunct w:val="0"/>
                    <w:autoSpaceDE/>
                    <w:autoSpaceDN/>
                    <w:bidi w:val="0"/>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49" w:type="pct"/>
                  <w:noWrap w:val="0"/>
                  <w:vAlign w:val="center"/>
                </w:tcPr>
                <w:p>
                  <w:pPr>
                    <w:keepNext w:val="0"/>
                    <w:keepLines w:val="0"/>
                    <w:pageBreakBefore w:val="0"/>
                    <w:kinsoku/>
                    <w:wordWrap/>
                    <w:overflowPunct/>
                    <w:topLinePunct w:val="0"/>
                    <w:autoSpaceDE/>
                    <w:autoSpaceDN/>
                    <w:bidi w:val="0"/>
                    <w:snapToGrid/>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小计</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18</w:t>
                  </w:r>
                </w:p>
              </w:tc>
              <w:tc>
                <w:tcPr>
                  <w:tcW w:w="8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6~9</w:t>
                  </w:r>
                </w:p>
              </w:tc>
              <w:tc>
                <w:tcPr>
                  <w:tcW w:w="8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175.47 </w:t>
                  </w:r>
                </w:p>
              </w:tc>
              <w:tc>
                <w:tcPr>
                  <w:tcW w:w="8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84.81 </w:t>
                  </w:r>
                </w:p>
              </w:tc>
              <w:tc>
                <w:tcPr>
                  <w:tcW w:w="8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269.81 </w:t>
                  </w:r>
                </w:p>
              </w:tc>
              <w:tc>
                <w:tcPr>
                  <w:tcW w:w="8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6.04 </w:t>
                  </w:r>
                </w:p>
              </w:tc>
              <w:tc>
                <w:tcPr>
                  <w:tcW w:w="8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34.9</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1 </w:t>
                  </w:r>
                </w:p>
              </w:tc>
            </w:tr>
          </w:tbl>
          <w:p>
            <w:pPr>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本项目综合废水满足原有污水处理站进水水质要求，因此本项目依托可行。</w:t>
            </w:r>
          </w:p>
          <w:p>
            <w:pPr>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项目废水经厂区污水处理站处理后，出水水质满足鄂尔多斯市泰鑫煤炭有限公司洗煤用水水质要求，鄂尔多斯市泰鑫煤炭有限公司有能力接纳项目全厂排水，不会影响泰鑫煤炭有限公司正常运行。目前项目厂区与泰鑫煤炭有限公司之间的污水管网已铺设完成，鄂尔多斯市泰鑫煤炭有限公司洗煤采用跳汰工艺，</w:t>
            </w:r>
            <w:r>
              <w:rPr>
                <w:rFonts w:hint="eastAsia"/>
                <w:color w:val="000000" w:themeColor="text1"/>
                <w:highlight w:val="none"/>
                <w:lang w:val="en-US" w:eastAsia="zh-CN"/>
                <w14:textFill>
                  <w14:solidFill>
                    <w14:schemeClr w14:val="tx1"/>
                  </w14:solidFill>
                </w14:textFill>
              </w:rPr>
              <w:t>目前用水来源为园区中水，</w:t>
            </w:r>
            <w:r>
              <w:rPr>
                <w:rFonts w:hint="default"/>
                <w:color w:val="000000" w:themeColor="text1"/>
                <w:highlight w:val="none"/>
                <w14:textFill>
                  <w14:solidFill>
                    <w14:schemeClr w14:val="tx1"/>
                  </w14:solidFill>
                </w14:textFill>
              </w:rPr>
              <w:t>生产补水量为314m</w:t>
            </w:r>
            <w:r>
              <w:rPr>
                <w:rFonts w:hint="default"/>
                <w:color w:val="000000" w:themeColor="text1"/>
                <w:highlight w:val="none"/>
                <w:vertAlign w:val="superscript"/>
                <w14:textFill>
                  <w14:solidFill>
                    <w14:schemeClr w14:val="tx1"/>
                  </w14:solidFill>
                </w14:textFill>
              </w:rPr>
              <w:t>3</w:t>
            </w:r>
            <w:r>
              <w:rPr>
                <w:rFonts w:hint="default"/>
                <w:color w:val="000000" w:themeColor="text1"/>
                <w:highlight w:val="none"/>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距离本项目200米，</w:t>
            </w:r>
            <w:r>
              <w:rPr>
                <w:rFonts w:hint="default"/>
                <w:color w:val="000000" w:themeColor="text1"/>
                <w:highlight w:val="none"/>
                <w14:textFill>
                  <w14:solidFill>
                    <w14:schemeClr w14:val="tx1"/>
                  </w14:solidFill>
                </w14:textFill>
              </w:rPr>
              <w:t>可满足项目的排水需求（废水综合利用接受协议见附件</w:t>
            </w:r>
            <w:commentRangeStart w:id="87"/>
            <w:commentRangeStart w:id="88"/>
            <w:r>
              <w:commentReference w:id="87"/>
            </w:r>
            <w:commentRangeEnd w:id="87"/>
            <w:commentRangeEnd w:id="88"/>
            <w:r>
              <w:commentReference w:id="88"/>
            </w:r>
            <w:r>
              <w:rPr>
                <w:rFonts w:hint="default"/>
                <w:color w:val="000000" w:themeColor="text1"/>
                <w:highlight w:val="none"/>
                <w14:textFill>
                  <w14:solidFill>
                    <w14:schemeClr w14:val="tx1"/>
                  </w14:solidFill>
                </w14:textFill>
              </w:rPr>
              <w:t>）。</w:t>
            </w:r>
          </w:p>
          <w:p>
            <w:pPr>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综上分析，本项目实施后对周围水环境影响较小。</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3、废水监测计划</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w:t>
            </w:r>
            <w:r>
              <w:rPr>
                <w:rFonts w:hint="default" w:ascii="Times New Roman" w:hAnsi="Times New Roman" w:cs="Times New Roman"/>
                <w:color w:val="000000" w:themeColor="text1"/>
                <w:spacing w:val="-3"/>
                <w:sz w:val="24"/>
                <w:szCs w:val="24"/>
                <w14:textFill>
                  <w14:solidFill>
                    <w14:schemeClr w14:val="tx1"/>
                  </w14:solidFill>
                </w14:textFill>
              </w:rPr>
              <w:t>《排</w:t>
            </w:r>
            <w:r>
              <w:rPr>
                <w:color w:val="000000" w:themeColor="text1"/>
                <w:spacing w:val="-3"/>
                <w:sz w:val="24"/>
                <w:szCs w:val="24"/>
                <w14:textFill>
                  <w14:solidFill>
                    <w14:schemeClr w14:val="tx1"/>
                  </w14:solidFill>
                </w14:textFill>
              </w:rPr>
              <w:t>污单位自行监测技术指南 总则》（</w:t>
            </w:r>
            <w:r>
              <w:rPr>
                <w:rFonts w:ascii="Times New Roman" w:hAnsi="Times New Roman" w:eastAsia="Times New Roman" w:cs="Times New Roman"/>
                <w:color w:val="000000" w:themeColor="text1"/>
                <w:spacing w:val="-3"/>
                <w:sz w:val="24"/>
                <w:szCs w:val="24"/>
                <w14:textFill>
                  <w14:solidFill>
                    <w14:schemeClr w14:val="tx1"/>
                  </w14:solidFill>
                </w14:textFill>
              </w:rPr>
              <w:t>HJ819-2017</w:t>
            </w:r>
            <w:r>
              <w:rPr>
                <w:color w:val="000000" w:themeColor="text1"/>
                <w:spacing w:val="-3"/>
                <w:sz w:val="24"/>
                <w:szCs w:val="24"/>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《排污单位自行监测技术指南 石油炼制工业》（HJ 880-2017），本项目废水排放口监测计划如下表。</w:t>
            </w:r>
          </w:p>
          <w:p>
            <w:pPr>
              <w:bidi w:val="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表4-10 废水自行监测计划一览表</w:t>
            </w:r>
          </w:p>
          <w:tbl>
            <w:tblPr>
              <w:tblStyle w:val="27"/>
              <w:tblW w:w="799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40"/>
              <w:gridCol w:w="3647"/>
              <w:gridCol w:w="28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1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b/>
                      <w:bCs/>
                      <w:i w:val="0"/>
                      <w:iCs w:val="0"/>
                      <w:color w:val="000000"/>
                      <w:sz w:val="21"/>
                      <w:szCs w:val="21"/>
                      <w:u w:val="none"/>
                    </w:rPr>
                  </w:pPr>
                  <w:r>
                    <w:rPr>
                      <w:rFonts w:ascii="宋体" w:hAnsi="宋体" w:eastAsia="宋体" w:cs="宋体"/>
                      <w:b/>
                      <w:bCs/>
                      <w:i w:val="0"/>
                      <w:iCs w:val="0"/>
                      <w:color w:val="000000"/>
                      <w:kern w:val="0"/>
                      <w:sz w:val="21"/>
                      <w:szCs w:val="21"/>
                      <w:u w:val="none"/>
                      <w:lang w:val="en-US" w:eastAsia="zh-CN" w:bidi="ar"/>
                    </w:rPr>
                    <w:t>监测点位</w:t>
                  </w:r>
                </w:p>
              </w:tc>
              <w:tc>
                <w:tcPr>
                  <w:tcW w:w="36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b/>
                      <w:bCs/>
                      <w:i w:val="0"/>
                      <w:iCs w:val="0"/>
                      <w:color w:val="000000"/>
                      <w:sz w:val="21"/>
                      <w:szCs w:val="21"/>
                      <w:u w:val="none"/>
                    </w:rPr>
                  </w:pPr>
                  <w:r>
                    <w:rPr>
                      <w:rFonts w:ascii="宋体" w:hAnsi="宋体" w:eastAsia="宋体" w:cs="宋体"/>
                      <w:b/>
                      <w:bCs/>
                      <w:i w:val="0"/>
                      <w:iCs w:val="0"/>
                      <w:color w:val="000000"/>
                      <w:kern w:val="0"/>
                      <w:sz w:val="21"/>
                      <w:szCs w:val="21"/>
                      <w:u w:val="none"/>
                      <w:lang w:val="en-US" w:eastAsia="zh-CN" w:bidi="ar"/>
                    </w:rPr>
                    <w:t>监测指标</w:t>
                  </w:r>
                </w:p>
              </w:tc>
              <w:tc>
                <w:tcPr>
                  <w:tcW w:w="28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b/>
                      <w:bCs/>
                      <w:i w:val="0"/>
                      <w:iCs w:val="0"/>
                      <w:color w:val="000000"/>
                      <w:sz w:val="21"/>
                      <w:szCs w:val="21"/>
                      <w:u w:val="none"/>
                    </w:rPr>
                  </w:pPr>
                  <w:r>
                    <w:rPr>
                      <w:rFonts w:ascii="宋体" w:hAnsi="宋体" w:eastAsia="宋体" w:cs="宋体"/>
                      <w:b/>
                      <w:bCs/>
                      <w:i w:val="0"/>
                      <w:iCs w:val="0"/>
                      <w:color w:val="000000"/>
                      <w:kern w:val="0"/>
                      <w:sz w:val="21"/>
                      <w:szCs w:val="21"/>
                      <w:u w:val="none"/>
                      <w:lang w:val="en-US" w:eastAsia="zh-CN" w:bidi="ar"/>
                    </w:rPr>
                    <w:t>监测频次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15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sz w:val="21"/>
                      <w:szCs w:val="21"/>
                      <w:u w:val="none"/>
                    </w:rPr>
                  </w:pPr>
                  <w:r>
                    <w:rPr>
                      <w:rFonts w:ascii="宋体" w:hAnsi="宋体" w:eastAsia="宋体" w:cs="宋体"/>
                      <w:i w:val="0"/>
                      <w:iCs w:val="0"/>
                      <w:color w:val="000000"/>
                      <w:kern w:val="0"/>
                      <w:sz w:val="21"/>
                      <w:szCs w:val="21"/>
                      <w:u w:val="none"/>
                      <w:lang w:val="en-US" w:eastAsia="zh-CN" w:bidi="ar"/>
                    </w:rPr>
                    <w:t>废水总排放口</w:t>
                  </w:r>
                </w:p>
              </w:tc>
              <w:tc>
                <w:tcPr>
                  <w:tcW w:w="36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sz w:val="21"/>
                      <w:szCs w:val="21"/>
                      <w:u w:val="none"/>
                    </w:rPr>
                  </w:pPr>
                  <w:r>
                    <w:rPr>
                      <w:rFonts w:ascii="宋体" w:hAnsi="宋体" w:eastAsia="宋体" w:cs="宋体"/>
                      <w:i w:val="0"/>
                      <w:iCs w:val="0"/>
                      <w:color w:val="000000"/>
                      <w:kern w:val="0"/>
                      <w:sz w:val="21"/>
                      <w:szCs w:val="21"/>
                      <w:u w:val="none"/>
                      <w:lang w:val="en-US" w:eastAsia="zh-CN" w:bidi="ar"/>
                    </w:rPr>
                    <w:t>流量、化学需氧量、氨氮</w:t>
                  </w:r>
                </w:p>
              </w:tc>
              <w:tc>
                <w:tcPr>
                  <w:tcW w:w="28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304060"/>
                      <w:sz w:val="21"/>
                      <w:szCs w:val="21"/>
                      <w:u w:val="none"/>
                    </w:rPr>
                  </w:pPr>
                  <w:r>
                    <w:rPr>
                      <w:rFonts w:hint="eastAsia" w:ascii="宋体" w:hAnsi="宋体" w:eastAsia="宋体" w:cs="宋体"/>
                      <w:i w:val="0"/>
                      <w:iCs w:val="0"/>
                      <w:color w:val="304060"/>
                      <w:kern w:val="0"/>
                      <w:sz w:val="21"/>
                      <w:szCs w:val="21"/>
                      <w:u w:val="none"/>
                      <w:lang w:val="en-US" w:eastAsia="zh-CN" w:bidi="ar"/>
                    </w:rPr>
                    <w:t>1次/</w:t>
                  </w:r>
                  <w:r>
                    <w:rPr>
                      <w:rFonts w:ascii="宋体" w:hAnsi="宋体" w:eastAsia="宋体" w:cs="宋体"/>
                      <w:i w:val="0"/>
                      <w:iCs w:val="0"/>
                      <w:color w:val="304060"/>
                      <w:kern w:val="0"/>
                      <w:sz w:val="21"/>
                      <w:szCs w:val="21"/>
                      <w:u w:val="none"/>
                      <w:lang w:val="en-US" w:eastAsia="zh-CN" w:bidi="ar"/>
                    </w:rPr>
                    <w:t>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15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sz w:val="21"/>
                      <w:szCs w:val="21"/>
                      <w:u w:val="none"/>
                    </w:rPr>
                  </w:pPr>
                </w:p>
              </w:tc>
              <w:tc>
                <w:tcPr>
                  <w:tcW w:w="36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sz w:val="21"/>
                      <w:szCs w:val="21"/>
                      <w:u w:val="none"/>
                    </w:rPr>
                  </w:pPr>
                  <w:r>
                    <w:rPr>
                      <w:rFonts w:ascii="宋体" w:hAnsi="宋体" w:eastAsia="宋体" w:cs="宋体"/>
                      <w:i w:val="0"/>
                      <w:iCs w:val="0"/>
                      <w:color w:val="000000"/>
                      <w:kern w:val="0"/>
                      <w:sz w:val="21"/>
                      <w:szCs w:val="21"/>
                      <w:u w:val="none"/>
                      <w:lang w:val="en-US" w:eastAsia="zh-CN" w:bidi="ar"/>
                    </w:rPr>
                    <w:t>石油类、pH值、悬浮物、总氮、总磷、硫化物、挥发酚</w:t>
                  </w:r>
                </w:p>
              </w:tc>
              <w:tc>
                <w:tcPr>
                  <w:tcW w:w="28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304060"/>
                      <w:sz w:val="21"/>
                      <w:szCs w:val="21"/>
                      <w:u w:val="none"/>
                    </w:rPr>
                  </w:pPr>
                  <w:r>
                    <w:rPr>
                      <w:rFonts w:hint="eastAsia" w:ascii="宋体" w:hAnsi="宋体" w:eastAsia="宋体" w:cs="宋体"/>
                      <w:i w:val="0"/>
                      <w:iCs w:val="0"/>
                      <w:color w:val="304060"/>
                      <w:kern w:val="0"/>
                      <w:sz w:val="21"/>
                      <w:szCs w:val="21"/>
                      <w:u w:val="none"/>
                      <w:lang w:val="en-US" w:eastAsia="zh-CN" w:bidi="ar"/>
                    </w:rPr>
                    <w:t>1次/</w:t>
                  </w:r>
                  <w:r>
                    <w:rPr>
                      <w:rFonts w:ascii="宋体" w:hAnsi="宋体" w:eastAsia="宋体" w:cs="宋体"/>
                      <w:i w:val="0"/>
                      <w:iCs w:val="0"/>
                      <w:color w:val="304060"/>
                      <w:kern w:val="0"/>
                      <w:sz w:val="21"/>
                      <w:szCs w:val="21"/>
                      <w:u w:val="none"/>
                      <w:lang w:val="en-US" w:eastAsia="zh-CN" w:bidi="ar"/>
                    </w:rPr>
                    <w:t>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15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sz w:val="21"/>
                      <w:szCs w:val="21"/>
                      <w:u w:val="none"/>
                    </w:rPr>
                  </w:pPr>
                </w:p>
              </w:tc>
              <w:tc>
                <w:tcPr>
                  <w:tcW w:w="36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sz w:val="21"/>
                      <w:szCs w:val="21"/>
                      <w:u w:val="none"/>
                    </w:rPr>
                  </w:pPr>
                  <w:r>
                    <w:rPr>
                      <w:rFonts w:ascii="宋体" w:hAnsi="宋体" w:eastAsia="宋体" w:cs="宋体"/>
                      <w:i w:val="0"/>
                      <w:iCs w:val="0"/>
                      <w:color w:val="000000"/>
                      <w:kern w:val="0"/>
                      <w:sz w:val="21"/>
                      <w:szCs w:val="21"/>
                      <w:u w:val="none"/>
                      <w:lang w:val="en-US" w:eastAsia="zh-CN" w:bidi="ar"/>
                    </w:rPr>
                    <w:t>五日生化需氧量、苯</w:t>
                  </w:r>
                </w:p>
              </w:tc>
              <w:tc>
                <w:tcPr>
                  <w:tcW w:w="28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1次/</w:t>
                  </w:r>
                  <w:r>
                    <w:rPr>
                      <w:rFonts w:ascii="宋体" w:hAnsi="宋体" w:eastAsia="宋体" w:cs="宋体"/>
                      <w:i w:val="0"/>
                      <w:iCs w:val="0"/>
                      <w:color w:val="000000"/>
                      <w:kern w:val="0"/>
                      <w:sz w:val="21"/>
                      <w:szCs w:val="21"/>
                      <w:u w:val="none"/>
                      <w:lang w:val="en-US" w:eastAsia="zh-CN" w:bidi="ar"/>
                    </w:rPr>
                    <w:t>季度</w:t>
                  </w:r>
                </w:p>
              </w:tc>
            </w:tr>
          </w:tbl>
          <w:p>
            <w:pPr>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三、声环境影响和保护措施</w:t>
            </w:r>
          </w:p>
          <w:p>
            <w:pPr>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1、噪声源强</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本项目噪声主要来源于卸车泵、输送泵等产生的噪声，噪声级约80～90dB（A）。</w:t>
            </w:r>
          </w:p>
          <w:p>
            <w:pPr>
              <w:bidi w:val="0"/>
              <w:ind w:left="0" w:leftChars="0" w:firstLine="0" w:firstLineChars="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表4-11 设备噪声声源一览表</w:t>
            </w:r>
            <w:r>
              <w:commentReference w:id="89"/>
            </w:r>
          </w:p>
          <w:tbl>
            <w:tblPr>
              <w:tblStyle w:val="99"/>
              <w:tblpPr w:leftFromText="180" w:rightFromText="180" w:vertAnchor="text" w:horzAnchor="page" w:tblpXSpec="center" w:tblpY="249"/>
              <w:tblOverlap w:val="never"/>
              <w:tblW w:w="78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6"/>
              <w:gridCol w:w="997"/>
              <w:gridCol w:w="1594"/>
              <w:gridCol w:w="763"/>
              <w:gridCol w:w="695"/>
              <w:gridCol w:w="432"/>
              <w:gridCol w:w="1324"/>
              <w:gridCol w:w="869"/>
              <w:gridCol w:w="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restart"/>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9"/>
                      <w:sz w:val="20"/>
                      <w:szCs w:val="20"/>
                      <w14:textFill>
                        <w14:solidFill>
                          <w14:schemeClr w14:val="tx1"/>
                        </w14:solidFill>
                      </w14:textFill>
                    </w:rPr>
                    <w:t>序</w:t>
                  </w:r>
                  <w:r>
                    <w:rPr>
                      <w:rFonts w:hint="default" w:ascii="Times New Roman" w:hAnsi="Times New Roman" w:cs="Times New Roman"/>
                      <w:color w:val="000000" w:themeColor="text1"/>
                      <w:spacing w:val="-39"/>
                      <w:sz w:val="20"/>
                      <w:szCs w:val="20"/>
                      <w14:textFill>
                        <w14:solidFill>
                          <w14:schemeClr w14:val="tx1"/>
                        </w14:solidFill>
                      </w14:textFill>
                    </w:rPr>
                    <w:t xml:space="preserve"> </w:t>
                  </w:r>
                  <w:r>
                    <w:rPr>
                      <w:rFonts w:hint="default" w:ascii="Times New Roman" w:hAnsi="Times New Roman" w:cs="Times New Roman"/>
                      <w:color w:val="000000" w:themeColor="text1"/>
                      <w:spacing w:val="9"/>
                      <w:sz w:val="20"/>
                      <w:szCs w:val="20"/>
                      <w14:textFill>
                        <w14:solidFill>
                          <w14:schemeClr w14:val="tx1"/>
                        </w14:solidFill>
                      </w14:textFill>
                    </w:rPr>
                    <w:t>号</w:t>
                  </w:r>
                </w:p>
              </w:tc>
              <w:tc>
                <w:tcPr>
                  <w:tcW w:w="997"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5"/>
                      <w:sz w:val="20"/>
                      <w:szCs w:val="20"/>
                      <w14:textFill>
                        <w14:solidFill>
                          <w14:schemeClr w14:val="tx1"/>
                        </w14:solidFill>
                      </w14:textFill>
                    </w:rPr>
                    <w:t>声源名</w:t>
                  </w:r>
                  <w:r>
                    <w:rPr>
                      <w:rFonts w:hint="default" w:ascii="Times New Roman" w:hAnsi="Times New Roman" w:cs="Times New Roman"/>
                      <w:color w:val="000000" w:themeColor="text1"/>
                      <w:spacing w:val="1"/>
                      <w:sz w:val="20"/>
                      <w:szCs w:val="20"/>
                      <w14:textFill>
                        <w14:solidFill>
                          <w14:schemeClr w14:val="tx1"/>
                        </w14:solidFill>
                      </w14:textFill>
                    </w:rPr>
                    <w:t>称</w:t>
                  </w:r>
                </w:p>
              </w:tc>
              <w:tc>
                <w:tcPr>
                  <w:tcW w:w="1594"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1"/>
                      <w:sz w:val="20"/>
                      <w:szCs w:val="20"/>
                      <w14:textFill>
                        <w14:solidFill>
                          <w14:schemeClr w14:val="tx1"/>
                        </w14:solidFill>
                      </w14:textFill>
                    </w:rPr>
                    <w:t>型号</w:t>
                  </w:r>
                </w:p>
              </w:tc>
              <w:tc>
                <w:tcPr>
                  <w:tcW w:w="1890" w:type="dxa"/>
                  <w:gridSpan w:val="3"/>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6"/>
                      <w:position w:val="1"/>
                      <w:sz w:val="20"/>
                      <w:szCs w:val="20"/>
                      <w14:textFill>
                        <w14:solidFill>
                          <w14:schemeClr w14:val="tx1"/>
                        </w14:solidFill>
                      </w14:textFill>
                    </w:rPr>
                    <w:t>空间相对位置</w:t>
                  </w:r>
                  <w:r>
                    <w:rPr>
                      <w:rFonts w:hint="default" w:ascii="Times New Roman" w:hAnsi="Times New Roman" w:eastAsia="Times New Roman" w:cs="Times New Roman"/>
                      <w:color w:val="000000" w:themeColor="text1"/>
                      <w:spacing w:val="6"/>
                      <w:position w:val="1"/>
                      <w:sz w:val="20"/>
                      <w:szCs w:val="20"/>
                      <w14:textFill>
                        <w14:solidFill>
                          <w14:schemeClr w14:val="tx1"/>
                        </w14:solidFill>
                      </w14:textFill>
                    </w:rPr>
                    <w:t>/m</w:t>
                  </w:r>
                </w:p>
              </w:tc>
              <w:tc>
                <w:tcPr>
                  <w:tcW w:w="1324"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6"/>
                      <w:sz w:val="20"/>
                      <w:szCs w:val="20"/>
                      <w14:textFill>
                        <w14:solidFill>
                          <w14:schemeClr w14:val="tx1"/>
                        </w14:solidFill>
                      </w14:textFill>
                    </w:rPr>
                    <w:t>声源源强</w:t>
                  </w:r>
                </w:p>
              </w:tc>
              <w:tc>
                <w:tcPr>
                  <w:tcW w:w="869"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5"/>
                      <w:sz w:val="20"/>
                      <w:szCs w:val="20"/>
                      <w14:textFill>
                        <w14:solidFill>
                          <w14:schemeClr w14:val="tx1"/>
                        </w14:solidFill>
                      </w14:textFill>
                    </w:rPr>
                    <w:t>声源控</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6"/>
                      <w:sz w:val="20"/>
                      <w:szCs w:val="20"/>
                      <w14:textFill>
                        <w14:solidFill>
                          <w14:schemeClr w14:val="tx1"/>
                        </w14:solidFill>
                      </w14:textFill>
                    </w:rPr>
                    <w:t>制措施</w:t>
                  </w:r>
                </w:p>
              </w:tc>
              <w:tc>
                <w:tcPr>
                  <w:tcW w:w="616" w:type="dxa"/>
                  <w:vMerge w:val="restart"/>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9"/>
                      <w:sz w:val="20"/>
                      <w:szCs w:val="20"/>
                      <w14:textFill>
                        <w14:solidFill>
                          <w14:schemeClr w14:val="tx1"/>
                        </w14:solidFill>
                      </w14:textFill>
                    </w:rPr>
                    <w:t>运</w:t>
                  </w:r>
                  <w:r>
                    <w:rPr>
                      <w:rFonts w:hint="default" w:ascii="Times New Roman" w:hAnsi="Times New Roman" w:cs="Times New Roman"/>
                      <w:color w:val="000000" w:themeColor="text1"/>
                      <w:spacing w:val="-37"/>
                      <w:sz w:val="20"/>
                      <w:szCs w:val="20"/>
                      <w14:textFill>
                        <w14:solidFill>
                          <w14:schemeClr w14:val="tx1"/>
                        </w14:solidFill>
                      </w14:textFill>
                    </w:rPr>
                    <w:t xml:space="preserve"> </w:t>
                  </w:r>
                  <w:r>
                    <w:rPr>
                      <w:rFonts w:hint="default" w:ascii="Times New Roman" w:hAnsi="Times New Roman" w:cs="Times New Roman"/>
                      <w:color w:val="000000" w:themeColor="text1"/>
                      <w:spacing w:val="9"/>
                      <w:sz w:val="20"/>
                      <w:szCs w:val="20"/>
                      <w14:textFill>
                        <w14:solidFill>
                          <w14:schemeClr w14:val="tx1"/>
                        </w14:solidFill>
                      </w14:textFill>
                    </w:rPr>
                    <w:t>行</w:t>
                  </w:r>
                  <w:r>
                    <w:rPr>
                      <w:rFonts w:hint="default" w:ascii="Times New Roman" w:hAnsi="Times New Roman" w:cs="Times New Roman"/>
                      <w:color w:val="000000" w:themeColor="text1"/>
                      <w:spacing w:val="-39"/>
                      <w:sz w:val="20"/>
                      <w:szCs w:val="20"/>
                      <w14:textFill>
                        <w14:solidFill>
                          <w14:schemeClr w14:val="tx1"/>
                        </w14:solidFill>
                      </w14:textFill>
                    </w:rPr>
                    <w:t xml:space="preserve"> </w:t>
                  </w:r>
                  <w:r>
                    <w:rPr>
                      <w:rFonts w:hint="default" w:ascii="Times New Roman" w:hAnsi="Times New Roman" w:cs="Times New Roman"/>
                      <w:color w:val="000000" w:themeColor="text1"/>
                      <w:spacing w:val="9"/>
                      <w:sz w:val="20"/>
                      <w:szCs w:val="20"/>
                      <w14:textFill>
                        <w14:solidFill>
                          <w14:schemeClr w14:val="tx1"/>
                        </w14:solidFill>
                      </w14:textFill>
                    </w:rPr>
                    <w:t>时</w:t>
                  </w:r>
                  <w:r>
                    <w:rPr>
                      <w:rFonts w:hint="default" w:ascii="Times New Roman" w:hAnsi="Times New Roman" w:cs="Times New Roman"/>
                      <w:color w:val="000000" w:themeColor="text1"/>
                      <w:spacing w:val="-36"/>
                      <w:sz w:val="20"/>
                      <w:szCs w:val="20"/>
                      <w14:textFill>
                        <w14:solidFill>
                          <w14:schemeClr w14:val="tx1"/>
                        </w14:solidFill>
                      </w14:textFill>
                    </w:rPr>
                    <w:t xml:space="preserve"> </w:t>
                  </w:r>
                  <w:r>
                    <w:rPr>
                      <w:rFonts w:hint="default" w:ascii="Times New Roman" w:hAnsi="Times New Roman" w:cs="Times New Roman"/>
                      <w:color w:val="000000" w:themeColor="text1"/>
                      <w:spacing w:val="9"/>
                      <w:sz w:val="20"/>
                      <w:szCs w:val="20"/>
                      <w14:textFill>
                        <w14:solidFill>
                          <w14:schemeClr w14:val="tx1"/>
                        </w14:solidFill>
                      </w14:textFill>
                    </w:rPr>
                    <w:t>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continue"/>
                  <w:textDirection w:val="tbRlV"/>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997"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1594"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763"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Times New Roman" w:cs="Times New Roman"/>
                      <w:color w:val="000000" w:themeColor="text1"/>
                      <w:sz w:val="20"/>
                      <w:szCs w:val="20"/>
                      <w14:textFill>
                        <w14:solidFill>
                          <w14:schemeClr w14:val="tx1"/>
                        </w14:solidFill>
                      </w14:textFill>
                    </w:rPr>
                  </w:pPr>
                  <w:r>
                    <w:rPr>
                      <w:rFonts w:hint="default" w:ascii="Times New Roman" w:hAnsi="Times New Roman" w:eastAsia="Times New Roman" w:cs="Times New Roman"/>
                      <w:color w:val="000000" w:themeColor="text1"/>
                      <w:spacing w:val="5"/>
                      <w:sz w:val="20"/>
                      <w:szCs w:val="20"/>
                      <w14:textFill>
                        <w14:solidFill>
                          <w14:schemeClr w14:val="tx1"/>
                        </w14:solidFill>
                      </w14:textFill>
                    </w:rPr>
                    <w:t>X</w:t>
                  </w:r>
                </w:p>
              </w:tc>
              <w:tc>
                <w:tcPr>
                  <w:tcW w:w="695"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Times New Roman" w:cs="Times New Roman"/>
                      <w:color w:val="000000" w:themeColor="text1"/>
                      <w:sz w:val="20"/>
                      <w:szCs w:val="20"/>
                      <w14:textFill>
                        <w14:solidFill>
                          <w14:schemeClr w14:val="tx1"/>
                        </w14:solidFill>
                      </w14:textFill>
                    </w:rPr>
                  </w:pPr>
                  <w:r>
                    <w:rPr>
                      <w:rFonts w:hint="default" w:ascii="Times New Roman" w:hAnsi="Times New Roman" w:eastAsia="Times New Roman" w:cs="Times New Roman"/>
                      <w:color w:val="000000" w:themeColor="text1"/>
                      <w:spacing w:val="4"/>
                      <w:sz w:val="20"/>
                      <w:szCs w:val="20"/>
                      <w14:textFill>
                        <w14:solidFill>
                          <w14:schemeClr w14:val="tx1"/>
                        </w14:solidFill>
                      </w14:textFill>
                    </w:rPr>
                    <w:t>Y</w:t>
                  </w:r>
                </w:p>
              </w:tc>
              <w:tc>
                <w:tcPr>
                  <w:tcW w:w="432"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Times New Roman" w:cs="Times New Roman"/>
                      <w:color w:val="000000" w:themeColor="text1"/>
                      <w:sz w:val="20"/>
                      <w:szCs w:val="20"/>
                      <w14:textFill>
                        <w14:solidFill>
                          <w14:schemeClr w14:val="tx1"/>
                        </w14:solidFill>
                      </w14:textFill>
                    </w:rPr>
                  </w:pPr>
                  <w:r>
                    <w:rPr>
                      <w:rFonts w:hint="default" w:ascii="Times New Roman" w:hAnsi="Times New Roman" w:eastAsia="Times New Roman" w:cs="Times New Roman"/>
                      <w:color w:val="000000" w:themeColor="text1"/>
                      <w:spacing w:val="2"/>
                      <w:sz w:val="20"/>
                      <w:szCs w:val="20"/>
                      <w14:textFill>
                        <w14:solidFill>
                          <w14:schemeClr w14:val="tx1"/>
                        </w14:solidFill>
                      </w14:textFill>
                    </w:rPr>
                    <w:t>Z</w:t>
                  </w:r>
                </w:p>
              </w:tc>
              <w:tc>
                <w:tcPr>
                  <w:tcW w:w="1324"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8"/>
                      <w:position w:val="1"/>
                      <w:sz w:val="20"/>
                      <w:szCs w:val="20"/>
                      <w14:textFill>
                        <w14:solidFill>
                          <w14:schemeClr w14:val="tx1"/>
                        </w14:solidFill>
                      </w14:textFill>
                    </w:rPr>
                    <w:t>声压级</w:t>
                  </w:r>
                  <w:r>
                    <w:rPr>
                      <w:rFonts w:hint="default" w:ascii="Times New Roman" w:hAnsi="Times New Roman" w:eastAsia="Times New Roman" w:cs="Times New Roman"/>
                      <w:color w:val="000000" w:themeColor="text1"/>
                      <w:spacing w:val="8"/>
                      <w:position w:val="1"/>
                      <w:sz w:val="20"/>
                      <w:szCs w:val="20"/>
                      <w14:textFill>
                        <w14:solidFill>
                          <w14:schemeClr w14:val="tx1"/>
                        </w14:solidFill>
                      </w14:textFill>
                    </w:rPr>
                    <w:t>/</w:t>
                  </w:r>
                  <w:r>
                    <w:rPr>
                      <w:rFonts w:hint="default" w:ascii="Times New Roman" w:hAnsi="Times New Roman" w:eastAsia="Times New Roman" w:cs="Times New Roman"/>
                      <w:color w:val="000000" w:themeColor="text1"/>
                      <w:position w:val="1"/>
                      <w:sz w:val="20"/>
                      <w:szCs w:val="20"/>
                      <w14:textFill>
                        <w14:solidFill>
                          <w14:schemeClr w14:val="tx1"/>
                        </w14:solidFill>
                      </w14:textFill>
                    </w:rPr>
                    <w:t>dB</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1"/>
                      <w:sz w:val="20"/>
                      <w:szCs w:val="20"/>
                      <w14:textFill>
                        <w14:solidFill>
                          <w14:schemeClr w14:val="tx1"/>
                        </w14:solidFill>
                      </w14:textFill>
                    </w:rPr>
                    <w:t>（</w:t>
                  </w:r>
                  <w:r>
                    <w:rPr>
                      <w:rFonts w:hint="default" w:ascii="Times New Roman" w:hAnsi="Times New Roman" w:eastAsia="Times New Roman" w:cs="Times New Roman"/>
                      <w:color w:val="000000" w:themeColor="text1"/>
                      <w:spacing w:val="-1"/>
                      <w:sz w:val="20"/>
                      <w:szCs w:val="20"/>
                      <w14:textFill>
                        <w14:solidFill>
                          <w14:schemeClr w14:val="tx1"/>
                        </w14:solidFill>
                      </w14:textFill>
                    </w:rPr>
                    <w:t>A</w:t>
                  </w:r>
                  <w:r>
                    <w:rPr>
                      <w:rFonts w:hint="default" w:ascii="Times New Roman" w:hAnsi="Times New Roman" w:cs="Times New Roman"/>
                      <w:color w:val="000000" w:themeColor="text1"/>
                      <w:spacing w:val="-1"/>
                      <w:sz w:val="20"/>
                      <w:szCs w:val="20"/>
                      <w14:textFill>
                        <w14:solidFill>
                          <w14:schemeClr w14:val="tx1"/>
                        </w14:solidFill>
                      </w14:textFill>
                    </w:rPr>
                    <w:t>）</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616" w:type="dxa"/>
                  <w:vMerge w:val="continue"/>
                  <w:textDirection w:val="tbRlV"/>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0"/>
                      <w:szCs w:val="20"/>
                      <w:lang w:val="en-US" w:eastAsia="zh-CN" w:bidi="ar-SA"/>
                      <w14:textFill>
                        <w14:solidFill>
                          <w14:schemeClr w14:val="tx1"/>
                        </w14:solidFill>
                      </w14:textFill>
                    </w:rPr>
                  </w:pPr>
                  <w:r>
                    <w:rPr>
                      <w:rFonts w:hint="default" w:ascii="Times New Roman" w:hAnsi="Times New Roman" w:cs="Times New Roman"/>
                      <w:color w:val="000000" w:themeColor="text1"/>
                      <w:sz w:val="20"/>
                      <w:szCs w:val="20"/>
                      <w:lang w:val="en-US" w:eastAsia="zh-CN"/>
                      <w14:textFill>
                        <w14:solidFill>
                          <w14:schemeClr w14:val="tx1"/>
                        </w14:solidFill>
                      </w14:textFill>
                    </w:rPr>
                    <w:t>1</w:t>
                  </w:r>
                </w:p>
              </w:tc>
              <w:tc>
                <w:tcPr>
                  <w:tcW w:w="997" w:type="dxa"/>
                  <w:shd w:val="clear" w:color="auto" w:fill="auto"/>
                  <w:vAlign w:val="center"/>
                </w:tcPr>
                <w:p>
                  <w:pPr>
                    <w:spacing w:line="240" w:lineRule="auto"/>
                    <w:ind w:firstLine="0" w:firstLineChars="0"/>
                    <w:jc w:val="center"/>
                    <w:rPr>
                      <w:rFonts w:hint="default" w:ascii="Times New Roman" w:hAnsi="Times New Roman" w:eastAsia="宋体" w:cs="Times New Roman"/>
                      <w:color w:val="000000" w:themeColor="text1"/>
                      <w:spacing w:val="-3"/>
                      <w:kern w:val="2"/>
                      <w:sz w:val="20"/>
                      <w:szCs w:val="20"/>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煤基柴油</w:t>
                  </w:r>
                  <w:r>
                    <w:rPr>
                      <w:rFonts w:hint="default" w:ascii="Times New Roman" w:hAnsi="Times New Roman" w:cs="Times New Roman"/>
                      <w:color w:val="000000" w:themeColor="text1"/>
                      <w:sz w:val="21"/>
                      <w:szCs w:val="21"/>
                      <w14:textFill>
                        <w14:solidFill>
                          <w14:schemeClr w14:val="tx1"/>
                        </w14:solidFill>
                      </w14:textFill>
                    </w:rPr>
                    <w:t>卸车泵</w:t>
                  </w:r>
                </w:p>
              </w:tc>
              <w:tc>
                <w:tcPr>
                  <w:tcW w:w="1594" w:type="dxa"/>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离心泵</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流量：30m³/h</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扬程：80m</w:t>
                  </w:r>
                </w:p>
                <w:p>
                  <w:pPr>
                    <w:spacing w:line="240" w:lineRule="auto"/>
                    <w:ind w:firstLine="0" w:firstLineChars="0"/>
                    <w:jc w:val="center"/>
                    <w:rPr>
                      <w:rFonts w:hint="default" w:ascii="Times New Roman" w:hAnsi="Times New Roman" w:eastAsia="Times New Roman" w:cs="Times New Roman"/>
                      <w:color w:val="000000" w:themeColor="text1"/>
                      <w:spacing w:val="2"/>
                      <w:kern w:val="2"/>
                      <w:position w:val="1"/>
                      <w:sz w:val="20"/>
                      <w:szCs w:val="20"/>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轴功率：6.31kw</w:t>
                  </w:r>
                </w:p>
              </w:tc>
              <w:tc>
                <w:tcPr>
                  <w:tcW w:w="763"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spacing w:val="2"/>
                      <w:kern w:val="2"/>
                      <w:position w:val="2"/>
                      <w:sz w:val="20"/>
                      <w:szCs w:val="20"/>
                      <w:lang w:val="en-US" w:eastAsia="zh-CN" w:bidi="ar-SA"/>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344.8</w:t>
                  </w:r>
                </w:p>
              </w:tc>
              <w:tc>
                <w:tcPr>
                  <w:tcW w:w="695"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kern w:val="2"/>
                      <w:position w:val="2"/>
                      <w:sz w:val="20"/>
                      <w:szCs w:val="20"/>
                      <w:lang w:val="en-US" w:eastAsia="zh-CN" w:bidi="ar-SA"/>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19.8</w:t>
                  </w:r>
                </w:p>
              </w:tc>
              <w:tc>
                <w:tcPr>
                  <w:tcW w:w="432"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kern w:val="2"/>
                      <w:position w:val="1"/>
                      <w:sz w:val="20"/>
                      <w:szCs w:val="20"/>
                      <w:lang w:val="en-US" w:eastAsia="zh-CN" w:bidi="ar-SA"/>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1324"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spacing w:val="-2"/>
                      <w:kern w:val="2"/>
                      <w:position w:val="2"/>
                      <w:sz w:val="20"/>
                      <w:szCs w:val="20"/>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t>90</w:t>
                  </w:r>
                </w:p>
              </w:tc>
              <w:tc>
                <w:tcPr>
                  <w:tcW w:w="869"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7"/>
                      <w:sz w:val="20"/>
                      <w:szCs w:val="20"/>
                      <w14:textFill>
                        <w14:solidFill>
                          <w14:schemeClr w14:val="tx1"/>
                        </w14:solidFill>
                      </w14:textFill>
                    </w:rPr>
                    <w:t>低噪声</w:t>
                  </w:r>
                  <w:r>
                    <w:rPr>
                      <w:rFonts w:hint="default" w:ascii="Times New Roman" w:hAnsi="Times New Roman" w:cs="Times New Roman"/>
                      <w:color w:val="000000" w:themeColor="text1"/>
                      <w:spacing w:val="2"/>
                      <w:sz w:val="20"/>
                      <w:szCs w:val="20"/>
                      <w14:textFill>
                        <w14:solidFill>
                          <w14:schemeClr w14:val="tx1"/>
                        </w14:solidFill>
                      </w14:textFill>
                    </w:rPr>
                    <w:t>设备、</w:t>
                  </w:r>
                  <w:r>
                    <w:rPr>
                      <w:rFonts w:hint="default" w:ascii="Times New Roman" w:hAnsi="Times New Roman" w:cs="Times New Roman"/>
                      <w:color w:val="000000" w:themeColor="text1"/>
                      <w:spacing w:val="6"/>
                      <w:sz w:val="20"/>
                      <w:szCs w:val="20"/>
                      <w14:textFill>
                        <w14:solidFill>
                          <w14:schemeClr w14:val="tx1"/>
                        </w14:solidFill>
                      </w14:textFill>
                    </w:rPr>
                    <w:t>基础减</w:t>
                  </w:r>
                  <w:r>
                    <w:rPr>
                      <w:rFonts w:hint="default" w:ascii="Times New Roman" w:hAnsi="Times New Roman" w:cs="Times New Roman"/>
                      <w:color w:val="000000" w:themeColor="text1"/>
                      <w:spacing w:val="1"/>
                      <w:sz w:val="20"/>
                      <w:szCs w:val="20"/>
                      <w14:textFill>
                        <w14:solidFill>
                          <w14:schemeClr w14:val="tx1"/>
                        </w14:solidFill>
                      </w14:textFill>
                    </w:rPr>
                    <w:t>振</w:t>
                  </w:r>
                </w:p>
              </w:tc>
              <w:tc>
                <w:tcPr>
                  <w:tcW w:w="616" w:type="dxa"/>
                  <w:vMerge w:val="restart"/>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9"/>
                      <w:sz w:val="20"/>
                      <w:szCs w:val="20"/>
                      <w14:textFill>
                        <w14:solidFill>
                          <w14:schemeClr w14:val="tx1"/>
                        </w14:solidFill>
                      </w14:textFill>
                    </w:rPr>
                    <w:t>间</w:t>
                  </w:r>
                  <w:r>
                    <w:rPr>
                      <w:rFonts w:hint="default" w:ascii="Times New Roman" w:hAnsi="Times New Roman" w:cs="Times New Roman"/>
                      <w:color w:val="000000" w:themeColor="text1"/>
                      <w:spacing w:val="-36"/>
                      <w:sz w:val="20"/>
                      <w:szCs w:val="20"/>
                      <w14:textFill>
                        <w14:solidFill>
                          <w14:schemeClr w14:val="tx1"/>
                        </w14:solidFill>
                      </w14:textFill>
                    </w:rPr>
                    <w:t xml:space="preserve"> </w:t>
                  </w:r>
                  <w:r>
                    <w:rPr>
                      <w:rFonts w:hint="default" w:ascii="Times New Roman" w:hAnsi="Times New Roman" w:cs="Times New Roman"/>
                      <w:color w:val="000000" w:themeColor="text1"/>
                      <w:spacing w:val="9"/>
                      <w:sz w:val="20"/>
                      <w:szCs w:val="20"/>
                      <w14:textFill>
                        <w14:solidFill>
                          <w14:schemeClr w14:val="tx1"/>
                        </w14:solidFill>
                      </w14:textFill>
                    </w:rPr>
                    <w:t>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z w:val="20"/>
                      <w:szCs w:val="20"/>
                      <w:lang w:val="en-US" w:eastAsia="zh-CN"/>
                      <w14:textFill>
                        <w14:solidFill>
                          <w14:schemeClr w14:val="tx1"/>
                        </w14:solidFill>
                      </w14:textFill>
                    </w:rPr>
                    <w:t>2</w:t>
                  </w:r>
                </w:p>
              </w:tc>
              <w:tc>
                <w:tcPr>
                  <w:tcW w:w="997" w:type="dxa"/>
                  <w:vAlign w:val="center"/>
                </w:tcPr>
                <w:p>
                  <w:pPr>
                    <w:spacing w:line="240" w:lineRule="auto"/>
                    <w:ind w:firstLine="0" w:firstLineChars="0"/>
                    <w:jc w:val="center"/>
                    <w:rPr>
                      <w:rFonts w:hint="default" w:ascii="Times New Roman" w:hAnsi="Times New Roman" w:cs="Times New Roman"/>
                      <w:color w:val="000000" w:themeColor="text1"/>
                      <w:spacing w:val="-3"/>
                      <w:sz w:val="20"/>
                      <w:szCs w:val="20"/>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轻质柴油</w:t>
                  </w:r>
                  <w:r>
                    <w:rPr>
                      <w:rFonts w:hint="default" w:ascii="Times New Roman" w:hAnsi="Times New Roman" w:cs="Times New Roman"/>
                      <w:color w:val="000000" w:themeColor="text1"/>
                      <w:sz w:val="21"/>
                      <w:szCs w:val="21"/>
                      <w14:textFill>
                        <w14:solidFill>
                          <w14:schemeClr w14:val="tx1"/>
                        </w14:solidFill>
                      </w14:textFill>
                    </w:rPr>
                    <w:t>卸车泵一</w:t>
                  </w:r>
                </w:p>
              </w:tc>
              <w:tc>
                <w:tcPr>
                  <w:tcW w:w="1594" w:type="dxa"/>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离心泵</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流量：45m³/h</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扬程：80m</w:t>
                  </w:r>
                </w:p>
                <w:p>
                  <w:pPr>
                    <w:spacing w:line="240" w:lineRule="auto"/>
                    <w:ind w:firstLine="0" w:firstLineChars="0"/>
                    <w:jc w:val="center"/>
                    <w:rPr>
                      <w:rFonts w:hint="default" w:ascii="Times New Roman" w:hAnsi="Times New Roman" w:eastAsia="Times New Roman" w:cs="Times New Roman"/>
                      <w:color w:val="000000" w:themeColor="text1"/>
                      <w:spacing w:val="2"/>
                      <w:position w:val="1"/>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轴功率：9.47kw</w:t>
                  </w:r>
                </w:p>
              </w:tc>
              <w:tc>
                <w:tcPr>
                  <w:tcW w:w="76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spacing w:val="2"/>
                      <w:position w:val="2"/>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334.9</w:t>
                  </w:r>
                </w:p>
              </w:tc>
              <w:tc>
                <w:tcPr>
                  <w:tcW w:w="69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2"/>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-3.6</w:t>
                  </w:r>
                </w:p>
              </w:tc>
              <w:tc>
                <w:tcPr>
                  <w:tcW w:w="4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1"/>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1324"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pPr>
                  <w: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t>90</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616" w:type="dxa"/>
                  <w:vMerge w:val="continue"/>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pacing w:val="9"/>
                      <w:sz w:val="20"/>
                      <w:szCs w:val="2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z w:val="20"/>
                      <w:szCs w:val="20"/>
                      <w:lang w:val="en-US" w:eastAsia="zh-CN"/>
                      <w14:textFill>
                        <w14:solidFill>
                          <w14:schemeClr w14:val="tx1"/>
                        </w14:solidFill>
                      </w14:textFill>
                    </w:rPr>
                    <w:t>3</w:t>
                  </w:r>
                </w:p>
              </w:tc>
              <w:tc>
                <w:tcPr>
                  <w:tcW w:w="997" w:type="dxa"/>
                  <w:vAlign w:val="center"/>
                </w:tcPr>
                <w:p>
                  <w:pPr>
                    <w:spacing w:line="240" w:lineRule="auto"/>
                    <w:ind w:firstLine="0" w:firstLineChars="0"/>
                    <w:jc w:val="center"/>
                    <w:rPr>
                      <w:rFonts w:hint="default" w:ascii="Times New Roman" w:hAnsi="Times New Roman" w:cs="Times New Roman"/>
                      <w:color w:val="000000" w:themeColor="text1"/>
                      <w:spacing w:val="-3"/>
                      <w:sz w:val="20"/>
                      <w:szCs w:val="20"/>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煤基柴油</w:t>
                  </w:r>
                  <w:r>
                    <w:rPr>
                      <w:rFonts w:hint="default" w:ascii="Times New Roman" w:hAnsi="Times New Roman" w:cs="Times New Roman"/>
                      <w:color w:val="000000" w:themeColor="text1"/>
                      <w:sz w:val="21"/>
                      <w:szCs w:val="21"/>
                      <w14:textFill>
                        <w14:solidFill>
                          <w14:schemeClr w14:val="tx1"/>
                        </w14:solidFill>
                      </w14:textFill>
                    </w:rPr>
                    <w:t>输送泵</w:t>
                  </w:r>
                </w:p>
              </w:tc>
              <w:tc>
                <w:tcPr>
                  <w:tcW w:w="1594" w:type="dxa"/>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离心泵</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流量：30m³/h</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扬程：60m</w:t>
                  </w:r>
                </w:p>
                <w:p>
                  <w:pPr>
                    <w:spacing w:line="240" w:lineRule="auto"/>
                    <w:ind w:firstLine="0" w:firstLineChars="0"/>
                    <w:jc w:val="center"/>
                    <w:rPr>
                      <w:rFonts w:hint="default" w:ascii="Times New Roman" w:hAnsi="Times New Roman" w:eastAsia="Times New Roman" w:cs="Times New Roman"/>
                      <w:color w:val="000000" w:themeColor="text1"/>
                      <w:spacing w:val="2"/>
                      <w:position w:val="1"/>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轴功率：4.73kw</w:t>
                  </w:r>
                </w:p>
              </w:tc>
              <w:tc>
                <w:tcPr>
                  <w:tcW w:w="763"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spacing w:val="2"/>
                      <w:kern w:val="2"/>
                      <w:position w:val="2"/>
                      <w:sz w:val="20"/>
                      <w:szCs w:val="20"/>
                      <w:lang w:val="en-US" w:eastAsia="zh-CN" w:bidi="ar-SA"/>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342.7</w:t>
                  </w:r>
                </w:p>
              </w:tc>
              <w:tc>
                <w:tcPr>
                  <w:tcW w:w="69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2"/>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-65.4</w:t>
                  </w:r>
                </w:p>
              </w:tc>
              <w:tc>
                <w:tcPr>
                  <w:tcW w:w="4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1"/>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1324"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pPr>
                  <w: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t>90</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616" w:type="dxa"/>
                  <w:vMerge w:val="continue"/>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pacing w:val="9"/>
                      <w:sz w:val="20"/>
                      <w:szCs w:val="2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z w:val="20"/>
                      <w:szCs w:val="20"/>
                      <w:lang w:val="en-US" w:eastAsia="zh-CN"/>
                      <w14:textFill>
                        <w14:solidFill>
                          <w14:schemeClr w14:val="tx1"/>
                        </w14:solidFill>
                      </w14:textFill>
                    </w:rPr>
                    <w:t>4</w:t>
                  </w:r>
                </w:p>
              </w:tc>
              <w:tc>
                <w:tcPr>
                  <w:tcW w:w="997" w:type="dxa"/>
                  <w:vAlign w:val="center"/>
                </w:tcPr>
                <w:p>
                  <w:pPr>
                    <w:spacing w:line="240" w:lineRule="auto"/>
                    <w:ind w:firstLine="0" w:firstLineChars="0"/>
                    <w:jc w:val="center"/>
                    <w:rPr>
                      <w:rFonts w:hint="default" w:ascii="Times New Roman" w:hAnsi="Times New Roman" w:cs="Times New Roman"/>
                      <w:color w:val="000000" w:themeColor="text1"/>
                      <w:spacing w:val="-3"/>
                      <w:sz w:val="20"/>
                      <w:szCs w:val="20"/>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轻质柴油</w:t>
                  </w:r>
                  <w:r>
                    <w:rPr>
                      <w:rFonts w:hint="default" w:ascii="Times New Roman" w:hAnsi="Times New Roman" w:cs="Times New Roman"/>
                      <w:color w:val="000000" w:themeColor="text1"/>
                      <w:sz w:val="21"/>
                      <w:szCs w:val="21"/>
                      <w14:textFill>
                        <w14:solidFill>
                          <w14:schemeClr w14:val="tx1"/>
                        </w14:solidFill>
                      </w14:textFill>
                    </w:rPr>
                    <w:t>输送泵</w:t>
                  </w:r>
                </w:p>
              </w:tc>
              <w:tc>
                <w:tcPr>
                  <w:tcW w:w="1594" w:type="dxa"/>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离心泵</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流量：150m³/h</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扬程：60m</w:t>
                  </w:r>
                </w:p>
                <w:p>
                  <w:pPr>
                    <w:spacing w:line="240" w:lineRule="auto"/>
                    <w:ind w:firstLine="0" w:firstLineChars="0"/>
                    <w:jc w:val="center"/>
                    <w:rPr>
                      <w:rFonts w:hint="default" w:ascii="Times New Roman" w:hAnsi="Times New Roman" w:eastAsia="Times New Roman" w:cs="Times New Roman"/>
                      <w:color w:val="000000" w:themeColor="text1"/>
                      <w:spacing w:val="2"/>
                      <w:position w:val="1"/>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轴功率：23.66kw</w:t>
                  </w:r>
                </w:p>
              </w:tc>
              <w:tc>
                <w:tcPr>
                  <w:tcW w:w="763" w:type="dxa"/>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spacing w:val="2"/>
                      <w:kern w:val="2"/>
                      <w:position w:val="2"/>
                      <w:sz w:val="20"/>
                      <w:szCs w:val="20"/>
                      <w:lang w:val="en-US" w:eastAsia="zh-CN" w:bidi="ar-SA"/>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344.1</w:t>
                  </w:r>
                </w:p>
              </w:tc>
              <w:tc>
                <w:tcPr>
                  <w:tcW w:w="69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2"/>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-53.9</w:t>
                  </w:r>
                </w:p>
              </w:tc>
              <w:tc>
                <w:tcPr>
                  <w:tcW w:w="4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1"/>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1324"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pPr>
                  <w: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t>90</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616" w:type="dxa"/>
                  <w:vMerge w:val="continue"/>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pacing w:val="9"/>
                      <w:sz w:val="20"/>
                      <w:szCs w:val="2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z w:val="20"/>
                      <w:szCs w:val="20"/>
                      <w:lang w:val="en-US" w:eastAsia="zh-CN"/>
                      <w14:textFill>
                        <w14:solidFill>
                          <w14:schemeClr w14:val="tx1"/>
                        </w14:solidFill>
                      </w14:textFill>
                    </w:rPr>
                    <w:t>5</w:t>
                  </w:r>
                </w:p>
              </w:tc>
              <w:tc>
                <w:tcPr>
                  <w:tcW w:w="997" w:type="dxa"/>
                  <w:vAlign w:val="center"/>
                </w:tcPr>
                <w:p>
                  <w:pPr>
                    <w:spacing w:line="240" w:lineRule="auto"/>
                    <w:ind w:firstLine="0" w:firstLineChars="0"/>
                    <w:jc w:val="center"/>
                    <w:rPr>
                      <w:rFonts w:hint="default" w:ascii="Times New Roman" w:hAnsi="Times New Roman" w:cs="Times New Roman"/>
                      <w:color w:val="000000" w:themeColor="text1"/>
                      <w:spacing w:val="-3"/>
                      <w:sz w:val="20"/>
                      <w:szCs w:val="20"/>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油品调和</w:t>
                  </w:r>
                  <w:r>
                    <w:rPr>
                      <w:rFonts w:hint="default" w:ascii="Times New Roman" w:hAnsi="Times New Roman" w:cs="Times New Roman"/>
                      <w:color w:val="000000" w:themeColor="text1"/>
                      <w:sz w:val="21"/>
                      <w:szCs w:val="21"/>
                      <w14:textFill>
                        <w14:solidFill>
                          <w14:schemeClr w14:val="tx1"/>
                        </w14:solidFill>
                      </w14:textFill>
                    </w:rPr>
                    <w:t>泵</w:t>
                  </w:r>
                </w:p>
              </w:tc>
              <w:tc>
                <w:tcPr>
                  <w:tcW w:w="1594" w:type="dxa"/>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离心泵</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流量：10m³/h</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扬程:60m</w:t>
                  </w:r>
                </w:p>
                <w:p>
                  <w:pPr>
                    <w:spacing w:line="240" w:lineRule="auto"/>
                    <w:ind w:firstLine="0" w:firstLineChars="0"/>
                    <w:jc w:val="center"/>
                    <w:rPr>
                      <w:rFonts w:hint="default" w:ascii="Times New Roman" w:hAnsi="Times New Roman" w:eastAsia="Times New Roman" w:cs="Times New Roman"/>
                      <w:color w:val="000000" w:themeColor="text1"/>
                      <w:spacing w:val="2"/>
                      <w:position w:val="1"/>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轴功率：1.73kw</w:t>
                  </w:r>
                </w:p>
              </w:tc>
              <w:tc>
                <w:tcPr>
                  <w:tcW w:w="76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spacing w:val="2"/>
                      <w:position w:val="2"/>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333</w:t>
                  </w:r>
                </w:p>
              </w:tc>
              <w:tc>
                <w:tcPr>
                  <w:tcW w:w="69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position w:val="2"/>
                      <w:sz w:val="20"/>
                      <w:szCs w:val="20"/>
                      <w:lang w:val="en-US" w:eastAsia="zh-CN"/>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-13.3</w:t>
                  </w:r>
                </w:p>
              </w:tc>
              <w:tc>
                <w:tcPr>
                  <w:tcW w:w="4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1"/>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1324"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pPr>
                  <w: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t>90</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616" w:type="dxa"/>
                  <w:vMerge w:val="continue"/>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pacing w:val="9"/>
                      <w:sz w:val="20"/>
                      <w:szCs w:val="2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z w:val="20"/>
                      <w:szCs w:val="20"/>
                      <w:lang w:val="en-US" w:eastAsia="zh-CN"/>
                      <w14:textFill>
                        <w14:solidFill>
                          <w14:schemeClr w14:val="tx1"/>
                        </w14:solidFill>
                      </w14:textFill>
                    </w:rPr>
                    <w:t>6</w:t>
                  </w:r>
                </w:p>
              </w:tc>
              <w:tc>
                <w:tcPr>
                  <w:tcW w:w="997" w:type="dxa"/>
                  <w:vAlign w:val="center"/>
                </w:tcPr>
                <w:p>
                  <w:pPr>
                    <w:spacing w:line="240" w:lineRule="auto"/>
                    <w:ind w:firstLine="0" w:firstLineChars="0"/>
                    <w:jc w:val="center"/>
                    <w:rPr>
                      <w:rFonts w:hint="default" w:ascii="Times New Roman" w:hAnsi="Times New Roman" w:cs="Times New Roman"/>
                      <w:color w:val="000000" w:themeColor="text1"/>
                      <w:spacing w:val="-3"/>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汽油输送泵</w:t>
                  </w:r>
                </w:p>
              </w:tc>
              <w:tc>
                <w:tcPr>
                  <w:tcW w:w="1594" w:type="dxa"/>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离心泵</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流量：10m³/h</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扬程:60m</w:t>
                  </w:r>
                </w:p>
                <w:p>
                  <w:pPr>
                    <w:spacing w:line="240" w:lineRule="auto"/>
                    <w:ind w:firstLine="0" w:firstLineChars="0"/>
                    <w:jc w:val="center"/>
                    <w:rPr>
                      <w:rFonts w:hint="default" w:ascii="Times New Roman" w:hAnsi="Times New Roman" w:eastAsia="Times New Roman" w:cs="Times New Roman"/>
                      <w:color w:val="000000" w:themeColor="text1"/>
                      <w:spacing w:val="2"/>
                      <w:position w:val="1"/>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轴功率：1.41kw</w:t>
                  </w:r>
                </w:p>
              </w:tc>
              <w:tc>
                <w:tcPr>
                  <w:tcW w:w="76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spacing w:val="2"/>
                      <w:position w:val="2"/>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334.4</w:t>
                  </w:r>
                </w:p>
              </w:tc>
              <w:tc>
                <w:tcPr>
                  <w:tcW w:w="69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position w:val="2"/>
                      <w:sz w:val="20"/>
                      <w:szCs w:val="20"/>
                      <w:lang w:val="en-US" w:eastAsia="zh-CN"/>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-7.7</w:t>
                  </w:r>
                </w:p>
              </w:tc>
              <w:tc>
                <w:tcPr>
                  <w:tcW w:w="4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1"/>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1324"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pPr>
                  <w: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t>90</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616" w:type="dxa"/>
                  <w:vMerge w:val="continue"/>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pacing w:val="9"/>
                      <w:sz w:val="20"/>
                      <w:szCs w:val="2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z w:val="20"/>
                      <w:szCs w:val="20"/>
                      <w:lang w:val="en-US" w:eastAsia="zh-CN"/>
                      <w14:textFill>
                        <w14:solidFill>
                          <w14:schemeClr w14:val="tx1"/>
                        </w14:solidFill>
                      </w14:textFill>
                    </w:rPr>
                    <w:t>7</w:t>
                  </w:r>
                </w:p>
              </w:tc>
              <w:tc>
                <w:tcPr>
                  <w:tcW w:w="997" w:type="dxa"/>
                  <w:vAlign w:val="center"/>
                </w:tcPr>
                <w:p>
                  <w:pPr>
                    <w:spacing w:line="240" w:lineRule="auto"/>
                    <w:ind w:firstLine="0" w:firstLineChars="0"/>
                    <w:jc w:val="center"/>
                    <w:rPr>
                      <w:rFonts w:hint="default" w:ascii="Times New Roman" w:hAnsi="Times New Roman" w:cs="Times New Roman"/>
                      <w:color w:val="000000" w:themeColor="text1"/>
                      <w:spacing w:val="-3"/>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油品调和泵二</w:t>
                  </w:r>
                </w:p>
              </w:tc>
              <w:tc>
                <w:tcPr>
                  <w:tcW w:w="1594" w:type="dxa"/>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离心泵</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流量：150m³/h</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扬程:60m</w:t>
                  </w:r>
                </w:p>
                <w:p>
                  <w:pPr>
                    <w:spacing w:line="240" w:lineRule="auto"/>
                    <w:ind w:firstLine="0" w:firstLineChars="0"/>
                    <w:jc w:val="center"/>
                    <w:rPr>
                      <w:rFonts w:hint="default" w:ascii="Times New Roman" w:hAnsi="Times New Roman" w:eastAsia="Times New Roman" w:cs="Times New Roman"/>
                      <w:color w:val="000000" w:themeColor="text1"/>
                      <w:spacing w:val="2"/>
                      <w:position w:val="1"/>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轴功率：23.66kw</w:t>
                  </w:r>
                </w:p>
              </w:tc>
              <w:tc>
                <w:tcPr>
                  <w:tcW w:w="76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spacing w:val="2"/>
                      <w:position w:val="2"/>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342.7</w:t>
                  </w:r>
                </w:p>
              </w:tc>
              <w:tc>
                <w:tcPr>
                  <w:tcW w:w="69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position w:val="2"/>
                      <w:sz w:val="20"/>
                      <w:szCs w:val="20"/>
                      <w:lang w:val="en-US" w:eastAsia="zh-CN"/>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8.5</w:t>
                  </w:r>
                </w:p>
              </w:tc>
              <w:tc>
                <w:tcPr>
                  <w:tcW w:w="4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1"/>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1324"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pPr>
                  <w: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t>90</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616" w:type="dxa"/>
                  <w:vMerge w:val="continue"/>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pacing w:val="9"/>
                      <w:sz w:val="20"/>
                      <w:szCs w:val="2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z w:val="20"/>
                      <w:szCs w:val="20"/>
                      <w:lang w:val="en-US" w:eastAsia="zh-CN"/>
                      <w14:textFill>
                        <w14:solidFill>
                          <w14:schemeClr w14:val="tx1"/>
                        </w14:solidFill>
                      </w14:textFill>
                    </w:rPr>
                    <w:t>8</w:t>
                  </w:r>
                </w:p>
              </w:tc>
              <w:tc>
                <w:tcPr>
                  <w:tcW w:w="997" w:type="dxa"/>
                  <w:vAlign w:val="center"/>
                </w:tcPr>
                <w:p>
                  <w:pPr>
                    <w:spacing w:line="240" w:lineRule="auto"/>
                    <w:ind w:firstLine="0" w:firstLineChars="0"/>
                    <w:jc w:val="center"/>
                    <w:rPr>
                      <w:rFonts w:hint="default" w:ascii="Times New Roman" w:hAnsi="Times New Roman" w:cs="Times New Roman"/>
                      <w:color w:val="000000" w:themeColor="text1"/>
                      <w:spacing w:val="-3"/>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成品柴油装车泵二</w:t>
                  </w:r>
                </w:p>
              </w:tc>
              <w:tc>
                <w:tcPr>
                  <w:tcW w:w="1594" w:type="dxa"/>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离心泵</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流量：80m³/h</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扬程:80m</w:t>
                  </w:r>
                </w:p>
                <w:p>
                  <w:pPr>
                    <w:spacing w:line="240" w:lineRule="auto"/>
                    <w:ind w:firstLine="0" w:firstLineChars="0"/>
                    <w:jc w:val="center"/>
                    <w:rPr>
                      <w:rFonts w:hint="default" w:ascii="Times New Roman" w:hAnsi="Times New Roman" w:eastAsia="Times New Roman" w:cs="Times New Roman"/>
                      <w:color w:val="000000" w:themeColor="text1"/>
                      <w:spacing w:val="2"/>
                      <w:position w:val="1"/>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轴功率：61.83kw</w:t>
                  </w:r>
                </w:p>
              </w:tc>
              <w:tc>
                <w:tcPr>
                  <w:tcW w:w="76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spacing w:val="2"/>
                      <w:position w:val="2"/>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344.3</w:t>
                  </w:r>
                </w:p>
              </w:tc>
              <w:tc>
                <w:tcPr>
                  <w:tcW w:w="69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position w:val="2"/>
                      <w:sz w:val="20"/>
                      <w:szCs w:val="20"/>
                      <w:lang w:val="en-US" w:eastAsia="zh-CN"/>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14.2</w:t>
                  </w:r>
                </w:p>
              </w:tc>
              <w:tc>
                <w:tcPr>
                  <w:tcW w:w="4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1"/>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1324"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pPr>
                  <w: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t>90</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616" w:type="dxa"/>
                  <w:vMerge w:val="continue"/>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pacing w:val="9"/>
                      <w:sz w:val="20"/>
                      <w:szCs w:val="2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z w:val="20"/>
                      <w:szCs w:val="20"/>
                      <w:lang w:val="en-US" w:eastAsia="zh-CN"/>
                      <w14:textFill>
                        <w14:solidFill>
                          <w14:schemeClr w14:val="tx1"/>
                        </w14:solidFill>
                      </w14:textFill>
                    </w:rPr>
                    <w:t>9</w:t>
                  </w:r>
                </w:p>
              </w:tc>
              <w:tc>
                <w:tcPr>
                  <w:tcW w:w="997" w:type="dxa"/>
                  <w:vAlign w:val="center"/>
                </w:tcPr>
                <w:p>
                  <w:pPr>
                    <w:spacing w:line="240" w:lineRule="auto"/>
                    <w:ind w:firstLine="0" w:firstLineChars="0"/>
                    <w:jc w:val="center"/>
                    <w:rPr>
                      <w:rFonts w:hint="default" w:ascii="Times New Roman" w:hAnsi="Times New Roman" w:cs="Times New Roman"/>
                      <w:color w:val="000000" w:themeColor="text1"/>
                      <w:spacing w:val="-3"/>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油品调和泵三</w:t>
                  </w:r>
                </w:p>
              </w:tc>
              <w:tc>
                <w:tcPr>
                  <w:tcW w:w="1594" w:type="dxa"/>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离心泵</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流量：150m³/h</w:t>
                  </w:r>
                </w:p>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扬程:60m</w:t>
                  </w:r>
                </w:p>
                <w:p>
                  <w:pPr>
                    <w:spacing w:line="240" w:lineRule="auto"/>
                    <w:ind w:firstLine="0" w:firstLineChars="0"/>
                    <w:jc w:val="center"/>
                    <w:rPr>
                      <w:rFonts w:hint="default" w:ascii="Times New Roman" w:hAnsi="Times New Roman" w:eastAsia="Times New Roman" w:cs="Times New Roman"/>
                      <w:color w:val="000000" w:themeColor="text1"/>
                      <w:spacing w:val="2"/>
                      <w:position w:val="1"/>
                      <w:sz w:val="20"/>
                      <w:szCs w:val="20"/>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轴功率：23.66kw</w:t>
                  </w:r>
                </w:p>
              </w:tc>
              <w:tc>
                <w:tcPr>
                  <w:tcW w:w="76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spacing w:val="2"/>
                      <w:position w:val="2"/>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342.7</w:t>
                  </w:r>
                </w:p>
              </w:tc>
              <w:tc>
                <w:tcPr>
                  <w:tcW w:w="69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position w:val="2"/>
                      <w:sz w:val="20"/>
                      <w:szCs w:val="20"/>
                      <w:lang w:val="en-US" w:eastAsia="zh-CN"/>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3.8</w:t>
                  </w:r>
                </w:p>
              </w:tc>
              <w:tc>
                <w:tcPr>
                  <w:tcW w:w="4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Times New Roman" w:cs="Times New Roman"/>
                      <w:color w:val="000000" w:themeColor="text1"/>
                      <w:position w:val="1"/>
                      <w:sz w:val="20"/>
                      <w:szCs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1324"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pPr>
                  <w:r>
                    <w:rPr>
                      <w:rFonts w:hint="default" w:ascii="Times New Roman" w:hAnsi="Times New Roman" w:eastAsia="宋体" w:cs="Times New Roman"/>
                      <w:color w:val="000000" w:themeColor="text1"/>
                      <w:spacing w:val="-2"/>
                      <w:position w:val="2"/>
                      <w:sz w:val="20"/>
                      <w:szCs w:val="20"/>
                      <w:lang w:val="en-US" w:eastAsia="zh-CN"/>
                      <w14:textFill>
                        <w14:solidFill>
                          <w14:schemeClr w14:val="tx1"/>
                        </w14:solidFill>
                      </w14:textFill>
                    </w:rPr>
                    <w:t>90</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14:textFill>
                        <w14:solidFill>
                          <w14:schemeClr w14:val="tx1"/>
                        </w14:solidFill>
                      </w14:textFill>
                    </w:rPr>
                  </w:pPr>
                </w:p>
              </w:tc>
              <w:tc>
                <w:tcPr>
                  <w:tcW w:w="616" w:type="dxa"/>
                  <w:vMerge w:val="continue"/>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pacing w:val="9"/>
                      <w:sz w:val="20"/>
                      <w:szCs w:val="2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FF0000"/>
                      <w:sz w:val="20"/>
                      <w:szCs w:val="20"/>
                      <w:lang w:val="en-US" w:eastAsia="zh-CN"/>
                    </w:rPr>
                  </w:pPr>
                  <w:r>
                    <w:rPr>
                      <w:rFonts w:hint="default" w:ascii="Times New Roman" w:hAnsi="Times New Roman" w:cs="Times New Roman"/>
                      <w:color w:val="FF0000"/>
                      <w:sz w:val="20"/>
                      <w:szCs w:val="20"/>
                      <w:lang w:val="en-US" w:eastAsia="zh-CN"/>
                    </w:rPr>
                    <w:t>10</w:t>
                  </w:r>
                </w:p>
              </w:tc>
              <w:tc>
                <w:tcPr>
                  <w:tcW w:w="997" w:type="dxa"/>
                  <w:vAlign w:val="center"/>
                </w:tcPr>
                <w:p>
                  <w:pPr>
                    <w:spacing w:line="240" w:lineRule="auto"/>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油气回收压缩机</w:t>
                  </w:r>
                </w:p>
              </w:tc>
              <w:tc>
                <w:tcPr>
                  <w:tcW w:w="1594" w:type="dxa"/>
                  <w:vAlign w:val="center"/>
                </w:tcPr>
                <w:p>
                  <w:pPr>
                    <w:spacing w:line="240" w:lineRule="auto"/>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w:t>
                  </w:r>
                </w:p>
              </w:tc>
              <w:tc>
                <w:tcPr>
                  <w:tcW w:w="76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0"/>
                      <w:lang w:val="en-US" w:eastAsia="zh-CN"/>
                    </w:rPr>
                  </w:pPr>
                  <w:r>
                    <w:rPr>
                      <w:rFonts w:hint="default" w:ascii="Times New Roman" w:hAnsi="Times New Roman" w:eastAsia="宋体" w:cs="Times New Roman"/>
                      <w:color w:val="FF0000"/>
                      <w:sz w:val="20"/>
                      <w:lang w:val="en-US" w:eastAsia="zh-CN"/>
                    </w:rPr>
                    <w:t>145.6</w:t>
                  </w:r>
                </w:p>
              </w:tc>
              <w:tc>
                <w:tcPr>
                  <w:tcW w:w="69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0"/>
                      <w:lang w:val="en-US" w:eastAsia="zh-CN"/>
                    </w:rPr>
                  </w:pPr>
                  <w:r>
                    <w:rPr>
                      <w:rFonts w:hint="default" w:ascii="Times New Roman" w:hAnsi="Times New Roman" w:eastAsia="宋体" w:cs="Times New Roman"/>
                      <w:color w:val="FF0000"/>
                      <w:sz w:val="20"/>
                      <w:lang w:val="en-US" w:eastAsia="zh-CN"/>
                    </w:rPr>
                    <w:t>-29.8</w:t>
                  </w:r>
                </w:p>
              </w:tc>
              <w:tc>
                <w:tcPr>
                  <w:tcW w:w="4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0"/>
                      <w:lang w:val="en-US" w:eastAsia="zh-CN"/>
                    </w:rPr>
                  </w:pPr>
                  <w:r>
                    <w:rPr>
                      <w:rFonts w:hint="default" w:ascii="Times New Roman" w:hAnsi="Times New Roman" w:eastAsia="宋体" w:cs="Times New Roman"/>
                      <w:color w:val="FF0000"/>
                      <w:sz w:val="20"/>
                      <w:lang w:val="en-US" w:eastAsia="zh-CN"/>
                    </w:rPr>
                    <w:t>1.2</w:t>
                  </w:r>
                </w:p>
              </w:tc>
              <w:tc>
                <w:tcPr>
                  <w:tcW w:w="1324"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FF0000"/>
                      <w:spacing w:val="-2"/>
                      <w:position w:val="2"/>
                      <w:sz w:val="20"/>
                      <w:szCs w:val="20"/>
                      <w:lang w:val="en-US" w:eastAsia="zh-CN"/>
                    </w:rPr>
                  </w:pPr>
                  <w:r>
                    <w:rPr>
                      <w:rFonts w:hint="default" w:ascii="Times New Roman" w:hAnsi="Times New Roman" w:cs="Times New Roman"/>
                      <w:color w:val="FF0000"/>
                      <w:spacing w:val="-2"/>
                      <w:position w:val="2"/>
                      <w:sz w:val="20"/>
                      <w:szCs w:val="20"/>
                      <w:lang w:val="en-US" w:eastAsia="zh-CN"/>
                    </w:rPr>
                    <w:t>90</w:t>
                  </w:r>
                </w:p>
              </w:tc>
              <w:tc>
                <w:tcPr>
                  <w:tcW w:w="869"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FF0000"/>
                      <w:sz w:val="21"/>
                    </w:rPr>
                  </w:pPr>
                </w:p>
              </w:tc>
              <w:tc>
                <w:tcPr>
                  <w:tcW w:w="616" w:type="dxa"/>
                  <w:textDirection w:val="tbRlV"/>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宋体" w:cs="Times New Roman"/>
                      <w:color w:val="FF0000"/>
                      <w:spacing w:val="9"/>
                      <w:sz w:val="20"/>
                      <w:szCs w:val="20"/>
                      <w:lang w:val="en-US" w:eastAsia="zh-CN"/>
                    </w:rPr>
                  </w:pPr>
                  <w:r>
                    <w:rPr>
                      <w:rFonts w:hint="default" w:ascii="Times New Roman" w:hAnsi="Times New Roman" w:cs="Times New Roman"/>
                      <w:color w:val="FF0000"/>
                      <w:spacing w:val="9"/>
                      <w:sz w:val="20"/>
                      <w:szCs w:val="20"/>
                      <w:lang w:val="en-US" w:eastAsia="zh-CN"/>
                    </w:rPr>
                    <w:t>连续</w:t>
                  </w:r>
                </w:p>
              </w:tc>
            </w:tr>
          </w:tbl>
          <w:p>
            <w:pPr>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2、预测模式</w:t>
            </w:r>
          </w:p>
          <w:p>
            <w:pPr>
              <w:bidi w:val="0"/>
              <w:rPr>
                <w:rFonts w:hint="eastAsia"/>
                <w:color w:val="000000" w:themeColor="text1"/>
                <w:highlight w:val="none"/>
                <w:lang w:val="en-US" w:eastAsia="zh-CN"/>
                <w14:textFill>
                  <w14:solidFill>
                    <w14:schemeClr w14:val="tx1"/>
                  </w14:solidFill>
                </w14:textFill>
              </w:rPr>
            </w:pPr>
            <w:bookmarkStart w:id="8" w:name="_Toc49161351"/>
            <w:r>
              <w:rPr>
                <w:rFonts w:hint="eastAsia"/>
                <w:color w:val="000000" w:themeColor="text1"/>
                <w:highlight w:val="none"/>
                <w:lang w:val="en-US" w:eastAsia="zh-CN"/>
                <w14:textFill>
                  <w14:solidFill>
                    <w14:schemeClr w14:val="tx1"/>
                  </w14:solidFill>
                </w14:textFill>
              </w:rPr>
              <w:t>本项目工业声源为室外声源，预测模式如下：</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（1）单个室外点声源在预测点产生的声级计算基本公式</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已知声源参考位置处的声压级，预测点位置的声压级Lp（r）可按下式计算：</w:t>
            </w:r>
          </w:p>
          <w:p>
            <w:pPr>
              <w:bidi w:val="0"/>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Lp（r）=Lp（r0）＋Dc-A</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A=Adiv+Aatm+Agr+Abar+Amisc</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式中：Lp（r）——距离声源r处的倍频带声压级，dB；</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Lp（r0）——参考位置r0处的声压级，dB；</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A——衰减，dB；</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Dc——指向性校正，dB；</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Adiv——几何发散引起的衰减，dB；</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Agr——地面效应引起的衰减，dB；</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Aatm——大气吸收引起的衰减，dB；</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Abar——声屏障引起的衰减，dB；</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Amisc——其他多方面效应引起的衰减，dB。</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（2）计算噪声贡献值</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预测点的预测等效声级（Leq）计算公式：</w:t>
            </w:r>
          </w:p>
          <w:p>
            <w:pPr>
              <w:bidi w:val="0"/>
              <w:rPr>
                <w:rFonts w:hint="eastAsia"/>
                <w:color w:val="000000" w:themeColor="text1"/>
                <w:highlight w:val="none"/>
                <w:lang w:val="en-US" w:eastAsia="zh-CN"/>
                <w14:textFill>
                  <w14:solidFill>
                    <w14:schemeClr w14:val="tx1"/>
                  </w14:solidFill>
                </w14:textFill>
              </w:rPr>
            </w:pPr>
            <m:oMathPara>
              <m:oMath>
                <m:r>
                  <m:rPr>
                    <m:sty m:val="p"/>
                  </m:rPr>
                  <w:rPr>
                    <w:rFonts w:hint="eastAsia" w:ascii="Cambria Math" w:hAnsi="Cambria Math"/>
                    <w:color w:val="000000" w:themeColor="text1"/>
                    <w:highlight w:val="none"/>
                    <w:lang w:val="en-US" w:eastAsia="zh-CN"/>
                    <w14:textFill>
                      <w14:solidFill>
                        <w14:schemeClr w14:val="tx1"/>
                      </w14:solidFill>
                    </w14:textFill>
                  </w:rPr>
                  <m:t>Leq=10lg(</m:t>
                </m:r>
                <m:sSup>
                  <m:sSupPr>
                    <m:ctrlPr>
                      <w:rPr>
                        <w:rFonts w:hint="eastAsia" w:ascii="Cambria Math" w:hAnsi="Cambria Math"/>
                        <w:color w:val="000000" w:themeColor="text1"/>
                        <w:highlight w:val="none"/>
                        <w:lang w:val="en-US" w:eastAsia="zh-CN"/>
                        <w14:textFill>
                          <w14:solidFill>
                            <w14:schemeClr w14:val="tx1"/>
                          </w14:solidFill>
                        </w14:textFill>
                      </w:rPr>
                    </m:ctrlPr>
                  </m:sSupPr>
                  <m:e>
                    <m:r>
                      <m:rPr>
                        <m:sty m:val="p"/>
                      </m:rPr>
                      <w:rPr>
                        <w:rFonts w:hint="eastAsia" w:ascii="Cambria Math" w:hAnsi="Cambria Math"/>
                        <w:color w:val="000000" w:themeColor="text1"/>
                        <w:highlight w:val="none"/>
                        <w:lang w:val="en-US" w:eastAsia="zh-CN"/>
                        <w14:textFill>
                          <w14:solidFill>
                            <w14:schemeClr w14:val="tx1"/>
                          </w14:solidFill>
                        </w14:textFill>
                      </w:rPr>
                      <m:t>10</m:t>
                    </m:r>
                    <m:ctrlPr>
                      <w:rPr>
                        <w:rFonts w:hint="eastAsia" w:ascii="Cambria Math" w:hAnsi="Cambria Math"/>
                        <w:color w:val="000000" w:themeColor="text1"/>
                        <w:highlight w:val="none"/>
                        <w:lang w:val="en-US" w:eastAsia="zh-CN"/>
                        <w14:textFill>
                          <w14:solidFill>
                            <w14:schemeClr w14:val="tx1"/>
                          </w14:solidFill>
                        </w14:textFill>
                      </w:rPr>
                    </m:ctrlPr>
                  </m:e>
                  <m:sup>
                    <m:r>
                      <m:rPr>
                        <m:sty m:val="p"/>
                      </m:rPr>
                      <w:rPr>
                        <w:rFonts w:hint="eastAsia" w:ascii="Cambria Math" w:hAnsi="Cambria Math"/>
                        <w:color w:val="000000" w:themeColor="text1"/>
                        <w:highlight w:val="none"/>
                        <w:lang w:val="en-US" w:eastAsia="zh-CN"/>
                        <w14:textFill>
                          <w14:solidFill>
                            <w14:schemeClr w14:val="tx1"/>
                          </w14:solidFill>
                        </w14:textFill>
                      </w:rPr>
                      <m:t>0.1</m:t>
                    </m:r>
                    <m:sSub>
                      <m:sSubPr>
                        <m:ctrlPr>
                          <w:rPr>
                            <w:rFonts w:hint="eastAsia" w:ascii="Cambria Math" w:hAnsi="Cambria Math"/>
                            <w:color w:val="000000" w:themeColor="text1"/>
                            <w:highlight w:val="none"/>
                            <w:lang w:val="en-US" w:eastAsia="zh-CN"/>
                            <w14:textFill>
                              <w14:solidFill>
                                <w14:schemeClr w14:val="tx1"/>
                              </w14:solidFill>
                            </w14:textFill>
                          </w:rPr>
                        </m:ctrlPr>
                      </m:sSubPr>
                      <m:e>
                        <m:r>
                          <m:rPr>
                            <m:sty m:val="p"/>
                          </m:rPr>
                          <w:rPr>
                            <w:rFonts w:hint="eastAsia" w:ascii="Cambria Math" w:hAnsi="Cambria Math"/>
                            <w:color w:val="000000" w:themeColor="text1"/>
                            <w:highlight w:val="none"/>
                            <w:lang w:val="en-US" w:eastAsia="zh-CN"/>
                            <w14:textFill>
                              <w14:solidFill>
                                <w14:schemeClr w14:val="tx1"/>
                              </w14:solidFill>
                            </w14:textFill>
                          </w:rPr>
                          <m:t>L</m:t>
                        </m:r>
                        <m:ctrlPr>
                          <w:rPr>
                            <w:rFonts w:hint="eastAsia" w:ascii="Cambria Math" w:hAnsi="Cambria Math"/>
                            <w:color w:val="000000" w:themeColor="text1"/>
                            <w:highlight w:val="none"/>
                            <w:lang w:val="en-US" w:eastAsia="zh-CN"/>
                            <w14:textFill>
                              <w14:solidFill>
                                <w14:schemeClr w14:val="tx1"/>
                              </w14:solidFill>
                            </w14:textFill>
                          </w:rPr>
                        </m:ctrlPr>
                      </m:e>
                      <m:sub>
                        <m:r>
                          <m:rPr>
                            <m:sty m:val="p"/>
                          </m:rPr>
                          <w:rPr>
                            <w:rFonts w:hint="eastAsia" w:ascii="Cambria Math" w:hAnsi="Cambria Math"/>
                            <w:color w:val="000000" w:themeColor="text1"/>
                            <w:highlight w:val="none"/>
                            <w:lang w:val="en-US" w:eastAsia="zh-CN"/>
                            <w14:textFill>
                              <w14:solidFill>
                                <w14:schemeClr w14:val="tx1"/>
                              </w14:solidFill>
                            </w14:textFill>
                          </w:rPr>
                          <m:t>eqg</m:t>
                        </m:r>
                        <m:ctrlPr>
                          <w:rPr>
                            <w:rFonts w:hint="eastAsia" w:ascii="Cambria Math" w:hAnsi="Cambria Math"/>
                            <w:color w:val="000000" w:themeColor="text1"/>
                            <w:highlight w:val="none"/>
                            <w:lang w:val="en-US" w:eastAsia="zh-CN"/>
                            <w14:textFill>
                              <w14:solidFill>
                                <w14:schemeClr w14:val="tx1"/>
                              </w14:solidFill>
                            </w14:textFill>
                          </w:rPr>
                        </m:ctrlPr>
                      </m:sub>
                    </m:sSub>
                    <m:ctrlPr>
                      <w:rPr>
                        <w:rFonts w:hint="eastAsia" w:ascii="Cambria Math" w:hAnsi="Cambria Math"/>
                        <w:color w:val="000000" w:themeColor="text1"/>
                        <w:highlight w:val="none"/>
                        <w:lang w:val="en-US" w:eastAsia="zh-CN"/>
                        <w14:textFill>
                          <w14:solidFill>
                            <w14:schemeClr w14:val="tx1"/>
                          </w14:solidFill>
                        </w14:textFill>
                      </w:rPr>
                    </m:ctrlPr>
                  </m:sup>
                </m:sSup>
                <m:r>
                  <m:rPr>
                    <m:sty m:val="p"/>
                  </m:rPr>
                  <w:rPr>
                    <w:rFonts w:hint="eastAsia" w:ascii="Cambria Math" w:hAnsi="Cambria Math"/>
                    <w:color w:val="000000" w:themeColor="text1"/>
                    <w:highlight w:val="none"/>
                    <w:lang w:val="en-US" w:eastAsia="zh-CN"/>
                    <w14:textFill>
                      <w14:solidFill>
                        <w14:schemeClr w14:val="tx1"/>
                      </w14:solidFill>
                    </w14:textFill>
                  </w:rPr>
                  <m:t>+</m:t>
                </m:r>
                <m:sSup>
                  <m:sSupPr>
                    <m:ctrlPr>
                      <w:rPr>
                        <w:rFonts w:hint="eastAsia" w:ascii="Cambria Math" w:hAnsi="Cambria Math"/>
                        <w:color w:val="000000" w:themeColor="text1"/>
                        <w:highlight w:val="none"/>
                        <w:lang w:val="en-US" w:eastAsia="zh-CN"/>
                        <w14:textFill>
                          <w14:solidFill>
                            <w14:schemeClr w14:val="tx1"/>
                          </w14:solidFill>
                        </w14:textFill>
                      </w:rPr>
                    </m:ctrlPr>
                  </m:sSupPr>
                  <m:e>
                    <m:r>
                      <m:rPr>
                        <m:sty m:val="p"/>
                      </m:rPr>
                      <w:rPr>
                        <w:rFonts w:hint="eastAsia" w:ascii="Cambria Math" w:hAnsi="Cambria Math"/>
                        <w:color w:val="000000" w:themeColor="text1"/>
                        <w:highlight w:val="none"/>
                        <w:lang w:val="en-US" w:eastAsia="zh-CN"/>
                        <w14:textFill>
                          <w14:solidFill>
                            <w14:schemeClr w14:val="tx1"/>
                          </w14:solidFill>
                        </w14:textFill>
                      </w:rPr>
                      <m:t>10</m:t>
                    </m:r>
                    <m:ctrlPr>
                      <w:rPr>
                        <w:rFonts w:hint="eastAsia" w:ascii="Cambria Math" w:hAnsi="Cambria Math"/>
                        <w:color w:val="000000" w:themeColor="text1"/>
                        <w:highlight w:val="none"/>
                        <w:lang w:val="en-US" w:eastAsia="zh-CN"/>
                        <w14:textFill>
                          <w14:solidFill>
                            <w14:schemeClr w14:val="tx1"/>
                          </w14:solidFill>
                        </w14:textFill>
                      </w:rPr>
                    </m:ctrlPr>
                  </m:e>
                  <m:sup>
                    <m:r>
                      <m:rPr>
                        <m:sty m:val="p"/>
                      </m:rPr>
                      <w:rPr>
                        <w:rFonts w:hint="eastAsia" w:ascii="Cambria Math" w:hAnsi="Cambria Math"/>
                        <w:color w:val="000000" w:themeColor="text1"/>
                        <w:highlight w:val="none"/>
                        <w:lang w:val="en-US" w:eastAsia="zh-CN"/>
                        <w14:textFill>
                          <w14:solidFill>
                            <w14:schemeClr w14:val="tx1"/>
                          </w14:solidFill>
                        </w14:textFill>
                      </w:rPr>
                      <m:t>0.1</m:t>
                    </m:r>
                    <m:sSub>
                      <m:sSubPr>
                        <m:ctrlPr>
                          <w:rPr>
                            <w:rFonts w:hint="eastAsia" w:ascii="Cambria Math" w:hAnsi="Cambria Math"/>
                            <w:color w:val="000000" w:themeColor="text1"/>
                            <w:highlight w:val="none"/>
                            <w:lang w:val="en-US" w:eastAsia="zh-CN"/>
                            <w14:textFill>
                              <w14:solidFill>
                                <w14:schemeClr w14:val="tx1"/>
                              </w14:solidFill>
                            </w14:textFill>
                          </w:rPr>
                        </m:ctrlPr>
                      </m:sSubPr>
                      <m:e>
                        <m:r>
                          <m:rPr>
                            <m:sty m:val="p"/>
                          </m:rPr>
                          <w:rPr>
                            <w:rFonts w:hint="eastAsia" w:ascii="Cambria Math" w:hAnsi="Cambria Math"/>
                            <w:color w:val="000000" w:themeColor="text1"/>
                            <w:highlight w:val="none"/>
                            <w:lang w:val="en-US" w:eastAsia="zh-CN"/>
                            <w14:textFill>
                              <w14:solidFill>
                                <w14:schemeClr w14:val="tx1"/>
                              </w14:solidFill>
                            </w14:textFill>
                          </w:rPr>
                          <m:t>L</m:t>
                        </m:r>
                        <m:ctrlPr>
                          <w:rPr>
                            <w:rFonts w:hint="eastAsia" w:ascii="Cambria Math" w:hAnsi="Cambria Math"/>
                            <w:color w:val="000000" w:themeColor="text1"/>
                            <w:highlight w:val="none"/>
                            <w:lang w:val="en-US" w:eastAsia="zh-CN"/>
                            <w14:textFill>
                              <w14:solidFill>
                                <w14:schemeClr w14:val="tx1"/>
                              </w14:solidFill>
                            </w14:textFill>
                          </w:rPr>
                        </m:ctrlPr>
                      </m:e>
                      <m:sub>
                        <m:r>
                          <m:rPr>
                            <m:sty m:val="p"/>
                          </m:rPr>
                          <w:rPr>
                            <w:rFonts w:hint="eastAsia" w:ascii="Cambria Math" w:hAnsi="Cambria Math"/>
                            <w:color w:val="000000" w:themeColor="text1"/>
                            <w:highlight w:val="none"/>
                            <w:lang w:val="en-US" w:eastAsia="zh-CN"/>
                            <w14:textFill>
                              <w14:solidFill>
                                <w14:schemeClr w14:val="tx1"/>
                              </w14:solidFill>
                            </w14:textFill>
                          </w:rPr>
                          <m:t>eqb</m:t>
                        </m:r>
                        <m:ctrlPr>
                          <w:rPr>
                            <w:rFonts w:hint="eastAsia" w:ascii="Cambria Math" w:hAnsi="Cambria Math"/>
                            <w:color w:val="000000" w:themeColor="text1"/>
                            <w:highlight w:val="none"/>
                            <w:lang w:val="en-US" w:eastAsia="zh-CN"/>
                            <w14:textFill>
                              <w14:solidFill>
                                <w14:schemeClr w14:val="tx1"/>
                              </w14:solidFill>
                            </w14:textFill>
                          </w:rPr>
                        </m:ctrlPr>
                      </m:sub>
                    </m:sSub>
                    <m:ctrlPr>
                      <w:rPr>
                        <w:rFonts w:hint="eastAsia" w:ascii="Cambria Math" w:hAnsi="Cambria Math"/>
                        <w:color w:val="000000" w:themeColor="text1"/>
                        <w:highlight w:val="none"/>
                        <w:lang w:val="en-US" w:eastAsia="zh-CN"/>
                        <w14:textFill>
                          <w14:solidFill>
                            <w14:schemeClr w14:val="tx1"/>
                          </w14:solidFill>
                        </w14:textFill>
                      </w:rPr>
                    </m:ctrlPr>
                  </m:sup>
                </m:sSup>
                <m:r>
                  <m:rPr>
                    <m:sty m:val="p"/>
                  </m:rPr>
                  <w:rPr>
                    <w:rFonts w:hint="eastAsia" w:ascii="Cambria Math" w:hAnsi="Cambria Math"/>
                    <w:color w:val="000000" w:themeColor="text1"/>
                    <w:highlight w:val="none"/>
                    <w:lang w:val="en-US" w:eastAsia="zh-CN"/>
                    <w14:textFill>
                      <w14:solidFill>
                        <w14:schemeClr w14:val="tx1"/>
                      </w14:solidFill>
                    </w14:textFill>
                  </w:rPr>
                  <m:t>)</m:t>
                </m:r>
              </m:oMath>
            </m:oMathPara>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式中：Leq----噪声源贡献值与背景噪声叠加值，dB（A）；</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Leqg----建设项目声源在预测点的等效声级贡献值，dB（A）；</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Leqb----预测点的背景值，dB（A）。</w:t>
            </w:r>
          </w:p>
          <w:p>
            <w:pPr>
              <w:bidi w:val="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3、噪声预测结果及评价</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根据预测方法，对项目运行后厂界噪声贡献值进行预测，预测结果见表4-12。</w:t>
            </w:r>
          </w:p>
          <w:p>
            <w:pPr>
              <w:bidi w:val="0"/>
              <w:ind w:left="0" w:leftChars="0" w:firstLine="0" w:firstLineChars="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表4-12 噪声预测结果</w:t>
            </w:r>
          </w:p>
          <w:tbl>
            <w:tblPr>
              <w:tblStyle w:val="27"/>
              <w:tblW w:w="80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5"/>
              <w:gridCol w:w="762"/>
              <w:gridCol w:w="762"/>
              <w:gridCol w:w="764"/>
              <w:gridCol w:w="943"/>
              <w:gridCol w:w="1346"/>
              <w:gridCol w:w="1347"/>
              <w:gridCol w:w="1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exact"/>
                <w:jc w:val="center"/>
              </w:trPr>
              <w:tc>
                <w:tcPr>
                  <w:tcW w:w="1045"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b/>
                      <w:color w:val="000000" w:themeColor="text1"/>
                      <w:sz w:val="21"/>
                      <w:szCs w:val="21"/>
                      <w14:textFill>
                        <w14:solidFill>
                          <w14:schemeClr w14:val="tx1"/>
                        </w14:solidFill>
                      </w14:textFill>
                    </w:rPr>
                    <w:t>预测方位</w:t>
                  </w:r>
                </w:p>
              </w:tc>
              <w:tc>
                <w:tcPr>
                  <w:tcW w:w="2288"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b/>
                      <w:color w:val="000000" w:themeColor="text1"/>
                      <w:sz w:val="21"/>
                      <w:szCs w:val="21"/>
                      <w:lang w:val="en-US" w:eastAsia="zh-CN"/>
                      <w14:textFill>
                        <w14:solidFill>
                          <w14:schemeClr w14:val="tx1"/>
                        </w14:solidFill>
                      </w14:textFill>
                    </w:rPr>
                    <w:t>最大值点</w:t>
                  </w:r>
                  <w:r>
                    <w:rPr>
                      <w:rFonts w:hint="default" w:ascii="Times New Roman" w:hAnsi="Times New Roman" w:cs="Times New Roman" w:eastAsiaTheme="minorEastAsia"/>
                      <w:b/>
                      <w:color w:val="000000" w:themeColor="text1"/>
                      <w:sz w:val="21"/>
                      <w:szCs w:val="21"/>
                      <w14:textFill>
                        <w14:solidFill>
                          <w14:schemeClr w14:val="tx1"/>
                        </w14:solidFill>
                      </w14:textFill>
                    </w:rPr>
                    <w:t>空间相对位置/m</w:t>
                  </w:r>
                </w:p>
              </w:tc>
              <w:tc>
                <w:tcPr>
                  <w:tcW w:w="94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b/>
                      <w:color w:val="000000" w:themeColor="text1"/>
                      <w:sz w:val="21"/>
                      <w:szCs w:val="21"/>
                      <w14:textFill>
                        <w14:solidFill>
                          <w14:schemeClr w14:val="tx1"/>
                        </w14:solidFill>
                      </w14:textFill>
                    </w:rPr>
                    <w:t>时段</w:t>
                  </w:r>
                </w:p>
              </w:tc>
              <w:tc>
                <w:tcPr>
                  <w:tcW w:w="1346"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b/>
                      <w:color w:val="000000" w:themeColor="text1"/>
                      <w:sz w:val="21"/>
                      <w:szCs w:val="21"/>
                      <w14:textFill>
                        <w14:solidFill>
                          <w14:schemeClr w14:val="tx1"/>
                        </w14:solidFill>
                      </w14:textFill>
                    </w:rPr>
                    <w:t>贡献值（dB(A)）</w:t>
                  </w:r>
                </w:p>
              </w:tc>
              <w:tc>
                <w:tcPr>
                  <w:tcW w:w="134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b/>
                      <w:color w:val="000000" w:themeColor="text1"/>
                      <w:sz w:val="21"/>
                      <w:szCs w:val="21"/>
                      <w14:textFill>
                        <w14:solidFill>
                          <w14:schemeClr w14:val="tx1"/>
                        </w14:solidFill>
                      </w14:textFill>
                    </w:rPr>
                    <w:t>标准限值（dB(A)）</w:t>
                  </w:r>
                </w:p>
              </w:tc>
              <w:tc>
                <w:tcPr>
                  <w:tcW w:w="112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b/>
                      <w:color w:val="000000" w:themeColor="text1"/>
                      <w:sz w:val="21"/>
                      <w:szCs w:val="21"/>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045"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X</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Y</w:t>
                  </w:r>
                </w:p>
              </w:tc>
              <w:tc>
                <w:tcPr>
                  <w:tcW w:w="76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Z</w:t>
                  </w:r>
                </w:p>
              </w:tc>
              <w:tc>
                <w:tcPr>
                  <w:tcW w:w="943"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p>
              </w:tc>
              <w:tc>
                <w:tcPr>
                  <w:tcW w:w="1346"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p>
              </w:tc>
              <w:tc>
                <w:tcPr>
                  <w:tcW w:w="1347"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p>
              </w:tc>
              <w:tc>
                <w:tcPr>
                  <w:tcW w:w="1128"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jc w:val="center"/>
              </w:trPr>
              <w:tc>
                <w:tcPr>
                  <w:tcW w:w="1045"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东侧</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393.7</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-4</w:t>
                  </w:r>
                </w:p>
              </w:tc>
              <w:tc>
                <w:tcPr>
                  <w:tcW w:w="76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1.2</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昼间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54.7</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65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jc w:val="center"/>
              </w:trPr>
              <w:tc>
                <w:tcPr>
                  <w:tcW w:w="1045"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393.7</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-4</w:t>
                  </w:r>
                </w:p>
              </w:tc>
              <w:tc>
                <w:tcPr>
                  <w:tcW w:w="76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1.2</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夜间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54.7</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55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jc w:val="center"/>
              </w:trPr>
              <w:tc>
                <w:tcPr>
                  <w:tcW w:w="1045"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南侧</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123.3</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-238.9</w:t>
                  </w:r>
                </w:p>
              </w:tc>
              <w:tc>
                <w:tcPr>
                  <w:tcW w:w="76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1.2</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昼间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14</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65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jc w:val="center"/>
              </w:trPr>
              <w:tc>
                <w:tcPr>
                  <w:tcW w:w="1045"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123.3</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-238.9</w:t>
                  </w:r>
                </w:p>
              </w:tc>
              <w:tc>
                <w:tcPr>
                  <w:tcW w:w="76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1.2</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夜间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14</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000000" w:themeColor="text1"/>
                      <w14:textFill>
                        <w14:solidFill>
                          <w14:schemeClr w14:val="tx1"/>
                        </w14:solidFill>
                      </w14:textFill>
                    </w:rPr>
                  </w:pPr>
                  <w:r>
                    <w:rPr>
                      <w:rFonts w:hint="default" w:ascii="Times New Roman" w:hAnsi="Times New Roman" w:eastAsia="Arial" w:cs="Times New Roman"/>
                      <w:b w:val="0"/>
                      <w:bCs/>
                      <w:color w:val="000000" w:themeColor="text1"/>
                      <w:sz w:val="20"/>
                      <w14:textFill>
                        <w14:solidFill>
                          <w14:schemeClr w14:val="tx1"/>
                        </w14:solidFill>
                      </w14:textFill>
                    </w:rPr>
                    <w:t>55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jc w:val="center"/>
              </w:trPr>
              <w:tc>
                <w:tcPr>
                  <w:tcW w:w="1045"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西侧</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-86.2</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-68.8</w:t>
                  </w:r>
                </w:p>
              </w:tc>
              <w:tc>
                <w:tcPr>
                  <w:tcW w:w="76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昼间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9.5</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65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jc w:val="center"/>
              </w:trPr>
              <w:tc>
                <w:tcPr>
                  <w:tcW w:w="1045"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-86.2</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-68.8</w:t>
                  </w:r>
                </w:p>
              </w:tc>
              <w:tc>
                <w:tcPr>
                  <w:tcW w:w="76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夜间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9.5</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55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9" w:hRule="exact"/>
                <w:jc w:val="center"/>
              </w:trPr>
              <w:tc>
                <w:tcPr>
                  <w:tcW w:w="1045"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北侧</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353.5</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65.9</w:t>
                  </w:r>
                </w:p>
              </w:tc>
              <w:tc>
                <w:tcPr>
                  <w:tcW w:w="76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昼间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commentRangeStart w:id="90"/>
                  <w:r>
                    <w:rPr>
                      <w:rFonts w:hint="default" w:ascii="Times New Roman" w:hAnsi="Times New Roman" w:eastAsia="Arial" w:cs="Times New Roman"/>
                      <w:color w:val="000000" w:themeColor="text1"/>
                      <w:sz w:val="20"/>
                      <w14:textFill>
                        <w14:solidFill>
                          <w14:schemeClr w14:val="tx1"/>
                        </w14:solidFill>
                      </w14:textFill>
                    </w:rPr>
                    <w:t>53.2</w:t>
                  </w:r>
                  <w:commentRangeEnd w:id="90"/>
                  <w:r>
                    <w:rPr>
                      <w:rFonts w:hint="default" w:ascii="Times New Roman" w:hAnsi="Times New Roman" w:cs="Times New Roman"/>
                    </w:rPr>
                    <w:commentReference w:id="90"/>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65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045"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353.5</w:t>
                  </w:r>
                </w:p>
              </w:tc>
              <w:tc>
                <w:tcPr>
                  <w:tcW w:w="762"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65.9</w:t>
                  </w:r>
                </w:p>
              </w:tc>
              <w:tc>
                <w:tcPr>
                  <w:tcW w:w="764"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1.2</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夜间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53.2</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55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045"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厂界</w:t>
                  </w:r>
                </w:p>
              </w:tc>
              <w:tc>
                <w:tcPr>
                  <w:tcW w:w="762"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394</w:t>
                  </w:r>
                </w:p>
              </w:tc>
              <w:tc>
                <w:tcPr>
                  <w:tcW w:w="762"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-1</w:t>
                  </w:r>
                </w:p>
              </w:tc>
              <w:tc>
                <w:tcPr>
                  <w:tcW w:w="764"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昼间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0"/>
                      <w:lang w:val="en-US" w:eastAsia="zh-CN"/>
                    </w:rPr>
                  </w:pPr>
                  <w:r>
                    <w:rPr>
                      <w:rFonts w:hint="default" w:ascii="Times New Roman" w:hAnsi="Times New Roman" w:eastAsia="宋体" w:cs="Times New Roman"/>
                      <w:color w:val="FF0000"/>
                      <w:sz w:val="20"/>
                      <w:lang w:val="en-US" w:eastAsia="zh-CN"/>
                    </w:rPr>
                    <w:t>54.7</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65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045"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lang w:val="en-US" w:eastAsia="zh-CN"/>
                      <w14:textFill>
                        <w14:solidFill>
                          <w14:schemeClr w14:val="tx1"/>
                        </w14:solidFill>
                      </w14:textFill>
                    </w:rPr>
                  </w:pPr>
                </w:p>
              </w:tc>
              <w:tc>
                <w:tcPr>
                  <w:tcW w:w="762"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p>
              </w:tc>
              <w:tc>
                <w:tcPr>
                  <w:tcW w:w="762"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p>
              </w:tc>
              <w:tc>
                <w:tcPr>
                  <w:tcW w:w="764"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夜间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0"/>
                      <w:lang w:val="en-US" w:eastAsia="zh-CN"/>
                    </w:rPr>
                  </w:pPr>
                  <w:r>
                    <w:rPr>
                      <w:rFonts w:hint="default" w:ascii="Times New Roman" w:hAnsi="Times New Roman" w:cs="Times New Roman"/>
                      <w:color w:val="FF0000"/>
                      <w:sz w:val="20"/>
                      <w:lang w:val="en-US" w:eastAsia="zh-CN"/>
                    </w:rPr>
                    <w:t>54</w:t>
                  </w:r>
                  <w:commentRangeStart w:id="91"/>
                  <w:r>
                    <w:rPr>
                      <w:rFonts w:hint="default" w:ascii="Times New Roman" w:hAnsi="Times New Roman" w:eastAsia="宋体" w:cs="Times New Roman"/>
                      <w:color w:val="FF0000"/>
                      <w:sz w:val="20"/>
                      <w:lang w:val="en-US" w:eastAsia="zh-CN"/>
                    </w:rPr>
                    <w:t>.</w:t>
                  </w:r>
                  <w:commentRangeEnd w:id="91"/>
                  <w:r>
                    <w:rPr>
                      <w:rFonts w:hint="default" w:ascii="Times New Roman" w:hAnsi="Times New Roman" w:cs="Times New Roman"/>
                      <w:color w:val="FF0000"/>
                    </w:rPr>
                    <w:commentReference w:id="91"/>
                  </w:r>
                  <w:r>
                    <w:rPr>
                      <w:rFonts w:hint="default" w:ascii="Times New Roman" w:hAnsi="Times New Roman" w:cs="Times New Roman"/>
                      <w:color w:val="FF0000"/>
                      <w:lang w:val="en-US" w:eastAsia="zh-CN"/>
                    </w:rPr>
                    <w:t>7</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55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045"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网格点</w:t>
                  </w:r>
                </w:p>
              </w:tc>
              <w:tc>
                <w:tcPr>
                  <w:tcW w:w="762"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394</w:t>
                  </w:r>
                </w:p>
              </w:tc>
              <w:tc>
                <w:tcPr>
                  <w:tcW w:w="762"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-1</w:t>
                  </w:r>
                </w:p>
              </w:tc>
              <w:tc>
                <w:tcPr>
                  <w:tcW w:w="764" w:type="dxa"/>
                  <w:vMerge w:val="restart"/>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w:t>
                  </w: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昼间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0"/>
                      <w:lang w:val="en-US" w:eastAsia="zh-CN"/>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46.7</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65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045"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p>
              </w:tc>
              <w:tc>
                <w:tcPr>
                  <w:tcW w:w="762"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p>
              </w:tc>
              <w:tc>
                <w:tcPr>
                  <w:tcW w:w="762"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p>
              </w:tc>
              <w:tc>
                <w:tcPr>
                  <w:tcW w:w="764" w:type="dxa"/>
                  <w:vMerge w:val="continue"/>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p>
              </w:tc>
              <w:tc>
                <w:tcPr>
                  <w:tcW w:w="943"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夜间</w:t>
                  </w:r>
                </w:p>
              </w:tc>
              <w:tc>
                <w:tcPr>
                  <w:tcW w:w="1346"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宋体" w:cs="Times New Roman"/>
                      <w:color w:val="000000" w:themeColor="text1"/>
                      <w:sz w:val="20"/>
                      <w:lang w:val="en-US" w:eastAsia="zh-CN"/>
                      <w14:textFill>
                        <w14:solidFill>
                          <w14:schemeClr w14:val="tx1"/>
                        </w14:solidFill>
                      </w14:textFill>
                    </w:rPr>
                    <w:t>46.7</w:t>
                  </w:r>
                </w:p>
              </w:tc>
              <w:tc>
                <w:tcPr>
                  <w:tcW w:w="1347"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55</w:t>
                  </w:r>
                </w:p>
              </w:tc>
              <w:tc>
                <w:tcPr>
                  <w:tcW w:w="1128" w:type="dxa"/>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color w:val="000000" w:themeColor="text1"/>
                      <w:sz w:val="20"/>
                      <w14:textFill>
                        <w14:solidFill>
                          <w14:schemeClr w14:val="tx1"/>
                        </w14:solidFill>
                      </w14:textFill>
                    </w:rPr>
                  </w:pPr>
                  <w:r>
                    <w:rPr>
                      <w:rFonts w:hint="default" w:ascii="Times New Roman" w:hAnsi="Times New Roman" w:eastAsia="Arial" w:cs="Times New Roman"/>
                      <w:color w:val="000000" w:themeColor="text1"/>
                      <w:sz w:val="20"/>
                      <w14:textFill>
                        <w14:solidFill>
                          <w14:schemeClr w14:val="tx1"/>
                        </w14:solidFill>
                      </w14:textFill>
                    </w:rPr>
                    <w:t>达标</w:t>
                  </w:r>
                </w:p>
              </w:tc>
            </w:tr>
          </w:tbl>
          <w:p>
            <w:pPr>
              <w:bidi w:val="0"/>
              <w:rPr>
                <w:rFonts w:hint="default"/>
                <w:color w:val="000000" w:themeColor="text1"/>
                <w:highlight w:val="none"/>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7696" behindDoc="0" locked="0" layoutInCell="1" allowOverlap="1">
                  <wp:simplePos x="0" y="0"/>
                  <wp:positionH relativeFrom="column">
                    <wp:posOffset>-18415</wp:posOffset>
                  </wp:positionH>
                  <wp:positionV relativeFrom="paragraph">
                    <wp:posOffset>648970</wp:posOffset>
                  </wp:positionV>
                  <wp:extent cx="5038090" cy="3695065"/>
                  <wp:effectExtent l="0" t="0" r="10160" b="635"/>
                  <wp:wrapTopAndBottom/>
                  <wp:docPr id="93"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2"/>
                          <pic:cNvPicPr>
                            <a:picLocks noChangeAspect="true"/>
                          </pic:cNvPicPr>
                        </pic:nvPicPr>
                        <pic:blipFill>
                          <a:blip r:embed="rId63"/>
                          <a:stretch>
                            <a:fillRect/>
                          </a:stretch>
                        </pic:blipFill>
                        <pic:spPr>
                          <a:xfrm>
                            <a:off x="0" y="0"/>
                            <a:ext cx="5038090" cy="3695065"/>
                          </a:xfrm>
                          <a:prstGeom prst="rect">
                            <a:avLst/>
                          </a:prstGeom>
                          <a:noFill/>
                          <a:ln>
                            <a:noFill/>
                          </a:ln>
                        </pic:spPr>
                      </pic:pic>
                    </a:graphicData>
                  </a:graphic>
                </wp:anchor>
              </w:drawing>
            </w:r>
            <w:r>
              <w:rPr>
                <w:rFonts w:hint="eastAsia"/>
                <w:color w:val="000000" w:themeColor="text1"/>
                <w:highlight w:val="none"/>
                <w:lang w:val="en-US" w:eastAsia="zh-CN"/>
                <w14:textFill>
                  <w14:solidFill>
                    <w14:schemeClr w14:val="tx1"/>
                  </w14:solidFill>
                </w14:textFill>
              </w:rPr>
              <w:t>注：</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表中坐标以厂界中心（</w:t>
            </w:r>
            <w:bookmarkStart w:id="9" w:name="PO_8"/>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110.384361,39.350208</w:t>
            </w:r>
            <w:bookmarkEnd w:id="9"/>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）为坐标原点，正东向为X轴正方向，正北向为Y轴正方向</w:t>
            </w:r>
          </w:p>
          <w:p>
            <w:pPr>
              <w:bidi w:val="0"/>
              <w:ind w:left="0" w:leftChars="0" w:firstLine="481" w:firstLineChars="200"/>
              <w:jc w:val="center"/>
              <w:rPr>
                <w:rFonts w:hint="default"/>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图4-1 等声级线图</w:t>
            </w:r>
          </w:p>
          <w:p>
            <w:pPr>
              <w:bidi w:val="0"/>
              <w:ind w:left="0" w:leftChars="0" w:firstLine="480" w:firstLineChars="20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由预测结果可知，厂界噪声贡献值在14~54.7dB（A）之间满足《工业企业厂界环境噪声排放标准》（GB12348-2008）中3类标准。因此，本项目噪声不会对周围声环境产生明显影响。</w:t>
            </w:r>
            <w:bookmarkEnd w:id="8"/>
          </w:p>
          <w:p>
            <w:pPr>
              <w:pStyle w:val="34"/>
              <w:keepNext/>
              <w:keepLines w:val="0"/>
              <w:pageBreakBefore w:val="0"/>
              <w:widowControl w:val="0"/>
              <w:kinsoku/>
              <w:wordWrap/>
              <w:overflowPunct w:val="0"/>
              <w:topLinePunct w:val="0"/>
              <w:autoSpaceDE/>
              <w:autoSpaceDN/>
              <w:bidi w:val="0"/>
              <w:adjustRightInd/>
              <w:snapToGrid w:val="0"/>
              <w:spacing w:before="0" w:after="0" w:line="360" w:lineRule="auto"/>
              <w:ind w:left="0" w:leftChars="0" w:firstLine="458" w:firstLineChars="201"/>
              <w:textAlignment w:val="auto"/>
              <w:rPr>
                <w:rFonts w:hint="default" w:ascii="Times New Roman" w:hAnsi="Times New Roman" w:eastAsia="宋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14:textFill>
                  <w14:solidFill>
                    <w14:schemeClr w14:val="tx1"/>
                  </w14:solidFill>
                </w14:textFill>
              </w:rPr>
              <w:t>为进一步降低生产噪声带来的环境影响，企业应在合理布置与规划的基础上加强厂区绿化措施，尽量减少工程噪声对周围环境的影响。</w:t>
            </w:r>
          </w:p>
          <w:p>
            <w:pPr>
              <w:widowControl/>
              <w:overflowPunct w:val="0"/>
              <w:topLinePunct/>
              <w:autoSpaceDE w:val="0"/>
              <w:snapToGrid w:val="0"/>
              <w:spacing w:line="360" w:lineRule="auto"/>
              <w:ind w:firstLine="481" w:firstLineChars="200"/>
              <w:rPr>
                <w:rFonts w:hint="default" w:ascii="Times New Roman" w:hAnsi="Times New Roman" w:cs="Times New Roman"/>
                <w:b/>
                <w:bCs w:val="0"/>
                <w:snapToGrid w:val="0"/>
                <w:color w:val="000000" w:themeColor="text1"/>
                <w:sz w:val="24"/>
                <w14:textFill>
                  <w14:solidFill>
                    <w14:schemeClr w14:val="tx1"/>
                  </w14:solidFill>
                </w14:textFill>
              </w:rPr>
            </w:pPr>
            <w:r>
              <w:rPr>
                <w:rFonts w:hint="eastAsia" w:cs="Times New Roman"/>
                <w:b/>
                <w:bCs w:val="0"/>
                <w:snapToGrid w:val="0"/>
                <w:color w:val="FF0000"/>
                <w:sz w:val="24"/>
                <w:lang w:val="en-US" w:eastAsia="zh-CN"/>
              </w:rPr>
              <w:t>4</w:t>
            </w:r>
            <w:commentRangeStart w:id="92"/>
            <w:r>
              <w:rPr>
                <w:rFonts w:hint="default" w:ascii="Times New Roman" w:hAnsi="Times New Roman" w:cs="Times New Roman"/>
                <w:b/>
                <w:bCs w:val="0"/>
                <w:snapToGrid w:val="0"/>
                <w:color w:val="000000" w:themeColor="text1"/>
                <w:sz w:val="24"/>
                <w14:textFill>
                  <w14:solidFill>
                    <w14:schemeClr w14:val="tx1"/>
                  </w14:solidFill>
                </w14:textFill>
              </w:rPr>
              <w:t>、</w:t>
            </w:r>
            <w:commentRangeEnd w:id="92"/>
            <w:r>
              <w:commentReference w:id="92"/>
            </w:r>
            <w:r>
              <w:rPr>
                <w:rFonts w:hint="default" w:ascii="Times New Roman" w:hAnsi="Times New Roman" w:cs="Times New Roman"/>
                <w:b/>
                <w:bCs w:val="0"/>
                <w:snapToGrid w:val="0"/>
                <w:color w:val="000000" w:themeColor="text1"/>
                <w:sz w:val="24"/>
                <w14:textFill>
                  <w14:solidFill>
                    <w14:schemeClr w14:val="tx1"/>
                  </w14:solidFill>
                </w14:textFill>
              </w:rPr>
              <w:t>生产设备</w:t>
            </w:r>
            <w:r>
              <w:rPr>
                <w:rFonts w:hint="eastAsia" w:ascii="Times New Roman" w:hAnsi="Times New Roman" w:cs="Times New Roman"/>
                <w:b/>
                <w:bCs w:val="0"/>
                <w:snapToGrid w:val="0"/>
                <w:color w:val="000000" w:themeColor="text1"/>
                <w:sz w:val="24"/>
                <w:lang w:eastAsia="zh-CN"/>
                <w14:textFill>
                  <w14:solidFill>
                    <w14:schemeClr w14:val="tx1"/>
                  </w14:solidFill>
                </w14:textFill>
              </w:rPr>
              <w:t>降噪</w:t>
            </w:r>
            <w:r>
              <w:rPr>
                <w:rFonts w:hint="default" w:ascii="Times New Roman" w:hAnsi="Times New Roman" w:cs="Times New Roman"/>
                <w:b/>
                <w:bCs w:val="0"/>
                <w:snapToGrid w:val="0"/>
                <w:color w:val="000000" w:themeColor="text1"/>
                <w:sz w:val="24"/>
                <w14:textFill>
                  <w14:solidFill>
                    <w14:schemeClr w14:val="tx1"/>
                  </w14:solidFill>
                </w14:textFill>
              </w:rPr>
              <w:t>措施</w:t>
            </w:r>
          </w:p>
          <w:p>
            <w:pPr>
              <w:widowControl/>
              <w:overflowPunct w:val="0"/>
              <w:topLinePunct/>
              <w:autoSpaceDE w:val="0"/>
              <w:snapToGrid w:val="0"/>
              <w:spacing w:line="360" w:lineRule="auto"/>
              <w:ind w:firstLine="480" w:firstLineChars="200"/>
              <w:rPr>
                <w:rFonts w:hint="default" w:ascii="Times New Roman" w:hAnsi="Times New Roman" w:cs="Times New Roman"/>
                <w:bCs/>
                <w:snapToGrid w:val="0"/>
                <w:color w:val="000000" w:themeColor="text1"/>
                <w:sz w:val="24"/>
                <w14:textFill>
                  <w14:solidFill>
                    <w14:schemeClr w14:val="tx1"/>
                  </w14:solidFill>
                </w14:textFill>
              </w:rPr>
            </w:pPr>
            <w:r>
              <w:rPr>
                <w:rFonts w:hint="default" w:ascii="Times New Roman" w:hAnsi="Times New Roman" w:cs="Times New Roman"/>
                <w:bCs/>
                <w:snapToGrid w:val="0"/>
                <w:color w:val="000000" w:themeColor="text1"/>
                <w:sz w:val="24"/>
                <w14:textFill>
                  <w14:solidFill>
                    <w14:schemeClr w14:val="tx1"/>
                  </w14:solidFill>
                </w14:textFill>
              </w:rPr>
              <w:t>本项目</w:t>
            </w:r>
            <w:r>
              <w:rPr>
                <w:rFonts w:hint="eastAsia" w:cs="Times New Roman"/>
                <w:bCs/>
                <w:snapToGrid w:val="0"/>
                <w:color w:val="000000" w:themeColor="text1"/>
                <w:sz w:val="24"/>
                <w:lang w:val="en-US" w:eastAsia="zh-CN"/>
                <w14:textFill>
                  <w14:solidFill>
                    <w14:schemeClr w14:val="tx1"/>
                  </w14:solidFill>
                </w14:textFill>
              </w:rPr>
              <w:t>拟</w:t>
            </w:r>
            <w:r>
              <w:rPr>
                <w:rFonts w:hint="default" w:ascii="Times New Roman" w:hAnsi="Times New Roman" w:cs="Times New Roman"/>
                <w:bCs/>
                <w:snapToGrid w:val="0"/>
                <w:color w:val="000000" w:themeColor="text1"/>
                <w:sz w:val="24"/>
                <w14:textFill>
                  <w14:solidFill>
                    <w14:schemeClr w14:val="tx1"/>
                  </w14:solidFill>
                </w14:textFill>
              </w:rPr>
              <w:t>采取相应的防噪、</w:t>
            </w:r>
            <w:r>
              <w:rPr>
                <w:rFonts w:hint="eastAsia" w:ascii="Times New Roman" w:hAnsi="Times New Roman" w:cs="Times New Roman"/>
                <w:bCs/>
                <w:snapToGrid w:val="0"/>
                <w:color w:val="000000" w:themeColor="text1"/>
                <w:sz w:val="24"/>
                <w:lang w:eastAsia="zh-CN"/>
                <w14:textFill>
                  <w14:solidFill>
                    <w14:schemeClr w14:val="tx1"/>
                  </w14:solidFill>
                </w14:textFill>
              </w:rPr>
              <w:t>降噪</w:t>
            </w:r>
            <w:r>
              <w:rPr>
                <w:rFonts w:hint="default" w:ascii="Times New Roman" w:hAnsi="Times New Roman" w:cs="Times New Roman"/>
                <w:bCs/>
                <w:snapToGrid w:val="0"/>
                <w:color w:val="000000" w:themeColor="text1"/>
                <w:sz w:val="24"/>
                <w14:textFill>
                  <w14:solidFill>
                    <w14:schemeClr w14:val="tx1"/>
                  </w14:solidFill>
                </w14:textFill>
              </w:rPr>
              <w:t>措施：</w:t>
            </w:r>
          </w:p>
          <w:p>
            <w:pPr>
              <w:widowControl/>
              <w:overflowPunct w:val="0"/>
              <w:topLinePunct/>
              <w:autoSpaceDE w:val="0"/>
              <w:snapToGrid w:val="0"/>
              <w:spacing w:line="360" w:lineRule="auto"/>
              <w:ind w:firstLine="480" w:firstLineChars="200"/>
              <w:rPr>
                <w:rFonts w:hint="default" w:ascii="Times New Roman" w:hAnsi="Times New Roman" w:cs="Times New Roman"/>
                <w:bCs/>
                <w:snapToGrid w:val="0"/>
                <w:color w:val="000000" w:themeColor="text1"/>
                <w:sz w:val="24"/>
                <w14:textFill>
                  <w14:solidFill>
                    <w14:schemeClr w14:val="tx1"/>
                  </w14:solidFill>
                </w14:textFill>
              </w:rPr>
            </w:pPr>
            <w:r>
              <w:rPr>
                <w:rFonts w:hint="default" w:ascii="Times New Roman" w:hAnsi="Times New Roman" w:cs="Times New Roman"/>
                <w:bCs/>
                <w:snapToGrid w:val="0"/>
                <w:color w:val="000000" w:themeColor="text1"/>
                <w:sz w:val="24"/>
                <w14:textFill>
                  <w14:solidFill>
                    <w14:schemeClr w14:val="tx1"/>
                  </w14:solidFill>
                </w14:textFill>
              </w:rPr>
              <w:t>1）设备选型时应选用低</w:t>
            </w:r>
            <w:r>
              <w:rPr>
                <w:rFonts w:hint="default" w:ascii="Times New Roman" w:hAnsi="Times New Roman" w:cs="Times New Roman"/>
                <w:bCs/>
                <w:snapToGrid w:val="0"/>
                <w:color w:val="000000" w:themeColor="text1"/>
                <w:sz w:val="24"/>
                <w:lang w:eastAsia="zh-CN"/>
                <w14:textFill>
                  <w14:solidFill>
                    <w14:schemeClr w14:val="tx1"/>
                  </w14:solidFill>
                </w14:textFill>
              </w:rPr>
              <w:t>噪声</w:t>
            </w:r>
            <w:r>
              <w:rPr>
                <w:rFonts w:hint="default" w:ascii="Times New Roman" w:hAnsi="Times New Roman" w:cs="Times New Roman"/>
                <w:bCs/>
                <w:snapToGrid w:val="0"/>
                <w:color w:val="000000" w:themeColor="text1"/>
                <w:sz w:val="24"/>
                <w14:textFill>
                  <w14:solidFill>
                    <w14:schemeClr w14:val="tx1"/>
                  </w14:solidFill>
                </w14:textFill>
              </w:rPr>
              <w:t>设备；</w:t>
            </w:r>
          </w:p>
          <w:p>
            <w:pPr>
              <w:widowControl/>
              <w:overflowPunct w:val="0"/>
              <w:topLinePunct/>
              <w:autoSpaceDE w:val="0"/>
              <w:snapToGrid w:val="0"/>
              <w:spacing w:line="360" w:lineRule="auto"/>
              <w:ind w:firstLine="480" w:firstLineChars="200"/>
              <w:rPr>
                <w:rFonts w:hint="default" w:ascii="Times New Roman" w:hAnsi="Times New Roman" w:cs="Times New Roman"/>
                <w:bCs/>
                <w:snapToGrid w:val="0"/>
                <w:color w:val="000000" w:themeColor="text1"/>
                <w:sz w:val="24"/>
                <w14:textFill>
                  <w14:solidFill>
                    <w14:schemeClr w14:val="tx1"/>
                  </w14:solidFill>
                </w14:textFill>
              </w:rPr>
            </w:pPr>
            <w:r>
              <w:rPr>
                <w:rFonts w:hint="default" w:ascii="Times New Roman" w:hAnsi="Times New Roman" w:cs="Times New Roman"/>
                <w:bCs/>
                <w:snapToGrid w:val="0"/>
                <w:color w:val="000000" w:themeColor="text1"/>
                <w:sz w:val="24"/>
                <w14:textFill>
                  <w14:solidFill>
                    <w14:schemeClr w14:val="tx1"/>
                  </w14:solidFill>
                </w14:textFill>
              </w:rPr>
              <w:t>2）生产区应合理布局，尽量将高噪声设备布置在远离敏感点位置；</w:t>
            </w:r>
          </w:p>
          <w:p>
            <w:pPr>
              <w:widowControl/>
              <w:overflowPunct w:val="0"/>
              <w:topLinePunct/>
              <w:autoSpaceDE w:val="0"/>
              <w:snapToGrid w:val="0"/>
              <w:spacing w:line="360" w:lineRule="auto"/>
              <w:ind w:firstLine="480" w:firstLineChars="200"/>
              <w:rPr>
                <w:rFonts w:hint="default" w:ascii="Times New Roman" w:hAnsi="Times New Roman" w:cs="Times New Roman"/>
                <w:bCs/>
                <w:snapToGrid w:val="0"/>
                <w:color w:val="000000" w:themeColor="text1"/>
                <w:sz w:val="24"/>
                <w14:textFill>
                  <w14:solidFill>
                    <w14:schemeClr w14:val="tx1"/>
                  </w14:solidFill>
                </w14:textFill>
              </w:rPr>
            </w:pPr>
            <w:r>
              <w:rPr>
                <w:rFonts w:hint="default" w:ascii="Times New Roman" w:hAnsi="Times New Roman" w:cs="Times New Roman"/>
                <w:bCs/>
                <w:snapToGrid w:val="0"/>
                <w:color w:val="000000" w:themeColor="text1"/>
                <w:sz w:val="24"/>
                <w14:textFill>
                  <w14:solidFill>
                    <w14:schemeClr w14:val="tx1"/>
                  </w14:solidFill>
                </w14:textFill>
              </w:rPr>
              <w:t>3）加强治理：对高噪设备应根据设备的自重及振动特性采用合适的钢筋混凝土台座及隔振垫、减振器等；</w:t>
            </w:r>
          </w:p>
          <w:p>
            <w:pPr>
              <w:widowControl/>
              <w:overflowPunct w:val="0"/>
              <w:topLinePunct/>
              <w:autoSpaceDE w:val="0"/>
              <w:snapToGrid w:val="0"/>
              <w:spacing w:line="360" w:lineRule="auto"/>
              <w:ind w:firstLine="480" w:firstLineChars="200"/>
              <w:rPr>
                <w:rFonts w:hint="default" w:ascii="Times New Roman" w:hAnsi="Times New Roman" w:cs="Times New Roman"/>
                <w:bCs/>
                <w:snapToGrid w:val="0"/>
                <w:color w:val="000000" w:themeColor="text1"/>
                <w:sz w:val="24"/>
                <w14:textFill>
                  <w14:solidFill>
                    <w14:schemeClr w14:val="tx1"/>
                  </w14:solidFill>
                </w14:textFill>
              </w:rPr>
            </w:pPr>
            <w:r>
              <w:rPr>
                <w:rFonts w:hint="default" w:ascii="Times New Roman" w:hAnsi="Times New Roman" w:cs="Times New Roman"/>
                <w:bCs/>
                <w:snapToGrid w:val="0"/>
                <w:color w:val="000000" w:themeColor="text1"/>
                <w:sz w:val="24"/>
                <w14:textFill>
                  <w14:solidFill>
                    <w14:schemeClr w14:val="tx1"/>
                  </w14:solidFill>
                </w14:textFill>
              </w:rPr>
              <w:t>4）加强管理：建立设备定期维护、保养的管理制度，防止设备故障形成的非正常高</w:t>
            </w:r>
            <w:r>
              <w:rPr>
                <w:rFonts w:hint="eastAsia" w:ascii="Times New Roman" w:hAnsi="Times New Roman" w:cs="Times New Roman"/>
                <w:bCs/>
                <w:snapToGrid w:val="0"/>
                <w:color w:val="000000" w:themeColor="text1"/>
                <w:sz w:val="24"/>
                <w:lang w:eastAsia="zh-CN"/>
                <w14:textFill>
                  <w14:solidFill>
                    <w14:schemeClr w14:val="tx1"/>
                  </w14:solidFill>
                </w14:textFill>
              </w:rPr>
              <w:t>噪</w:t>
            </w:r>
            <w:r>
              <w:rPr>
                <w:rFonts w:hint="default" w:ascii="Times New Roman" w:hAnsi="Times New Roman" w:cs="Times New Roman"/>
                <w:bCs/>
                <w:snapToGrid w:val="0"/>
                <w:color w:val="000000" w:themeColor="text1"/>
                <w:sz w:val="24"/>
                <w14:textFill>
                  <w14:solidFill>
                    <w14:schemeClr w14:val="tx1"/>
                  </w14:solidFill>
                </w14:textFill>
              </w:rPr>
              <w:t>声，同时确保环保设施发挥最佳有效功能；加强职工环保意识教育，提倡文明生产，减少人为噪声。</w:t>
            </w:r>
          </w:p>
          <w:p>
            <w:pPr>
              <w:bidi w:val="0"/>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Cs/>
                <w:snapToGrid w:val="0"/>
                <w:color w:val="000000" w:themeColor="text1"/>
                <w:sz w:val="24"/>
                <w14:textFill>
                  <w14:solidFill>
                    <w14:schemeClr w14:val="tx1"/>
                  </w14:solidFill>
                </w14:textFill>
              </w:rPr>
              <w:t>项目生产区噪声经过基础减振及距离衰减后对周边环境影响较小</w:t>
            </w:r>
            <w:r>
              <w:rPr>
                <w:rFonts w:hint="eastAsia"/>
                <w:color w:val="000000" w:themeColor="text1"/>
                <w:highlight w:val="none"/>
                <w:lang w:val="en-US" w:eastAsia="zh-CN"/>
                <w14:textFill>
                  <w14:solidFill>
                    <w14:schemeClr w14:val="tx1"/>
                  </w14:solidFill>
                </w14:textFill>
              </w:rPr>
              <w:t>。</w:t>
            </w:r>
          </w:p>
          <w:p>
            <w:pPr>
              <w:bidi w:val="0"/>
              <w:spacing w:line="360" w:lineRule="auto"/>
              <w:rPr>
                <w:rFonts w:hint="eastAsia" w:cs="Times New Roman"/>
                <w:bCs/>
                <w:snapToGrid w:val="0"/>
                <w:color w:val="000000" w:themeColor="text1"/>
                <w:sz w:val="24"/>
                <w:lang w:val="en-US" w:eastAsia="zh-CN"/>
                <w14:textFill>
                  <w14:solidFill>
                    <w14:schemeClr w14:val="tx1"/>
                  </w14:solidFill>
                </w14:textFill>
              </w:rPr>
            </w:pPr>
            <w:r>
              <w:rPr>
                <w:rFonts w:hint="eastAsia" w:cs="Times New Roman"/>
                <w:b/>
                <w:bCs w:val="0"/>
                <w:snapToGrid w:val="0"/>
                <w:color w:val="FF0000"/>
                <w:sz w:val="24"/>
                <w:lang w:val="en-US" w:eastAsia="zh-CN"/>
              </w:rPr>
              <w:t>5、噪声监测计划</w:t>
            </w:r>
          </w:p>
          <w:p>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000000" w:themeColor="text1"/>
                <w:sz w:val="24"/>
                <w:szCs w:val="20"/>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0"/>
                <w:highlight w:val="none"/>
                <w:lang w:val="en-US" w:eastAsia="zh-CN"/>
                <w14:textFill>
                  <w14:solidFill>
                    <w14:schemeClr w14:val="tx1"/>
                  </w14:solidFill>
                </w14:textFill>
              </w:rPr>
              <w:t>项目生产特点和主要污染物的排放情况，按照</w:t>
            </w:r>
            <w:r>
              <w:rPr>
                <w:rFonts w:hint="eastAsia" w:ascii="Times New Roman" w:hAnsi="Times New Roman" w:eastAsia="宋体" w:cs="Times New Roman"/>
                <w:color w:val="000000" w:themeColor="text1"/>
                <w:sz w:val="24"/>
                <w:szCs w:val="20"/>
                <w:highlight w:val="none"/>
                <w:vertAlign w:val="baseline"/>
                <w:lang w:val="en-US" w:eastAsia="zh-CN"/>
                <w14:textFill>
                  <w14:solidFill>
                    <w14:schemeClr w14:val="tx1"/>
                  </w14:solidFill>
                </w14:textFill>
              </w:rPr>
              <w:t>《排污许可证申请与核发技术规范 石化工业》（HJ853-2017）</w:t>
            </w:r>
            <w:r>
              <w:rPr>
                <w:rFonts w:hint="eastAsia" w:ascii="Times New Roman" w:hAnsi="Times New Roman" w:eastAsia="宋体" w:cs="Times New Roman"/>
                <w:color w:val="000000" w:themeColor="text1"/>
                <w:sz w:val="24"/>
                <w:szCs w:val="20"/>
                <w:highlight w:val="none"/>
                <w:lang w:val="en-US" w:eastAsia="zh-CN"/>
                <w14:textFill>
                  <w14:solidFill>
                    <w14:schemeClr w14:val="tx1"/>
                  </w14:solidFill>
                </w14:textFill>
              </w:rPr>
              <w:t>和《排污单位自行监测技术指南 石油化学工业》（HJ947-2018）制定监测计划，见下表。</w:t>
            </w:r>
          </w:p>
          <w:p>
            <w:pPr>
              <w:pageBreakBefore w:val="0"/>
              <w:widowControl w:val="0"/>
              <w:kinsoku/>
              <w:wordWrap/>
              <w:overflowPunct/>
              <w:topLinePunct w:val="0"/>
              <w:autoSpaceDE/>
              <w:autoSpaceDN/>
              <w:bidi w:val="0"/>
              <w:spacing w:line="360" w:lineRule="auto"/>
              <w:ind w:firstLine="481" w:firstLineChars="200"/>
              <w:jc w:val="center"/>
              <w:textAlignment w:val="auto"/>
              <w:rPr>
                <w:rFonts w:hint="eastAsia" w:ascii="Times New Roman" w:hAnsi="Times New Roman" w:eastAsia="宋体" w:cs="Times New Roman"/>
                <w:b/>
                <w:bCs/>
                <w:color w:val="000000" w:themeColor="text1"/>
                <w:sz w:val="24"/>
                <w:szCs w:val="20"/>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FF0000"/>
                <w:sz w:val="24"/>
                <w:szCs w:val="20"/>
                <w:highlight w:val="none"/>
                <w:vertAlign w:val="baseline"/>
                <w:lang w:val="en-US" w:eastAsia="zh-CN"/>
              </w:rPr>
              <w:t>表4-1</w:t>
            </w:r>
            <w:r>
              <w:rPr>
                <w:rFonts w:hint="eastAsia" w:cs="Times New Roman"/>
                <w:b/>
                <w:bCs/>
                <w:color w:val="FF0000"/>
                <w:sz w:val="24"/>
                <w:szCs w:val="20"/>
                <w:highlight w:val="none"/>
                <w:vertAlign w:val="baseline"/>
                <w:lang w:val="en-US" w:eastAsia="zh-CN"/>
              </w:rPr>
              <w:t>3</w:t>
            </w:r>
            <w:r>
              <w:rPr>
                <w:rFonts w:hint="eastAsia" w:ascii="Times New Roman" w:hAnsi="Times New Roman" w:eastAsia="宋体" w:cs="Times New Roman"/>
                <w:b/>
                <w:bCs/>
                <w:color w:val="FF0000"/>
                <w:sz w:val="24"/>
                <w:szCs w:val="20"/>
                <w:highlight w:val="none"/>
                <w:vertAlign w:val="baseline"/>
                <w:lang w:val="en-US" w:eastAsia="zh-CN"/>
              </w:rPr>
              <w:t xml:space="preserve"> </w:t>
            </w:r>
            <w:commentRangeStart w:id="93"/>
            <w:r>
              <w:rPr>
                <w:rFonts w:hint="eastAsia" w:ascii="Times New Roman" w:hAnsi="Times New Roman" w:eastAsia="宋体" w:cs="Times New Roman"/>
                <w:b/>
                <w:bCs/>
                <w:color w:val="FF0000"/>
                <w:sz w:val="24"/>
                <w:szCs w:val="20"/>
                <w:highlight w:val="none"/>
                <w:vertAlign w:val="baseline"/>
                <w:lang w:val="en-US" w:eastAsia="zh-CN"/>
              </w:rPr>
              <w:t>噪声</w:t>
            </w:r>
            <w:r>
              <w:rPr>
                <w:rFonts w:hint="eastAsia" w:cs="Times New Roman"/>
                <w:b/>
                <w:bCs/>
                <w:color w:val="FF0000"/>
                <w:sz w:val="24"/>
                <w:szCs w:val="20"/>
                <w:highlight w:val="none"/>
                <w:vertAlign w:val="baseline"/>
                <w:lang w:val="en-US" w:eastAsia="zh-CN"/>
              </w:rPr>
              <w:t>跟踪监测计划</w:t>
            </w:r>
            <w:r>
              <w:rPr>
                <w:rFonts w:hint="eastAsia" w:ascii="Times New Roman" w:hAnsi="Times New Roman" w:eastAsia="宋体" w:cs="Times New Roman"/>
                <w:b/>
                <w:bCs/>
                <w:color w:val="FF0000"/>
                <w:sz w:val="24"/>
                <w:szCs w:val="20"/>
                <w:highlight w:val="none"/>
                <w:vertAlign w:val="baseline"/>
                <w:lang w:val="en-US" w:eastAsia="zh-CN"/>
              </w:rPr>
              <w:t>一览表</w:t>
            </w:r>
            <w:commentRangeEnd w:id="93"/>
            <w:r>
              <w:commentReference w:id="93"/>
            </w:r>
          </w:p>
          <w:tbl>
            <w:tblPr>
              <w:tblStyle w:val="27"/>
              <w:tblW w:w="79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88"/>
              <w:gridCol w:w="2100"/>
              <w:gridCol w:w="4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988"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项目</w:t>
                  </w:r>
                </w:p>
              </w:tc>
              <w:tc>
                <w:tcPr>
                  <w:tcW w:w="6930" w:type="dxa"/>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宋体"/>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eastAsia="宋体" w:cs="宋体"/>
                      <w:color w:val="000000" w:themeColor="text1"/>
                      <w:kern w:val="2"/>
                      <w:sz w:val="21"/>
                      <w:szCs w:val="21"/>
                      <w:highlight w:val="none"/>
                      <w:lang w:val="en-US" w:eastAsia="zh-CN" w:bidi="ar"/>
                      <w14:textFill>
                        <w14:solidFill>
                          <w14:schemeClr w14:val="tx1"/>
                        </w14:solidFill>
                      </w14:textFill>
                    </w:rPr>
                    <w:t>监测制度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988"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噪声</w:t>
                  </w:r>
                </w:p>
              </w:tc>
              <w:tc>
                <w:tcPr>
                  <w:tcW w:w="21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监测项目</w:t>
                  </w:r>
                </w:p>
              </w:tc>
              <w:tc>
                <w:tcPr>
                  <w:tcW w:w="48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Lep（A）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988"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21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监测点位</w:t>
                  </w:r>
                </w:p>
              </w:tc>
              <w:tc>
                <w:tcPr>
                  <w:tcW w:w="48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东、南、西、北厂界外1m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988"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21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监测频次</w:t>
                  </w:r>
                </w:p>
              </w:tc>
              <w:tc>
                <w:tcPr>
                  <w:tcW w:w="48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每季度监测一次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988"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21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监测方法</w:t>
                  </w:r>
                </w:p>
              </w:tc>
              <w:tc>
                <w:tcPr>
                  <w:tcW w:w="48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t>按照《工业企业厂界环境噪声排放标准》(GB12348-2008)的有关规定进行</w:t>
                  </w:r>
                </w:p>
              </w:tc>
            </w:tr>
          </w:tbl>
          <w:p>
            <w:pPr>
              <w:bidi w:val="0"/>
              <w:rPr>
                <w:rFonts w:hint="default" w:eastAsia="宋体"/>
                <w:b/>
                <w:bCs/>
                <w:color w:val="000000" w:themeColor="text1"/>
                <w:highlight w:val="none"/>
                <w:lang w:val="en-US" w:eastAsia="zh-CN"/>
                <w14:textFill>
                  <w14:solidFill>
                    <w14:schemeClr w14:val="tx1"/>
                  </w14:solidFill>
                </w14:textFill>
              </w:rPr>
            </w:pPr>
            <w:r>
              <w:rPr>
                <w:rFonts w:hint="default" w:eastAsia="宋体"/>
                <w:b/>
                <w:bCs/>
                <w:color w:val="000000" w:themeColor="text1"/>
                <w:highlight w:val="none"/>
                <w:lang w:val="en-US" w:eastAsia="zh-CN"/>
                <w14:textFill>
                  <w14:solidFill>
                    <w14:schemeClr w14:val="tx1"/>
                  </w14:solidFill>
                </w14:textFill>
              </w:rPr>
              <w:t>四、固体废物</w:t>
            </w:r>
          </w:p>
          <w:p>
            <w:pPr>
              <w:bidi w:val="0"/>
              <w:rPr>
                <w:rFonts w:hint="default" w:eastAsia="宋体"/>
                <w:b/>
                <w:bCs/>
                <w:color w:val="000000" w:themeColor="text1"/>
                <w:highlight w:val="none"/>
                <w:lang w:val="en-US" w:eastAsia="zh-CN"/>
                <w14:textFill>
                  <w14:solidFill>
                    <w14:schemeClr w14:val="tx1"/>
                  </w14:solidFill>
                </w14:textFill>
              </w:rPr>
            </w:pPr>
            <w:r>
              <w:rPr>
                <w:rFonts w:hint="default" w:eastAsia="宋体"/>
                <w:b/>
                <w:bCs/>
                <w:color w:val="000000" w:themeColor="text1"/>
                <w:highlight w:val="none"/>
                <w:lang w:val="en-US" w:eastAsia="zh-CN"/>
                <w14:textFill>
                  <w14:solidFill>
                    <w14:schemeClr w14:val="tx1"/>
                  </w14:solidFill>
                </w14:textFill>
              </w:rPr>
              <w:t>1</w:t>
            </w:r>
            <w:r>
              <w:rPr>
                <w:rFonts w:hint="eastAsia"/>
                <w:b/>
                <w:bCs/>
                <w:color w:val="000000" w:themeColor="text1"/>
                <w:highlight w:val="none"/>
                <w:lang w:val="en-US" w:eastAsia="zh-CN"/>
                <w14:textFill>
                  <w14:solidFill>
                    <w14:schemeClr w14:val="tx1"/>
                  </w14:solidFill>
                </w14:textFill>
              </w:rPr>
              <w:t>、</w:t>
            </w:r>
            <w:r>
              <w:rPr>
                <w:rFonts w:hint="default" w:eastAsia="宋体"/>
                <w:b/>
                <w:bCs/>
                <w:color w:val="000000" w:themeColor="text1"/>
                <w:highlight w:val="none"/>
                <w:lang w:val="en-US" w:eastAsia="zh-CN"/>
                <w14:textFill>
                  <w14:solidFill>
                    <w14:schemeClr w14:val="tx1"/>
                  </w14:solidFill>
                </w14:textFill>
              </w:rPr>
              <w:t>固体废物来源</w:t>
            </w:r>
            <w:r>
              <w:rPr>
                <w:rFonts w:hint="eastAsia"/>
                <w:b/>
                <w:bCs/>
                <w:color w:val="000000" w:themeColor="text1"/>
                <w:highlight w:val="none"/>
                <w:lang w:val="en-US" w:eastAsia="zh-CN"/>
                <w14:textFill>
                  <w14:solidFill>
                    <w14:schemeClr w14:val="tx1"/>
                  </w14:solidFill>
                </w14:textFill>
              </w:rPr>
              <w:t>及产生情况</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项目运营期的固体废物主要为清罐油泥、污水处理系统产生的含油污泥、油气回收装置产生的废活性炭、废机油、废油桶、含有抹布及手套、生活垃圾等。</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（1）危险废物</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①清罐油泥</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清罐油泥主要为油品储存过程中储罐底部沉淀的油泥，油泥中主要污染物为石油类、泥砂以及其他有害成分，如酚、砷、汞。类比同类项目，项目每5年进行一次清罐，产生含油污泥量约为60t/5a，危险废物代码：HW08，900-249-08，桶装收集后不在厂区内暂存，及时由资质单位处置。</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②污水处理系统含油污泥</w:t>
            </w:r>
          </w:p>
          <w:p>
            <w:pPr>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水处理系统为格栅+湿式氧化+气浮+生化+过滤工艺，根据同类项目及建设单位提供的资料可知，污水处理站产生的含油污泥产生量约为2.1t/a，属于HW08项中的900-249-08，专用容器收集后存放于危废贮存库内，定期交有资质单位处置。</w:t>
            </w:r>
          </w:p>
          <w:p>
            <w:pPr>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③废机油</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运营期设备维修过程中会产生一定量的废机油，根据建设单位提供资料，本项目废机油产生量为0.1t/a，根据《国家危险废物名录》（2025年版），废机油属于危险废物，危险废物编号为HW08，废物代码为900-214-08，暂存危险废物暂存库内，定期交有资质的单位处理。</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④废油桶</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运营期设备维修过程中会产生一定量的废机油，根据建设单位提供资料，本项目废机油产生量为0.05t/a，根据《国家危险废物名录》（2025年版），废机油属于危险废物，危险废物编号为HW49，废物代码为900-041-49，暂存危险废物暂存库内，定期交有资质的单位处理。</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⑤废活性炭</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油气回收装置设置两座吸附塔，单座吸附塔活性炭装填量为5t，</w:t>
            </w:r>
            <w:r>
              <w:rPr>
                <w:rFonts w:hint="eastAsia"/>
                <w:color w:val="000000" w:themeColor="text1"/>
                <w:lang w:val="en-US" w:eastAsia="zh-CN"/>
                <w14:textFill>
                  <w14:solidFill>
                    <w14:schemeClr w14:val="tx1"/>
                  </w14:solidFill>
                </w14:textFill>
              </w:rPr>
              <w:t>采用颗粒活性炭，</w:t>
            </w:r>
            <w:r>
              <w:rPr>
                <w:rFonts w:hint="eastAsia"/>
                <w:color w:val="000000" w:themeColor="text1"/>
                <w:spacing w:val="-3"/>
                <w:sz w:val="24"/>
                <w:highlight w:val="none"/>
                <w:lang w:eastAsia="zh-CN"/>
                <w14:textFill>
                  <w14:solidFill>
                    <w14:schemeClr w14:val="tx1"/>
                  </w14:solidFill>
                </w14:textFill>
              </w:rPr>
              <w:t>碘值</w:t>
            </w:r>
            <w:r>
              <w:rPr>
                <w:rFonts w:hint="eastAsia"/>
                <w:color w:val="000000" w:themeColor="text1"/>
                <w:spacing w:val="-3"/>
                <w:sz w:val="24"/>
                <w:highlight w:val="none"/>
                <w:lang w:val="en-US" w:eastAsia="zh-CN"/>
                <w14:textFill>
                  <w14:solidFill>
                    <w14:schemeClr w14:val="tx1"/>
                  </w14:solidFill>
                </w14:textFill>
              </w:rPr>
              <w:t>约</w:t>
            </w:r>
            <w:r>
              <w:rPr>
                <w:rFonts w:hint="eastAsia"/>
                <w:color w:val="000000" w:themeColor="text1"/>
                <w:spacing w:val="-3"/>
                <w:sz w:val="24"/>
                <w:highlight w:val="none"/>
                <w:lang w:eastAsia="zh-CN"/>
                <w14:textFill>
                  <w14:solidFill>
                    <w14:schemeClr w14:val="tx1"/>
                  </w14:solidFill>
                </w14:textFill>
              </w:rPr>
              <w:t>800mg/g，</w:t>
            </w:r>
            <w:r>
              <w:rPr>
                <w:rFonts w:hint="eastAsia"/>
                <w:color w:val="000000" w:themeColor="text1"/>
                <w:spacing w:val="-3"/>
                <w:sz w:val="24"/>
                <w:highlight w:val="none"/>
                <w:lang w:val="en-US" w:eastAsia="zh-CN"/>
                <w14:textFill>
                  <w14:solidFill>
                    <w14:schemeClr w14:val="tx1"/>
                  </w14:solidFill>
                </w14:textFill>
              </w:rPr>
              <w:t>两级活性炭</w:t>
            </w:r>
            <w:r>
              <w:rPr>
                <w:rFonts w:hint="eastAsia"/>
                <w:color w:val="000000" w:themeColor="text1"/>
                <w:spacing w:val="4"/>
                <w14:textFill>
                  <w14:solidFill>
                    <w14:schemeClr w14:val="tx1"/>
                  </w14:solidFill>
                </w14:textFill>
              </w:rPr>
              <w:t>吸附效率取</w:t>
            </w:r>
            <w:r>
              <w:rPr>
                <w:rFonts w:hint="eastAsia"/>
                <w:color w:val="000000" w:themeColor="text1"/>
                <w:spacing w:val="4"/>
                <w:lang w:val="en-US" w:eastAsia="zh-CN"/>
                <w14:textFill>
                  <w14:solidFill>
                    <w14:schemeClr w14:val="tx1"/>
                  </w14:solidFill>
                </w14:textFill>
              </w:rPr>
              <w:t>96</w:t>
            </w: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采用真空脱附后可反复利用，</w:t>
            </w:r>
            <w:r>
              <w:rPr>
                <w:rFonts w:hint="eastAsia"/>
                <w:color w:val="000000" w:themeColor="text1"/>
                <w:highlight w:val="none"/>
                <w:lang w:val="en-US" w:eastAsia="zh-CN"/>
                <w14:textFill>
                  <w14:solidFill>
                    <w14:schemeClr w14:val="tx1"/>
                  </w14:solidFill>
                </w14:textFill>
              </w:rPr>
              <w:t>每两年更换一次，即10t/2a（5t/a）。属于危险废物，危废代码为900-039-49，</w:t>
            </w:r>
            <w:r>
              <w:rPr>
                <w:rFonts w:hint="default"/>
                <w:color w:val="000000" w:themeColor="text1"/>
                <w:highlight w:val="none"/>
                <w:lang w:val="en-US" w:eastAsia="zh-CN"/>
                <w14:textFill>
                  <w14:solidFill>
                    <w14:schemeClr w14:val="tx1"/>
                  </w14:solidFill>
                </w14:textFill>
              </w:rPr>
              <w:t>暂存于危险废物暂存库，</w:t>
            </w:r>
            <w:r>
              <w:rPr>
                <w:rFonts w:hint="eastAsia"/>
                <w:color w:val="000000" w:themeColor="text1"/>
                <w:highlight w:val="none"/>
                <w:lang w:val="en-US" w:eastAsia="zh-CN"/>
                <w14:textFill>
                  <w14:solidFill>
                    <w14:schemeClr w14:val="tx1"/>
                  </w14:solidFill>
                </w14:textFill>
              </w:rPr>
              <w:t>定期</w:t>
            </w:r>
            <w:r>
              <w:rPr>
                <w:rFonts w:hint="default"/>
                <w:color w:val="000000" w:themeColor="text1"/>
                <w:highlight w:val="none"/>
                <w:lang w:val="en-US" w:eastAsia="zh-CN"/>
                <w14:textFill>
                  <w14:solidFill>
                    <w14:schemeClr w14:val="tx1"/>
                  </w14:solidFill>
                </w14:textFill>
              </w:rPr>
              <w:t>由资质</w:t>
            </w:r>
            <w:r>
              <w:rPr>
                <w:rFonts w:hint="eastAsia"/>
                <w:color w:val="000000" w:themeColor="text1"/>
                <w:highlight w:val="none"/>
                <w:lang w:val="en-US" w:eastAsia="zh-CN"/>
                <w14:textFill>
                  <w14:solidFill>
                    <w14:schemeClr w14:val="tx1"/>
                  </w14:solidFill>
                </w14:textFill>
              </w:rPr>
              <w:t>单位处置</w:t>
            </w:r>
            <w:r>
              <w:rPr>
                <w:rFonts w:hint="default"/>
                <w:color w:val="000000" w:themeColor="text1"/>
                <w:highlight w:val="none"/>
                <w:lang w:val="en-US" w:eastAsia="zh-CN"/>
                <w14:textFill>
                  <w14:solidFill>
                    <w14:schemeClr w14:val="tx1"/>
                  </w14:solidFill>
                </w14:textFill>
              </w:rPr>
              <w:t>。</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⑥含油抹布、手套</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在对生产设备保养和维护过程产生少量含油抹布、手套，均为国家《危险废物名录》2025年版中危险废物。含油抹布、手套类别属“HW49”，废物代码为“900-041-49”。根据建设单位提供资料，废含油抹布、手套产生量约0.1t/a，于危废暂存库暂存后定期交由有资质的单位处置。</w:t>
            </w:r>
          </w:p>
          <w:p>
            <w:pPr>
              <w:bidi w:val="0"/>
              <w:rPr>
                <w:rFonts w:hint="default" w:eastAsia="宋体"/>
                <w:color w:val="000000" w:themeColor="text1"/>
                <w:highlight w:val="none"/>
                <w:lang w:val="en-US" w:eastAsia="zh-CN"/>
                <w14:textFill>
                  <w14:solidFill>
                    <w14:schemeClr w14:val="tx1"/>
                  </w14:solidFill>
                </w14:textFill>
              </w:rPr>
            </w:pPr>
            <w:r>
              <w:commentReference w:id="94"/>
            </w:r>
            <w:r>
              <w:rPr>
                <w:rFonts w:hint="eastAsia"/>
                <w:color w:val="FF0000"/>
                <w:lang w:val="en-US" w:eastAsia="zh-CN"/>
              </w:rPr>
              <w:t>⑦</w:t>
            </w:r>
            <w:r>
              <w:rPr>
                <w:rFonts w:hint="eastAsia"/>
                <w:color w:val="000000" w:themeColor="text1"/>
                <w:highlight w:val="none"/>
                <w:lang w:val="en-US" w:eastAsia="zh-CN"/>
                <w14:textFill>
                  <w14:solidFill>
                    <w14:schemeClr w14:val="tx1"/>
                  </w14:solidFill>
                </w14:textFill>
              </w:rPr>
              <w:t>生活垃圾</w:t>
            </w:r>
          </w:p>
          <w:p>
            <w:pPr>
              <w:bidi w:val="0"/>
              <w:rPr>
                <w:rFonts w:hint="default" w:eastAsia="宋体"/>
                <w:color w:val="000000" w:themeColor="text1"/>
                <w:highlight w:val="none"/>
                <w:lang w:val="en-US" w:eastAsia="zh-CN"/>
                <w14:textFill>
                  <w14:solidFill>
                    <w14:schemeClr w14:val="tx1"/>
                  </w14:solidFill>
                </w14:textFill>
              </w:rPr>
            </w:pPr>
            <w:r>
              <w:rPr>
                <w:rFonts w:hint="default" w:eastAsia="宋体"/>
                <w:color w:val="000000" w:themeColor="text1"/>
                <w:highlight w:val="none"/>
                <w:lang w:val="en-US" w:eastAsia="zh-CN"/>
                <w14:textFill>
                  <w14:solidFill>
                    <w14:schemeClr w14:val="tx1"/>
                  </w14:solidFill>
                </w14:textFill>
              </w:rPr>
              <w:t>本项目劳动定员共计</w:t>
            </w:r>
            <w:r>
              <w:rPr>
                <w:rFonts w:hint="eastAsia"/>
                <w:color w:val="000000" w:themeColor="text1"/>
                <w:highlight w:val="none"/>
                <w:lang w:val="en-US" w:eastAsia="zh-CN"/>
                <w14:textFill>
                  <w14:solidFill>
                    <w14:schemeClr w14:val="tx1"/>
                  </w14:solidFill>
                </w14:textFill>
              </w:rPr>
              <w:t>20</w:t>
            </w:r>
            <w:r>
              <w:rPr>
                <w:rFonts w:hint="default" w:eastAsia="宋体"/>
                <w:color w:val="000000" w:themeColor="text1"/>
                <w:highlight w:val="none"/>
                <w:lang w:val="en-US" w:eastAsia="zh-CN"/>
                <w14:textFill>
                  <w14:solidFill>
                    <w14:schemeClr w14:val="tx1"/>
                  </w14:solidFill>
                </w14:textFill>
              </w:rPr>
              <w:t>人，年工作</w:t>
            </w:r>
            <w:r>
              <w:rPr>
                <w:rFonts w:hint="eastAsia"/>
                <w:color w:val="000000" w:themeColor="text1"/>
                <w:highlight w:val="none"/>
                <w:lang w:val="en-US" w:eastAsia="zh-CN"/>
                <w14:textFill>
                  <w14:solidFill>
                    <w14:schemeClr w14:val="tx1"/>
                  </w14:solidFill>
                </w14:textFill>
              </w:rPr>
              <w:t>300</w:t>
            </w:r>
            <w:r>
              <w:rPr>
                <w:rFonts w:hint="default" w:eastAsia="宋体"/>
                <w:color w:val="000000" w:themeColor="text1"/>
                <w:highlight w:val="none"/>
                <w:lang w:val="en-US" w:eastAsia="zh-CN"/>
                <w14:textFill>
                  <w14:solidFill>
                    <w14:schemeClr w14:val="tx1"/>
                  </w14:solidFill>
                </w14:textFill>
              </w:rPr>
              <w:t>天，生活垃圾产生量按照0.5kg/人·d计算，则本项目生活垃圾产生量为</w:t>
            </w:r>
            <w:r>
              <w:rPr>
                <w:rFonts w:hint="eastAsia"/>
                <w:color w:val="000000" w:themeColor="text1"/>
                <w:highlight w:val="none"/>
                <w:lang w:val="en-US" w:eastAsia="zh-CN"/>
                <w14:textFill>
                  <w14:solidFill>
                    <w14:schemeClr w14:val="tx1"/>
                  </w14:solidFill>
                </w14:textFill>
              </w:rPr>
              <w:t>3</w:t>
            </w:r>
            <w:r>
              <w:rPr>
                <w:rFonts w:hint="default" w:eastAsia="宋体"/>
                <w:color w:val="000000" w:themeColor="text1"/>
                <w:highlight w:val="none"/>
                <w:lang w:val="en-US" w:eastAsia="zh-CN"/>
                <w14:textFill>
                  <w14:solidFill>
                    <w14:schemeClr w14:val="tx1"/>
                  </w14:solidFill>
                </w14:textFill>
              </w:rPr>
              <w:t>t/a，产生的生活垃圾由垃圾桶统一收集后，由当地环卫部门定期清运。</w:t>
            </w:r>
          </w:p>
          <w:p>
            <w:pPr>
              <w:bidi w:val="0"/>
              <w:ind w:left="0" w:leftChars="0" w:firstLine="0" w:firstLineChars="0"/>
              <w:jc w:val="center"/>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表4-14 固废产生情况一览表</w:t>
            </w:r>
          </w:p>
          <w:tbl>
            <w:tblPr>
              <w:tblStyle w:val="28"/>
              <w:tblW w:w="79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785"/>
              <w:gridCol w:w="761"/>
              <w:gridCol w:w="655"/>
              <w:gridCol w:w="715"/>
              <w:gridCol w:w="1183"/>
              <w:gridCol w:w="791"/>
              <w:gridCol w:w="792"/>
              <w:gridCol w:w="792"/>
              <w:gridCol w:w="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7"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序号</w:t>
                  </w:r>
                </w:p>
              </w:tc>
              <w:tc>
                <w:tcPr>
                  <w:tcW w:w="78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固废名称</w:t>
                  </w:r>
                </w:p>
              </w:tc>
              <w:tc>
                <w:tcPr>
                  <w:tcW w:w="76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产生工序</w:t>
                  </w:r>
                </w:p>
              </w:tc>
              <w:tc>
                <w:tcPr>
                  <w:tcW w:w="65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形态</w:t>
                  </w:r>
                </w:p>
              </w:tc>
              <w:tc>
                <w:tcPr>
                  <w:tcW w:w="71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主要成分</w:t>
                  </w:r>
                </w:p>
              </w:tc>
              <w:tc>
                <w:tcPr>
                  <w:tcW w:w="1183"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危险特性鉴定方法</w:t>
                  </w:r>
                </w:p>
              </w:tc>
              <w:tc>
                <w:tcPr>
                  <w:tcW w:w="79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废物类别</w:t>
                  </w:r>
                </w:p>
              </w:tc>
              <w:tc>
                <w:tcPr>
                  <w:tcW w:w="79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废物代码</w:t>
                  </w:r>
                </w:p>
              </w:tc>
              <w:tc>
                <w:tcPr>
                  <w:tcW w:w="79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产生量t/a</w:t>
                  </w:r>
                </w:p>
              </w:tc>
              <w:tc>
                <w:tcPr>
                  <w:tcW w:w="79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7"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w:t>
                  </w:r>
                </w:p>
              </w:tc>
              <w:tc>
                <w:tcPr>
                  <w:tcW w:w="785"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生活垃圾</w:t>
                  </w:r>
                </w:p>
              </w:tc>
              <w:tc>
                <w:tcPr>
                  <w:tcW w:w="761"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办公生活</w:t>
                  </w:r>
                </w:p>
              </w:tc>
              <w:tc>
                <w:tcPr>
                  <w:tcW w:w="655"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固态</w:t>
                  </w:r>
                </w:p>
              </w:tc>
              <w:tc>
                <w:tcPr>
                  <w:tcW w:w="715"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果皮、纸屑</w:t>
                  </w:r>
                </w:p>
              </w:tc>
              <w:tc>
                <w:tcPr>
                  <w:tcW w:w="1183"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791"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792"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792"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w:t>
                  </w:r>
                </w:p>
              </w:tc>
              <w:tc>
                <w:tcPr>
                  <w:tcW w:w="792"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环卫部门清运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647"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w:t>
                  </w:r>
                </w:p>
              </w:tc>
              <w:tc>
                <w:tcPr>
                  <w:tcW w:w="78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清罐油泥</w:t>
                  </w:r>
                </w:p>
              </w:tc>
              <w:tc>
                <w:tcPr>
                  <w:tcW w:w="761"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储罐清理</w:t>
                  </w:r>
                </w:p>
              </w:tc>
              <w:tc>
                <w:tcPr>
                  <w:tcW w:w="655"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半</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固体</w:t>
                  </w:r>
                </w:p>
              </w:tc>
              <w:tc>
                <w:tcPr>
                  <w:tcW w:w="71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石油类、重金属</w:t>
                  </w:r>
                </w:p>
              </w:tc>
              <w:tc>
                <w:tcPr>
                  <w:tcW w:w="1183" w:type="dxa"/>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《国家危险废物名录》（2025年版）</w:t>
                  </w:r>
                </w:p>
              </w:tc>
              <w:tc>
                <w:tcPr>
                  <w:tcW w:w="79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HW08</w:t>
                  </w:r>
                </w:p>
              </w:tc>
              <w:tc>
                <w:tcPr>
                  <w:tcW w:w="79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900-249-08</w:t>
                  </w:r>
                </w:p>
              </w:tc>
              <w:tc>
                <w:tcPr>
                  <w:tcW w:w="792"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t/</w:t>
                  </w:r>
                  <w:r>
                    <w:rPr>
                      <w:rFonts w:hint="eastAsia" w:cs="Times New Roman"/>
                      <w:color w:val="000000" w:themeColor="text1"/>
                      <w:sz w:val="21"/>
                      <w:szCs w:val="21"/>
                      <w:highlight w:val="none"/>
                      <w:lang w:val="en-US" w:eastAsia="zh-CN"/>
                      <w14:textFill>
                        <w14:solidFill>
                          <w14:schemeClr w14:val="tx1"/>
                        </w14:solidFill>
                      </w14:textFill>
                    </w:rPr>
                    <w:t>5</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a</w:t>
                  </w:r>
                </w:p>
              </w:tc>
              <w:tc>
                <w:tcPr>
                  <w:tcW w:w="79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不在厂区内暂存，及时由资质单位处置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7"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w:t>
                  </w:r>
                </w:p>
              </w:tc>
              <w:tc>
                <w:tcPr>
                  <w:tcW w:w="78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污水处理系统含油污泥</w:t>
                  </w:r>
                </w:p>
              </w:tc>
              <w:tc>
                <w:tcPr>
                  <w:tcW w:w="761"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污水处理</w:t>
                  </w:r>
                </w:p>
              </w:tc>
              <w:tc>
                <w:tcPr>
                  <w:tcW w:w="655"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半固态</w:t>
                  </w:r>
                </w:p>
              </w:tc>
              <w:tc>
                <w:tcPr>
                  <w:tcW w:w="71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浮油和泥沙</w:t>
                  </w:r>
                </w:p>
              </w:tc>
              <w:tc>
                <w:tcPr>
                  <w:tcW w:w="1183"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9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HW08</w:t>
                  </w:r>
                </w:p>
              </w:tc>
              <w:tc>
                <w:tcPr>
                  <w:tcW w:w="79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900-249-08</w:t>
                  </w:r>
                </w:p>
              </w:tc>
              <w:tc>
                <w:tcPr>
                  <w:tcW w:w="792"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2.1</w:t>
                  </w:r>
                </w:p>
              </w:tc>
              <w:tc>
                <w:tcPr>
                  <w:tcW w:w="792" w:type="dxa"/>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暂存于危险废物暂存库</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定期</w:t>
                  </w:r>
                  <w:r>
                    <w:rPr>
                      <w:rFonts w:hint="default" w:ascii="Times New Roman" w:hAnsi="Times New Roman" w:cs="Times New Roman"/>
                      <w:color w:val="000000" w:themeColor="text1"/>
                      <w:sz w:val="21"/>
                      <w:szCs w:val="21"/>
                      <w:highlight w:val="none"/>
                      <w14:textFill>
                        <w14:solidFill>
                          <w14:schemeClr w14:val="tx1"/>
                        </w14:solidFill>
                      </w14:textFill>
                    </w:rPr>
                    <w:t>由资质</w:t>
                  </w:r>
                  <w:r>
                    <w:rPr>
                      <w:rFonts w:hint="eastAsia" w:cs="Times New Roman"/>
                      <w:color w:val="000000" w:themeColor="text1"/>
                      <w:sz w:val="21"/>
                      <w:szCs w:val="21"/>
                      <w:highlight w:val="none"/>
                      <w:lang w:val="en-US" w:eastAsia="zh-CN"/>
                      <w14:textFill>
                        <w14:solidFill>
                          <w14:schemeClr w14:val="tx1"/>
                        </w14:solidFill>
                      </w14:textFill>
                    </w:rPr>
                    <w:t>单位处置</w:t>
                  </w: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7"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w:t>
                  </w:r>
                </w:p>
              </w:tc>
              <w:tc>
                <w:tcPr>
                  <w:tcW w:w="785"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废机油</w:t>
                  </w:r>
                </w:p>
              </w:tc>
              <w:tc>
                <w:tcPr>
                  <w:tcW w:w="761" w:type="dxa"/>
                  <w:vMerge w:val="restart"/>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设备维修</w:t>
                  </w:r>
                </w:p>
              </w:tc>
              <w:tc>
                <w:tcPr>
                  <w:tcW w:w="655"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液</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体</w:t>
                  </w:r>
                </w:p>
              </w:tc>
              <w:tc>
                <w:tcPr>
                  <w:tcW w:w="715"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废机油</w:t>
                  </w:r>
                </w:p>
              </w:tc>
              <w:tc>
                <w:tcPr>
                  <w:tcW w:w="1183"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9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HW08</w:t>
                  </w:r>
                </w:p>
              </w:tc>
              <w:tc>
                <w:tcPr>
                  <w:tcW w:w="79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900-214-08</w:t>
                  </w:r>
                </w:p>
              </w:tc>
              <w:tc>
                <w:tcPr>
                  <w:tcW w:w="792"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0.1</w:t>
                  </w:r>
                </w:p>
              </w:tc>
              <w:tc>
                <w:tcPr>
                  <w:tcW w:w="792"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647" w:type="dxa"/>
                  <w:vAlign w:val="center"/>
                </w:tcPr>
                <w:p>
                  <w:pPr>
                    <w:spacing w:line="240" w:lineRule="auto"/>
                    <w:ind w:firstLine="0" w:firstLine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w:t>
                  </w:r>
                </w:p>
              </w:tc>
              <w:tc>
                <w:tcPr>
                  <w:tcW w:w="785" w:type="dxa"/>
                  <w:vAlign w:val="center"/>
                </w:tcPr>
                <w:p>
                  <w:pPr>
                    <w:spacing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废油桶</w:t>
                  </w:r>
                </w:p>
              </w:tc>
              <w:tc>
                <w:tcPr>
                  <w:tcW w:w="761" w:type="dxa"/>
                  <w:vMerge w:val="continue"/>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55" w:type="dxa"/>
                  <w:vAlign w:val="center"/>
                </w:tcPr>
                <w:p>
                  <w:pPr>
                    <w:spacing w:line="240" w:lineRule="auto"/>
                    <w:ind w:firstLine="0" w:firstLine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固体</w:t>
                  </w:r>
                </w:p>
              </w:tc>
              <w:tc>
                <w:tcPr>
                  <w:tcW w:w="715"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废机油</w:t>
                  </w:r>
                </w:p>
              </w:tc>
              <w:tc>
                <w:tcPr>
                  <w:tcW w:w="1183"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9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HW49</w:t>
                  </w:r>
                </w:p>
              </w:tc>
              <w:tc>
                <w:tcPr>
                  <w:tcW w:w="792" w:type="dxa"/>
                  <w:vAlign w:val="center"/>
                </w:tcPr>
                <w:p>
                  <w:pPr>
                    <w:spacing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900-041-49</w:t>
                  </w:r>
                </w:p>
              </w:tc>
              <w:tc>
                <w:tcPr>
                  <w:tcW w:w="792"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0.05</w:t>
                  </w:r>
                </w:p>
              </w:tc>
              <w:tc>
                <w:tcPr>
                  <w:tcW w:w="792"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7" w:type="dxa"/>
                  <w:vAlign w:val="center"/>
                </w:tcPr>
                <w:p>
                  <w:pPr>
                    <w:spacing w:line="240" w:lineRule="auto"/>
                    <w:ind w:firstLine="0" w:firstLine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p>
              </w:tc>
              <w:tc>
                <w:tcPr>
                  <w:tcW w:w="785" w:type="dxa"/>
                  <w:vAlign w:val="center"/>
                </w:tcPr>
                <w:p>
                  <w:pPr>
                    <w:spacing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含油抹布、手套</w:t>
                  </w:r>
                </w:p>
              </w:tc>
              <w:tc>
                <w:tcPr>
                  <w:tcW w:w="761" w:type="dxa"/>
                  <w:vMerge w:val="continue"/>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55" w:type="dxa"/>
                  <w:vAlign w:val="center"/>
                </w:tcPr>
                <w:p>
                  <w:pPr>
                    <w:spacing w:line="240" w:lineRule="auto"/>
                    <w:ind w:firstLine="0" w:firstLine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固体</w:t>
                  </w:r>
                </w:p>
              </w:tc>
              <w:tc>
                <w:tcPr>
                  <w:tcW w:w="715"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废机油</w:t>
                  </w:r>
                </w:p>
              </w:tc>
              <w:tc>
                <w:tcPr>
                  <w:tcW w:w="1183"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9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HW49</w:t>
                  </w:r>
                </w:p>
              </w:tc>
              <w:tc>
                <w:tcPr>
                  <w:tcW w:w="792" w:type="dxa"/>
                  <w:vAlign w:val="center"/>
                </w:tcPr>
                <w:p>
                  <w:pPr>
                    <w:spacing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900-041-49</w:t>
                  </w:r>
                </w:p>
              </w:tc>
              <w:tc>
                <w:tcPr>
                  <w:tcW w:w="792"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0.1</w:t>
                  </w:r>
                </w:p>
              </w:tc>
              <w:tc>
                <w:tcPr>
                  <w:tcW w:w="792"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47" w:type="dxa"/>
                  <w:vAlign w:val="center"/>
                </w:tcPr>
                <w:p>
                  <w:pPr>
                    <w:spacing w:line="240" w:lineRule="auto"/>
                    <w:ind w:firstLine="0" w:firstLine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w:t>
                  </w:r>
                </w:p>
              </w:tc>
              <w:tc>
                <w:tcPr>
                  <w:tcW w:w="785" w:type="dxa"/>
                  <w:vAlign w:val="center"/>
                </w:tcPr>
                <w:p>
                  <w:pPr>
                    <w:spacing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废活性炭</w:t>
                  </w:r>
                </w:p>
              </w:tc>
              <w:tc>
                <w:tcPr>
                  <w:tcW w:w="761"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油气回收装置</w:t>
                  </w:r>
                </w:p>
              </w:tc>
              <w:tc>
                <w:tcPr>
                  <w:tcW w:w="65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固体</w:t>
                  </w:r>
                </w:p>
              </w:tc>
              <w:tc>
                <w:tcPr>
                  <w:tcW w:w="715"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油类</w:t>
                  </w:r>
                </w:p>
              </w:tc>
              <w:tc>
                <w:tcPr>
                  <w:tcW w:w="1183"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9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HW49</w:t>
                  </w:r>
                </w:p>
              </w:tc>
              <w:tc>
                <w:tcPr>
                  <w:tcW w:w="792" w:type="dxa"/>
                  <w:vAlign w:val="center"/>
                </w:tcPr>
                <w:p>
                  <w:pPr>
                    <w:spacing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900-039-49</w:t>
                  </w:r>
                </w:p>
              </w:tc>
              <w:tc>
                <w:tcPr>
                  <w:tcW w:w="792" w:type="dxa"/>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w:t>
                  </w:r>
                </w:p>
              </w:tc>
              <w:tc>
                <w:tcPr>
                  <w:tcW w:w="792"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bl>
          <w:p>
            <w:pPr>
              <w:bidi w:val="0"/>
              <w:jc w:val="center"/>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表4-15 建设项目危险废物贮存场所基本情况样表</w:t>
            </w:r>
          </w:p>
          <w:tbl>
            <w:tblPr>
              <w:tblStyle w:val="2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4"/>
              <w:gridCol w:w="666"/>
              <w:gridCol w:w="1123"/>
              <w:gridCol w:w="826"/>
              <w:gridCol w:w="1269"/>
              <w:gridCol w:w="660"/>
              <w:gridCol w:w="734"/>
              <w:gridCol w:w="697"/>
              <w:gridCol w:w="697"/>
              <w:gridCol w:w="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34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序号</w:t>
                  </w:r>
                </w:p>
              </w:tc>
              <w:tc>
                <w:tcPr>
                  <w:tcW w:w="41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贮存场所名称</w:t>
                  </w:r>
                </w:p>
              </w:tc>
              <w:tc>
                <w:tcPr>
                  <w:tcW w:w="70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危险废物名称</w:t>
                  </w:r>
                </w:p>
              </w:tc>
              <w:tc>
                <w:tcPr>
                  <w:tcW w:w="52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危险废物类别</w:t>
                  </w:r>
                </w:p>
              </w:tc>
              <w:tc>
                <w:tcPr>
                  <w:tcW w:w="80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危险废物</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代码</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分区</w:t>
                  </w:r>
                </w:p>
              </w:tc>
              <w:tc>
                <w:tcPr>
                  <w:tcW w:w="46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占地面积</w:t>
                  </w:r>
                </w:p>
              </w:tc>
              <w:tc>
                <w:tcPr>
                  <w:tcW w:w="43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贮存方式</w:t>
                  </w:r>
                </w:p>
              </w:tc>
              <w:tc>
                <w:tcPr>
                  <w:tcW w:w="43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贮存能力</w:t>
                  </w:r>
                </w:p>
              </w:tc>
              <w:tc>
                <w:tcPr>
                  <w:tcW w:w="4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贮存</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1</w:t>
                  </w:r>
                </w:p>
              </w:tc>
              <w:tc>
                <w:tcPr>
                  <w:tcW w:w="419"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危险废物暂存库</w:t>
                  </w:r>
                </w:p>
              </w:tc>
              <w:tc>
                <w:tcPr>
                  <w:tcW w:w="707" w:type="pct"/>
                  <w:shd w:val="clear" w:color="auto" w:fill="auto"/>
                  <w:vAlign w:val="center"/>
                </w:tcPr>
                <w:p>
                  <w:pPr>
                    <w:spacing w:line="240" w:lineRule="auto"/>
                    <w:ind w:firstLine="0" w:firstLineChars="0"/>
                    <w:jc w:val="center"/>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污水处理系统含油污泥</w:t>
                  </w:r>
                </w:p>
              </w:tc>
              <w:tc>
                <w:tcPr>
                  <w:tcW w:w="520" w:type="pct"/>
                  <w:shd w:val="clear" w:color="auto" w:fill="auto"/>
                  <w:vAlign w:val="center"/>
                </w:tcPr>
                <w:p>
                  <w:pPr>
                    <w:spacing w:line="240" w:lineRule="auto"/>
                    <w:ind w:firstLine="0" w:firstLineChars="0"/>
                    <w:jc w:val="center"/>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HW08</w:t>
                  </w:r>
                </w:p>
              </w:tc>
              <w:tc>
                <w:tcPr>
                  <w:tcW w:w="800" w:type="pct"/>
                  <w:shd w:val="clear" w:color="auto" w:fill="auto"/>
                  <w:vAlign w:val="center"/>
                </w:tcPr>
                <w:p>
                  <w:pPr>
                    <w:spacing w:line="240" w:lineRule="auto"/>
                    <w:ind w:firstLine="0" w:firstLineChars="0"/>
                    <w:jc w:val="center"/>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900-210-08</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分区一</w:t>
                  </w:r>
                </w:p>
              </w:tc>
              <w:tc>
                <w:tcPr>
                  <w:tcW w:w="462"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34㎡</w:t>
                  </w:r>
                </w:p>
              </w:tc>
              <w:tc>
                <w:tcPr>
                  <w:tcW w:w="43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桶装</w:t>
                  </w:r>
                </w:p>
              </w:tc>
              <w:tc>
                <w:tcPr>
                  <w:tcW w:w="43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5t/a</w:t>
                  </w:r>
                </w:p>
              </w:tc>
              <w:tc>
                <w:tcPr>
                  <w:tcW w:w="4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2</w:t>
                  </w:r>
                </w:p>
              </w:tc>
              <w:tc>
                <w:tcPr>
                  <w:tcW w:w="419"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p>
              </w:tc>
              <w:tc>
                <w:tcPr>
                  <w:tcW w:w="707" w:type="pct"/>
                  <w:shd w:val="clear" w:color="auto" w:fill="auto"/>
                  <w:vAlign w:val="center"/>
                </w:tcPr>
                <w:p>
                  <w:pPr>
                    <w:spacing w:line="240" w:lineRule="auto"/>
                    <w:ind w:firstLine="0" w:firstLineChars="0"/>
                    <w:jc w:val="center"/>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废机油</w:t>
                  </w:r>
                </w:p>
              </w:tc>
              <w:tc>
                <w:tcPr>
                  <w:tcW w:w="520" w:type="pct"/>
                  <w:shd w:val="clear" w:color="auto" w:fill="auto"/>
                  <w:vAlign w:val="center"/>
                </w:tcPr>
                <w:p>
                  <w:pPr>
                    <w:spacing w:line="240" w:lineRule="auto"/>
                    <w:ind w:firstLine="0" w:firstLineChars="0"/>
                    <w:jc w:val="center"/>
                    <w:rPr>
                      <w:rFonts w:hint="eastAsia"/>
                      <w:color w:val="000000" w:themeColor="text1"/>
                      <w:sz w:val="22"/>
                      <w:szCs w:val="22"/>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HW08</w:t>
                  </w:r>
                </w:p>
              </w:tc>
              <w:tc>
                <w:tcPr>
                  <w:tcW w:w="800" w:type="pct"/>
                  <w:shd w:val="clear" w:color="auto" w:fill="auto"/>
                  <w:vAlign w:val="center"/>
                </w:tcPr>
                <w:p>
                  <w:pPr>
                    <w:spacing w:line="240" w:lineRule="auto"/>
                    <w:ind w:firstLine="0" w:firstLineChars="0"/>
                    <w:jc w:val="center"/>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900-214-08</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分区二</w:t>
                  </w:r>
                </w:p>
              </w:tc>
              <w:tc>
                <w:tcPr>
                  <w:tcW w:w="46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p>
              </w:tc>
              <w:tc>
                <w:tcPr>
                  <w:tcW w:w="43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桶装</w:t>
                  </w:r>
                </w:p>
              </w:tc>
              <w:tc>
                <w:tcPr>
                  <w:tcW w:w="43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1t/a</w:t>
                  </w:r>
                </w:p>
              </w:tc>
              <w:tc>
                <w:tcPr>
                  <w:tcW w:w="4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34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3</w:t>
                  </w:r>
                </w:p>
              </w:tc>
              <w:tc>
                <w:tcPr>
                  <w:tcW w:w="419"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p>
              </w:tc>
              <w:tc>
                <w:tcPr>
                  <w:tcW w:w="707" w:type="pct"/>
                  <w:shd w:val="clear" w:color="auto" w:fill="auto"/>
                  <w:vAlign w:val="center"/>
                </w:tcPr>
                <w:p>
                  <w:pPr>
                    <w:spacing w:line="240" w:lineRule="auto"/>
                    <w:ind w:firstLine="0" w:firstLineChars="0"/>
                    <w:jc w:val="center"/>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废油桶、含油抹布及手套</w:t>
                  </w:r>
                </w:p>
              </w:tc>
              <w:tc>
                <w:tcPr>
                  <w:tcW w:w="520" w:type="pct"/>
                  <w:shd w:val="clear" w:color="auto" w:fill="auto"/>
                  <w:vAlign w:val="center"/>
                </w:tcPr>
                <w:p>
                  <w:pPr>
                    <w:spacing w:line="240" w:lineRule="auto"/>
                    <w:ind w:firstLine="0" w:firstLineChars="0"/>
                    <w:jc w:val="center"/>
                    <w:rPr>
                      <w:rFonts w:hint="eastAsia"/>
                      <w:color w:val="000000" w:themeColor="text1"/>
                      <w:sz w:val="22"/>
                      <w:szCs w:val="22"/>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HW49</w:t>
                  </w:r>
                </w:p>
              </w:tc>
              <w:tc>
                <w:tcPr>
                  <w:tcW w:w="800" w:type="pct"/>
                  <w:shd w:val="clear" w:color="auto" w:fill="auto"/>
                  <w:vAlign w:val="center"/>
                </w:tcPr>
                <w:p>
                  <w:pPr>
                    <w:spacing w:line="240" w:lineRule="auto"/>
                    <w:ind w:firstLine="0" w:firstLineChars="0"/>
                    <w:jc w:val="center"/>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900-041-49</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分区三</w:t>
                  </w:r>
                </w:p>
              </w:tc>
              <w:tc>
                <w:tcPr>
                  <w:tcW w:w="46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p>
              </w:tc>
              <w:tc>
                <w:tcPr>
                  <w:tcW w:w="43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桶装</w:t>
                  </w:r>
                </w:p>
              </w:tc>
              <w:tc>
                <w:tcPr>
                  <w:tcW w:w="43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1t/a</w:t>
                  </w:r>
                </w:p>
              </w:tc>
              <w:tc>
                <w:tcPr>
                  <w:tcW w:w="4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34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4</w:t>
                  </w:r>
                </w:p>
              </w:tc>
              <w:tc>
                <w:tcPr>
                  <w:tcW w:w="419"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p>
              </w:tc>
              <w:tc>
                <w:tcPr>
                  <w:tcW w:w="707" w:type="pct"/>
                  <w:shd w:val="clear" w:color="auto" w:fill="auto"/>
                  <w:vAlign w:val="center"/>
                </w:tcPr>
                <w:p>
                  <w:pPr>
                    <w:spacing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废活性炭</w:t>
                  </w:r>
                </w:p>
              </w:tc>
              <w:tc>
                <w:tcPr>
                  <w:tcW w:w="52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HW49</w:t>
                  </w:r>
                </w:p>
              </w:tc>
              <w:tc>
                <w:tcPr>
                  <w:tcW w:w="800" w:type="pct"/>
                  <w:shd w:val="clear" w:color="auto" w:fill="auto"/>
                  <w:vAlign w:val="center"/>
                </w:tcPr>
                <w:p>
                  <w:pPr>
                    <w:spacing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900-039-49</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分区四</w:t>
                  </w:r>
                </w:p>
              </w:tc>
              <w:tc>
                <w:tcPr>
                  <w:tcW w:w="46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p>
              </w:tc>
              <w:tc>
                <w:tcPr>
                  <w:tcW w:w="69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桶装</w:t>
                  </w:r>
                </w:p>
              </w:tc>
              <w:tc>
                <w:tcPr>
                  <w:tcW w:w="69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10t/a</w:t>
                  </w:r>
                </w:p>
              </w:tc>
              <w:tc>
                <w:tcPr>
                  <w:tcW w:w="71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2"/>
                      <w:szCs w:val="22"/>
                      <w:highlight w:val="none"/>
                      <w:lang w:val="en-US" w:eastAsia="zh-CN"/>
                      <w14:textFill>
                        <w14:solidFill>
                          <w14:schemeClr w14:val="tx1"/>
                        </w14:solidFill>
                      </w14:textFill>
                    </w:rPr>
                  </w:pPr>
                  <w:r>
                    <w:rPr>
                      <w:rFonts w:hint="eastAsia"/>
                      <w:color w:val="000000" w:themeColor="text1"/>
                      <w:sz w:val="22"/>
                      <w:szCs w:val="22"/>
                      <w:highlight w:val="none"/>
                      <w:lang w:val="en-US" w:eastAsia="zh-CN"/>
                      <w14:textFill>
                        <w14:solidFill>
                          <w14:schemeClr w14:val="tx1"/>
                        </w14:solidFill>
                      </w14:textFill>
                    </w:rPr>
                    <w:t>6月</w:t>
                  </w:r>
                </w:p>
              </w:tc>
            </w:tr>
          </w:tbl>
          <w:p>
            <w:pPr>
              <w:bidi w:val="0"/>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2、固体废弃物环境管理</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（1）生活垃圾</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本项目产生的生活垃圾集中收集后定期交由当地环卫部门统一清运处理，生活垃圾应按照规定进行收集、管理、运输及处置：</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①建立生活垃圾分类日常管理制度；</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②按照规定设置生活垃圾分类收集点位，配备收集容器并保持正常使用，收集容器出现破旧、污损或者数量不足的，应当及时维修、更换、清洗或者配备；</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③建立生活垃圾分类收集系统，按时分类收集生活垃圾，不得将已分类投放的生活垃圾混合收集，不得将危险废物、工业固体废物、建筑垃圾、绿化垃圾等混入生活垃圾；</w:t>
            </w:r>
          </w:p>
          <w:p>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④不得在收集过程中随意倾倒、堆放、丢弃、遗撒生活垃圾。</w:t>
            </w:r>
          </w:p>
          <w:p>
            <w:pPr>
              <w:bidi w:val="0"/>
              <w:rPr>
                <w:rFonts w:hint="default" w:ascii="Times New Roman" w:hAnsi="Times New Roman" w:cs="Times New Roman"/>
                <w:b w:val="0"/>
                <w:bCs w:val="0"/>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default" w:ascii="Times New Roman" w:hAnsi="Times New Roman" w:cs="Times New Roman"/>
                <w:b w:val="0"/>
                <w:bCs w:val="0"/>
                <w:color w:val="000000" w:themeColor="text1"/>
                <w:highlight w:val="none"/>
                <w14:textFill>
                  <w14:solidFill>
                    <w14:schemeClr w14:val="tx1"/>
                  </w14:solidFill>
                </w14:textFill>
              </w:rPr>
              <w:t>危险废物污染防治措施</w:t>
            </w:r>
          </w:p>
          <w:p>
            <w:pPr>
              <w:widowControl/>
              <w:ind w:firstLine="480"/>
              <w:jc w:val="both"/>
              <w:rPr>
                <w:rFonts w:hint="default" w:ascii="Times New Roman" w:hAnsi="Times New Roman" w:cs="Times New Roman"/>
                <w:color w:val="000000" w:themeColor="text1"/>
                <w:kern w:val="0"/>
                <w:highlight w:val="none"/>
                <w:lang w:val="en-US" w:eastAsia="zh-CN" w:bidi="ar"/>
                <w14:textFill>
                  <w14:solidFill>
                    <w14:schemeClr w14:val="tx1"/>
                  </w14:solidFill>
                </w14:textFill>
              </w:rPr>
            </w:pPr>
            <w:r>
              <w:rPr>
                <w:rFonts w:hint="default" w:ascii="Times New Roman" w:hAnsi="Times New Roman" w:cs="Times New Roman"/>
                <w:color w:val="000000" w:themeColor="text1"/>
                <w:kern w:val="0"/>
                <w:highlight w:val="none"/>
                <w:lang w:val="en-US" w:eastAsia="zh-CN" w:bidi="ar"/>
                <w14:textFill>
                  <w14:solidFill>
                    <w14:schemeClr w14:val="tx1"/>
                  </w14:solidFill>
                </w14:textFill>
              </w:rPr>
              <w:t>本项目建设一个</w:t>
            </w:r>
            <w:r>
              <w:rPr>
                <w:rFonts w:hint="eastAsia" w:cs="Times New Roman"/>
                <w:color w:val="000000" w:themeColor="text1"/>
                <w:kern w:val="0"/>
                <w:highlight w:val="none"/>
                <w:lang w:val="en-US" w:eastAsia="zh-CN" w:bidi="ar"/>
                <w14:textFill>
                  <w14:solidFill>
                    <w14:schemeClr w14:val="tx1"/>
                  </w14:solidFill>
                </w14:textFill>
              </w:rPr>
              <w:t>34</w:t>
            </w:r>
            <w:r>
              <w:rPr>
                <w:rFonts w:hint="default" w:ascii="Times New Roman" w:hAnsi="Times New Roman" w:cs="Times New Roman"/>
                <w:color w:val="000000" w:themeColor="text1"/>
                <w:kern w:val="0"/>
                <w:highlight w:val="none"/>
                <w:lang w:val="en-US" w:eastAsia="zh-CN" w:bidi="ar"/>
                <w14:textFill>
                  <w14:solidFill>
                    <w14:schemeClr w14:val="tx1"/>
                  </w14:solidFill>
                </w14:textFill>
              </w:rPr>
              <w:t>㎡全封闭危险废物暂存库，危险废物按危废性质分区存放，防渗层为至少1m厚黏土层（渗透系数不大于10</w:t>
            </w:r>
            <w:r>
              <w:rPr>
                <w:rFonts w:hint="default" w:ascii="Times New Roman" w:hAnsi="Times New Roman" w:cs="Times New Roman"/>
                <w:color w:val="000000" w:themeColor="text1"/>
                <w:kern w:val="0"/>
                <w:highlight w:val="none"/>
                <w:vertAlign w:val="superscript"/>
                <w:lang w:val="en-US" w:eastAsia="zh-CN" w:bidi="ar"/>
                <w14:textFill>
                  <w14:solidFill>
                    <w14:schemeClr w14:val="tx1"/>
                  </w14:solidFill>
                </w14:textFill>
              </w:rPr>
              <w:t>-7</w:t>
            </w:r>
            <w:r>
              <w:rPr>
                <w:rFonts w:hint="default" w:ascii="Times New Roman" w:hAnsi="Times New Roman" w:cs="Times New Roman"/>
                <w:color w:val="000000" w:themeColor="text1"/>
                <w:kern w:val="0"/>
                <w:highlight w:val="none"/>
                <w:lang w:val="en-US" w:eastAsia="zh-CN" w:bidi="ar"/>
                <w14:textFill>
                  <w14:solidFill>
                    <w14:schemeClr w14:val="tx1"/>
                  </w14:solidFill>
                </w14:textFill>
              </w:rPr>
              <w:t>cm/s），或至少2mm厚高密度聚乙烯膜等人工防渗材料（渗透系数不大于10</w:t>
            </w:r>
            <w:r>
              <w:rPr>
                <w:rFonts w:hint="default" w:ascii="Times New Roman" w:hAnsi="Times New Roman" w:cs="Times New Roman"/>
                <w:color w:val="000000" w:themeColor="text1"/>
                <w:kern w:val="0"/>
                <w:highlight w:val="none"/>
                <w:vertAlign w:val="superscript"/>
                <w:lang w:val="en-US" w:eastAsia="zh-CN" w:bidi="ar"/>
                <w14:textFill>
                  <w14:solidFill>
                    <w14:schemeClr w14:val="tx1"/>
                  </w14:solidFill>
                </w14:textFill>
              </w:rPr>
              <w:t>-10</w:t>
            </w:r>
            <w:r>
              <w:rPr>
                <w:rFonts w:hint="default" w:ascii="Times New Roman" w:hAnsi="Times New Roman" w:cs="Times New Roman"/>
                <w:color w:val="000000" w:themeColor="text1"/>
                <w:kern w:val="0"/>
                <w:highlight w:val="none"/>
                <w:lang w:val="en-US" w:eastAsia="zh-CN" w:bidi="ar"/>
                <w14:textFill>
                  <w14:solidFill>
                    <w14:schemeClr w14:val="tx1"/>
                  </w14:solidFill>
                </w14:textFill>
              </w:rPr>
              <w:t>cm/s），或其他防渗性能等效的材料。防渗层满足《危险废物贮存污染控制标准》（GB18597-2023）要求。按照《危险废物贮存污染控制标准》（GB18597-2023）规定进行防渗。在运输危险废物时，必须由有危险废物运输资质的单位组织车辆进行运输，根据《危险废物转移联单管理办法》危险废物产生单位每转移一车（次）同类危险废物，应当填写一份联单。对危险废物建立台账，保证危险废物的可靠管理。</w:t>
            </w:r>
          </w:p>
          <w:p>
            <w:pPr>
              <w:widowControl/>
              <w:ind w:firstLine="480"/>
              <w:jc w:val="both"/>
              <w:rPr>
                <w:rFonts w:hint="default" w:ascii="Times New Roman" w:hAnsi="Times New Roman" w:cs="Times New Roman"/>
                <w:color w:val="000000" w:themeColor="text1"/>
                <w:kern w:val="0"/>
                <w:highlight w:val="none"/>
                <w:lang w:val="en-US" w:eastAsia="zh-CN" w:bidi="ar"/>
                <w14:textFill>
                  <w14:solidFill>
                    <w14:schemeClr w14:val="tx1"/>
                  </w14:solidFill>
                </w14:textFill>
              </w:rPr>
            </w:pPr>
            <w:r>
              <w:rPr>
                <w:rFonts w:hint="default" w:ascii="Times New Roman" w:hAnsi="Times New Roman" w:cs="Times New Roman"/>
                <w:color w:val="000000" w:themeColor="text1"/>
                <w:kern w:val="0"/>
                <w:highlight w:val="none"/>
                <w:lang w:val="en-US" w:eastAsia="zh-CN" w:bidi="ar"/>
                <w14:textFill>
                  <w14:solidFill>
                    <w14:schemeClr w14:val="tx1"/>
                  </w14:solidFill>
                </w14:textFill>
              </w:rPr>
              <w:t>危险废物暂存应根据《</w:t>
            </w:r>
            <w:r>
              <w:rPr>
                <w:rFonts w:hint="eastAsia" w:cs="Times New Roman"/>
                <w:color w:val="000000" w:themeColor="text1"/>
                <w:kern w:val="0"/>
                <w:highlight w:val="none"/>
                <w:lang w:val="en-US" w:eastAsia="zh-CN" w:bidi="ar"/>
                <w14:textFill>
                  <w14:solidFill>
                    <w14:schemeClr w14:val="tx1"/>
                  </w14:solidFill>
                </w14:textFill>
              </w:rPr>
              <w:t>中华人民共和国固体废物污染环境防治法</w:t>
            </w:r>
            <w:r>
              <w:rPr>
                <w:rFonts w:hint="default" w:ascii="Times New Roman" w:hAnsi="Times New Roman" w:cs="Times New Roman"/>
                <w:color w:val="000000" w:themeColor="text1"/>
                <w:kern w:val="0"/>
                <w:highlight w:val="none"/>
                <w:lang w:val="en-US" w:eastAsia="zh-CN" w:bidi="ar"/>
                <w14:textFill>
                  <w14:solidFill>
                    <w14:schemeClr w14:val="tx1"/>
                  </w14:solidFill>
                </w14:textFill>
              </w:rPr>
              <w:t>》、《危险废物贮存污染控制标准》（GB18597-2023）、《危险废物收集贮存运输技术规范》（HJ2025-2012）等有关文件的规定执行，要求做到以下几点：</w:t>
            </w:r>
          </w:p>
          <w:p>
            <w:pPr>
              <w:bidi w:val="0"/>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①</w:t>
            </w:r>
            <w:r>
              <w:rPr>
                <w:rFonts w:hint="default" w:ascii="Times New Roman" w:hAnsi="Times New Roman" w:cs="Times New Roman"/>
                <w:color w:val="000000" w:themeColor="text1"/>
                <w:highlight w:val="none"/>
                <w:lang w:val="en-US" w:eastAsia="zh-CN"/>
                <w14:textFill>
                  <w14:solidFill>
                    <w14:schemeClr w14:val="tx1"/>
                  </w14:solidFill>
                </w14:textFill>
              </w:rPr>
              <w:t>基本要求</w:t>
            </w:r>
          </w:p>
          <w:p>
            <w:pPr>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项目的危险废物分类收集后在危险废物暂存库暂存，危险废物暂存库分区暂存。设置危险废物识别标志，运输过程中必须采取委托有危废处置资质单位密闭运输，严禁在雨天进行危废的运输和转运工作。暂存库应设置防风、防雨、防晒装置，本项目危险废物暂存库设置于实验区</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满足防风、防雨、防晒要求；危险废物贮存单位应建立危险废物贮存的台账制度。</w:t>
            </w:r>
          </w:p>
          <w:p>
            <w:pPr>
              <w:bidi w:val="0"/>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②</w:t>
            </w:r>
            <w:r>
              <w:rPr>
                <w:rFonts w:hint="default" w:ascii="Times New Roman" w:hAnsi="Times New Roman" w:cs="Times New Roman"/>
                <w:color w:val="000000" w:themeColor="text1"/>
                <w:highlight w:val="none"/>
                <w:lang w:val="en-US" w:eastAsia="zh-CN"/>
                <w14:textFill>
                  <w14:solidFill>
                    <w14:schemeClr w14:val="tx1"/>
                  </w14:solidFill>
                </w14:textFill>
              </w:rPr>
              <w:t>危险废物贮存容器</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项目采用PE桶或铁皮桶盛装危险废物。防止危险废物腐蚀储存容器，危险废物贮存设施都必须设置警示标志，盛装危险废物的容器上必须粘贴符合《危险废物识别标志设置技术规范》（HJ1276-2022）附录A所示的标签。</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③</w:t>
            </w:r>
            <w:r>
              <w:rPr>
                <w:rFonts w:hint="default" w:ascii="Times New Roman" w:hAnsi="Times New Roman" w:cs="Times New Roman"/>
                <w:color w:val="000000" w:themeColor="text1"/>
                <w:highlight w:val="none"/>
                <w:lang w:val="en-US" w:eastAsia="zh-CN"/>
                <w14:textFill>
                  <w14:solidFill>
                    <w14:schemeClr w14:val="tx1"/>
                  </w14:solidFill>
                </w14:textFill>
              </w:rPr>
              <w:t>危险废物贮存设施的建设</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地面整体做表面防渗处理，防渗层采用2mm厚高密度聚乙烯，或至少2mm厚的其他人工材料，渗透系数</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10</w:t>
            </w:r>
            <w:r>
              <w:rPr>
                <w:rFonts w:hint="default" w:ascii="Times New Roman" w:hAnsi="Times New Roman" w:cs="Times New Roman"/>
                <w:color w:val="000000" w:themeColor="text1"/>
                <w:highlight w:val="none"/>
                <w:vertAlign w:val="superscript"/>
                <w:lang w:val="en-US" w:eastAsia="zh-CN"/>
                <w14:textFill>
                  <w14:solidFill>
                    <w14:schemeClr w14:val="tx1"/>
                  </w14:solidFill>
                </w14:textFill>
              </w:rPr>
              <w:t>-10</w:t>
            </w:r>
            <w:r>
              <w:rPr>
                <w:rFonts w:hint="default" w:ascii="Times New Roman" w:hAnsi="Times New Roman" w:cs="Times New Roman"/>
                <w:color w:val="000000" w:themeColor="text1"/>
                <w:highlight w:val="none"/>
                <w:lang w:val="en-US" w:eastAsia="zh-CN"/>
                <w14:textFill>
                  <w14:solidFill>
                    <w14:schemeClr w14:val="tx1"/>
                  </w14:solidFill>
                </w14:textFill>
              </w:rPr>
              <w:t>cm/s，防渗层满足《危险废物贮存污染控制标准》（GB18597-2023）要求。危险废物暂存库内各类危险废物分区存放，采用PE桶对危险废物进行贮存，所有危废容器均放置在专用防泄漏托盘上，用于收集可能</w:t>
            </w:r>
            <w:r>
              <w:rPr>
                <w:rFonts w:hint="eastAsia" w:cs="Times New Roman"/>
                <w:color w:val="000000" w:themeColor="text1"/>
                <w:highlight w:val="none"/>
                <w:lang w:val="en-US" w:eastAsia="zh-CN"/>
                <w14:textFill>
                  <w14:solidFill>
                    <w14:schemeClr w14:val="tx1"/>
                  </w14:solidFill>
                </w14:textFill>
              </w:rPr>
              <w:t>泄漏</w:t>
            </w:r>
            <w:r>
              <w:rPr>
                <w:rFonts w:hint="default" w:ascii="Times New Roman" w:hAnsi="Times New Roman" w:cs="Times New Roman"/>
                <w:color w:val="000000" w:themeColor="text1"/>
                <w:highlight w:val="none"/>
                <w:lang w:val="en-US" w:eastAsia="zh-CN"/>
                <w14:textFill>
                  <w14:solidFill>
                    <w14:schemeClr w14:val="tx1"/>
                  </w14:solidFill>
                </w14:textFill>
              </w:rPr>
              <w:t>、遗撒的少量废液，不直接接触地面。</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④</w:t>
            </w:r>
            <w:r>
              <w:rPr>
                <w:rFonts w:hint="default" w:ascii="Times New Roman" w:hAnsi="Times New Roman" w:cs="Times New Roman"/>
                <w:color w:val="000000" w:themeColor="text1"/>
                <w:highlight w:val="none"/>
                <w:lang w:val="en-US" w:eastAsia="zh-CN"/>
                <w14:textFill>
                  <w14:solidFill>
                    <w14:schemeClr w14:val="tx1"/>
                  </w14:solidFill>
                </w14:textFill>
              </w:rPr>
              <w:t>危险废物贮存设施的运行与管理</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危险废物贮存前应登记注册，并粘贴标签；项目各类危废分区暂存，盛装在容器内的同类危险废物可以堆叠存放；每个堆间应留有搬运通道；危险废物的记录和货单在危险废物</w:t>
            </w:r>
            <w:r>
              <w:rPr>
                <w:rFonts w:hint="eastAsia" w:cs="Times New Roman"/>
                <w:color w:val="000000" w:themeColor="text1"/>
                <w:highlight w:val="none"/>
                <w:lang w:val="en-US" w:eastAsia="zh-CN"/>
                <w14:textFill>
                  <w14:solidFill>
                    <w14:schemeClr w14:val="tx1"/>
                  </w14:solidFill>
                </w14:textFill>
              </w:rPr>
              <w:t>取回</w:t>
            </w:r>
            <w:r>
              <w:rPr>
                <w:rFonts w:hint="default" w:ascii="Times New Roman" w:hAnsi="Times New Roman" w:cs="Times New Roman"/>
                <w:color w:val="000000" w:themeColor="text1"/>
                <w:highlight w:val="none"/>
                <w:lang w:val="en-US" w:eastAsia="zh-CN"/>
                <w14:textFill>
                  <w14:solidFill>
                    <w14:schemeClr w14:val="tx1"/>
                  </w14:solidFill>
                </w14:textFill>
              </w:rPr>
              <w:t>后应继续保留五年；必须定期对所贮存的危险废物包装容器及贮存设施进行检查，发现破损，应及时采取措施清理更换。</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⑤</w:t>
            </w:r>
            <w:r>
              <w:rPr>
                <w:rFonts w:hint="default" w:ascii="Times New Roman" w:hAnsi="Times New Roman" w:cs="Times New Roman"/>
                <w:color w:val="000000" w:themeColor="text1"/>
                <w:highlight w:val="none"/>
                <w:lang w:val="en-US" w:eastAsia="zh-CN"/>
                <w14:textFill>
                  <w14:solidFill>
                    <w14:schemeClr w14:val="tx1"/>
                  </w14:solidFill>
                </w14:textFill>
              </w:rPr>
              <w:t>危险废物贮存设施的安全防护与监测</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危险废物贮存设施应配备通讯设备、照明设施、消防设施、安全防护服装及工具，并设有应急防护设施；危险废物贮存设施内清理出来的泄漏物，一律按危险废物处理；按国家污染源管理要求对危险废物贮存设施进行监测。</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⑥</w:t>
            </w:r>
            <w:r>
              <w:rPr>
                <w:rFonts w:hint="default" w:ascii="Times New Roman" w:hAnsi="Times New Roman" w:cs="Times New Roman"/>
                <w:color w:val="000000" w:themeColor="text1"/>
                <w:highlight w:val="none"/>
                <w:lang w:val="en-US" w:eastAsia="zh-CN"/>
                <w14:textFill>
                  <w14:solidFill>
                    <w14:schemeClr w14:val="tx1"/>
                  </w14:solidFill>
                </w14:textFill>
              </w:rPr>
              <w:t>培训管理制度</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转移危险废物的应当按照《危险废物转移联单管理办法》填写危险废物转移联单。</w:t>
            </w:r>
          </w:p>
          <w:p>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⑦</w:t>
            </w:r>
            <w:r>
              <w:rPr>
                <w:rFonts w:hint="default" w:ascii="Times New Roman" w:hAnsi="Times New Roman" w:cs="Times New Roman"/>
                <w:color w:val="000000" w:themeColor="text1"/>
                <w:highlight w:val="none"/>
                <w:lang w:val="en-US" w:eastAsia="zh-CN"/>
                <w14:textFill>
                  <w14:solidFill>
                    <w14:schemeClr w14:val="tx1"/>
                  </w14:solidFill>
                </w14:textFill>
              </w:rPr>
              <w:t>应急预案要求</w:t>
            </w:r>
          </w:p>
          <w:p>
            <w:pPr>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建设单位应编制应急预案。应急预案编制可参照《危险废物经营单位编制应急预案指南》，运营期一旦发生意外事故，建设单位应根据风险程度采取如下措施：设立事故警戒线，启动应急预案，并按要求进行报告；若造成事故的危险废物具有剧毒性、易燃性、爆炸性或高传染性，应立即疏散人群，并请求环境保护、消防、医疗、公安等相关部门支援；对事故现场</w:t>
            </w:r>
            <w:r>
              <w:rPr>
                <w:rFonts w:hint="eastAsia" w:cs="Times New Roman"/>
                <w:color w:val="000000" w:themeColor="text1"/>
                <w:highlight w:val="none"/>
                <w:lang w:val="en-US" w:eastAsia="zh-CN"/>
                <w14:textFill>
                  <w14:solidFill>
                    <w14:schemeClr w14:val="tx1"/>
                  </w14:solidFill>
                </w14:textFill>
              </w:rPr>
              <w:t>受到</w:t>
            </w:r>
            <w:r>
              <w:rPr>
                <w:rFonts w:hint="default" w:ascii="Times New Roman" w:hAnsi="Times New Roman" w:cs="Times New Roman"/>
                <w:color w:val="000000" w:themeColor="text1"/>
                <w:highlight w:val="none"/>
                <w:lang w:val="en-US" w:eastAsia="zh-CN"/>
                <w14:textFill>
                  <w14:solidFill>
                    <w14:schemeClr w14:val="tx1"/>
                  </w14:solidFill>
                </w14:textFill>
              </w:rPr>
              <w:t>污染的土壤和水体等环境介质应进行相应的清理和修复；清理过程中的所有废物均应按危险废物进行管理和处置；进入现场清理和包装危险废物的人员应</w:t>
            </w:r>
            <w:r>
              <w:rPr>
                <w:rFonts w:hint="eastAsia" w:cs="Times New Roman"/>
                <w:color w:val="000000" w:themeColor="text1"/>
                <w:highlight w:val="none"/>
                <w:lang w:val="en-US" w:eastAsia="zh-CN"/>
                <w14:textFill>
                  <w14:solidFill>
                    <w14:schemeClr w14:val="tx1"/>
                  </w14:solidFill>
                </w14:textFill>
              </w:rPr>
              <w:t>受到</w:t>
            </w:r>
            <w:r>
              <w:rPr>
                <w:rFonts w:hint="default" w:ascii="Times New Roman" w:hAnsi="Times New Roman" w:cs="Times New Roman"/>
                <w:color w:val="000000" w:themeColor="text1"/>
                <w:highlight w:val="none"/>
                <w:lang w:val="en-US" w:eastAsia="zh-CN"/>
                <w14:textFill>
                  <w14:solidFill>
                    <w14:schemeClr w14:val="tx1"/>
                  </w14:solidFill>
                </w14:textFill>
              </w:rPr>
              <w:t>专业培训，穿着防护服，并佩戴相应的防护用具。环评要求建设单位在危险废物暂存库设置危险废物识别标志、加强室内通风、防爆。通过采取上述方式，项目暂存的危险废物对周围环境影响较小。</w:t>
            </w:r>
          </w:p>
          <w:p>
            <w:pPr>
              <w:bidi w:val="0"/>
              <w:rPr>
                <w:rFonts w:hint="default" w:eastAsia="宋体"/>
                <w:b/>
                <w:bCs/>
                <w:color w:val="000000" w:themeColor="text1"/>
                <w:highlight w:val="none"/>
                <w:lang w:val="en-US" w:eastAsia="zh-CN"/>
                <w14:textFill>
                  <w14:solidFill>
                    <w14:schemeClr w14:val="tx1"/>
                  </w14:solidFill>
                </w14:textFill>
              </w:rPr>
            </w:pPr>
            <w:r>
              <w:rPr>
                <w:rFonts w:hint="default" w:eastAsia="宋体"/>
                <w:b/>
                <w:bCs/>
                <w:color w:val="000000" w:themeColor="text1"/>
                <w:highlight w:val="none"/>
                <w:lang w:val="en-US" w:eastAsia="zh-CN"/>
                <w14:textFill>
                  <w14:solidFill>
                    <w14:schemeClr w14:val="tx1"/>
                  </w14:solidFill>
                </w14:textFill>
              </w:rPr>
              <w:t>五、地下水、土壤</w:t>
            </w:r>
          </w:p>
          <w:p>
            <w:pPr>
              <w:bidi w:val="0"/>
              <w:jc w:val="both"/>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（1）本地块原有污染风险回顾性分析</w:t>
            </w:r>
          </w:p>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结合前期地下水、土壤监测情况，另根据《鄂尔多斯市汇金达清洁溶剂油有限公司地块土壤污染风险评估报告》，项目所处地块部分污染物存在超标现象，土壤中为苯、乙苯、1,2-二氯丙烷、1,2,3-三氯丙烷最大浓度超过《土壤环境质量 建设用地土壤污染风险管控标准（试行）》 (GB36600-2018)第二类用地筛选值，地下水中主要关注污染物为锰和挥发酚。</w:t>
            </w:r>
          </w:p>
          <w:p>
            <w:pPr>
              <w:bidi w:val="0"/>
              <w:rPr>
                <w:rFonts w:hint="default" w:eastAsia="宋体"/>
                <w:color w:val="000000" w:themeColor="text1"/>
                <w:highlight w:val="none"/>
                <w:lang w:val="en-US" w:eastAsia="zh-CN"/>
                <w14:textFill>
                  <w14:solidFill>
                    <w14:schemeClr w14:val="tx1"/>
                  </w14:solidFill>
                </w14:textFill>
              </w:rPr>
            </w:pPr>
            <w:r>
              <w:rPr>
                <w:rFonts w:hint="default" w:eastAsia="宋体"/>
                <w:color w:val="000000" w:themeColor="text1"/>
                <w:highlight w:val="none"/>
                <w:lang w:val="en-US" w:eastAsia="zh-CN"/>
                <w14:textFill>
                  <w14:solidFill>
                    <w14:schemeClr w14:val="tx1"/>
                  </w14:solidFill>
                </w14:textFill>
              </w:rPr>
              <w:t>根据风险评估结果</w:t>
            </w:r>
            <w:r>
              <w:rPr>
                <w:rFonts w:hint="eastAsia"/>
                <w:color w:val="000000" w:themeColor="text1"/>
                <w:highlight w:val="none"/>
                <w:lang w:val="en-US" w:eastAsia="zh-CN"/>
                <w14:textFill>
                  <w14:solidFill>
                    <w14:schemeClr w14:val="tx1"/>
                  </w14:solidFill>
                </w14:textFill>
              </w:rPr>
              <w:t>（引用自《鄂尔多斯市汇金达清洁溶剂油有限公司地块土壤污染风险评估报告》）</w:t>
            </w:r>
            <w:r>
              <w:rPr>
                <w:rFonts w:hint="default" w:eastAsia="宋体"/>
                <w:color w:val="000000" w:themeColor="text1"/>
                <w:highlight w:val="none"/>
                <w:lang w:val="en-US" w:eastAsia="zh-CN"/>
                <w14:textFill>
                  <w14:solidFill>
                    <w14:schemeClr w14:val="tx1"/>
                  </w14:solidFill>
                </w14:textFill>
              </w:rPr>
              <w:t>，土壤中苯致癌风险为1.67E-09，非致癌风险6.59E-05；乙苯致癌风险为1.27E-09，非致癌风险4.69E-06；1,2-二氯丙烷致癌风险为7.19E-08，非致癌风险为0.0044；1,2,3-三氯丙烷无致癌风险，非致癌风险为0.00098。土壤中苯、乙苯、1,2-二氯丙烷、1,2,3-三氯丙烷致癌风险均小于10-6，非致癌风险均小于1</w:t>
            </w:r>
            <w:r>
              <w:rPr>
                <w:rFonts w:hint="eastAsia"/>
                <w:color w:val="000000" w:themeColor="text1"/>
                <w:highlight w:val="none"/>
                <w:lang w:val="en-US" w:eastAsia="zh-CN"/>
                <w14:textFill>
                  <w14:solidFill>
                    <w14:schemeClr w14:val="tx1"/>
                  </w14:solidFill>
                </w14:textFill>
              </w:rPr>
              <w:t>；</w:t>
            </w:r>
            <w:r>
              <w:rPr>
                <w:rFonts w:hint="default" w:eastAsia="宋体"/>
                <w:color w:val="000000" w:themeColor="text1"/>
                <w:highlight w:val="none"/>
                <w:lang w:val="en-US" w:eastAsia="zh-CN"/>
                <w14:textFill>
                  <w14:solidFill>
                    <w14:schemeClr w14:val="tx1"/>
                  </w14:solidFill>
                </w14:textFill>
              </w:rPr>
              <w:t>地下水挥发酚无致癌风险，非致癌风险8.65E-06，小于1</w:t>
            </w:r>
            <w:r>
              <w:rPr>
                <w:rFonts w:hint="eastAsia"/>
                <w:color w:val="000000" w:themeColor="text1"/>
                <w:highlight w:val="none"/>
                <w:lang w:val="en-US" w:eastAsia="zh-CN"/>
                <w14:textFill>
                  <w14:solidFill>
                    <w14:schemeClr w14:val="tx1"/>
                  </w14:solidFill>
                </w14:textFill>
              </w:rPr>
              <w:t>。因此、土壤、</w:t>
            </w:r>
            <w:r>
              <w:rPr>
                <w:rFonts w:hint="default" w:eastAsia="宋体"/>
                <w:color w:val="000000" w:themeColor="text1"/>
                <w:highlight w:val="none"/>
                <w:lang w:val="en-US" w:eastAsia="zh-CN"/>
                <w14:textFill>
                  <w14:solidFill>
                    <w14:schemeClr w14:val="tx1"/>
                  </w14:solidFill>
                </w14:textFill>
              </w:rPr>
              <w:t>地下水中超标污染物致癌风险和非致癌风险均可接受。</w:t>
            </w:r>
          </w:p>
          <w:p>
            <w:pPr>
              <w:bidi w:val="0"/>
              <w:rPr>
                <w:rFonts w:hint="default" w:eastAsia="宋体"/>
                <w:color w:val="000000" w:themeColor="text1"/>
                <w:highlight w:val="none"/>
                <w:lang w:val="en-US" w:eastAsia="zh-CN"/>
                <w14:textFill>
                  <w14:solidFill>
                    <w14:schemeClr w14:val="tx1"/>
                  </w14:solidFill>
                </w14:textFill>
              </w:rPr>
            </w:pPr>
            <w:r>
              <w:rPr>
                <w:rFonts w:hint="default" w:eastAsia="宋体"/>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default" w:eastAsia="宋体"/>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本项目</w:t>
            </w:r>
            <w:r>
              <w:rPr>
                <w:rFonts w:hint="default" w:eastAsia="宋体"/>
                <w:color w:val="000000" w:themeColor="text1"/>
                <w:highlight w:val="none"/>
                <w:lang w:val="en-US" w:eastAsia="zh-CN"/>
                <w14:textFill>
                  <w14:solidFill>
                    <w14:schemeClr w14:val="tx1"/>
                  </w14:solidFill>
                </w14:textFill>
              </w:rPr>
              <w:t>污染源、污染类及污染途径</w:t>
            </w:r>
          </w:p>
          <w:p>
            <w:pPr>
              <w:bidi w:val="0"/>
              <w:rPr>
                <w:rFonts w:hint="default" w:eastAsia="宋体"/>
                <w:color w:val="000000" w:themeColor="text1"/>
                <w:highlight w:val="none"/>
                <w:lang w:val="en-US" w:eastAsia="zh-CN"/>
                <w14:textFill>
                  <w14:solidFill>
                    <w14:schemeClr w14:val="tx1"/>
                  </w14:solidFill>
                </w14:textFill>
              </w:rPr>
            </w:pPr>
            <w:r>
              <w:rPr>
                <w:rFonts w:hint="default" w:eastAsia="宋体"/>
                <w:color w:val="000000" w:themeColor="text1"/>
                <w:highlight w:val="none"/>
                <w:lang w:val="en-US" w:eastAsia="zh-CN"/>
                <w14:textFill>
                  <w14:solidFill>
                    <w14:schemeClr w14:val="tx1"/>
                  </w14:solidFill>
                </w14:textFill>
              </w:rPr>
              <w:t>项目在正常工况下，各生产环节按照设计参数运行，罐体及附件维护完好，基本无污染物泄漏，项目己经根据相关防渗设计规范采取严格的防渗、防溢流、防泄漏、防腐蚀等措施，一般情况下污染物不会下渗污染土壤和地下水，对土壤、地下水不会造成污染。</w:t>
            </w:r>
          </w:p>
          <w:p>
            <w:pPr>
              <w:bidi w:val="0"/>
              <w:rPr>
                <w:rFonts w:hint="default" w:eastAsia="宋体"/>
                <w:color w:val="000000" w:themeColor="text1"/>
                <w:highlight w:val="none"/>
                <w:lang w:val="en-US" w:eastAsia="zh-CN"/>
                <w14:textFill>
                  <w14:solidFill>
                    <w14:schemeClr w14:val="tx1"/>
                  </w14:solidFill>
                </w14:textFill>
              </w:rPr>
            </w:pPr>
            <w:r>
              <w:rPr>
                <w:rFonts w:hint="default" w:eastAsia="宋体"/>
                <w:color w:val="000000" w:themeColor="text1"/>
                <w:highlight w:val="none"/>
                <w:lang w:val="en-US" w:eastAsia="zh-CN"/>
                <w14:textFill>
                  <w14:solidFill>
                    <w14:schemeClr w14:val="tx1"/>
                  </w14:solidFill>
                </w14:textFill>
              </w:rPr>
              <w:t>在非正常工况下土壤、地下水的污染源主要是储罐区，储罐渗漏再遇上罐区防渗基础破损导致污染物下渗污染土壤和地下水，对土壤、地下水会造成污染。</w:t>
            </w:r>
          </w:p>
          <w:p>
            <w:pPr>
              <w:bidi w:val="0"/>
              <w:jc w:val="both"/>
              <w:rPr>
                <w:rFonts w:hint="default" w:eastAsia="宋体"/>
                <w:color w:val="000000" w:themeColor="text1"/>
                <w:sz w:val="24"/>
                <w:szCs w:val="24"/>
                <w:highlight w:val="none"/>
                <w:lang w:val="en-US" w:eastAsia="zh-CN"/>
                <w14:textFill>
                  <w14:solidFill>
                    <w14:schemeClr w14:val="tx1"/>
                  </w14:solidFill>
                </w14:textFill>
              </w:rPr>
            </w:pPr>
            <w:r>
              <w:rPr>
                <w:rFonts w:hint="default" w:eastAsia="宋体"/>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default" w:eastAsia="宋体"/>
                <w:color w:val="000000" w:themeColor="text1"/>
                <w:sz w:val="24"/>
                <w:szCs w:val="24"/>
                <w:highlight w:val="none"/>
                <w:lang w:val="en-US" w:eastAsia="zh-CN"/>
                <w14:textFill>
                  <w14:solidFill>
                    <w14:schemeClr w14:val="tx1"/>
                  </w14:solidFill>
                </w14:textFill>
              </w:rPr>
              <w:t>）防治措施</w:t>
            </w:r>
          </w:p>
          <w:p>
            <w:pPr>
              <w:bidi w:val="0"/>
              <w:jc w:val="both"/>
              <w:rPr>
                <w:rFonts w:hint="default" w:eastAsia="宋体"/>
                <w:color w:val="000000" w:themeColor="text1"/>
                <w:sz w:val="24"/>
                <w:szCs w:val="24"/>
                <w:highlight w:val="none"/>
                <w:lang w:val="en-US" w:eastAsia="zh-CN"/>
                <w14:textFill>
                  <w14:solidFill>
                    <w14:schemeClr w14:val="tx1"/>
                  </w14:solidFill>
                </w14:textFill>
              </w:rPr>
            </w:pPr>
            <w:r>
              <w:rPr>
                <w:rFonts w:hint="default" w:eastAsia="宋体"/>
                <w:color w:val="000000" w:themeColor="text1"/>
                <w:sz w:val="24"/>
                <w:szCs w:val="24"/>
                <w:highlight w:val="none"/>
                <w:lang w:val="en-US" w:eastAsia="zh-CN"/>
                <w14:textFill>
                  <w14:solidFill>
                    <w14:schemeClr w14:val="tx1"/>
                  </w14:solidFill>
                </w14:textFill>
              </w:rPr>
              <w:t>①源头控制措施</w:t>
            </w:r>
          </w:p>
          <w:p>
            <w:pPr>
              <w:bidi w:val="0"/>
              <w:jc w:val="both"/>
              <w:rPr>
                <w:rFonts w:hint="default" w:eastAsia="宋体"/>
                <w:color w:val="000000" w:themeColor="text1"/>
                <w:sz w:val="24"/>
                <w:szCs w:val="24"/>
                <w:highlight w:val="none"/>
                <w:lang w:val="en-US" w:eastAsia="zh-CN"/>
                <w14:textFill>
                  <w14:solidFill>
                    <w14:schemeClr w14:val="tx1"/>
                  </w14:solidFill>
                </w14:textFill>
              </w:rPr>
            </w:pPr>
            <w:r>
              <w:rPr>
                <w:rFonts w:hint="default" w:eastAsia="宋体"/>
                <w:color w:val="000000" w:themeColor="text1"/>
                <w:sz w:val="24"/>
                <w:szCs w:val="24"/>
                <w:highlight w:val="none"/>
                <w:lang w:val="en-US" w:eastAsia="zh-CN"/>
                <w14:textFill>
                  <w14:solidFill>
                    <w14:schemeClr w14:val="tx1"/>
                  </w14:solidFill>
                </w14:textFill>
              </w:rPr>
              <w:t>在实际生产过程中对生产工艺不断优化改进，提高系统自动化操作水平，减少污染物排放量和新鲜水使用量；管道、设备均符合国标及工艺技术要求，并加强设备的日常维护和管理，防治污染物跑、冒、滴、漏现象发生；事故污水收集池严格按照要邱做好防渗处理，避免出现裂纹导则废水下渗污染地下水。</w:t>
            </w:r>
          </w:p>
          <w:p>
            <w:pPr>
              <w:bidi w:val="0"/>
              <w:jc w:val="both"/>
              <w:rPr>
                <w:rFonts w:hint="default" w:eastAsia="宋体"/>
                <w:color w:val="000000" w:themeColor="text1"/>
                <w:sz w:val="24"/>
                <w:szCs w:val="24"/>
                <w:highlight w:val="none"/>
                <w:lang w:val="en-US" w:eastAsia="zh-CN"/>
                <w14:textFill>
                  <w14:solidFill>
                    <w14:schemeClr w14:val="tx1"/>
                  </w14:solidFill>
                </w14:textFill>
              </w:rPr>
            </w:pPr>
            <w:r>
              <w:rPr>
                <w:rFonts w:hint="default" w:eastAsia="宋体"/>
                <w:color w:val="000000" w:themeColor="text1"/>
                <w:sz w:val="24"/>
                <w:szCs w:val="24"/>
                <w:highlight w:val="none"/>
                <w:lang w:val="en-US" w:eastAsia="zh-CN"/>
                <w14:textFill>
                  <w14:solidFill>
                    <w14:schemeClr w14:val="tx1"/>
                  </w14:solidFill>
                </w14:textFill>
              </w:rPr>
              <w:t>②分区防控措施</w:t>
            </w:r>
          </w:p>
          <w:p>
            <w:pPr>
              <w:bidi w:val="0"/>
              <w:jc w:val="both"/>
              <w:rPr>
                <w:rFonts w:hint="default" w:eastAsia="宋体"/>
                <w:color w:val="000000" w:themeColor="text1"/>
                <w:sz w:val="24"/>
                <w:szCs w:val="24"/>
                <w:highlight w:val="none"/>
                <w:lang w:val="en-US" w:eastAsia="zh-CN"/>
                <w14:textFill>
                  <w14:solidFill>
                    <w14:schemeClr w14:val="tx1"/>
                  </w14:solidFill>
                </w14:textFill>
              </w:rPr>
            </w:pPr>
            <w:r>
              <w:rPr>
                <w:rFonts w:hint="default" w:eastAsia="宋体"/>
                <w:color w:val="000000" w:themeColor="text1"/>
                <w:sz w:val="24"/>
                <w:szCs w:val="24"/>
                <w:highlight w:val="none"/>
                <w:lang w:val="en-US" w:eastAsia="zh-CN"/>
                <w14:textFill>
                  <w14:solidFill>
                    <w14:schemeClr w14:val="tx1"/>
                  </w14:solidFill>
                </w14:textFill>
              </w:rPr>
              <w:t>本次环评根据《环境影响评价技术导则地下水环境》（HJ610-2016）及《石油化工工程防渗技术规范》（GB/T50394-2013）中分区防渗的要求，对厂址区的污染源进行分区防渗，将厂区划分为重点防渗区、一般防渗区和简单防渗区。</w:t>
            </w:r>
          </w:p>
          <w:p>
            <w:pPr>
              <w:pStyle w:val="96"/>
              <w:spacing w:before="4" w:line="355" w:lineRule="auto"/>
              <w:ind w:left="112" w:right="79" w:hanging="4"/>
              <w:jc w:val="both"/>
              <w:rPr>
                <w:color w:val="000000" w:themeColor="text1"/>
                <w:sz w:val="24"/>
                <w:szCs w:val="24"/>
                <w14:textFill>
                  <w14:solidFill>
                    <w14:schemeClr w14:val="tx1"/>
                  </w14:solidFill>
                </w14:textFill>
              </w:rPr>
            </w:pPr>
            <w:r>
              <w:rPr>
                <w:rFonts w:hint="default" w:eastAsia="宋体"/>
                <w:color w:val="000000" w:themeColor="text1"/>
                <w:sz w:val="24"/>
                <w:szCs w:val="24"/>
                <w:highlight w:val="none"/>
                <w:lang w:val="en-US" w:eastAsia="zh-CN"/>
                <w14:textFill>
                  <w14:solidFill>
                    <w14:schemeClr w14:val="tx1"/>
                  </w14:solidFill>
                </w14:textFill>
              </w:rPr>
              <w:t>A、重点污染防治区：对于生产功能单元发生物料泄漏后不容易及时发现和处理的区域或部位，涉及VOCS产生源头的部位，将其划分为重点污染防治区。按照《危险废物贮存污染控制标准》(GB18597-2023)，基础必须防</w:t>
            </w:r>
            <w:r>
              <w:rPr>
                <w:color w:val="000000" w:themeColor="text1"/>
                <w:spacing w:val="-2"/>
                <w:sz w:val="24"/>
                <w:szCs w:val="24"/>
                <w14:textFill>
                  <w14:solidFill>
                    <w14:schemeClr w14:val="tx1"/>
                  </w14:solidFill>
                </w14:textFill>
              </w:rPr>
              <w:t>渗透，防渗层为至少</w:t>
            </w:r>
            <w:r>
              <w:rPr>
                <w:rFonts w:ascii="Times New Roman" w:hAnsi="Times New Roman" w:eastAsia="Times New Roman" w:cs="Times New Roman"/>
                <w:color w:val="000000" w:themeColor="text1"/>
                <w:spacing w:val="-2"/>
                <w:sz w:val="24"/>
                <w:szCs w:val="24"/>
                <w14:textFill>
                  <w14:solidFill>
                    <w14:schemeClr w14:val="tx1"/>
                  </w14:solidFill>
                </w14:textFill>
              </w:rPr>
              <w:t>1m</w:t>
            </w:r>
            <w:r>
              <w:rPr>
                <w:color w:val="000000" w:themeColor="text1"/>
                <w:spacing w:val="-2"/>
                <w:sz w:val="24"/>
                <w:szCs w:val="24"/>
                <w14:textFill>
                  <w14:solidFill>
                    <w14:schemeClr w14:val="tx1"/>
                  </w14:solidFill>
                </w14:textFill>
              </w:rPr>
              <w:t>厚粘土（渗透系数不大于</w:t>
            </w:r>
            <w:r>
              <w:rPr>
                <w:rFonts w:ascii="Times New Roman" w:hAnsi="Times New Roman" w:eastAsia="Times New Roman" w:cs="Times New Roman"/>
                <w:color w:val="000000" w:themeColor="text1"/>
                <w:spacing w:val="-3"/>
                <w:sz w:val="24"/>
                <w:szCs w:val="24"/>
                <w14:textFill>
                  <w14:solidFill>
                    <w14:schemeClr w14:val="tx1"/>
                  </w14:solidFill>
                </w14:textFill>
              </w:rPr>
              <w:t>1.</w:t>
            </w:r>
            <w:r>
              <w:rPr>
                <w:rFonts w:ascii="Times New Roman" w:hAnsi="Times New Roman" w:eastAsia="Times New Roman" w:cs="Times New Roman"/>
                <w:color w:val="000000" w:themeColor="text1"/>
                <w:spacing w:val="-3"/>
                <w:position w:val="1"/>
                <w:sz w:val="24"/>
                <w:szCs w:val="24"/>
                <w14:textFill>
                  <w14:solidFill>
                    <w14:schemeClr w14:val="tx1"/>
                  </w14:solidFill>
                </w14:textFill>
              </w:rPr>
              <w:t>0×10</w:t>
            </w:r>
            <w:r>
              <w:rPr>
                <w:rFonts w:ascii="Times New Roman" w:hAnsi="Times New Roman" w:eastAsia="Times New Roman" w:cs="Times New Roman"/>
                <w:color w:val="000000" w:themeColor="text1"/>
                <w:spacing w:val="-3"/>
                <w:position w:val="1"/>
                <w:sz w:val="24"/>
                <w:szCs w:val="24"/>
                <w:vertAlign w:val="superscript"/>
                <w14:textFill>
                  <w14:solidFill>
                    <w14:schemeClr w14:val="tx1"/>
                  </w14:solidFill>
                </w14:textFill>
              </w:rPr>
              <w:t>-10</w:t>
            </w:r>
            <w:r>
              <w:rPr>
                <w:rFonts w:ascii="Times New Roman" w:hAnsi="Times New Roman" w:eastAsia="Times New Roman" w:cs="Times New Roman"/>
                <w:color w:val="000000" w:themeColor="text1"/>
                <w:spacing w:val="-3"/>
                <w:sz w:val="24"/>
                <w:szCs w:val="24"/>
                <w14:textFill>
                  <w14:solidFill>
                    <w14:schemeClr w14:val="tx1"/>
                  </w14:solidFill>
                </w14:textFill>
              </w:rPr>
              <w:t>cm/s</w:t>
            </w:r>
            <w:r>
              <w:rPr>
                <w:color w:val="000000" w:themeColor="text1"/>
                <w:spacing w:val="6"/>
                <w:sz w:val="24"/>
                <w:szCs w:val="24"/>
                <w14:textFill>
                  <w14:solidFill>
                    <w14:schemeClr w14:val="tx1"/>
                  </w14:solidFill>
                </w14:textFill>
              </w:rPr>
              <w:t>），</w:t>
            </w:r>
            <w:r>
              <w:rPr>
                <w:color w:val="000000" w:themeColor="text1"/>
                <w:spacing w:val="-3"/>
                <w:sz w:val="24"/>
                <w:szCs w:val="24"/>
                <w14:textFill>
                  <w14:solidFill>
                    <w14:schemeClr w14:val="tx1"/>
                  </w14:solidFill>
                </w14:textFill>
              </w:rPr>
              <w:t>或</w:t>
            </w:r>
            <w:r>
              <w:rPr>
                <w:rFonts w:ascii="Times New Roman" w:hAnsi="Times New Roman" w:eastAsia="Times New Roman" w:cs="Times New Roman"/>
                <w:color w:val="000000" w:themeColor="text1"/>
                <w:spacing w:val="-3"/>
                <w:sz w:val="24"/>
                <w:szCs w:val="24"/>
                <w14:textFill>
                  <w14:solidFill>
                    <w14:schemeClr w14:val="tx1"/>
                  </w14:solidFill>
                </w14:textFill>
              </w:rPr>
              <w:t>2mm</w:t>
            </w:r>
            <w:r>
              <w:rPr>
                <w:color w:val="000000" w:themeColor="text1"/>
                <w:spacing w:val="-2"/>
                <w:sz w:val="24"/>
                <w:szCs w:val="24"/>
                <w14:textFill>
                  <w14:solidFill>
                    <w14:schemeClr w14:val="tx1"/>
                  </w14:solidFill>
                </w14:textFill>
              </w:rPr>
              <w:t>厚高密度聚乙烯，或</w:t>
            </w:r>
            <w:r>
              <w:rPr>
                <w:rFonts w:ascii="Times New Roman" w:hAnsi="Times New Roman" w:eastAsia="Times New Roman" w:cs="Times New Roman"/>
                <w:color w:val="000000" w:themeColor="text1"/>
                <w:spacing w:val="-2"/>
                <w:sz w:val="24"/>
                <w:szCs w:val="24"/>
                <w14:textFill>
                  <w14:solidFill>
                    <w14:schemeClr w14:val="tx1"/>
                  </w14:solidFill>
                </w14:textFill>
              </w:rPr>
              <w:t>2mm</w:t>
            </w:r>
            <w:r>
              <w:rPr>
                <w:color w:val="000000" w:themeColor="text1"/>
                <w:spacing w:val="-2"/>
                <w:sz w:val="24"/>
                <w:szCs w:val="24"/>
                <w14:textFill>
                  <w14:solidFill>
                    <w14:schemeClr w14:val="tx1"/>
                  </w14:solidFill>
                </w14:textFill>
              </w:rPr>
              <w:t>厚其他人工材料，渗透系数不</w:t>
            </w:r>
            <w:r>
              <w:rPr>
                <w:color w:val="000000" w:themeColor="text1"/>
                <w:spacing w:val="-3"/>
                <w:sz w:val="24"/>
                <w:szCs w:val="24"/>
                <w14:textFill>
                  <w14:solidFill>
                    <w14:schemeClr w14:val="tx1"/>
                  </w14:solidFill>
                </w14:textFill>
              </w:rPr>
              <w:t>大于</w:t>
            </w:r>
            <w:r>
              <w:rPr>
                <w:rFonts w:ascii="Times New Roman" w:hAnsi="Times New Roman" w:eastAsia="Times New Roman" w:cs="Times New Roman"/>
                <w:color w:val="000000" w:themeColor="text1"/>
                <w:spacing w:val="-3"/>
                <w:sz w:val="24"/>
                <w:szCs w:val="24"/>
                <w14:textFill>
                  <w14:solidFill>
                    <w14:schemeClr w14:val="tx1"/>
                  </w14:solidFill>
                </w14:textFill>
              </w:rPr>
              <w:t>1.</w:t>
            </w:r>
            <w:r>
              <w:rPr>
                <w:rFonts w:ascii="Times New Roman" w:hAnsi="Times New Roman" w:eastAsia="Times New Roman" w:cs="Times New Roman"/>
                <w:color w:val="000000" w:themeColor="text1"/>
                <w:spacing w:val="-3"/>
                <w:position w:val="1"/>
                <w:sz w:val="24"/>
                <w:szCs w:val="24"/>
                <w14:textFill>
                  <w14:solidFill>
                    <w14:schemeClr w14:val="tx1"/>
                  </w14:solidFill>
                </w14:textFill>
              </w:rPr>
              <w:t>0×10-10</w:t>
            </w:r>
            <w:r>
              <w:rPr>
                <w:rFonts w:ascii="Times New Roman" w:hAnsi="Times New Roman" w:eastAsia="Times New Roman" w:cs="Times New Roman"/>
                <w:color w:val="000000" w:themeColor="text1"/>
                <w:spacing w:val="-3"/>
                <w:sz w:val="24"/>
                <w:szCs w:val="24"/>
                <w14:textFill>
                  <w14:solidFill>
                    <w14:schemeClr w14:val="tx1"/>
                  </w14:solidFill>
                </w14:textFill>
              </w:rPr>
              <w:t>cm/s</w:t>
            </w:r>
            <w:r>
              <w:rPr>
                <w:color w:val="000000" w:themeColor="text1"/>
                <w:spacing w:val="-3"/>
                <w:sz w:val="24"/>
                <w:szCs w:val="24"/>
                <w14:textFill>
                  <w14:solidFill>
                    <w14:schemeClr w14:val="tx1"/>
                  </w14:solidFill>
                </w14:textFill>
              </w:rPr>
              <w:t>。</w:t>
            </w:r>
          </w:p>
          <w:p>
            <w:pPr>
              <w:pStyle w:val="96"/>
              <w:spacing w:before="46" w:line="360" w:lineRule="auto"/>
              <w:ind w:left="107" w:right="39" w:firstLine="474"/>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3"/>
                <w:sz w:val="24"/>
                <w:szCs w:val="24"/>
                <w14:textFill>
                  <w14:solidFill>
                    <w14:schemeClr w14:val="tx1"/>
                  </w14:solidFill>
                </w14:textFill>
              </w:rPr>
              <w:t>B</w:t>
            </w:r>
            <w:r>
              <w:rPr>
                <w:color w:val="000000" w:themeColor="text1"/>
                <w:spacing w:val="-3"/>
                <w:sz w:val="24"/>
                <w:szCs w:val="24"/>
                <w14:textFill>
                  <w14:solidFill>
                    <w14:schemeClr w14:val="tx1"/>
                  </w14:solidFill>
                </w14:textFill>
              </w:rPr>
              <w:t>、一般防渗区：物料或污染物泄漏后可及时发现和处理</w:t>
            </w:r>
            <w:r>
              <w:rPr>
                <w:color w:val="000000" w:themeColor="text1"/>
                <w:spacing w:val="-4"/>
                <w:sz w:val="24"/>
                <w:szCs w:val="24"/>
                <w14:textFill>
                  <w14:solidFill>
                    <w14:schemeClr w14:val="tx1"/>
                  </w14:solidFill>
                </w14:textFill>
              </w:rPr>
              <w:t>的区域或部位，</w:t>
            </w:r>
            <w:r>
              <w:rPr>
                <w:color w:val="000000" w:themeColor="text1"/>
                <w:spacing w:val="-1"/>
                <w:sz w:val="24"/>
                <w:szCs w:val="24"/>
                <w14:textFill>
                  <w14:solidFill>
                    <w14:schemeClr w14:val="tx1"/>
                  </w14:solidFill>
                </w14:textFill>
              </w:rPr>
              <w:t>物料泄漏容易及时发现和处理的区域</w:t>
            </w:r>
            <w:r>
              <w:rPr>
                <w:rFonts w:ascii="Times New Roman" w:hAnsi="Times New Roman" w:eastAsia="Times New Roman" w:cs="Times New Roman"/>
                <w:color w:val="000000" w:themeColor="text1"/>
                <w:spacing w:val="-1"/>
                <w:sz w:val="24"/>
                <w:szCs w:val="24"/>
                <w14:textFill>
                  <w14:solidFill>
                    <w14:schemeClr w14:val="tx1"/>
                  </w14:solidFill>
                </w14:textFill>
              </w:rPr>
              <w:t>,</w:t>
            </w:r>
            <w:r>
              <w:rPr>
                <w:color w:val="000000" w:themeColor="text1"/>
                <w:spacing w:val="-1"/>
                <w:sz w:val="24"/>
                <w:szCs w:val="24"/>
                <w14:textFill>
                  <w14:solidFill>
                    <w14:schemeClr w14:val="tx1"/>
                  </w14:solidFill>
                </w14:textFill>
              </w:rPr>
              <w:t>不含大量危化品</w:t>
            </w:r>
            <w:r>
              <w:rPr>
                <w:color w:val="000000" w:themeColor="text1"/>
                <w:spacing w:val="-2"/>
                <w:sz w:val="24"/>
                <w:szCs w:val="24"/>
                <w14:textFill>
                  <w14:solidFill>
                    <w14:schemeClr w14:val="tx1"/>
                  </w14:solidFill>
                </w14:textFill>
              </w:rPr>
              <w:t>的部位，该区域内建筑</w:t>
            </w:r>
            <w:r>
              <w:rPr>
                <w:color w:val="000000" w:themeColor="text1"/>
                <w:spacing w:val="40"/>
                <w:sz w:val="24"/>
                <w:szCs w:val="24"/>
                <w14:textFill>
                  <w14:solidFill>
                    <w14:schemeClr w14:val="tx1"/>
                  </w14:solidFill>
                </w14:textFill>
              </w:rPr>
              <w:t>物防渗措施参照《一般工业固体废物贮存和填埋污染控制标准》</w:t>
            </w:r>
            <w:r>
              <w:rPr>
                <w:color w:val="000000" w:themeColor="text1"/>
                <w:spacing w:val="-2"/>
                <w:sz w:val="24"/>
                <w:szCs w:val="24"/>
                <w14:textFill>
                  <w14:solidFill>
                    <w14:schemeClr w14:val="tx1"/>
                  </w14:solidFill>
                </w14:textFill>
              </w:rPr>
              <w:t>（</w:t>
            </w:r>
            <w:r>
              <w:rPr>
                <w:rFonts w:ascii="Times New Roman" w:hAnsi="Times New Roman" w:eastAsia="Times New Roman" w:cs="Times New Roman"/>
                <w:color w:val="000000" w:themeColor="text1"/>
                <w:spacing w:val="-2"/>
                <w:sz w:val="24"/>
                <w:szCs w:val="24"/>
                <w14:textFill>
                  <w14:solidFill>
                    <w14:schemeClr w14:val="tx1"/>
                  </w14:solidFill>
                </w14:textFill>
              </w:rPr>
              <w:t>GB18599-2020</w:t>
            </w:r>
            <w:r>
              <w:rPr>
                <w:color w:val="000000" w:themeColor="text1"/>
                <w:spacing w:val="-2"/>
                <w:sz w:val="24"/>
                <w:szCs w:val="24"/>
                <w14:textFill>
                  <w14:solidFill>
                    <w14:schemeClr w14:val="tx1"/>
                  </w14:solidFill>
                </w14:textFill>
              </w:rPr>
              <w:t>）Ⅱ类场地进行地面防渗设计即当天然基础层的渗透系数大</w:t>
            </w:r>
            <w:r>
              <w:rPr>
                <w:color w:val="000000" w:themeColor="text1"/>
                <w:sz w:val="24"/>
                <w:szCs w:val="24"/>
                <w14:textFill>
                  <w14:solidFill>
                    <w14:schemeClr w14:val="tx1"/>
                  </w14:solidFill>
                </w14:textFill>
              </w:rPr>
              <w:t>于</w:t>
            </w:r>
            <w:r>
              <w:rPr>
                <w:rFonts w:ascii="Times New Roman" w:hAnsi="Times New Roman" w:eastAsia="Times New Roman" w:cs="Times New Roman"/>
                <w:color w:val="000000" w:themeColor="text1"/>
                <w:sz w:val="24"/>
                <w:szCs w:val="24"/>
                <w14:textFill>
                  <w14:solidFill>
                    <w14:schemeClr w14:val="tx1"/>
                  </w14:solidFill>
                </w14:textFill>
              </w:rPr>
              <w:t>1.0×10-7cm/s</w:t>
            </w:r>
            <w:r>
              <w:rPr>
                <w:color w:val="000000" w:themeColor="text1"/>
                <w:sz w:val="24"/>
                <w:szCs w:val="24"/>
                <w14:textFill>
                  <w14:solidFill>
                    <w14:schemeClr w14:val="tx1"/>
                  </w14:solidFill>
                </w14:textFill>
              </w:rPr>
              <w:t>时，应采用天然或人工材料构筑防渗层</w:t>
            </w:r>
            <w:r>
              <w:rPr>
                <w:color w:val="000000" w:themeColor="text1"/>
                <w:spacing w:val="-1"/>
                <w:sz w:val="24"/>
                <w:szCs w:val="24"/>
                <w14:textFill>
                  <w14:solidFill>
                    <w14:schemeClr w14:val="tx1"/>
                  </w14:solidFill>
                </w14:textFill>
              </w:rPr>
              <w:t>，防渗层的厚度应相</w:t>
            </w:r>
            <w:r>
              <w:rPr>
                <w:color w:val="000000" w:themeColor="text1"/>
                <w:spacing w:val="-3"/>
                <w:sz w:val="24"/>
                <w:szCs w:val="24"/>
                <w14:textFill>
                  <w14:solidFill>
                    <w14:schemeClr w14:val="tx1"/>
                  </w14:solidFill>
                </w14:textFill>
              </w:rPr>
              <w:t>当于渗透系数</w:t>
            </w:r>
            <w:r>
              <w:rPr>
                <w:rFonts w:ascii="Times New Roman" w:hAnsi="Times New Roman" w:eastAsia="Times New Roman" w:cs="Times New Roman"/>
                <w:color w:val="000000" w:themeColor="text1"/>
                <w:spacing w:val="-3"/>
                <w:sz w:val="24"/>
                <w:szCs w:val="24"/>
                <w14:textFill>
                  <w14:solidFill>
                    <w14:schemeClr w14:val="tx1"/>
                  </w14:solidFill>
                </w14:textFill>
              </w:rPr>
              <w:t>1.0×10</w:t>
            </w:r>
            <w:r>
              <w:rPr>
                <w:rFonts w:ascii="Times New Roman" w:hAnsi="Times New Roman" w:eastAsia="Times New Roman" w:cs="Times New Roman"/>
                <w:color w:val="000000" w:themeColor="text1"/>
                <w:spacing w:val="-3"/>
                <w:sz w:val="24"/>
                <w:szCs w:val="24"/>
                <w:vertAlign w:val="superscript"/>
                <w14:textFill>
                  <w14:solidFill>
                    <w14:schemeClr w14:val="tx1"/>
                  </w14:solidFill>
                </w14:textFill>
              </w:rPr>
              <w:t>-7</w:t>
            </w:r>
            <w:r>
              <w:rPr>
                <w:rFonts w:ascii="Times New Roman" w:hAnsi="Times New Roman" w:eastAsia="Times New Roman" w:cs="Times New Roman"/>
                <w:color w:val="000000" w:themeColor="text1"/>
                <w:spacing w:val="-3"/>
                <w:sz w:val="24"/>
                <w:szCs w:val="24"/>
                <w14:textFill>
                  <w14:solidFill>
                    <w14:schemeClr w14:val="tx1"/>
                  </w14:solidFill>
                </w14:textFill>
              </w:rPr>
              <w:t>cm/s</w:t>
            </w:r>
            <w:r>
              <w:rPr>
                <w:color w:val="000000" w:themeColor="text1"/>
                <w:spacing w:val="-3"/>
                <w:sz w:val="24"/>
                <w:szCs w:val="24"/>
                <w14:textFill>
                  <w14:solidFill>
                    <w14:schemeClr w14:val="tx1"/>
                  </w14:solidFill>
                </w14:textFill>
              </w:rPr>
              <w:t>和厚度</w:t>
            </w:r>
            <w:r>
              <w:rPr>
                <w:rFonts w:ascii="Times New Roman" w:hAnsi="Times New Roman" w:eastAsia="Times New Roman" w:cs="Times New Roman"/>
                <w:color w:val="000000" w:themeColor="text1"/>
                <w:spacing w:val="-3"/>
                <w:sz w:val="24"/>
                <w:szCs w:val="24"/>
                <w14:textFill>
                  <w14:solidFill>
                    <w14:schemeClr w14:val="tx1"/>
                  </w14:solidFill>
                </w14:textFill>
              </w:rPr>
              <w:t>1.5m</w:t>
            </w:r>
            <w:r>
              <w:rPr>
                <w:color w:val="000000" w:themeColor="text1"/>
                <w:spacing w:val="-3"/>
                <w:sz w:val="24"/>
                <w:szCs w:val="24"/>
                <w14:textFill>
                  <w14:solidFill>
                    <w14:schemeClr w14:val="tx1"/>
                  </w14:solidFill>
                </w14:textFill>
              </w:rPr>
              <w:t>的粘土层的防渗性能。</w:t>
            </w:r>
          </w:p>
          <w:p>
            <w:pPr>
              <w:pStyle w:val="96"/>
              <w:spacing w:before="142" w:line="360" w:lineRule="auto"/>
              <w:ind w:left="109" w:right="39" w:firstLine="477"/>
              <w:jc w:val="both"/>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3"/>
                <w:sz w:val="24"/>
                <w:szCs w:val="24"/>
                <w14:textFill>
                  <w14:solidFill>
                    <w14:schemeClr w14:val="tx1"/>
                  </w14:solidFill>
                </w14:textFill>
              </w:rPr>
              <w:t>C</w:t>
            </w:r>
            <w:r>
              <w:rPr>
                <w:color w:val="000000" w:themeColor="text1"/>
                <w:spacing w:val="-3"/>
                <w:sz w:val="24"/>
                <w:szCs w:val="24"/>
                <w14:textFill>
                  <w14:solidFill>
                    <w14:schemeClr w14:val="tx1"/>
                  </w14:solidFill>
                </w14:textFill>
              </w:rPr>
              <w:t>、简单防渗区：没有物料或污染物泄漏，不</w:t>
            </w:r>
            <w:r>
              <w:rPr>
                <w:color w:val="000000" w:themeColor="text1"/>
                <w:spacing w:val="-4"/>
                <w:sz w:val="24"/>
                <w:szCs w:val="24"/>
                <w14:textFill>
                  <w14:solidFill>
                    <w14:schemeClr w14:val="tx1"/>
                  </w14:solidFill>
                </w14:textFill>
              </w:rPr>
              <w:t>会造成污染的区域或部位，</w:t>
            </w:r>
            <w:r>
              <w:rPr>
                <w:color w:val="000000" w:themeColor="text1"/>
                <w:spacing w:val="-1"/>
                <w:sz w:val="24"/>
                <w:szCs w:val="24"/>
                <w14:textFill>
                  <w14:solidFill>
                    <w14:schemeClr w14:val="tx1"/>
                  </w14:solidFill>
                </w14:textFill>
              </w:rPr>
              <w:t>可不采取专门的防控措施。</w:t>
            </w:r>
          </w:p>
          <w:p>
            <w:pPr>
              <w:pStyle w:val="96"/>
              <w:spacing w:before="145" w:line="360" w:lineRule="auto"/>
              <w:jc w:val="both"/>
              <w:rPr>
                <w:color w:val="000000" w:themeColor="text1"/>
                <w14:textFill>
                  <w14:solidFill>
                    <w14:schemeClr w14:val="tx1"/>
                  </w14:solidFill>
                </w14:textFill>
              </w:rPr>
            </w:pPr>
            <w:r>
              <w:rPr>
                <w:rFonts w:hint="eastAsia"/>
                <w:color w:val="000000" w:themeColor="text1"/>
                <w:spacing w:val="3"/>
                <w:position w:val="2"/>
                <w:sz w:val="24"/>
                <w:szCs w:val="24"/>
                <w14:textFill>
                  <w14:solidFill>
                    <w14:schemeClr w14:val="tx1"/>
                  </w14:solidFill>
                </w14:textFill>
              </w:rPr>
              <w:t>本项目新建设施</w:t>
            </w:r>
            <w:r>
              <w:rPr>
                <w:rFonts w:hint="eastAsia"/>
                <w:color w:val="000000" w:themeColor="text1"/>
                <w:spacing w:val="3"/>
                <w:position w:val="2"/>
                <w:sz w:val="24"/>
                <w:szCs w:val="24"/>
                <w:lang w:val="en-US" w:eastAsia="zh-CN"/>
                <w14:textFill>
                  <w14:solidFill>
                    <w14:schemeClr w14:val="tx1"/>
                  </w14:solidFill>
                </w14:textFill>
              </w:rPr>
              <w:t>为危废库</w:t>
            </w:r>
            <w:r>
              <w:rPr>
                <w:rFonts w:hint="eastAsia"/>
                <w:color w:val="000000" w:themeColor="text1"/>
                <w:spacing w:val="3"/>
                <w:position w:val="2"/>
                <w:sz w:val="24"/>
                <w:szCs w:val="24"/>
                <w14:textFill>
                  <w14:solidFill>
                    <w14:schemeClr w14:val="tx1"/>
                  </w14:solidFill>
                </w14:textFill>
              </w:rPr>
              <w:t>，其他设施均</w:t>
            </w:r>
            <w:r>
              <w:rPr>
                <w:rFonts w:hint="eastAsia"/>
                <w:color w:val="000000" w:themeColor="text1"/>
                <w:spacing w:val="3"/>
                <w:position w:val="2"/>
                <w:sz w:val="24"/>
                <w:szCs w:val="24"/>
                <w:lang w:val="en-US" w:eastAsia="zh-CN"/>
                <w14:textFill>
                  <w14:solidFill>
                    <w14:schemeClr w14:val="tx1"/>
                  </w14:solidFill>
                </w14:textFill>
              </w:rPr>
              <w:t>利旧</w:t>
            </w:r>
            <w:r>
              <w:rPr>
                <w:rFonts w:hint="eastAsia"/>
                <w:color w:val="000000" w:themeColor="text1"/>
                <w:spacing w:val="3"/>
                <w:position w:val="2"/>
                <w:sz w:val="24"/>
                <w:szCs w:val="24"/>
                <w14:textFill>
                  <w14:solidFill>
                    <w14:schemeClr w14:val="tx1"/>
                  </w14:solidFill>
                </w14:textFill>
              </w:rPr>
              <w:t>现有设施，</w:t>
            </w:r>
            <w:r>
              <w:rPr>
                <w:rFonts w:hint="eastAsia"/>
                <w:color w:val="000000" w:themeColor="text1"/>
                <w:spacing w:val="3"/>
                <w:position w:val="2"/>
                <w:sz w:val="24"/>
                <w:szCs w:val="24"/>
                <w:lang w:val="en-US" w:eastAsia="zh-CN"/>
                <w14:textFill>
                  <w14:solidFill>
                    <w14:schemeClr w14:val="tx1"/>
                  </w14:solidFill>
                </w14:textFill>
              </w:rPr>
              <w:t>利旧设施现状防渗情况及本项目</w:t>
            </w:r>
            <w:r>
              <w:rPr>
                <w:color w:val="000000" w:themeColor="text1"/>
                <w:spacing w:val="3"/>
                <w:position w:val="2"/>
                <w:sz w:val="24"/>
                <w:szCs w:val="24"/>
                <w14:textFill>
                  <w14:solidFill>
                    <w14:schemeClr w14:val="tx1"/>
                  </w14:solidFill>
                </w14:textFill>
              </w:rPr>
              <w:t>具体防渗分区见表</w:t>
            </w:r>
            <w:r>
              <w:rPr>
                <w:rFonts w:ascii="Times New Roman" w:hAnsi="Times New Roman" w:eastAsia="Times New Roman" w:cs="Times New Roman"/>
                <w:color w:val="000000" w:themeColor="text1"/>
                <w:spacing w:val="3"/>
                <w:position w:val="2"/>
                <w:sz w:val="24"/>
                <w:szCs w:val="24"/>
                <w14:textFill>
                  <w14:solidFill>
                    <w14:schemeClr w14:val="tx1"/>
                  </w14:solidFill>
                </w14:textFill>
              </w:rPr>
              <w:t>4-</w:t>
            </w:r>
            <w:r>
              <w:rPr>
                <w:rFonts w:hint="eastAsia" w:ascii="Times New Roman" w:hAnsi="Times New Roman" w:eastAsia="宋体" w:cs="Times New Roman"/>
                <w:color w:val="000000" w:themeColor="text1"/>
                <w:spacing w:val="3"/>
                <w:position w:val="2"/>
                <w:sz w:val="24"/>
                <w:szCs w:val="24"/>
                <w:lang w:val="en-US" w:eastAsia="zh-CN"/>
                <w14:textFill>
                  <w14:solidFill>
                    <w14:schemeClr w14:val="tx1"/>
                  </w14:solidFill>
                </w14:textFill>
              </w:rPr>
              <w:t>1</w:t>
            </w:r>
            <w:r>
              <w:rPr>
                <w:rFonts w:hint="eastAsia" w:ascii="Times New Roman" w:hAnsi="Times New Roman" w:cs="Times New Roman"/>
                <w:color w:val="000000" w:themeColor="text1"/>
                <w:spacing w:val="3"/>
                <w:position w:val="2"/>
                <w:sz w:val="24"/>
                <w:szCs w:val="24"/>
                <w:lang w:val="en-US" w:eastAsia="zh-CN"/>
                <w14:textFill>
                  <w14:solidFill>
                    <w14:schemeClr w14:val="tx1"/>
                  </w14:solidFill>
                </w14:textFill>
              </w:rPr>
              <w:t>6</w:t>
            </w:r>
            <w:r>
              <w:rPr>
                <w:color w:val="000000" w:themeColor="text1"/>
                <w:spacing w:val="3"/>
                <w:position w:val="2"/>
                <w:sz w:val="24"/>
                <w:szCs w:val="24"/>
                <w14:textFill>
                  <w14:solidFill>
                    <w14:schemeClr w14:val="tx1"/>
                  </w14:solidFill>
                </w14:textFill>
              </w:rPr>
              <w:t>。</w:t>
            </w:r>
          </w:p>
          <w:p>
            <w:pPr>
              <w:pStyle w:val="96"/>
              <w:spacing w:before="139" w:line="360" w:lineRule="auto"/>
              <w:ind w:left="2359"/>
              <w:jc w:val="both"/>
              <w:rPr>
                <w:color w:val="000000" w:themeColor="text1"/>
                <w:sz w:val="22"/>
                <w:szCs w:val="22"/>
                <w14:textFill>
                  <w14:solidFill>
                    <w14:schemeClr w14:val="tx1"/>
                  </w14:solidFill>
                </w14:textFill>
              </w:rPr>
            </w:pPr>
            <w:r>
              <w:rPr>
                <w:b/>
                <w:bCs/>
                <w:color w:val="000000" w:themeColor="text1"/>
                <w:spacing w:val="-2"/>
                <w:sz w:val="22"/>
                <w:szCs w:val="22"/>
                <w14:textFill>
                  <w14:solidFill>
                    <w14:schemeClr w14:val="tx1"/>
                  </w14:solidFill>
                </w14:textFill>
              </w:rPr>
              <w:t>表</w:t>
            </w:r>
            <w:r>
              <w:rPr>
                <w:color w:val="000000" w:themeColor="text1"/>
                <w:spacing w:val="-45"/>
                <w:sz w:val="22"/>
                <w:szCs w:val="22"/>
                <w14:textFill>
                  <w14:solidFill>
                    <w14:schemeClr w14:val="tx1"/>
                  </w14:solidFill>
                </w14:textFill>
              </w:rPr>
              <w:t xml:space="preserve"> </w:t>
            </w:r>
            <w:r>
              <w:rPr>
                <w:rFonts w:ascii="Times New Roman" w:hAnsi="Times New Roman" w:eastAsia="Times New Roman" w:cs="Times New Roman"/>
                <w:b/>
                <w:bCs/>
                <w:color w:val="000000" w:themeColor="text1"/>
                <w:spacing w:val="-2"/>
                <w:sz w:val="22"/>
                <w:szCs w:val="22"/>
                <w14:textFill>
                  <w14:solidFill>
                    <w14:schemeClr w14:val="tx1"/>
                  </w14:solidFill>
                </w14:textFill>
              </w:rPr>
              <w:t>4-1</w:t>
            </w:r>
            <w:r>
              <w:rPr>
                <w:rFonts w:hint="eastAsia" w:ascii="Times New Roman" w:hAnsi="Times New Roman" w:eastAsia="宋体" w:cs="Times New Roman"/>
                <w:b/>
                <w:bCs/>
                <w:color w:val="000000" w:themeColor="text1"/>
                <w:spacing w:val="-2"/>
                <w:sz w:val="22"/>
                <w:szCs w:val="22"/>
                <w:lang w:val="en-US" w:eastAsia="zh-CN"/>
                <w14:textFill>
                  <w14:solidFill>
                    <w14:schemeClr w14:val="tx1"/>
                  </w14:solidFill>
                </w14:textFill>
              </w:rPr>
              <w:t>6</w:t>
            </w:r>
            <w:r>
              <w:rPr>
                <w:rFonts w:ascii="Times New Roman" w:hAnsi="Times New Roman" w:eastAsia="Times New Roman" w:cs="Times New Roman"/>
                <w:b/>
                <w:bCs/>
                <w:color w:val="000000" w:themeColor="text1"/>
                <w:spacing w:val="-2"/>
                <w:sz w:val="22"/>
                <w:szCs w:val="22"/>
                <w14:textFill>
                  <w14:solidFill>
                    <w14:schemeClr w14:val="tx1"/>
                  </w14:solidFill>
                </w14:textFill>
              </w:rPr>
              <w:t xml:space="preserve"> </w:t>
            </w:r>
            <w:r>
              <w:rPr>
                <w:b/>
                <w:bCs/>
                <w:color w:val="000000" w:themeColor="text1"/>
                <w:spacing w:val="-2"/>
                <w:sz w:val="22"/>
                <w:szCs w:val="22"/>
                <w14:textFill>
                  <w14:solidFill>
                    <w14:schemeClr w14:val="tx1"/>
                  </w14:solidFill>
                </w14:textFill>
              </w:rPr>
              <w:t>本项目具体防渗分区一览表</w:t>
            </w:r>
          </w:p>
          <w:tbl>
            <w:tblPr>
              <w:tblStyle w:val="99"/>
              <w:tblW w:w="799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78"/>
              <w:gridCol w:w="1308"/>
              <w:gridCol w:w="705"/>
              <w:gridCol w:w="706"/>
              <w:gridCol w:w="1600"/>
              <w:gridCol w:w="1600"/>
              <w:gridCol w:w="160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7" w:hRule="atLeast"/>
                <w:jc w:val="center"/>
              </w:trPr>
              <w:tc>
                <w:tcPr>
                  <w:tcW w:w="47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序号</w:t>
                  </w:r>
                </w:p>
              </w:tc>
              <w:tc>
                <w:tcPr>
                  <w:tcW w:w="130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间（构）筑物</w:t>
                  </w:r>
                </w:p>
              </w:tc>
              <w:tc>
                <w:tcPr>
                  <w:tcW w:w="705"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污染控</w:t>
                  </w:r>
                </w:p>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制难易程度</w:t>
                  </w:r>
                </w:p>
              </w:tc>
              <w:tc>
                <w:tcPr>
                  <w:tcW w:w="70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污染防</w:t>
                  </w:r>
                </w:p>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控类别</w:t>
                  </w:r>
                </w:p>
              </w:tc>
              <w:tc>
                <w:tcPr>
                  <w:tcW w:w="1600"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防渗技术要求</w:t>
                  </w:r>
                </w:p>
              </w:tc>
              <w:tc>
                <w:tcPr>
                  <w:tcW w:w="1600"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现状防渗情况</w:t>
                  </w:r>
                </w:p>
              </w:tc>
              <w:tc>
                <w:tcPr>
                  <w:tcW w:w="160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cs="Times New Roman"/>
                      <w:color w:val="000000" w:themeColor="text1"/>
                      <w:sz w:val="21"/>
                      <w:lang w:val="en-US" w:eastAsia="zh-CN"/>
                      <w14:textFill>
                        <w14:solidFill>
                          <w14:schemeClr w14:val="tx1"/>
                        </w14:solidFill>
                      </w14:textFill>
                    </w:rPr>
                    <w:t>符合情况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5" w:hRule="atLeast"/>
                <w:jc w:val="center"/>
              </w:trPr>
              <w:tc>
                <w:tcPr>
                  <w:tcW w:w="47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1</w:t>
                  </w:r>
                </w:p>
              </w:tc>
              <w:tc>
                <w:tcPr>
                  <w:tcW w:w="130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eastAsia" w:ascii="Times New Roman" w:hAnsi="Times New Roman" w:eastAsia="宋体" w:cs="Times New Roman"/>
                      <w:color w:val="000000" w:themeColor="text1"/>
                      <w:sz w:val="21"/>
                      <w:lang w:eastAsia="zh-CN"/>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罐区、事故水池、污水处理站</w:t>
                  </w:r>
                  <w:r>
                    <w:rPr>
                      <w:rFonts w:hint="eastAsia" w:cs="Times New Roman"/>
                      <w:color w:val="000000" w:themeColor="text1"/>
                      <w:sz w:val="21"/>
                      <w:lang w:eastAsia="zh-CN"/>
                      <w14:textFill>
                        <w14:solidFill>
                          <w14:schemeClr w14:val="tx1"/>
                        </w14:solidFill>
                      </w14:textFill>
                    </w:rPr>
                    <w:t>、</w:t>
                  </w:r>
                  <w:r>
                    <w:rPr>
                      <w:rFonts w:hint="eastAsia" w:cs="Times New Roman"/>
                      <w:color w:val="000000" w:themeColor="text1"/>
                      <w:sz w:val="21"/>
                      <w:lang w:val="en-US" w:eastAsia="zh-CN"/>
                      <w14:textFill>
                        <w14:solidFill>
                          <w14:schemeClr w14:val="tx1"/>
                        </w14:solidFill>
                      </w14:textFill>
                    </w:rPr>
                    <w:t>初期雨水池、</w:t>
                  </w:r>
                  <w:r>
                    <w:rPr>
                      <w:rFonts w:hint="default" w:ascii="Times New Roman" w:hAnsi="Times New Roman" w:eastAsia="宋体" w:cs="Times New Roman"/>
                      <w:color w:val="FF0000"/>
                      <w:sz w:val="21"/>
                    </w:rPr>
                    <w:t>油气</w:t>
                  </w:r>
                  <w:r>
                    <w:rPr>
                      <w:rFonts w:hint="eastAsia" w:cs="Times New Roman"/>
                      <w:color w:val="FF0000"/>
                      <w:sz w:val="21"/>
                      <w:lang w:val="en-US" w:eastAsia="zh-CN"/>
                    </w:rPr>
                    <w:t>回收</w:t>
                  </w:r>
                  <w:r>
                    <w:rPr>
                      <w:rFonts w:hint="default" w:ascii="Times New Roman" w:hAnsi="Times New Roman" w:eastAsia="宋体" w:cs="Times New Roman"/>
                      <w:color w:val="FF0000"/>
                      <w:sz w:val="21"/>
                    </w:rPr>
                    <w:t>装置区</w:t>
                  </w:r>
                </w:p>
              </w:tc>
              <w:tc>
                <w:tcPr>
                  <w:tcW w:w="705" w:type="dxa"/>
                  <w:vMerge w:val="restart"/>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难</w:t>
                  </w:r>
                </w:p>
              </w:tc>
              <w:tc>
                <w:tcPr>
                  <w:tcW w:w="706" w:type="dxa"/>
                  <w:vMerge w:val="restart"/>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重点防渗区</w:t>
                  </w:r>
                </w:p>
              </w:tc>
              <w:tc>
                <w:tcPr>
                  <w:tcW w:w="1600" w:type="dxa"/>
                  <w:vMerge w:val="restart"/>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防渗层设计等效黏土防渗层Mb≥6.0m，K≤10</w:t>
                  </w:r>
                  <w:r>
                    <w:rPr>
                      <w:rFonts w:hint="default" w:ascii="Times New Roman" w:hAnsi="Times New Roman" w:eastAsia="宋体" w:cs="Times New Roman"/>
                      <w:color w:val="000000" w:themeColor="text1"/>
                      <w:sz w:val="21"/>
                      <w:vertAlign w:val="superscript"/>
                      <w14:textFill>
                        <w14:solidFill>
                          <w14:schemeClr w14:val="tx1"/>
                        </w14:solidFill>
                      </w14:textFill>
                    </w:rPr>
                    <w:t>-10</w:t>
                  </w:r>
                  <w:r>
                    <w:rPr>
                      <w:rFonts w:hint="default" w:ascii="Times New Roman" w:hAnsi="Times New Roman" w:eastAsia="宋体" w:cs="Times New Roman"/>
                      <w:color w:val="000000" w:themeColor="text1"/>
                      <w:sz w:val="21"/>
                      <w14:textFill>
                        <w14:solidFill>
                          <w14:schemeClr w14:val="tx1"/>
                        </w14:solidFill>
                      </w14:textFill>
                    </w:rPr>
                    <w:t>cm/s，且满足《危险废物贮存污染控制标准》（GB18597-2023）的防渗技术要求</w:t>
                  </w:r>
                </w:p>
              </w:tc>
              <w:tc>
                <w:tcPr>
                  <w:tcW w:w="1600"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cs="Times New Roman"/>
                      <w:color w:val="000000" w:themeColor="text1"/>
                      <w:sz w:val="21"/>
                      <w:lang w:val="en-US" w:eastAsia="zh-CN"/>
                      <w14:textFill>
                        <w14:solidFill>
                          <w14:schemeClr w14:val="tx1"/>
                        </w14:solidFill>
                      </w14:textFill>
                    </w:rPr>
                    <w:t>2mm</w:t>
                  </w:r>
                  <w:r>
                    <w:rPr>
                      <w:rFonts w:hint="default" w:ascii="Times New Roman" w:hAnsi="Times New Roman" w:eastAsia="宋体" w:cs="Times New Roman"/>
                      <w:color w:val="000000" w:themeColor="text1"/>
                      <w:sz w:val="21"/>
                      <w:lang w:val="en-US" w:eastAsia="zh-CN"/>
                      <w14:textFill>
                        <w14:solidFill>
                          <w14:schemeClr w14:val="tx1"/>
                        </w14:solidFill>
                      </w14:textFill>
                    </w:rPr>
                    <w:t>HDPE土工膜</w:t>
                  </w:r>
                  <w:r>
                    <w:rPr>
                      <w:rFonts w:hint="eastAsia" w:cs="Times New Roman"/>
                      <w:color w:val="000000" w:themeColor="text1"/>
                      <w:sz w:val="21"/>
                      <w:lang w:val="en-US" w:eastAsia="zh-CN"/>
                      <w14:textFill>
                        <w14:solidFill>
                          <w14:schemeClr w14:val="tx1"/>
                        </w14:solidFill>
                      </w14:textFill>
                    </w:rPr>
                    <w:t>+10cm沙土+20cm厚</w:t>
                  </w:r>
                  <w:r>
                    <w:rPr>
                      <w:rFonts w:hint="default" w:ascii="Times New Roman" w:hAnsi="Times New Roman" w:eastAsia="宋体" w:cs="Times New Roman"/>
                      <w:color w:val="000000" w:themeColor="text1"/>
                      <w:sz w:val="21"/>
                      <w:lang w:val="en-US" w:eastAsia="zh-CN"/>
                      <w14:textFill>
                        <w14:solidFill>
                          <w14:schemeClr w14:val="tx1"/>
                        </w14:solidFill>
                      </w14:textFill>
                    </w:rPr>
                    <w:t>C30混凝土作为保护层，等效渗透系数&lt;10</w:t>
                  </w:r>
                  <w:r>
                    <w:rPr>
                      <w:rFonts w:hint="default" w:ascii="Times New Roman" w:hAnsi="Times New Roman" w:eastAsia="宋体" w:cs="Times New Roman"/>
                      <w:color w:val="000000" w:themeColor="text1"/>
                      <w:sz w:val="21"/>
                      <w:vertAlign w:val="superscript"/>
                      <w:lang w:val="en-US" w:eastAsia="zh-CN"/>
                      <w14:textFill>
                        <w14:solidFill>
                          <w14:schemeClr w14:val="tx1"/>
                        </w14:solidFill>
                      </w14:textFill>
                    </w:rPr>
                    <w:t>-10</w:t>
                  </w:r>
                  <w:r>
                    <w:rPr>
                      <w:rFonts w:hint="default" w:ascii="Times New Roman" w:hAnsi="Times New Roman" w:eastAsia="宋体" w:cs="Times New Roman"/>
                      <w:color w:val="000000" w:themeColor="text1"/>
                      <w:sz w:val="21"/>
                      <w:lang w:val="en-US" w:eastAsia="zh-CN"/>
                      <w14:textFill>
                        <w14:solidFill>
                          <w14:schemeClr w14:val="tx1"/>
                        </w14:solidFill>
                      </w14:textFill>
                    </w:rPr>
                    <w:t>cm/s。</w:t>
                  </w:r>
                </w:p>
              </w:tc>
              <w:tc>
                <w:tcPr>
                  <w:tcW w:w="160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cs="Times New Roman"/>
                      <w:color w:val="000000" w:themeColor="text1"/>
                      <w:sz w:val="21"/>
                      <w:lang w:val="en-US" w:eastAsia="zh-CN"/>
                      <w14:textFill>
                        <w14:solidFill>
                          <w14:schemeClr w14:val="tx1"/>
                        </w14:solidFill>
                      </w14:textFill>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3" w:hRule="atLeast"/>
                <w:jc w:val="center"/>
              </w:trPr>
              <w:tc>
                <w:tcPr>
                  <w:tcW w:w="47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2</w:t>
                  </w:r>
                </w:p>
              </w:tc>
              <w:tc>
                <w:tcPr>
                  <w:tcW w:w="130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危废</w:t>
                  </w:r>
                  <w:r>
                    <w:rPr>
                      <w:rFonts w:hint="default" w:ascii="Times New Roman" w:hAnsi="Times New Roman" w:eastAsia="宋体" w:cs="Times New Roman"/>
                      <w:color w:val="000000" w:themeColor="text1"/>
                      <w:sz w:val="21"/>
                      <w:lang w:val="en-US" w:eastAsia="zh-CN"/>
                      <w14:textFill>
                        <w14:solidFill>
                          <w14:schemeClr w14:val="tx1"/>
                        </w14:solidFill>
                      </w14:textFill>
                    </w:rPr>
                    <w:t>暂存</w:t>
                  </w:r>
                  <w:r>
                    <w:rPr>
                      <w:rFonts w:hint="default" w:ascii="Times New Roman" w:hAnsi="Times New Roman" w:eastAsia="宋体" w:cs="Times New Roman"/>
                      <w:color w:val="000000" w:themeColor="text1"/>
                      <w:sz w:val="21"/>
                      <w14:textFill>
                        <w14:solidFill>
                          <w14:schemeClr w14:val="tx1"/>
                        </w14:solidFill>
                      </w14:textFill>
                    </w:rPr>
                    <w:t>库</w:t>
                  </w:r>
                </w:p>
              </w:tc>
              <w:tc>
                <w:tcPr>
                  <w:tcW w:w="705"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p>
              </w:tc>
              <w:tc>
                <w:tcPr>
                  <w:tcW w:w="706"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p>
              </w:tc>
              <w:tc>
                <w:tcPr>
                  <w:tcW w:w="1600"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p>
              </w:tc>
              <w:tc>
                <w:tcPr>
                  <w:tcW w:w="1600"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w:t>
                  </w:r>
                </w:p>
              </w:tc>
              <w:tc>
                <w:tcPr>
                  <w:tcW w:w="160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cs="Times New Roman"/>
                      <w:color w:val="000000" w:themeColor="text1"/>
                      <w:sz w:val="21"/>
                      <w:lang w:val="en-US"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90" w:hRule="atLeast"/>
                <w:jc w:val="center"/>
              </w:trPr>
              <w:tc>
                <w:tcPr>
                  <w:tcW w:w="47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3</w:t>
                  </w:r>
                </w:p>
              </w:tc>
              <w:tc>
                <w:tcPr>
                  <w:tcW w:w="130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围堰、隔堤、装卸区、消防水池及泵房</w:t>
                  </w:r>
                </w:p>
              </w:tc>
              <w:tc>
                <w:tcPr>
                  <w:tcW w:w="705"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易</w:t>
                  </w:r>
                </w:p>
              </w:tc>
              <w:tc>
                <w:tcPr>
                  <w:tcW w:w="70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一般防渗区</w:t>
                  </w:r>
                </w:p>
              </w:tc>
              <w:tc>
                <w:tcPr>
                  <w:tcW w:w="1600"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防渗层设计等效黏土防渗层Mb≥1.5m，K≤10</w:t>
                  </w:r>
                  <w:r>
                    <w:rPr>
                      <w:rFonts w:hint="default" w:ascii="Times New Roman" w:hAnsi="Times New Roman" w:eastAsia="宋体" w:cs="Times New Roman"/>
                      <w:color w:val="000000" w:themeColor="text1"/>
                      <w:sz w:val="21"/>
                      <w:vertAlign w:val="superscript"/>
                      <w14:textFill>
                        <w14:solidFill>
                          <w14:schemeClr w14:val="tx1"/>
                        </w14:solidFill>
                      </w14:textFill>
                    </w:rPr>
                    <w:t>-7</w:t>
                  </w:r>
                  <w:r>
                    <w:rPr>
                      <w:rFonts w:hint="default" w:ascii="Times New Roman" w:hAnsi="Times New Roman" w:eastAsia="宋体" w:cs="Times New Roman"/>
                      <w:color w:val="000000" w:themeColor="text1"/>
                      <w:sz w:val="21"/>
                      <w14:textFill>
                        <w14:solidFill>
                          <w14:schemeClr w14:val="tx1"/>
                        </w14:solidFill>
                      </w14:textFill>
                    </w:rPr>
                    <w:t>cm/s，且满足《危险废物贮存污染控制标准》（GB18597-2023）的防渗技术要求</w:t>
                  </w:r>
                </w:p>
              </w:tc>
              <w:tc>
                <w:tcPr>
                  <w:tcW w:w="1600"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C20抗渗混凝土作为保护层，厚度为15cm，满足等效1.5m黏土渗透系数K≤1.0×10</w:t>
                  </w:r>
                  <w:r>
                    <w:rPr>
                      <w:rFonts w:hint="default" w:ascii="Times New Roman" w:hAnsi="Times New Roman" w:eastAsia="宋体" w:cs="Times New Roman"/>
                      <w:color w:val="000000" w:themeColor="text1"/>
                      <w:sz w:val="21"/>
                      <w:vertAlign w:val="superscript"/>
                      <w14:textFill>
                        <w14:solidFill>
                          <w14:schemeClr w14:val="tx1"/>
                        </w14:solidFill>
                      </w14:textFill>
                    </w:rPr>
                    <w:t>-7</w:t>
                  </w:r>
                  <w:r>
                    <w:rPr>
                      <w:rFonts w:hint="default" w:ascii="Times New Roman" w:hAnsi="Times New Roman" w:eastAsia="宋体" w:cs="Times New Roman"/>
                      <w:color w:val="000000" w:themeColor="text1"/>
                      <w:sz w:val="21"/>
                      <w14:textFill>
                        <w14:solidFill>
                          <w14:schemeClr w14:val="tx1"/>
                        </w14:solidFill>
                      </w14:textFill>
                    </w:rPr>
                    <w:t>cm/s。</w:t>
                  </w:r>
                </w:p>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lang w:val="en-US" w:eastAsia="zh-CN"/>
                      <w14:textFill>
                        <w14:solidFill>
                          <w14:schemeClr w14:val="tx1"/>
                        </w14:solidFill>
                      </w14:textFill>
                    </w:rPr>
                    <w:t>/</w:t>
                  </w:r>
                </w:p>
              </w:tc>
              <w:tc>
                <w:tcPr>
                  <w:tcW w:w="160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14:textFill>
                        <w14:solidFill>
                          <w14:schemeClr w14:val="tx1"/>
                        </w14:solidFill>
                      </w14:textFill>
                    </w:rPr>
                  </w:pPr>
                  <w:r>
                    <w:rPr>
                      <w:rFonts w:hint="eastAsia" w:cs="Times New Roman"/>
                      <w:color w:val="000000" w:themeColor="text1"/>
                      <w:sz w:val="21"/>
                      <w:lang w:val="en-US" w:eastAsia="zh-CN"/>
                      <w14:textFill>
                        <w14:solidFill>
                          <w14:schemeClr w14:val="tx1"/>
                        </w14:solidFill>
                      </w14:textFill>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2" w:hRule="atLeast"/>
                <w:jc w:val="center"/>
              </w:trPr>
              <w:tc>
                <w:tcPr>
                  <w:tcW w:w="47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cs="Times New Roman"/>
                      <w:color w:val="000000" w:themeColor="text1"/>
                      <w:sz w:val="21"/>
                      <w:lang w:val="en-US" w:eastAsia="zh-CN"/>
                      <w14:textFill>
                        <w14:solidFill>
                          <w14:schemeClr w14:val="tx1"/>
                        </w14:solidFill>
                      </w14:textFill>
                    </w:rPr>
                    <w:t>4</w:t>
                  </w:r>
                </w:p>
              </w:tc>
              <w:tc>
                <w:tcPr>
                  <w:tcW w:w="1308"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综合办公楼、厂区道路</w:t>
                  </w:r>
                </w:p>
              </w:tc>
              <w:tc>
                <w:tcPr>
                  <w:tcW w:w="705"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易</w:t>
                  </w:r>
                </w:p>
              </w:tc>
              <w:tc>
                <w:tcPr>
                  <w:tcW w:w="706"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简单防渗区</w:t>
                  </w:r>
                </w:p>
              </w:tc>
              <w:tc>
                <w:tcPr>
                  <w:tcW w:w="1600"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地面硬化</w:t>
                  </w:r>
                </w:p>
              </w:tc>
              <w:tc>
                <w:tcPr>
                  <w:tcW w:w="1600"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地面硬化</w:t>
                  </w:r>
                </w:p>
              </w:tc>
              <w:tc>
                <w:tcPr>
                  <w:tcW w:w="160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eastAsia" w:cs="Times New Roman"/>
                      <w:color w:val="000000" w:themeColor="text1"/>
                      <w:sz w:val="21"/>
                      <w:lang w:val="en-US" w:eastAsia="zh-CN"/>
                      <w14:textFill>
                        <w14:solidFill>
                          <w14:schemeClr w14:val="tx1"/>
                        </w14:solidFill>
                      </w14:textFill>
                    </w:rPr>
                    <w:t>符合</w:t>
                  </w:r>
                </w:p>
              </w:tc>
            </w:tr>
          </w:tbl>
          <w:p>
            <w:pPr>
              <w:pStyle w:val="96"/>
              <w:spacing w:before="39" w:line="360" w:lineRule="auto"/>
              <w:ind w:left="115"/>
              <w:jc w:val="both"/>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企业按照“源头控制、分区防治、跟踪监测、应急响应</w:t>
            </w:r>
            <w:r>
              <w:rPr>
                <w:color w:val="000000" w:themeColor="text1"/>
                <w:spacing w:val="-76"/>
                <w:sz w:val="24"/>
                <w:szCs w:val="24"/>
                <w14:textFill>
                  <w14:solidFill>
                    <w14:schemeClr w14:val="tx1"/>
                  </w14:solidFill>
                </w14:textFill>
              </w:rPr>
              <w:t xml:space="preserve"> </w:t>
            </w:r>
            <w:r>
              <w:rPr>
                <w:color w:val="000000" w:themeColor="text1"/>
                <w:spacing w:val="-6"/>
                <w:sz w:val="24"/>
                <w:szCs w:val="24"/>
                <w14:textFill>
                  <w14:solidFill>
                    <w14:schemeClr w14:val="tx1"/>
                  </w14:solidFill>
                </w14:textFill>
              </w:rPr>
              <w:t>”相结合的原则，</w:t>
            </w:r>
            <w:r>
              <w:rPr>
                <w:color w:val="000000" w:themeColor="text1"/>
                <w:sz w:val="24"/>
                <w:szCs w:val="24"/>
                <w14:textFill>
                  <w14:solidFill>
                    <w14:schemeClr w14:val="tx1"/>
                  </w14:solidFill>
                </w14:textFill>
              </w:rPr>
              <w:t xml:space="preserve"> 根据地下水污染的可能途径，从污染物的产生、入渗、扩散各个阶段进行控</w:t>
            </w:r>
            <w:r>
              <w:rPr>
                <w:color w:val="000000" w:themeColor="text1"/>
                <w:spacing w:val="15"/>
                <w:sz w:val="24"/>
                <w:szCs w:val="24"/>
                <w14:textFill>
                  <w14:solidFill>
                    <w14:schemeClr w14:val="tx1"/>
                  </w14:solidFill>
                </w14:textFill>
              </w:rPr>
              <w:t xml:space="preserve"> </w:t>
            </w:r>
            <w:r>
              <w:rPr>
                <w:color w:val="000000" w:themeColor="text1"/>
                <w:spacing w:val="-4"/>
                <w:sz w:val="24"/>
                <w:szCs w:val="24"/>
                <w14:textFill>
                  <w14:solidFill>
                    <w14:schemeClr w14:val="tx1"/>
                  </w14:solidFill>
                </w14:textFill>
              </w:rPr>
              <w:t>制，制定建设项目地下水、土壤污染防治措施，以防止污染</w:t>
            </w:r>
            <w:r>
              <w:rPr>
                <w:color w:val="000000" w:themeColor="text1"/>
                <w:spacing w:val="-5"/>
                <w:sz w:val="24"/>
                <w:szCs w:val="24"/>
                <w14:textFill>
                  <w14:solidFill>
                    <w14:schemeClr w14:val="tx1"/>
                  </w14:solidFill>
                </w14:textFill>
              </w:rPr>
              <w:t>物的跑、冒、滴、</w:t>
            </w:r>
            <w:r>
              <w:rPr>
                <w:color w:val="000000" w:themeColor="text1"/>
                <w:sz w:val="24"/>
                <w:szCs w:val="24"/>
                <w14:textFill>
                  <w14:solidFill>
                    <w14:schemeClr w14:val="tx1"/>
                  </w14:solidFill>
                </w14:textFill>
              </w:rPr>
              <w:t xml:space="preserve"> 漏环境风险事故发生，做到污染物“早发现、早处理</w:t>
            </w:r>
            <w:r>
              <w:rPr>
                <w:color w:val="000000" w:themeColor="text1"/>
                <w:spacing w:val="-88"/>
                <w:sz w:val="24"/>
                <w:szCs w:val="24"/>
                <w14:textFill>
                  <w14:solidFill>
                    <w14:schemeClr w14:val="tx1"/>
                  </w14:solidFill>
                </w14:textFill>
              </w:rPr>
              <w:t xml:space="preserve"> </w:t>
            </w:r>
            <w:r>
              <w:rPr>
                <w:color w:val="000000" w:themeColor="text1"/>
                <w:sz w:val="24"/>
                <w:szCs w:val="24"/>
                <w14:textFill>
                  <w14:solidFill>
                    <w14:schemeClr w14:val="tx1"/>
                  </w14:solidFill>
                </w14:textFill>
              </w:rPr>
              <w:t>”，以</w:t>
            </w:r>
            <w:r>
              <w:rPr>
                <w:color w:val="000000" w:themeColor="text1"/>
                <w:spacing w:val="-1"/>
                <w:sz w:val="24"/>
                <w:szCs w:val="24"/>
                <w14:textFill>
                  <w14:solidFill>
                    <w14:schemeClr w14:val="tx1"/>
                  </w14:solidFill>
                </w14:textFill>
              </w:rPr>
              <w:t>减少对土壤、地</w:t>
            </w:r>
            <w:r>
              <w:rPr>
                <w:color w:val="000000" w:themeColor="text1"/>
                <w:spacing w:val="-2"/>
                <w:sz w:val="24"/>
                <w:szCs w:val="24"/>
                <w14:textFill>
                  <w14:solidFill>
                    <w14:schemeClr w14:val="tx1"/>
                  </w14:solidFill>
                </w14:textFill>
              </w:rPr>
              <w:t>下水环境造成的污染。</w:t>
            </w:r>
          </w:p>
          <w:p>
            <w:pPr>
              <w:pStyle w:val="96"/>
              <w:spacing w:before="144" w:line="360" w:lineRule="auto"/>
              <w:ind w:left="119"/>
              <w:jc w:val="both"/>
              <w:rPr>
                <w:color w:val="000000" w:themeColor="text1"/>
                <w:sz w:val="24"/>
                <w:szCs w:val="24"/>
                <w14:textFill>
                  <w14:solidFill>
                    <w14:schemeClr w14:val="tx1"/>
                  </w14:solidFill>
                </w14:textFill>
              </w:rPr>
            </w:pPr>
            <w:r>
              <w:rPr>
                <w:color w:val="000000" w:themeColor="text1"/>
                <w:spacing w:val="-2"/>
                <w:position w:val="2"/>
                <w:sz w:val="24"/>
                <w:szCs w:val="24"/>
                <w14:textFill>
                  <w14:solidFill>
                    <w14:schemeClr w14:val="tx1"/>
                  </w14:solidFill>
                </w14:textFill>
              </w:rPr>
              <w:t>（</w:t>
            </w:r>
            <w:r>
              <w:rPr>
                <w:rFonts w:hint="eastAsia" w:ascii="Times New Roman" w:hAnsi="Times New Roman" w:eastAsia="宋体" w:cs="Times New Roman"/>
                <w:color w:val="000000" w:themeColor="text1"/>
                <w:spacing w:val="-2"/>
                <w:position w:val="2"/>
                <w:sz w:val="24"/>
                <w:szCs w:val="24"/>
                <w:lang w:val="en-US" w:eastAsia="zh-CN"/>
                <w14:textFill>
                  <w14:solidFill>
                    <w14:schemeClr w14:val="tx1"/>
                  </w14:solidFill>
                </w14:textFill>
              </w:rPr>
              <w:t>4</w:t>
            </w:r>
            <w:r>
              <w:rPr>
                <w:color w:val="000000" w:themeColor="text1"/>
                <w:spacing w:val="-2"/>
                <w:position w:val="2"/>
                <w:sz w:val="24"/>
                <w:szCs w:val="24"/>
                <w14:textFill>
                  <w14:solidFill>
                    <w14:schemeClr w14:val="tx1"/>
                  </w14:solidFill>
                </w14:textFill>
              </w:rPr>
              <w:t>）地下水、土壤监测计划</w:t>
            </w:r>
          </w:p>
          <w:p>
            <w:pPr>
              <w:pStyle w:val="96"/>
              <w:spacing w:before="108" w:line="360" w:lineRule="auto"/>
              <w:ind w:left="107" w:right="103" w:firstLine="480"/>
              <w:jc w:val="both"/>
              <w:rPr>
                <w:rFonts w:hint="default" w:eastAsia="宋体"/>
                <w:color w:val="000000" w:themeColor="text1"/>
                <w:lang w:val="en-US" w:eastAsia="zh-CN"/>
                <w14:textFill>
                  <w14:solidFill>
                    <w14:schemeClr w14:val="tx1"/>
                  </w14:solidFill>
                </w14:textFill>
              </w:rPr>
            </w:pPr>
            <w:r>
              <w:rPr>
                <w:color w:val="000000" w:themeColor="text1"/>
                <w:spacing w:val="2"/>
                <w:sz w:val="24"/>
                <w:szCs w:val="24"/>
                <w14:textFill>
                  <w14:solidFill>
                    <w14:schemeClr w14:val="tx1"/>
                  </w14:solidFill>
                </w14:textFill>
              </w:rPr>
              <w:t>根据</w:t>
            </w:r>
            <w:r>
              <w:rPr>
                <w:rFonts w:hint="eastAsia" w:ascii="Times New Roman" w:hAnsi="Times New Roman" w:eastAsia="宋体" w:cs="Times New Roman"/>
                <w:color w:val="000000" w:themeColor="text1"/>
                <w:kern w:val="0"/>
                <w:sz w:val="24"/>
                <w:szCs w:val="20"/>
                <w:lang w:eastAsia="zh-CN"/>
                <w14:textFill>
                  <w14:solidFill>
                    <w14:schemeClr w14:val="tx1"/>
                  </w14:solidFill>
                </w14:textFill>
              </w:rPr>
              <w:t>《工业企业土壤和地下水自行监测技术指南（试行）</w:t>
            </w:r>
            <w:r>
              <w:rPr>
                <w:rFonts w:hint="eastAsia" w:ascii="Times New Roman" w:hAnsi="Times New Roman" w:eastAsia="宋体" w:cs="Times New Roman"/>
                <w:color w:val="000000" w:themeColor="text1"/>
                <w:kern w:val="0"/>
                <w:sz w:val="24"/>
                <w:szCs w:val="20"/>
                <w:lang w:val="en-US" w:eastAsia="zh-CN"/>
                <w14:textFill>
                  <w14:solidFill>
                    <w14:schemeClr w14:val="tx1"/>
                  </w14:solidFill>
                </w14:textFill>
              </w:rPr>
              <w:t>》（HJ1209-2021）</w:t>
            </w:r>
            <w:r>
              <w:rPr>
                <w:color w:val="000000" w:themeColor="text1"/>
                <w:spacing w:val="14"/>
                <w:sz w:val="24"/>
                <w:szCs w:val="24"/>
                <w14:textFill>
                  <w14:solidFill>
                    <w14:schemeClr w14:val="tx1"/>
                  </w14:solidFill>
                </w14:textFill>
              </w:rPr>
              <w:t>，</w:t>
            </w:r>
            <w:r>
              <w:rPr>
                <w:rFonts w:hint="eastAsia"/>
                <w:color w:val="000000" w:themeColor="text1"/>
                <w:spacing w:val="14"/>
                <w:sz w:val="24"/>
                <w:szCs w:val="24"/>
                <w:lang w:val="en-US" w:eastAsia="zh-CN"/>
                <w14:textFill>
                  <w14:solidFill>
                    <w14:schemeClr w14:val="tx1"/>
                  </w14:solidFill>
                </w14:textFill>
              </w:rPr>
              <w:t>本项目利用原有厂区，根据原有地下水监测井布设情况，本次不新增地下水监测井，</w:t>
            </w:r>
            <w:r>
              <w:rPr>
                <w:rFonts w:hint="eastAsia"/>
                <w:color w:val="FF0000"/>
                <w:spacing w:val="14"/>
                <w:sz w:val="24"/>
                <w:szCs w:val="24"/>
                <w:lang w:val="en-US" w:eastAsia="zh-CN"/>
              </w:rPr>
              <w:t>利用原有2口监测井进行</w:t>
            </w:r>
            <w:r>
              <w:rPr>
                <w:rFonts w:hint="eastAsia"/>
                <w:color w:val="000000" w:themeColor="text1"/>
                <w:spacing w:val="14"/>
                <w:sz w:val="24"/>
                <w:szCs w:val="24"/>
                <w:lang w:val="en-US" w:eastAsia="zh-CN"/>
                <w14:textFill>
                  <w14:solidFill>
                    <w14:schemeClr w14:val="tx1"/>
                  </w14:solidFill>
                </w14:textFill>
              </w:rPr>
              <w:t>跟踪监测；项目隐蔽重点场所或设施为储罐区，根据现场勘查，</w:t>
            </w:r>
            <w:r>
              <w:rPr>
                <w:rFonts w:hint="eastAsia"/>
                <w:color w:val="FF0000"/>
                <w:spacing w:val="14"/>
                <w:sz w:val="24"/>
                <w:szCs w:val="24"/>
                <w:lang w:val="en-US" w:eastAsia="zh-CN"/>
              </w:rPr>
              <w:t>原有项目未布设土壤跟踪检测点</w:t>
            </w:r>
            <w:r>
              <w:rPr>
                <w:rFonts w:hint="eastAsia"/>
                <w:color w:val="000000" w:themeColor="text1"/>
                <w:spacing w:val="14"/>
                <w:sz w:val="24"/>
                <w:szCs w:val="24"/>
                <w:lang w:val="en-US" w:eastAsia="zh-CN"/>
                <w14:textFill>
                  <w14:solidFill>
                    <w14:schemeClr w14:val="tx1"/>
                  </w14:solidFill>
                </w14:textFill>
              </w:rPr>
              <w:t>，本次评价设</w:t>
            </w:r>
            <w:r>
              <w:rPr>
                <w:rFonts w:hint="eastAsia"/>
                <w:color w:val="FF0000"/>
                <w:spacing w:val="14"/>
                <w:sz w:val="24"/>
                <w:szCs w:val="24"/>
                <w:lang w:val="en-US" w:eastAsia="zh-CN"/>
              </w:rPr>
              <w:t>置四处</w:t>
            </w:r>
            <w:r>
              <w:rPr>
                <w:rFonts w:hint="eastAsia"/>
                <w:color w:val="000000" w:themeColor="text1"/>
                <w:spacing w:val="14"/>
                <w:sz w:val="24"/>
                <w:szCs w:val="24"/>
                <w:lang w:val="en-US" w:eastAsia="zh-CN"/>
                <w14:textFill>
                  <w14:solidFill>
                    <w14:schemeClr w14:val="tx1"/>
                  </w14:solidFill>
                </w14:textFill>
              </w:rPr>
              <w:t>土壤表层样点。</w:t>
            </w:r>
            <w:r>
              <w:rPr>
                <w:color w:val="000000" w:themeColor="text1"/>
                <w:sz w:val="24"/>
                <w:szCs w:val="24"/>
                <w14:textFill>
                  <w14:solidFill>
                    <w14:schemeClr w14:val="tx1"/>
                  </w14:solidFill>
                </w14:textFill>
              </w:rPr>
              <w:t>地下水、土壤跟</w:t>
            </w:r>
            <w:r>
              <w:rPr>
                <w:color w:val="000000" w:themeColor="text1"/>
                <w:spacing w:val="-2"/>
                <w:sz w:val="24"/>
                <w:szCs w:val="24"/>
                <w14:textFill>
                  <w14:solidFill>
                    <w14:schemeClr w14:val="tx1"/>
                  </w14:solidFill>
                </w14:textFill>
              </w:rPr>
              <w:t>踪监测计划见下表。</w:t>
            </w:r>
            <w:r>
              <w:rPr>
                <w:rFonts w:hint="eastAsia"/>
                <w:color w:val="000000" w:themeColor="text1"/>
                <w:spacing w:val="-2"/>
                <w:sz w:val="24"/>
                <w:szCs w:val="24"/>
                <w:lang w:val="en-US" w:eastAsia="zh-CN"/>
                <w14:textFill>
                  <w14:solidFill>
                    <w14:schemeClr w14:val="tx1"/>
                  </w14:solidFill>
                </w14:textFill>
              </w:rPr>
              <w:t>跟踪监测布点图见附图4。</w:t>
            </w:r>
          </w:p>
          <w:p>
            <w:pPr>
              <w:pStyle w:val="96"/>
              <w:spacing w:before="72" w:line="212" w:lineRule="auto"/>
              <w:ind w:left="0" w:leftChars="0" w:firstLine="0" w:firstLineChars="0"/>
              <w:jc w:val="center"/>
              <w:rPr>
                <w:color w:val="000000" w:themeColor="text1"/>
                <w:sz w:val="22"/>
                <w:szCs w:val="22"/>
                <w14:textFill>
                  <w14:solidFill>
                    <w14:schemeClr w14:val="tx1"/>
                  </w14:solidFill>
                </w14:textFill>
              </w:rPr>
            </w:pPr>
            <w:r>
              <w:rPr>
                <w:b/>
                <w:bCs/>
                <w:color w:val="000000" w:themeColor="text1"/>
                <w:spacing w:val="-2"/>
                <w:sz w:val="22"/>
                <w:szCs w:val="22"/>
                <w14:textFill>
                  <w14:solidFill>
                    <w14:schemeClr w14:val="tx1"/>
                  </w14:solidFill>
                </w14:textFill>
              </w:rPr>
              <w:t>表</w:t>
            </w:r>
            <w:r>
              <w:rPr>
                <w:color w:val="000000" w:themeColor="text1"/>
                <w:spacing w:val="-39"/>
                <w:sz w:val="22"/>
                <w:szCs w:val="22"/>
                <w14:textFill>
                  <w14:solidFill>
                    <w14:schemeClr w14:val="tx1"/>
                  </w14:solidFill>
                </w14:textFill>
              </w:rPr>
              <w:t xml:space="preserve"> </w:t>
            </w:r>
            <w:r>
              <w:rPr>
                <w:rFonts w:ascii="Times New Roman" w:hAnsi="Times New Roman" w:eastAsia="Times New Roman" w:cs="Times New Roman"/>
                <w:b/>
                <w:bCs/>
                <w:color w:val="000000" w:themeColor="text1"/>
                <w:spacing w:val="-2"/>
                <w:sz w:val="22"/>
                <w:szCs w:val="22"/>
                <w14:textFill>
                  <w14:solidFill>
                    <w14:schemeClr w14:val="tx1"/>
                  </w14:solidFill>
                </w14:textFill>
              </w:rPr>
              <w:t>4-1</w:t>
            </w:r>
            <w:r>
              <w:rPr>
                <w:rFonts w:hint="eastAsia" w:ascii="Times New Roman" w:hAnsi="Times New Roman" w:eastAsia="宋体" w:cs="Times New Roman"/>
                <w:b/>
                <w:bCs/>
                <w:color w:val="000000" w:themeColor="text1"/>
                <w:spacing w:val="-2"/>
                <w:sz w:val="22"/>
                <w:szCs w:val="22"/>
                <w:lang w:val="en-US" w:eastAsia="zh-CN"/>
                <w14:textFill>
                  <w14:solidFill>
                    <w14:schemeClr w14:val="tx1"/>
                  </w14:solidFill>
                </w14:textFill>
              </w:rPr>
              <w:t>7</w:t>
            </w:r>
            <w:r>
              <w:rPr>
                <w:rFonts w:ascii="Times New Roman" w:hAnsi="Times New Roman" w:eastAsia="Times New Roman" w:cs="Times New Roman"/>
                <w:b/>
                <w:bCs/>
                <w:color w:val="000000" w:themeColor="text1"/>
                <w:spacing w:val="-2"/>
                <w:sz w:val="22"/>
                <w:szCs w:val="22"/>
                <w14:textFill>
                  <w14:solidFill>
                    <w14:schemeClr w14:val="tx1"/>
                  </w14:solidFill>
                </w14:textFill>
              </w:rPr>
              <w:t xml:space="preserve"> </w:t>
            </w:r>
            <w:r>
              <w:rPr>
                <w:b/>
                <w:bCs/>
                <w:color w:val="000000" w:themeColor="text1"/>
                <w:spacing w:val="-2"/>
                <w:sz w:val="22"/>
                <w:szCs w:val="22"/>
                <w14:textFill>
                  <w14:solidFill>
                    <w14:schemeClr w14:val="tx1"/>
                  </w14:solidFill>
                </w14:textFill>
              </w:rPr>
              <w:t>地下水及土壤环境质量监测计划表</w:t>
            </w:r>
          </w:p>
          <w:tbl>
            <w:tblPr>
              <w:tblStyle w:val="99"/>
              <w:tblW w:w="794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9"/>
              <w:gridCol w:w="880"/>
              <w:gridCol w:w="1299"/>
              <w:gridCol w:w="1091"/>
              <w:gridCol w:w="1127"/>
              <w:gridCol w:w="288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jc w:val="center"/>
              </w:trPr>
              <w:tc>
                <w:tcPr>
                  <w:tcW w:w="659"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4"/>
                      <w:sz w:val="20"/>
                      <w:szCs w:val="20"/>
                      <w14:textFill>
                        <w14:solidFill>
                          <w14:schemeClr w14:val="tx1"/>
                        </w14:solidFill>
                      </w14:textFill>
                    </w:rPr>
                    <w:t>环境</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4"/>
                      <w:sz w:val="20"/>
                      <w:szCs w:val="20"/>
                      <w14:textFill>
                        <w14:solidFill>
                          <w14:schemeClr w14:val="tx1"/>
                        </w14:solidFill>
                      </w14:textFill>
                    </w:rPr>
                    <w:t>要素</w:t>
                  </w:r>
                </w:p>
              </w:tc>
              <w:tc>
                <w:tcPr>
                  <w:tcW w:w="880"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4"/>
                      <w:sz w:val="20"/>
                      <w:szCs w:val="20"/>
                      <w14:textFill>
                        <w14:solidFill>
                          <w14:schemeClr w14:val="tx1"/>
                        </w14:solidFill>
                      </w14:textFill>
                    </w:rPr>
                    <w:t>监测</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1"/>
                      <w:sz w:val="20"/>
                      <w:szCs w:val="20"/>
                      <w14:textFill>
                        <w14:solidFill>
                          <w14:schemeClr w14:val="tx1"/>
                        </w14:solidFill>
                      </w14:textFill>
                    </w:rPr>
                    <w:t>点位</w:t>
                  </w:r>
                </w:p>
              </w:tc>
              <w:tc>
                <w:tcPr>
                  <w:tcW w:w="1299"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eastAsia="宋体"/>
                      <w:color w:val="000000" w:themeColor="text1"/>
                      <w:sz w:val="20"/>
                      <w:szCs w:val="20"/>
                      <w:lang w:val="en-US" w:eastAsia="zh-CN"/>
                      <w14:textFill>
                        <w14:solidFill>
                          <w14:schemeClr w14:val="tx1"/>
                        </w14:solidFill>
                      </w14:textFill>
                    </w:rPr>
                  </w:pPr>
                  <w:r>
                    <w:rPr>
                      <w:rFonts w:hint="eastAsia"/>
                      <w:color w:val="000000" w:themeColor="text1"/>
                      <w:sz w:val="20"/>
                      <w:szCs w:val="20"/>
                      <w:lang w:val="en-US" w:eastAsia="zh-CN"/>
                      <w14:textFill>
                        <w14:solidFill>
                          <w14:schemeClr w14:val="tx1"/>
                        </w14:solidFill>
                      </w14:textFill>
                    </w:rPr>
                    <w:t>点位坐标</w:t>
                  </w:r>
                </w:p>
              </w:tc>
              <w:tc>
                <w:tcPr>
                  <w:tcW w:w="1091"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7"/>
                      <w:sz w:val="20"/>
                      <w:szCs w:val="20"/>
                      <w14:textFill>
                        <w14:solidFill>
                          <w14:schemeClr w14:val="tx1"/>
                        </w14:solidFill>
                      </w14:textFill>
                    </w:rPr>
                    <w:t>监测项目</w:t>
                  </w:r>
                </w:p>
              </w:tc>
              <w:tc>
                <w:tcPr>
                  <w:tcW w:w="1127"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7"/>
                      <w:sz w:val="20"/>
                      <w:szCs w:val="20"/>
                      <w14:textFill>
                        <w14:solidFill>
                          <w14:schemeClr w14:val="tx1"/>
                        </w14:solidFill>
                      </w14:textFill>
                    </w:rPr>
                    <w:t>监测频率</w:t>
                  </w:r>
                </w:p>
              </w:tc>
              <w:tc>
                <w:tcPr>
                  <w:tcW w:w="2884"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7"/>
                      <w:sz w:val="20"/>
                      <w:szCs w:val="20"/>
                      <w14:textFill>
                        <w14:solidFill>
                          <w14:schemeClr w14:val="tx1"/>
                        </w14:solidFill>
                      </w14:textFill>
                    </w:rPr>
                    <w:t>控制标准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0" w:hRule="atLeast"/>
                <w:jc w:val="center"/>
              </w:trPr>
              <w:tc>
                <w:tcPr>
                  <w:tcW w:w="659"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4"/>
                      <w:sz w:val="20"/>
                      <w:szCs w:val="20"/>
                      <w14:textFill>
                        <w14:solidFill>
                          <w14:schemeClr w14:val="tx1"/>
                        </w14:solidFill>
                      </w14:textFill>
                    </w:rPr>
                    <w:t>地下</w:t>
                  </w:r>
                  <w:r>
                    <w:rPr>
                      <w:color w:val="000000" w:themeColor="text1"/>
                      <w:sz w:val="20"/>
                      <w:szCs w:val="20"/>
                      <w14:textFill>
                        <w14:solidFill>
                          <w14:schemeClr w14:val="tx1"/>
                        </w14:solidFill>
                      </w14:textFill>
                    </w:rPr>
                    <w:t xml:space="preserve"> 水</w:t>
                  </w:r>
                </w:p>
              </w:tc>
              <w:tc>
                <w:tcPr>
                  <w:tcW w:w="880"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6"/>
                      <w:sz w:val="20"/>
                      <w:szCs w:val="20"/>
                      <w:lang w:val="en-US" w:eastAsia="zh-CN"/>
                      <w14:textFill>
                        <w14:solidFill>
                          <w14:schemeClr w14:val="tx1"/>
                        </w14:solidFill>
                      </w14:textFill>
                    </w:rPr>
                    <w:t>罐区</w:t>
                  </w:r>
                  <w:r>
                    <w:rPr>
                      <w:rFonts w:hint="default" w:ascii="Times New Roman" w:hAnsi="Times New Roman" w:cs="Times New Roman"/>
                      <w:color w:val="000000" w:themeColor="text1"/>
                      <w:spacing w:val="6"/>
                      <w:sz w:val="20"/>
                      <w:szCs w:val="20"/>
                      <w14:textFill>
                        <w14:solidFill>
                          <w14:schemeClr w14:val="tx1"/>
                        </w14:solidFill>
                      </w14:textFill>
                    </w:rPr>
                    <w:t>东</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5"/>
                      <w:sz w:val="20"/>
                      <w:szCs w:val="20"/>
                      <w14:textFill>
                        <w14:solidFill>
                          <w14:schemeClr w14:val="tx1"/>
                        </w14:solidFill>
                      </w14:textFill>
                    </w:rPr>
                    <w:t>北角</w:t>
                  </w:r>
                </w:p>
              </w:tc>
              <w:tc>
                <w:tcPr>
                  <w:tcW w:w="1299"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eastAsia="宋体" w:cs="Times New Roman"/>
                      <w:color w:val="000000" w:themeColor="text1"/>
                      <w:position w:val="1"/>
                      <w:sz w:val="20"/>
                      <w:szCs w:val="20"/>
                      <w:lang w:val="en-US" w:eastAsia="zh-CN"/>
                      <w14:textFill>
                        <w14:solidFill>
                          <w14:schemeClr w14:val="tx1"/>
                        </w14:solidFill>
                      </w14:textFill>
                    </w:rPr>
                    <w:t>E</w:t>
                  </w:r>
                  <w:r>
                    <w:rPr>
                      <w:rFonts w:hint="default" w:ascii="Times New Roman" w:hAnsi="Times New Roman" w:eastAsia="Times New Roman" w:cs="Times New Roman"/>
                      <w:color w:val="000000" w:themeColor="text1"/>
                      <w:position w:val="1"/>
                      <w:sz w:val="20"/>
                      <w:szCs w:val="20"/>
                      <w14:textFill>
                        <w14:solidFill>
                          <w14:schemeClr w14:val="tx1"/>
                        </w14:solidFill>
                      </w14:textFill>
                    </w:rPr>
                    <w:t>110.391951</w:t>
                  </w:r>
                  <w:r>
                    <w:rPr>
                      <w:rFonts w:hint="default" w:ascii="Times New Roman" w:hAnsi="Times New Roman" w:eastAsia="宋体" w:cs="Times New Roman"/>
                      <w:color w:val="000000" w:themeColor="text1"/>
                      <w:position w:val="1"/>
                      <w:sz w:val="20"/>
                      <w:szCs w:val="20"/>
                      <w:lang w:val="en-US" w:eastAsia="zh-CN"/>
                      <w14:textFill>
                        <w14:solidFill>
                          <w14:schemeClr w14:val="tx1"/>
                        </w14:solidFill>
                      </w14:textFill>
                    </w:rPr>
                    <w:t>°、W39.352198°</w:t>
                  </w:r>
                </w:p>
              </w:tc>
              <w:tc>
                <w:tcPr>
                  <w:tcW w:w="1091"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rFonts w:hint="eastAsia"/>
                      <w:color w:val="000000" w:themeColor="text1"/>
                      <w:spacing w:val="6"/>
                      <w:sz w:val="20"/>
                      <w:szCs w:val="20"/>
                      <w:lang w:val="en-US" w:eastAsia="zh-CN"/>
                      <w14:textFill>
                        <w14:solidFill>
                          <w14:schemeClr w14:val="tx1"/>
                        </w14:solidFill>
                      </w14:textFill>
                    </w:rPr>
                    <w:t>pH、COD、氨氮、硝酸盐、亚硝酸盐、挥发性酚类、氰化物、砷、汞、六价铬、总硬度、铅、氟化物、镉、铁、锰、镍、溶解性总固体、耗氧量、硫酸盐、氯化物、总大肠菌群、细菌总数、</w:t>
                  </w:r>
                  <w:r>
                    <w:rPr>
                      <w:color w:val="000000" w:themeColor="text1"/>
                      <w:spacing w:val="6"/>
                      <w:sz w:val="20"/>
                      <w:szCs w:val="20"/>
                      <w14:textFill>
                        <w14:solidFill>
                          <w14:schemeClr w14:val="tx1"/>
                        </w14:solidFill>
                      </w14:textFill>
                    </w:rPr>
                    <w:t>石油类</w:t>
                  </w:r>
                </w:p>
              </w:tc>
              <w:tc>
                <w:tcPr>
                  <w:tcW w:w="1127"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rFonts w:hint="eastAsia" w:ascii="Times New Roman" w:hAnsi="Times New Roman" w:eastAsia="宋体" w:cs="Times New Roman"/>
                      <w:color w:val="FF0000"/>
                      <w:spacing w:val="-1"/>
                      <w:position w:val="1"/>
                      <w:sz w:val="20"/>
                      <w:szCs w:val="20"/>
                      <w:lang w:val="en-US" w:eastAsia="zh-CN"/>
                    </w:rPr>
                    <w:t>结合场地内地下水治理管控工程，初期为1次/月，待地下水质量稳定后为</w:t>
                  </w:r>
                  <w:r>
                    <w:rPr>
                      <w:rFonts w:ascii="Times New Roman" w:hAnsi="Times New Roman" w:eastAsia="Times New Roman" w:cs="Times New Roman"/>
                      <w:color w:val="FF0000"/>
                      <w:spacing w:val="-1"/>
                      <w:position w:val="1"/>
                      <w:sz w:val="20"/>
                      <w:szCs w:val="20"/>
                    </w:rPr>
                    <w:t>1</w:t>
                  </w:r>
                  <w:r>
                    <w:rPr>
                      <w:color w:val="FF0000"/>
                      <w:spacing w:val="-1"/>
                      <w:position w:val="1"/>
                      <w:sz w:val="20"/>
                      <w:szCs w:val="20"/>
                    </w:rPr>
                    <w:t>次</w:t>
                  </w:r>
                  <w:r>
                    <w:rPr>
                      <w:rFonts w:ascii="Times New Roman" w:hAnsi="Times New Roman" w:eastAsia="Times New Roman" w:cs="Times New Roman"/>
                      <w:color w:val="FF0000"/>
                      <w:spacing w:val="-1"/>
                      <w:position w:val="1"/>
                      <w:sz w:val="20"/>
                      <w:szCs w:val="20"/>
                    </w:rPr>
                    <w:t>/</w:t>
                  </w:r>
                  <w:r>
                    <w:rPr>
                      <w:color w:val="FF0000"/>
                      <w:spacing w:val="-1"/>
                      <w:position w:val="1"/>
                      <w:sz w:val="20"/>
                      <w:szCs w:val="20"/>
                    </w:rPr>
                    <w:t>半年</w:t>
                  </w:r>
                </w:p>
              </w:tc>
              <w:tc>
                <w:tcPr>
                  <w:tcW w:w="2884"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rFonts w:hint="eastAsia"/>
                      <w:color w:val="000000" w:themeColor="text1"/>
                      <w:spacing w:val="4"/>
                      <w:sz w:val="20"/>
                      <w:szCs w:val="20"/>
                      <w:lang w:val="en-US" w:eastAsia="zh-CN"/>
                      <w14:textFill>
                        <w14:solidFill>
                          <w14:schemeClr w14:val="tx1"/>
                        </w14:solidFill>
                      </w14:textFill>
                    </w:rPr>
                    <w:t>COD、</w:t>
                  </w:r>
                  <w:r>
                    <w:rPr>
                      <w:color w:val="000000" w:themeColor="text1"/>
                      <w:spacing w:val="4"/>
                      <w:sz w:val="20"/>
                      <w:szCs w:val="20"/>
                      <w14:textFill>
                        <w14:solidFill>
                          <w14:schemeClr w14:val="tx1"/>
                        </w14:solidFill>
                      </w14:textFill>
                    </w:rPr>
                    <w:t>石油类浓度参考《地表水环境</w:t>
                  </w:r>
                  <w:r>
                    <w:rPr>
                      <w:color w:val="000000" w:themeColor="text1"/>
                      <w:spacing w:val="2"/>
                      <w:position w:val="1"/>
                      <w:sz w:val="20"/>
                      <w:szCs w:val="20"/>
                      <w14:textFill>
                        <w14:solidFill>
                          <w14:schemeClr w14:val="tx1"/>
                        </w14:solidFill>
                      </w14:textFill>
                    </w:rPr>
                    <w:t>质量标准》（</w:t>
                  </w:r>
                  <w:r>
                    <w:rPr>
                      <w:rFonts w:ascii="Times New Roman" w:hAnsi="Times New Roman" w:eastAsia="Times New Roman" w:cs="Times New Roman"/>
                      <w:color w:val="000000" w:themeColor="text1"/>
                      <w:position w:val="1"/>
                      <w:sz w:val="20"/>
                      <w:szCs w:val="20"/>
                      <w14:textFill>
                        <w14:solidFill>
                          <w14:schemeClr w14:val="tx1"/>
                        </w14:solidFill>
                      </w14:textFill>
                    </w:rPr>
                    <w:t>GB</w:t>
                  </w:r>
                  <w:r>
                    <w:rPr>
                      <w:rFonts w:ascii="Times New Roman" w:hAnsi="Times New Roman" w:eastAsia="Times New Roman" w:cs="Times New Roman"/>
                      <w:color w:val="000000" w:themeColor="text1"/>
                      <w:spacing w:val="2"/>
                      <w:position w:val="1"/>
                      <w:sz w:val="20"/>
                      <w:szCs w:val="20"/>
                      <w14:textFill>
                        <w14:solidFill>
                          <w14:schemeClr w14:val="tx1"/>
                        </w14:solidFill>
                      </w14:textFill>
                    </w:rPr>
                    <w:t>3838-2002</w:t>
                  </w:r>
                  <w:r>
                    <w:rPr>
                      <w:color w:val="000000" w:themeColor="text1"/>
                      <w:spacing w:val="-32"/>
                      <w:position w:val="1"/>
                      <w:sz w:val="20"/>
                      <w:szCs w:val="20"/>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4"/>
                      <w:sz w:val="20"/>
                      <w:szCs w:val="20"/>
                      <w14:textFill>
                        <w14:solidFill>
                          <w14:schemeClr w14:val="tx1"/>
                        </w14:solidFill>
                      </w14:textFill>
                    </w:rPr>
                    <w:t>其他污染物执行《地下水质量</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position w:val="1"/>
                      <w:sz w:val="20"/>
                      <w:szCs w:val="20"/>
                      <w14:textFill>
                        <w14:solidFill>
                          <w14:schemeClr w14:val="tx1"/>
                        </w14:solidFill>
                      </w14:textFill>
                    </w:rPr>
                    <w:t>标准》（</w:t>
                  </w:r>
                  <w:r>
                    <w:rPr>
                      <w:rFonts w:ascii="Times New Roman" w:hAnsi="Times New Roman" w:eastAsia="Times New Roman" w:cs="Times New Roman"/>
                      <w:color w:val="000000" w:themeColor="text1"/>
                      <w:position w:val="1"/>
                      <w:sz w:val="20"/>
                      <w:szCs w:val="20"/>
                      <w14:textFill>
                        <w14:solidFill>
                          <w14:schemeClr w14:val="tx1"/>
                        </w14:solidFill>
                      </w14:textFill>
                    </w:rPr>
                    <w:t>GB/T</w:t>
                  </w:r>
                  <w:r>
                    <w:rPr>
                      <w:rFonts w:ascii="Times New Roman" w:hAnsi="Times New Roman" w:eastAsia="Times New Roman" w:cs="Times New Roman"/>
                      <w:color w:val="000000" w:themeColor="text1"/>
                      <w:spacing w:val="-18"/>
                      <w:position w:val="1"/>
                      <w:sz w:val="20"/>
                      <w:szCs w:val="20"/>
                      <w14:textFill>
                        <w14:solidFill>
                          <w14:schemeClr w14:val="tx1"/>
                        </w14:solidFill>
                      </w14:textFill>
                    </w:rPr>
                    <w:t xml:space="preserve"> </w:t>
                  </w:r>
                  <w:r>
                    <w:rPr>
                      <w:rFonts w:ascii="Times New Roman" w:hAnsi="Times New Roman" w:eastAsia="Times New Roman" w:cs="Times New Roman"/>
                      <w:color w:val="000000" w:themeColor="text1"/>
                      <w:position w:val="1"/>
                      <w:sz w:val="20"/>
                      <w:szCs w:val="20"/>
                      <w14:textFill>
                        <w14:solidFill>
                          <w14:schemeClr w14:val="tx1"/>
                        </w14:solidFill>
                      </w14:textFill>
                    </w:rPr>
                    <w:t>14848-2017</w:t>
                  </w:r>
                  <w:r>
                    <w:rPr>
                      <w:color w:val="000000" w:themeColor="text1"/>
                      <w:position w:val="1"/>
                      <w:sz w:val="20"/>
                      <w:szCs w:val="20"/>
                      <w14:textFill>
                        <w14:solidFill>
                          <w14:schemeClr w14:val="tx1"/>
                        </w14:solidFill>
                      </w14:textFill>
                    </w:rPr>
                    <w:t>）Ⅲ</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6"/>
                      <w:sz w:val="20"/>
                      <w:szCs w:val="20"/>
                      <w14:textFill>
                        <w14:solidFill>
                          <w14:schemeClr w14:val="tx1"/>
                        </w14:solidFill>
                      </w14:textFill>
                    </w:rPr>
                    <w:t>类标准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0" w:hRule="atLeast"/>
                <w:jc w:val="center"/>
              </w:trPr>
              <w:tc>
                <w:tcPr>
                  <w:tcW w:w="659"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14:textFill>
                        <w14:solidFill>
                          <w14:schemeClr w14:val="tx1"/>
                        </w14:solidFill>
                      </w14:textFill>
                    </w:rPr>
                  </w:pPr>
                </w:p>
              </w:tc>
              <w:tc>
                <w:tcPr>
                  <w:tcW w:w="880"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5"/>
                      <w:sz w:val="20"/>
                      <w:szCs w:val="20"/>
                      <w:lang w:val="en-US" w:eastAsia="zh-CN"/>
                      <w14:textFill>
                        <w14:solidFill>
                          <w14:schemeClr w14:val="tx1"/>
                        </w14:solidFill>
                      </w14:textFill>
                    </w:rPr>
                    <w:t>罐区</w:t>
                  </w:r>
                  <w:r>
                    <w:rPr>
                      <w:rFonts w:hint="default" w:ascii="Times New Roman" w:hAnsi="Times New Roman" w:cs="Times New Roman"/>
                      <w:color w:val="000000" w:themeColor="text1"/>
                      <w:spacing w:val="-5"/>
                      <w:sz w:val="20"/>
                      <w:szCs w:val="20"/>
                      <w14:textFill>
                        <w14:solidFill>
                          <w14:schemeClr w14:val="tx1"/>
                        </w14:solidFill>
                      </w14:textFill>
                    </w:rPr>
                    <w:t>西</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pacing w:val="3"/>
                      <w:sz w:val="20"/>
                      <w:szCs w:val="20"/>
                      <w14:textFill>
                        <w14:solidFill>
                          <w14:schemeClr w14:val="tx1"/>
                        </w14:solidFill>
                      </w14:textFill>
                    </w:rPr>
                  </w:pPr>
                  <w:r>
                    <w:rPr>
                      <w:rFonts w:hint="default" w:ascii="Times New Roman" w:hAnsi="Times New Roman" w:cs="Times New Roman"/>
                      <w:color w:val="000000" w:themeColor="text1"/>
                      <w:spacing w:val="3"/>
                      <w:sz w:val="20"/>
                      <w:szCs w:val="20"/>
                      <w14:textFill>
                        <w14:solidFill>
                          <w14:schemeClr w14:val="tx1"/>
                        </w14:solidFill>
                      </w14:textFill>
                    </w:rPr>
                    <w:t>南角</w:t>
                  </w:r>
                </w:p>
              </w:tc>
              <w:tc>
                <w:tcPr>
                  <w:tcW w:w="1299"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宋体" w:cs="Times New Roman"/>
                      <w:color w:val="000000" w:themeColor="text1"/>
                      <w:spacing w:val="3"/>
                      <w:sz w:val="20"/>
                      <w:szCs w:val="20"/>
                      <w:lang w:val="en-US" w:eastAsia="zh-CN"/>
                      <w14:textFill>
                        <w14:solidFill>
                          <w14:schemeClr w14:val="tx1"/>
                        </w14:solidFill>
                      </w14:textFill>
                    </w:rPr>
                  </w:pPr>
                  <w:r>
                    <w:rPr>
                      <w:rFonts w:hint="default" w:ascii="Times New Roman" w:hAnsi="Times New Roman" w:cs="Times New Roman"/>
                      <w:color w:val="000000" w:themeColor="text1"/>
                      <w:spacing w:val="3"/>
                      <w:sz w:val="20"/>
                      <w:szCs w:val="20"/>
                      <w:lang w:val="en-US" w:eastAsia="zh-CN"/>
                      <w14:textFill>
                        <w14:solidFill>
                          <w14:schemeClr w14:val="tx1"/>
                        </w14:solidFill>
                      </w14:textFill>
                    </w:rPr>
                    <w:t>E110.389808°、W39.350554°</w:t>
                  </w:r>
                </w:p>
              </w:tc>
              <w:tc>
                <w:tcPr>
                  <w:tcW w:w="1091"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3"/>
                      <w:sz w:val="20"/>
                      <w:szCs w:val="20"/>
                      <w14:textFill>
                        <w14:solidFill>
                          <w14:schemeClr w14:val="tx1"/>
                        </w14:solidFill>
                      </w14:textFill>
                    </w:rPr>
                  </w:pPr>
                </w:p>
              </w:tc>
              <w:tc>
                <w:tcPr>
                  <w:tcW w:w="1127"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3"/>
                      <w:sz w:val="20"/>
                      <w:szCs w:val="20"/>
                      <w14:textFill>
                        <w14:solidFill>
                          <w14:schemeClr w14:val="tx1"/>
                        </w14:solidFill>
                      </w14:textFill>
                    </w:rPr>
                  </w:pPr>
                </w:p>
              </w:tc>
              <w:tc>
                <w:tcPr>
                  <w:tcW w:w="2884"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3"/>
                      <w:sz w:val="20"/>
                      <w:szCs w:val="20"/>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3" w:hRule="atLeast"/>
                <w:jc w:val="center"/>
              </w:trPr>
              <w:tc>
                <w:tcPr>
                  <w:tcW w:w="659"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4"/>
                      <w:sz w:val="20"/>
                      <w:szCs w:val="20"/>
                      <w14:textFill>
                        <w14:solidFill>
                          <w14:schemeClr w14:val="tx1"/>
                        </w14:solidFill>
                      </w14:textFill>
                    </w:rPr>
                    <w:t>土壤</w:t>
                  </w:r>
                  <w:r>
                    <w:commentReference w:id="95"/>
                  </w:r>
                </w:p>
              </w:tc>
              <w:tc>
                <w:tcPr>
                  <w:tcW w:w="880"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pacing w:val="6"/>
                      <w:sz w:val="20"/>
                      <w:szCs w:val="20"/>
                      <w:lang w:val="en-US" w:eastAsia="zh-CN"/>
                      <w14:textFill>
                        <w14:solidFill>
                          <w14:schemeClr w14:val="tx1"/>
                        </w14:solidFill>
                      </w14:textFill>
                    </w:rPr>
                    <w:t>罐区一</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pacing w:val="-2"/>
                      <w:sz w:val="20"/>
                      <w:szCs w:val="20"/>
                      <w14:textFill>
                        <w14:solidFill>
                          <w14:schemeClr w14:val="tx1"/>
                        </w14:solidFill>
                      </w14:textFill>
                    </w:rPr>
                    <w:t>裸露</w:t>
                  </w:r>
                  <w:r>
                    <w:rPr>
                      <w:rFonts w:hint="default" w:ascii="Times New Roman" w:hAnsi="Times New Roman" w:cs="Times New Roman"/>
                      <w:color w:val="000000" w:themeColor="text1"/>
                      <w:spacing w:val="4"/>
                      <w:sz w:val="20"/>
                      <w:szCs w:val="20"/>
                      <w14:textFill>
                        <w14:solidFill>
                          <w14:schemeClr w14:val="tx1"/>
                        </w14:solidFill>
                      </w14:textFill>
                    </w:rPr>
                    <w:t>地面</w:t>
                  </w:r>
                </w:p>
              </w:tc>
              <w:tc>
                <w:tcPr>
                  <w:tcW w:w="1299"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leftChars="0" w:right="0" w:rightChars="0" w:firstLine="0" w:firstLineChars="0"/>
                    <w:jc w:val="center"/>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eastAsia="宋体" w:cs="Times New Roman"/>
                      <w:color w:val="000000" w:themeColor="text1"/>
                      <w:position w:val="1"/>
                      <w:sz w:val="20"/>
                      <w:szCs w:val="20"/>
                      <w:lang w:val="en-US" w:eastAsia="zh-CN"/>
                      <w14:textFill>
                        <w14:solidFill>
                          <w14:schemeClr w14:val="tx1"/>
                        </w14:solidFill>
                      </w14:textFill>
                    </w:rPr>
                    <w:t>E</w:t>
                  </w:r>
                  <w:r>
                    <w:rPr>
                      <w:rFonts w:hint="default" w:ascii="Times New Roman" w:hAnsi="Times New Roman" w:eastAsia="Times New Roman" w:cs="Times New Roman"/>
                      <w:color w:val="000000" w:themeColor="text1"/>
                      <w:position w:val="1"/>
                      <w:sz w:val="20"/>
                      <w:szCs w:val="20"/>
                      <w14:textFill>
                        <w14:solidFill>
                          <w14:schemeClr w14:val="tx1"/>
                        </w14:solidFill>
                      </w14:textFill>
                    </w:rPr>
                    <w:t>110.390963</w:t>
                  </w:r>
                  <w:r>
                    <w:rPr>
                      <w:rFonts w:hint="default" w:ascii="Times New Roman" w:hAnsi="Times New Roman" w:eastAsia="宋体" w:cs="Times New Roman"/>
                      <w:color w:val="000000" w:themeColor="text1"/>
                      <w:position w:val="1"/>
                      <w:sz w:val="20"/>
                      <w:szCs w:val="20"/>
                      <w:lang w:val="en-US" w:eastAsia="zh-CN"/>
                      <w14:textFill>
                        <w14:solidFill>
                          <w14:schemeClr w14:val="tx1"/>
                        </w14:solidFill>
                      </w14:textFill>
                    </w:rPr>
                    <w:t>°、W39.351532°</w:t>
                  </w:r>
                </w:p>
              </w:tc>
              <w:tc>
                <w:tcPr>
                  <w:tcW w:w="1091"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rFonts w:hint="eastAsia"/>
                      <w:color w:val="000000" w:themeColor="text1"/>
                      <w:spacing w:val="6"/>
                      <w:sz w:val="20"/>
                      <w:szCs w:val="20"/>
                      <w:lang w:val="en-US" w:eastAsia="zh-CN"/>
                      <w14:textFill>
                        <w14:solidFill>
                          <w14:schemeClr w14:val="tx1"/>
                        </w14:solidFill>
                      </w14:textFill>
                    </w:rPr>
                    <w:t>建设用地45项+pH、</w:t>
                  </w:r>
                  <w:r>
                    <w:rPr>
                      <w:color w:val="000000" w:themeColor="text1"/>
                      <w:spacing w:val="6"/>
                      <w:sz w:val="20"/>
                      <w:szCs w:val="20"/>
                      <w14:textFill>
                        <w14:solidFill>
                          <w14:schemeClr w14:val="tx1"/>
                        </w14:solidFill>
                      </w14:textFill>
                    </w:rPr>
                    <w:t>石油烃</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2"/>
                      <w:position w:val="1"/>
                      <w:sz w:val="20"/>
                      <w:szCs w:val="20"/>
                      <w14:textFill>
                        <w14:solidFill>
                          <w14:schemeClr w14:val="tx1"/>
                        </w14:solidFill>
                      </w14:textFill>
                    </w:rPr>
                    <w:t>（</w:t>
                  </w:r>
                  <w:r>
                    <w:rPr>
                      <w:rFonts w:ascii="Times New Roman" w:hAnsi="Times New Roman" w:eastAsia="Times New Roman" w:cs="Times New Roman"/>
                      <w:color w:val="000000" w:themeColor="text1"/>
                      <w:spacing w:val="2"/>
                      <w:position w:val="1"/>
                      <w:sz w:val="20"/>
                      <w:szCs w:val="20"/>
                      <w14:textFill>
                        <w14:solidFill>
                          <w14:schemeClr w14:val="tx1"/>
                        </w14:solidFill>
                      </w14:textFill>
                    </w:rPr>
                    <w:t>C</w:t>
                  </w:r>
                  <w:r>
                    <w:rPr>
                      <w:rFonts w:ascii="Times New Roman" w:hAnsi="Times New Roman" w:eastAsia="Times New Roman" w:cs="Times New Roman"/>
                      <w:color w:val="000000" w:themeColor="text1"/>
                      <w:spacing w:val="2"/>
                      <w:position w:val="1"/>
                      <w:sz w:val="13"/>
                      <w:szCs w:val="13"/>
                      <w14:textFill>
                        <w14:solidFill>
                          <w14:schemeClr w14:val="tx1"/>
                        </w14:solidFill>
                      </w14:textFill>
                    </w:rPr>
                    <w:t>10</w:t>
                  </w:r>
                  <w:r>
                    <w:rPr>
                      <w:rFonts w:ascii="Times New Roman" w:hAnsi="Times New Roman" w:eastAsia="Times New Roman" w:cs="Times New Roman"/>
                      <w:color w:val="000000" w:themeColor="text1"/>
                      <w:spacing w:val="2"/>
                      <w:position w:val="1"/>
                      <w:sz w:val="20"/>
                      <w:szCs w:val="20"/>
                      <w14:textFill>
                        <w14:solidFill>
                          <w14:schemeClr w14:val="tx1"/>
                        </w14:solidFill>
                      </w14:textFill>
                    </w:rPr>
                    <w:t>~</w:t>
                  </w:r>
                  <w:r>
                    <w:rPr>
                      <w:rFonts w:ascii="Times New Roman" w:hAnsi="Times New Roman" w:eastAsia="Times New Roman" w:cs="Times New Roman"/>
                      <w:color w:val="000000" w:themeColor="text1"/>
                      <w:spacing w:val="2"/>
                      <w:position w:val="1"/>
                      <w:sz w:val="13"/>
                      <w:szCs w:val="13"/>
                      <w14:textFill>
                        <w14:solidFill>
                          <w14:schemeClr w14:val="tx1"/>
                        </w14:solidFill>
                      </w14:textFill>
                    </w:rPr>
                    <w:t>40</w:t>
                  </w:r>
                  <w:r>
                    <w:rPr>
                      <w:color w:val="000000" w:themeColor="text1"/>
                      <w:spacing w:val="2"/>
                      <w:position w:val="1"/>
                      <w:sz w:val="20"/>
                      <w:szCs w:val="20"/>
                      <w14:textFill>
                        <w14:solidFill>
                          <w14:schemeClr w14:val="tx1"/>
                        </w14:solidFill>
                      </w14:textFill>
                    </w:rPr>
                    <w:t>）</w:t>
                  </w:r>
                </w:p>
              </w:tc>
              <w:tc>
                <w:tcPr>
                  <w:tcW w:w="1127"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pacing w:val="-4"/>
                      <w:position w:val="1"/>
                      <w:sz w:val="20"/>
                      <w:szCs w:val="20"/>
                      <w14:textFill>
                        <w14:solidFill>
                          <w14:schemeClr w14:val="tx1"/>
                        </w14:solidFill>
                      </w14:textFill>
                    </w:rPr>
                    <w:t>1</w:t>
                  </w:r>
                  <w:r>
                    <w:rPr>
                      <w:color w:val="000000" w:themeColor="text1"/>
                      <w:spacing w:val="-4"/>
                      <w:position w:val="1"/>
                      <w:sz w:val="20"/>
                      <w:szCs w:val="20"/>
                      <w14:textFill>
                        <w14:solidFill>
                          <w14:schemeClr w14:val="tx1"/>
                        </w14:solidFill>
                      </w14:textFill>
                    </w:rPr>
                    <w:t>次</w:t>
                  </w:r>
                  <w:r>
                    <w:rPr>
                      <w:rFonts w:ascii="Times New Roman" w:hAnsi="Times New Roman" w:eastAsia="Times New Roman" w:cs="Times New Roman"/>
                      <w:color w:val="000000" w:themeColor="text1"/>
                      <w:spacing w:val="-4"/>
                      <w:position w:val="1"/>
                      <w:sz w:val="20"/>
                      <w:szCs w:val="20"/>
                      <w14:textFill>
                        <w14:solidFill>
                          <w14:schemeClr w14:val="tx1"/>
                        </w14:solidFill>
                      </w14:textFill>
                    </w:rPr>
                    <w:t>/</w:t>
                  </w:r>
                  <w:r>
                    <w:rPr>
                      <w:color w:val="000000" w:themeColor="text1"/>
                      <w:spacing w:val="-4"/>
                      <w:position w:val="1"/>
                      <w:sz w:val="20"/>
                      <w:szCs w:val="20"/>
                      <w14:textFill>
                        <w14:solidFill>
                          <w14:schemeClr w14:val="tx1"/>
                        </w14:solidFill>
                      </w14:textFill>
                    </w:rPr>
                    <w:t>年</w:t>
                  </w:r>
                </w:p>
              </w:tc>
              <w:tc>
                <w:tcPr>
                  <w:tcW w:w="2884"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8"/>
                      <w:sz w:val="20"/>
                      <w:szCs w:val="20"/>
                      <w14:textFill>
                        <w14:solidFill>
                          <w14:schemeClr w14:val="tx1"/>
                        </w14:solidFill>
                      </w14:textFill>
                    </w:rPr>
                    <w:t>《土壤环境质量 建设用地土</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3"/>
                      <w:sz w:val="20"/>
                      <w:szCs w:val="20"/>
                      <w14:textFill>
                        <w14:solidFill>
                          <w14:schemeClr w14:val="tx1"/>
                        </w14:solidFill>
                      </w14:textFill>
                    </w:rPr>
                    <w:t>壤污染风险管控标准（试行）》</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3"/>
                      <w:position w:val="1"/>
                      <w:sz w:val="20"/>
                      <w:szCs w:val="20"/>
                      <w14:textFill>
                        <w14:solidFill>
                          <w14:schemeClr w14:val="tx1"/>
                        </w14:solidFill>
                      </w14:textFill>
                    </w:rPr>
                    <w:t>（</w:t>
                  </w:r>
                  <w:r>
                    <w:rPr>
                      <w:rFonts w:ascii="Times New Roman" w:hAnsi="Times New Roman" w:eastAsia="Times New Roman" w:cs="Times New Roman"/>
                      <w:color w:val="000000" w:themeColor="text1"/>
                      <w:position w:val="1"/>
                      <w:sz w:val="20"/>
                      <w:szCs w:val="20"/>
                      <w14:textFill>
                        <w14:solidFill>
                          <w14:schemeClr w14:val="tx1"/>
                        </w14:solidFill>
                      </w14:textFill>
                    </w:rPr>
                    <w:t>GB</w:t>
                  </w:r>
                  <w:r>
                    <w:rPr>
                      <w:rFonts w:ascii="Times New Roman" w:hAnsi="Times New Roman" w:eastAsia="Times New Roman" w:cs="Times New Roman"/>
                      <w:color w:val="000000" w:themeColor="text1"/>
                      <w:spacing w:val="3"/>
                      <w:position w:val="1"/>
                      <w:sz w:val="20"/>
                      <w:szCs w:val="20"/>
                      <w14:textFill>
                        <w14:solidFill>
                          <w14:schemeClr w14:val="tx1"/>
                        </w14:solidFill>
                      </w14:textFill>
                    </w:rPr>
                    <w:t>36600-2018</w:t>
                  </w:r>
                  <w:r>
                    <w:rPr>
                      <w:color w:val="000000" w:themeColor="text1"/>
                      <w:spacing w:val="3"/>
                      <w:position w:val="1"/>
                      <w:sz w:val="20"/>
                      <w:szCs w:val="20"/>
                      <w14:textFill>
                        <w14:solidFill>
                          <w14:schemeClr w14:val="tx1"/>
                        </w14:solidFill>
                      </w14:textFill>
                    </w:rPr>
                    <w:t>）中表</w:t>
                  </w:r>
                  <w:r>
                    <w:rPr>
                      <w:rFonts w:ascii="Times New Roman" w:hAnsi="Times New Roman" w:eastAsia="Times New Roman" w:cs="Times New Roman"/>
                      <w:color w:val="000000" w:themeColor="text1"/>
                      <w:spacing w:val="3"/>
                      <w:position w:val="1"/>
                      <w:sz w:val="20"/>
                      <w:szCs w:val="20"/>
                      <w14:textFill>
                        <w14:solidFill>
                          <w14:schemeClr w14:val="tx1"/>
                        </w14:solidFill>
                      </w14:textFill>
                    </w:rPr>
                    <w:t>1</w:t>
                  </w:r>
                  <w:r>
                    <w:rPr>
                      <w:color w:val="000000" w:themeColor="text1"/>
                      <w:spacing w:val="3"/>
                      <w:position w:val="1"/>
                      <w:sz w:val="20"/>
                      <w:szCs w:val="20"/>
                      <w14:textFill>
                        <w14:solidFill>
                          <w14:schemeClr w14:val="tx1"/>
                        </w14:solidFill>
                      </w14:textFill>
                    </w:rPr>
                    <w:t>中</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5"/>
                      <w:sz w:val="20"/>
                      <w:szCs w:val="20"/>
                      <w14:textFill>
                        <w14:solidFill>
                          <w14:schemeClr w14:val="tx1"/>
                        </w14:solidFill>
                      </w14:textFill>
                    </w:rPr>
                    <w:t>的筛选值要求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3" w:hRule="atLeast"/>
                <w:jc w:val="center"/>
              </w:trPr>
              <w:tc>
                <w:tcPr>
                  <w:tcW w:w="659"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4"/>
                      <w:sz w:val="20"/>
                      <w:szCs w:val="20"/>
                      <w14:textFill>
                        <w14:solidFill>
                          <w14:schemeClr w14:val="tx1"/>
                        </w14:solidFill>
                      </w14:textFill>
                    </w:rPr>
                  </w:pPr>
                </w:p>
              </w:tc>
              <w:tc>
                <w:tcPr>
                  <w:tcW w:w="880"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宋体" w:cs="Times New Roman"/>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pacing w:val="6"/>
                      <w:sz w:val="20"/>
                      <w:szCs w:val="20"/>
                      <w:lang w:val="en-US" w:eastAsia="zh-CN"/>
                      <w14:textFill>
                        <w14:solidFill>
                          <w14:schemeClr w14:val="tx1"/>
                        </w14:solidFill>
                      </w14:textFill>
                    </w:rPr>
                    <w:t>罐区二</w:t>
                  </w:r>
                </w:p>
                <w:p>
                  <w:pPr>
                    <w:pStyle w:val="96"/>
                    <w:keepNext w:val="0"/>
                    <w:keepLines w:val="0"/>
                    <w:pageBreakBefore w:val="0"/>
                    <w:widowControl w:val="0"/>
                    <w:kinsoku/>
                    <w:wordWrap/>
                    <w:overflowPunct/>
                    <w:topLinePunct w:val="0"/>
                    <w:autoSpaceDE/>
                    <w:autoSpaceDN/>
                    <w:bidi w:val="0"/>
                    <w:spacing w:beforeLines="0" w:afterLines="0" w:line="240" w:lineRule="auto"/>
                    <w:ind w:left="0" w:leftChars="0" w:right="0" w:rightChars="0" w:firstLine="0" w:firstLineChars="0"/>
                    <w:jc w:val="center"/>
                    <w:rPr>
                      <w:rFonts w:hint="default" w:ascii="Times New Roman" w:hAnsi="Times New Roman" w:cs="Times New Roman"/>
                      <w:color w:val="000000" w:themeColor="text1"/>
                      <w:spacing w:val="-2"/>
                      <w:sz w:val="20"/>
                      <w:szCs w:val="20"/>
                      <w14:textFill>
                        <w14:solidFill>
                          <w14:schemeClr w14:val="tx1"/>
                        </w14:solidFill>
                      </w14:textFill>
                    </w:rPr>
                  </w:pPr>
                  <w:r>
                    <w:rPr>
                      <w:rFonts w:hint="default" w:ascii="Times New Roman" w:hAnsi="Times New Roman" w:cs="Times New Roman"/>
                      <w:color w:val="000000" w:themeColor="text1"/>
                      <w:spacing w:val="-2"/>
                      <w:sz w:val="20"/>
                      <w:szCs w:val="20"/>
                      <w14:textFill>
                        <w14:solidFill>
                          <w14:schemeClr w14:val="tx1"/>
                        </w14:solidFill>
                      </w14:textFill>
                    </w:rPr>
                    <w:t>裸露</w:t>
                  </w:r>
                  <w:r>
                    <w:rPr>
                      <w:rFonts w:hint="default" w:ascii="Times New Roman" w:hAnsi="Times New Roman" w:cs="Times New Roman"/>
                      <w:color w:val="000000" w:themeColor="text1"/>
                      <w:spacing w:val="4"/>
                      <w:sz w:val="20"/>
                      <w:szCs w:val="20"/>
                      <w14:textFill>
                        <w14:solidFill>
                          <w14:schemeClr w14:val="tx1"/>
                        </w14:solidFill>
                      </w14:textFill>
                    </w:rPr>
                    <w:t>地面</w:t>
                  </w:r>
                </w:p>
              </w:tc>
              <w:tc>
                <w:tcPr>
                  <w:tcW w:w="1299"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leftChars="0" w:right="0" w:rightChars="0" w:firstLine="0" w:firstLineChars="0"/>
                    <w:jc w:val="center"/>
                    <w:rPr>
                      <w:rFonts w:hint="default" w:ascii="Times New Roman" w:hAnsi="Times New Roman" w:eastAsia="宋体" w:cs="Times New Roman"/>
                      <w:color w:val="000000" w:themeColor="text1"/>
                      <w:position w:val="1"/>
                      <w:sz w:val="20"/>
                      <w:szCs w:val="20"/>
                      <w:lang w:val="en-US" w:eastAsia="zh-CN"/>
                      <w14:textFill>
                        <w14:solidFill>
                          <w14:schemeClr w14:val="tx1"/>
                        </w14:solidFill>
                      </w14:textFill>
                    </w:rPr>
                  </w:pPr>
                  <w:r>
                    <w:rPr>
                      <w:rFonts w:hint="default" w:ascii="Times New Roman" w:hAnsi="Times New Roman" w:cs="Times New Roman"/>
                      <w:color w:val="000000" w:themeColor="text1"/>
                      <w:spacing w:val="3"/>
                      <w:sz w:val="20"/>
                      <w:szCs w:val="20"/>
                      <w:lang w:val="en-US" w:eastAsia="zh-CN"/>
                      <w14:textFill>
                        <w14:solidFill>
                          <w14:schemeClr w14:val="tx1"/>
                        </w14:solidFill>
                      </w14:textFill>
                    </w:rPr>
                    <w:t>E110.390560°、W39.350760°</w:t>
                  </w:r>
                </w:p>
              </w:tc>
              <w:tc>
                <w:tcPr>
                  <w:tcW w:w="1091"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2"/>
                      <w:position w:val="1"/>
                      <w:sz w:val="20"/>
                      <w:szCs w:val="20"/>
                      <w14:textFill>
                        <w14:solidFill>
                          <w14:schemeClr w14:val="tx1"/>
                        </w14:solidFill>
                      </w14:textFill>
                    </w:rPr>
                  </w:pPr>
                </w:p>
              </w:tc>
              <w:tc>
                <w:tcPr>
                  <w:tcW w:w="1127"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pacing w:val="-4"/>
                      <w:position w:val="1"/>
                      <w:sz w:val="20"/>
                      <w:szCs w:val="20"/>
                      <w14:textFill>
                        <w14:solidFill>
                          <w14:schemeClr w14:val="tx1"/>
                        </w14:solidFill>
                      </w14:textFill>
                    </w:rPr>
                  </w:pPr>
                </w:p>
              </w:tc>
              <w:tc>
                <w:tcPr>
                  <w:tcW w:w="2884"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5"/>
                      <w:sz w:val="20"/>
                      <w:szCs w:val="20"/>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3" w:hRule="atLeast"/>
                <w:jc w:val="center"/>
              </w:trPr>
              <w:tc>
                <w:tcPr>
                  <w:tcW w:w="659"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4"/>
                      <w:sz w:val="20"/>
                      <w:szCs w:val="20"/>
                      <w14:textFill>
                        <w14:solidFill>
                          <w14:schemeClr w14:val="tx1"/>
                        </w14:solidFill>
                      </w14:textFill>
                    </w:rPr>
                  </w:pPr>
                </w:p>
              </w:tc>
              <w:tc>
                <w:tcPr>
                  <w:tcW w:w="880"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eastAsia" w:ascii="Times New Roman" w:hAnsi="Times New Roman" w:eastAsia="宋体" w:cs="Times New Roman"/>
                      <w:color w:val="FF0000"/>
                      <w:spacing w:val="-2"/>
                      <w:sz w:val="20"/>
                      <w:szCs w:val="20"/>
                      <w:lang w:val="en-US" w:eastAsia="zh-CN"/>
                    </w:rPr>
                  </w:pPr>
                  <w:r>
                    <w:rPr>
                      <w:rFonts w:hint="eastAsia" w:ascii="Times New Roman" w:hAnsi="Times New Roman" w:cs="Times New Roman"/>
                      <w:color w:val="FF0000"/>
                      <w:spacing w:val="-2"/>
                      <w:sz w:val="20"/>
                      <w:szCs w:val="20"/>
                      <w:lang w:val="en-US" w:eastAsia="zh-CN"/>
                    </w:rPr>
                    <w:t>装卸区</w:t>
                  </w:r>
                </w:p>
              </w:tc>
              <w:tc>
                <w:tcPr>
                  <w:tcW w:w="1299"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leftChars="0" w:right="0" w:rightChars="0" w:firstLine="0" w:firstLineChars="0"/>
                    <w:jc w:val="center"/>
                    <w:rPr>
                      <w:rFonts w:hint="default" w:ascii="Times New Roman" w:hAnsi="Times New Roman" w:eastAsia="宋体" w:cs="Times New Roman"/>
                      <w:color w:val="FF0000"/>
                      <w:position w:val="1"/>
                      <w:sz w:val="20"/>
                      <w:szCs w:val="20"/>
                      <w:lang w:val="en-US" w:eastAsia="zh-CN"/>
                    </w:rPr>
                  </w:pPr>
                  <w:r>
                    <w:rPr>
                      <w:rFonts w:hint="default" w:ascii="Times New Roman" w:hAnsi="Times New Roman" w:eastAsia="宋体" w:cs="Times New Roman"/>
                      <w:color w:val="FF0000"/>
                      <w:position w:val="1"/>
                      <w:sz w:val="20"/>
                      <w:szCs w:val="20"/>
                      <w:lang w:val="en-US" w:eastAsia="zh-CN"/>
                    </w:rPr>
                    <w:t>E</w:t>
                  </w:r>
                  <w:r>
                    <w:rPr>
                      <w:rFonts w:hint="default" w:ascii="Times New Roman" w:hAnsi="Times New Roman" w:eastAsia="Times New Roman" w:cs="Times New Roman"/>
                      <w:color w:val="FF0000"/>
                      <w:position w:val="1"/>
                      <w:sz w:val="20"/>
                      <w:szCs w:val="20"/>
                    </w:rPr>
                    <w:t>110.393992</w:t>
                  </w:r>
                  <w:r>
                    <w:rPr>
                      <w:rFonts w:hint="default" w:ascii="Times New Roman" w:hAnsi="Times New Roman" w:eastAsia="宋体" w:cs="Times New Roman"/>
                      <w:color w:val="FF0000"/>
                      <w:position w:val="1"/>
                      <w:sz w:val="20"/>
                      <w:szCs w:val="20"/>
                      <w:lang w:val="en-US" w:eastAsia="zh-CN"/>
                    </w:rPr>
                    <w:t>°、W39.351268°</w:t>
                  </w:r>
                </w:p>
              </w:tc>
              <w:tc>
                <w:tcPr>
                  <w:tcW w:w="1091"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2"/>
                      <w:position w:val="1"/>
                      <w:sz w:val="20"/>
                      <w:szCs w:val="20"/>
                      <w14:textFill>
                        <w14:solidFill>
                          <w14:schemeClr w14:val="tx1"/>
                        </w14:solidFill>
                      </w14:textFill>
                    </w:rPr>
                  </w:pPr>
                </w:p>
              </w:tc>
              <w:tc>
                <w:tcPr>
                  <w:tcW w:w="1127"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pacing w:val="-4"/>
                      <w:position w:val="1"/>
                      <w:sz w:val="20"/>
                      <w:szCs w:val="20"/>
                      <w14:textFill>
                        <w14:solidFill>
                          <w14:schemeClr w14:val="tx1"/>
                        </w14:solidFill>
                      </w14:textFill>
                    </w:rPr>
                  </w:pPr>
                </w:p>
              </w:tc>
              <w:tc>
                <w:tcPr>
                  <w:tcW w:w="2884"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5"/>
                      <w:sz w:val="20"/>
                      <w:szCs w:val="20"/>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3" w:hRule="atLeast"/>
                <w:jc w:val="center"/>
              </w:trPr>
              <w:tc>
                <w:tcPr>
                  <w:tcW w:w="659"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14:textFill>
                        <w14:solidFill>
                          <w14:schemeClr w14:val="tx1"/>
                        </w14:solidFill>
                      </w14:textFill>
                    </w:rPr>
                  </w:pPr>
                </w:p>
              </w:tc>
              <w:tc>
                <w:tcPr>
                  <w:tcW w:w="880"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eastAsia" w:ascii="Times New Roman" w:hAnsi="Times New Roman" w:eastAsia="宋体" w:cs="Times New Roman"/>
                      <w:color w:val="FF0000"/>
                      <w:spacing w:val="-2"/>
                      <w:sz w:val="20"/>
                      <w:szCs w:val="20"/>
                      <w:lang w:val="en-US" w:eastAsia="zh-CN"/>
                    </w:rPr>
                  </w:pPr>
                  <w:r>
                    <w:rPr>
                      <w:rFonts w:hint="eastAsia" w:ascii="Times New Roman" w:hAnsi="Times New Roman" w:cs="Times New Roman"/>
                      <w:color w:val="FF0000"/>
                      <w:spacing w:val="-2"/>
                      <w:sz w:val="20"/>
                      <w:szCs w:val="20"/>
                      <w:lang w:val="en-US" w:eastAsia="zh-CN"/>
                    </w:rPr>
                    <w:t>事故水池</w:t>
                  </w:r>
                </w:p>
              </w:tc>
              <w:tc>
                <w:tcPr>
                  <w:tcW w:w="1299"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leftChars="0" w:right="0" w:rightChars="0" w:firstLine="0" w:firstLineChars="0"/>
                    <w:jc w:val="center"/>
                    <w:rPr>
                      <w:rFonts w:hint="default" w:ascii="Times New Roman" w:hAnsi="Times New Roman" w:cs="Times New Roman"/>
                      <w:color w:val="FF0000"/>
                      <w:spacing w:val="-2"/>
                      <w:sz w:val="20"/>
                      <w:szCs w:val="20"/>
                    </w:rPr>
                  </w:pPr>
                  <w:r>
                    <w:rPr>
                      <w:rFonts w:hint="default" w:ascii="Times New Roman" w:hAnsi="Times New Roman" w:cs="Times New Roman"/>
                      <w:color w:val="FF0000"/>
                      <w:spacing w:val="3"/>
                      <w:sz w:val="20"/>
                      <w:szCs w:val="20"/>
                      <w:lang w:val="en-US" w:eastAsia="zh-CN"/>
                    </w:rPr>
                    <w:t>E110.3916557°、W39.349507°</w:t>
                  </w:r>
                </w:p>
              </w:tc>
              <w:tc>
                <w:tcPr>
                  <w:tcW w:w="1091"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2"/>
                      <w:sz w:val="20"/>
                      <w:szCs w:val="20"/>
                      <w14:textFill>
                        <w14:solidFill>
                          <w14:schemeClr w14:val="tx1"/>
                        </w14:solidFill>
                      </w14:textFill>
                    </w:rPr>
                  </w:pPr>
                </w:p>
              </w:tc>
              <w:tc>
                <w:tcPr>
                  <w:tcW w:w="1127" w:type="dxa"/>
                  <w:vMerge w:val="continue"/>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2"/>
                      <w:sz w:val="20"/>
                      <w:szCs w:val="20"/>
                      <w14:textFill>
                        <w14:solidFill>
                          <w14:schemeClr w14:val="tx1"/>
                        </w14:solidFill>
                      </w14:textFill>
                    </w:rPr>
                  </w:pPr>
                </w:p>
              </w:tc>
              <w:tc>
                <w:tcPr>
                  <w:tcW w:w="2884" w:type="dxa"/>
                  <w:vMerge w:val="continue"/>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pacing w:val="-2"/>
                      <w:sz w:val="20"/>
                      <w:szCs w:val="20"/>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jc w:val="center"/>
              </w:trPr>
              <w:tc>
                <w:tcPr>
                  <w:tcW w:w="7940" w:type="dxa"/>
                  <w:gridSpan w:val="6"/>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0"/>
                      <w:szCs w:val="20"/>
                      <w14:textFill>
                        <w14:solidFill>
                          <w14:schemeClr w14:val="tx1"/>
                        </w14:solidFill>
                      </w14:textFill>
                    </w:rPr>
                  </w:pPr>
                  <w:r>
                    <w:rPr>
                      <w:color w:val="000000" w:themeColor="text1"/>
                      <w:spacing w:val="8"/>
                      <w:sz w:val="20"/>
                      <w:szCs w:val="20"/>
                      <w14:textFill>
                        <w14:solidFill>
                          <w14:schemeClr w14:val="tx1"/>
                        </w14:solidFill>
                      </w14:textFill>
                    </w:rPr>
                    <w:t>注：区域地下水流向为</w:t>
                  </w:r>
                  <w:r>
                    <w:rPr>
                      <w:rFonts w:hint="eastAsia"/>
                      <w:color w:val="000000" w:themeColor="text1"/>
                      <w:spacing w:val="8"/>
                      <w:sz w:val="20"/>
                      <w:szCs w:val="20"/>
                      <w:lang w:val="en-US" w:eastAsia="zh-CN"/>
                      <w14:textFill>
                        <w14:solidFill>
                          <w14:schemeClr w14:val="tx1"/>
                        </w14:solidFill>
                      </w14:textFill>
                    </w:rPr>
                    <w:t>东北向西南</w:t>
                  </w:r>
                  <w:r>
                    <w:rPr>
                      <w:color w:val="000000" w:themeColor="text1"/>
                      <w:spacing w:val="8"/>
                      <w:sz w:val="20"/>
                      <w:szCs w:val="20"/>
                      <w14:textFill>
                        <w14:solidFill>
                          <w14:schemeClr w14:val="tx1"/>
                        </w14:solidFill>
                      </w14:textFill>
                    </w:rPr>
                    <w:t>，本次评价综合考虑流向、本项目平面布置情况，</w:t>
                  </w:r>
                  <w:r>
                    <w:rPr>
                      <w:color w:val="000000" w:themeColor="text1"/>
                      <w:spacing w:val="14"/>
                      <w:sz w:val="20"/>
                      <w:szCs w:val="20"/>
                      <w14:textFill>
                        <w14:solidFill>
                          <w14:schemeClr w14:val="tx1"/>
                        </w14:solidFill>
                      </w14:textFill>
                    </w:rPr>
                    <w:t xml:space="preserve"> </w:t>
                  </w:r>
                  <w:r>
                    <w:rPr>
                      <w:color w:val="000000" w:themeColor="text1"/>
                      <w:spacing w:val="9"/>
                      <w:sz w:val="20"/>
                      <w:szCs w:val="20"/>
                      <w14:textFill>
                        <w14:solidFill>
                          <w14:schemeClr w14:val="tx1"/>
                        </w14:solidFill>
                      </w14:textFill>
                    </w:rPr>
                    <w:t>将地下水监测点设置在项目西南角、东北角。</w:t>
                  </w:r>
                </w:p>
              </w:tc>
            </w:tr>
          </w:tbl>
          <w:p>
            <w:pPr>
              <w:bidi w:val="0"/>
              <w:rPr>
                <w:rFonts w:hint="default" w:eastAsia="宋体"/>
                <w:color w:val="000000" w:themeColor="text1"/>
                <w:highlight w:val="none"/>
                <w:lang w:val="en-US" w:eastAsia="zh-CN"/>
                <w14:textFill>
                  <w14:solidFill>
                    <w14:schemeClr w14:val="tx1"/>
                  </w14:solidFill>
                </w14:textFill>
              </w:rPr>
            </w:pPr>
            <w:r>
              <w:rPr>
                <w:color w:val="000000" w:themeColor="text1"/>
                <w14:textFill>
                  <w14:solidFill>
                    <w14:schemeClr w14:val="tx1"/>
                  </w14:solidFill>
                </w14:textFill>
              </w:rPr>
              <w:t>通过采取以上措施，可以有效防止污染物进入土壤和地下水中，减少项</w:t>
            </w:r>
            <w:r>
              <w:rPr>
                <w:color w:val="000000" w:themeColor="text1"/>
                <w:spacing w:val="15"/>
                <w14:textFill>
                  <w14:solidFill>
                    <w14:schemeClr w14:val="tx1"/>
                  </w14:solidFill>
                </w14:textFill>
              </w:rPr>
              <w:t xml:space="preserve"> </w:t>
            </w:r>
            <w:r>
              <w:rPr>
                <w:color w:val="000000" w:themeColor="text1"/>
                <w:spacing w:val="-4"/>
                <w14:textFill>
                  <w14:solidFill>
                    <w14:schemeClr w14:val="tx1"/>
                  </w14:solidFill>
                </w14:textFill>
              </w:rPr>
              <w:t>目对区域土壤和地下水的影响</w:t>
            </w:r>
            <w:r>
              <w:rPr>
                <w:rFonts w:hint="default" w:eastAsia="宋体"/>
                <w:color w:val="000000" w:themeColor="text1"/>
                <w:highlight w:val="none"/>
                <w:lang w:val="en-US" w:eastAsia="zh-CN"/>
                <w14:textFill>
                  <w14:solidFill>
                    <w14:schemeClr w14:val="tx1"/>
                  </w14:solidFill>
                </w14:textFill>
              </w:rPr>
              <w:t>。</w:t>
            </w:r>
          </w:p>
          <w:p>
            <w:pPr>
              <w:bidi w:val="0"/>
              <w:rPr>
                <w:rFonts w:hint="default" w:eastAsia="宋体"/>
                <w:b/>
                <w:bCs/>
                <w:color w:val="000000" w:themeColor="text1"/>
                <w:highlight w:val="none"/>
                <w:lang w:val="en-US" w:eastAsia="zh-CN"/>
                <w14:textFill>
                  <w14:solidFill>
                    <w14:schemeClr w14:val="tx1"/>
                  </w14:solidFill>
                </w14:textFill>
              </w:rPr>
            </w:pPr>
            <w:r>
              <w:rPr>
                <w:rFonts w:hint="default" w:eastAsia="宋体"/>
                <w:b/>
                <w:bCs/>
                <w:color w:val="000000" w:themeColor="text1"/>
                <w:highlight w:val="none"/>
                <w:lang w:val="en-US" w:eastAsia="zh-CN"/>
                <w14:textFill>
                  <w14:solidFill>
                    <w14:schemeClr w14:val="tx1"/>
                  </w14:solidFill>
                </w14:textFill>
              </w:rPr>
              <w:t>六、环境风险</w:t>
            </w:r>
          </w:p>
          <w:p>
            <w:pPr>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详见附件风险专项。</w:t>
            </w:r>
          </w:p>
          <w:p>
            <w:pPr>
              <w:bidi w:val="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七</w:t>
            </w:r>
            <w:r>
              <w:rPr>
                <w:rFonts w:hint="default" w:eastAsia="宋体"/>
                <w:b/>
                <w:bCs/>
                <w:color w:val="000000" w:themeColor="text1"/>
                <w:highlight w:val="none"/>
                <w:lang w:val="en-US" w:eastAsia="zh-CN"/>
                <w14:textFill>
                  <w14:solidFill>
                    <w14:schemeClr w14:val="tx1"/>
                  </w14:solidFill>
                </w14:textFill>
              </w:rPr>
              <w:t>、环保投资</w:t>
            </w:r>
          </w:p>
          <w:p>
            <w:pPr>
              <w:bidi w:val="0"/>
              <w:rPr>
                <w:rFonts w:hint="default" w:eastAsia="宋体"/>
                <w:color w:val="000000" w:themeColor="text1"/>
                <w:highlight w:val="none"/>
                <w:lang w:val="en-US" w:eastAsia="zh-CN"/>
                <w14:textFill>
                  <w14:solidFill>
                    <w14:schemeClr w14:val="tx1"/>
                  </w14:solidFill>
                </w14:textFill>
              </w:rPr>
            </w:pPr>
            <w:r>
              <w:rPr>
                <w:rFonts w:hint="default" w:eastAsia="宋体"/>
                <w:color w:val="000000" w:themeColor="text1"/>
                <w:highlight w:val="none"/>
                <w:lang w:val="en-US" w:eastAsia="zh-CN"/>
                <w14:textFill>
                  <w14:solidFill>
                    <w14:schemeClr w14:val="tx1"/>
                  </w14:solidFill>
                </w14:textFill>
              </w:rPr>
              <w:t>本项目总投资为</w:t>
            </w:r>
            <w:r>
              <w:rPr>
                <w:rFonts w:hint="eastAsia"/>
                <w:color w:val="000000" w:themeColor="text1"/>
                <w:highlight w:val="none"/>
                <w:lang w:val="en-US" w:eastAsia="zh-CN"/>
                <w14:textFill>
                  <w14:solidFill>
                    <w14:schemeClr w14:val="tx1"/>
                  </w14:solidFill>
                </w14:textFill>
              </w:rPr>
              <w:t>8</w:t>
            </w:r>
            <w:r>
              <w:rPr>
                <w:rFonts w:hint="default" w:eastAsia="宋体"/>
                <w:color w:val="000000" w:themeColor="text1"/>
                <w:highlight w:val="none"/>
                <w:lang w:val="en-US" w:eastAsia="zh-CN"/>
                <w14:textFill>
                  <w14:solidFill>
                    <w14:schemeClr w14:val="tx1"/>
                  </w14:solidFill>
                </w14:textFill>
              </w:rPr>
              <w:t>000万元，其中环保投资</w:t>
            </w:r>
            <w:r>
              <w:rPr>
                <w:rFonts w:hint="eastAsia"/>
                <w:color w:val="000000" w:themeColor="text1"/>
                <w:highlight w:val="none"/>
                <w:lang w:val="en-US" w:eastAsia="zh-CN"/>
                <w14:textFill>
                  <w14:solidFill>
                    <w14:schemeClr w14:val="tx1"/>
                  </w14:solidFill>
                </w14:textFill>
              </w:rPr>
              <w:t>189.2</w:t>
            </w:r>
            <w:r>
              <w:rPr>
                <w:rFonts w:hint="default" w:eastAsia="宋体"/>
                <w:color w:val="000000" w:themeColor="text1"/>
                <w:highlight w:val="none"/>
                <w:lang w:val="en-US" w:eastAsia="zh-CN"/>
                <w14:textFill>
                  <w14:solidFill>
                    <w14:schemeClr w14:val="tx1"/>
                  </w14:solidFill>
                </w14:textFill>
              </w:rPr>
              <w:t>万元，占总投资的</w:t>
            </w:r>
            <w:r>
              <w:rPr>
                <w:rFonts w:hint="eastAsia"/>
                <w:color w:val="000000" w:themeColor="text1"/>
                <w:highlight w:val="none"/>
                <w:lang w:val="en-US" w:eastAsia="zh-CN"/>
                <w14:textFill>
                  <w14:solidFill>
                    <w14:schemeClr w14:val="tx1"/>
                  </w14:solidFill>
                </w14:textFill>
              </w:rPr>
              <w:t>2.37</w:t>
            </w:r>
            <w:r>
              <w:rPr>
                <w:rFonts w:hint="default" w:eastAsia="宋体"/>
                <w:color w:val="000000" w:themeColor="text1"/>
                <w:highlight w:val="none"/>
                <w:lang w:val="en-US" w:eastAsia="zh-CN"/>
                <w14:textFill>
                  <w14:solidFill>
                    <w14:schemeClr w14:val="tx1"/>
                  </w14:solidFill>
                </w14:textFill>
              </w:rPr>
              <w:t>%。项目环保投资内容见</w:t>
            </w:r>
            <w:r>
              <w:rPr>
                <w:rFonts w:hint="eastAsia"/>
                <w:color w:val="000000" w:themeColor="text1"/>
                <w:highlight w:val="none"/>
                <w:lang w:val="en-US" w:eastAsia="zh-CN"/>
                <w14:textFill>
                  <w14:solidFill>
                    <w14:schemeClr w14:val="tx1"/>
                  </w14:solidFill>
                </w14:textFill>
              </w:rPr>
              <w:t>下</w:t>
            </w:r>
            <w:r>
              <w:rPr>
                <w:rFonts w:hint="default" w:eastAsia="宋体"/>
                <w:color w:val="000000" w:themeColor="text1"/>
                <w:highlight w:val="none"/>
                <w:lang w:val="en-US" w:eastAsia="zh-CN"/>
                <w14:textFill>
                  <w14:solidFill>
                    <w14:schemeClr w14:val="tx1"/>
                  </w14:solidFill>
                </w14:textFill>
              </w:rPr>
              <w:t>表。</w:t>
            </w:r>
          </w:p>
          <w:p>
            <w:pPr>
              <w:bidi w:val="0"/>
              <w:jc w:val="cente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表4-1</w:t>
            </w:r>
            <w:r>
              <w:rPr>
                <w:rFonts w:hint="eastAsia" w:cs="Times New Roman"/>
                <w:b/>
                <w:bCs/>
                <w:color w:val="000000" w:themeColor="text1"/>
                <w:highlight w:val="none"/>
                <w:lang w:val="en-US" w:eastAsia="zh-CN"/>
                <w14:textFill>
                  <w14:solidFill>
                    <w14:schemeClr w14:val="tx1"/>
                  </w14:solidFill>
                </w14:textFill>
              </w:rPr>
              <w:t xml:space="preserve">8 </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项目环保投资一览表</w:t>
            </w:r>
          </w:p>
          <w:tbl>
            <w:tblPr>
              <w:tblStyle w:val="99"/>
              <w:tblW w:w="789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72"/>
              <w:gridCol w:w="1285"/>
              <w:gridCol w:w="4805"/>
              <w:gridCol w:w="8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2257" w:type="dxa"/>
                  <w:gridSpan w:val="2"/>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6"/>
                      <w:sz w:val="21"/>
                      <w:szCs w:val="21"/>
                      <w14:textFill>
                        <w14:solidFill>
                          <w14:schemeClr w14:val="tx1"/>
                        </w14:solidFill>
                      </w14:textFill>
                    </w:rPr>
                    <w:t>污染物</w:t>
                  </w:r>
                </w:p>
              </w:tc>
              <w:tc>
                <w:tcPr>
                  <w:tcW w:w="480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7"/>
                      <w:sz w:val="21"/>
                      <w:szCs w:val="21"/>
                      <w14:textFill>
                        <w14:solidFill>
                          <w14:schemeClr w14:val="tx1"/>
                        </w14:solidFill>
                      </w14:textFill>
                    </w:rPr>
                    <w:t>环保措施</w:t>
                  </w:r>
                </w:p>
              </w:tc>
              <w:tc>
                <w:tcPr>
                  <w:tcW w:w="836"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投资</w:t>
                  </w:r>
                </w:p>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（万元）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Merge w:val="restart"/>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废气</w:t>
                  </w:r>
                </w:p>
              </w:tc>
              <w:tc>
                <w:tcPr>
                  <w:tcW w:w="128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8"/>
                      <w:sz w:val="21"/>
                      <w:szCs w:val="21"/>
                      <w14:textFill>
                        <w14:solidFill>
                          <w14:schemeClr w14:val="tx1"/>
                        </w14:solidFill>
                      </w14:textFill>
                    </w:rPr>
                    <w:t>储罐及装卸</w:t>
                  </w:r>
                </w:p>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废气</w:t>
                  </w:r>
                </w:p>
              </w:tc>
              <w:tc>
                <w:tcPr>
                  <w:tcW w:w="480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18"/>
                      <w:sz w:val="21"/>
                      <w:szCs w:val="21"/>
                      <w14:textFill>
                        <w14:solidFill>
                          <w14:schemeClr w14:val="tx1"/>
                        </w14:solidFill>
                      </w14:textFill>
                    </w:rPr>
                    <w:t>储罐呼吸口废气及装卸工序废气经管道收集后</w:t>
                  </w:r>
                  <w:r>
                    <w:rPr>
                      <w:color w:val="000000" w:themeColor="text1"/>
                      <w:spacing w:val="5"/>
                      <w:sz w:val="21"/>
                      <w:szCs w:val="21"/>
                      <w14:textFill>
                        <w14:solidFill>
                          <w14:schemeClr w14:val="tx1"/>
                        </w14:solidFill>
                      </w14:textFill>
                    </w:rPr>
                    <w:t>进入</w:t>
                  </w:r>
                  <w:r>
                    <w:rPr>
                      <w:rFonts w:ascii="Times New Roman" w:hAnsi="Times New Roman" w:eastAsia="Times New Roman" w:cs="Times New Roman"/>
                      <w:color w:val="000000" w:themeColor="text1"/>
                      <w:spacing w:val="5"/>
                      <w:sz w:val="21"/>
                      <w:szCs w:val="21"/>
                      <w14:textFill>
                        <w14:solidFill>
                          <w14:schemeClr w14:val="tx1"/>
                        </w14:solidFill>
                      </w14:textFill>
                    </w:rPr>
                    <w:t>1</w:t>
                  </w:r>
                  <w:r>
                    <w:rPr>
                      <w:color w:val="000000" w:themeColor="text1"/>
                      <w:spacing w:val="5"/>
                      <w:sz w:val="21"/>
                      <w:szCs w:val="21"/>
                      <w14:textFill>
                        <w14:solidFill>
                          <w14:schemeClr w14:val="tx1"/>
                        </w14:solidFill>
                      </w14:textFill>
                    </w:rPr>
                    <w:t>套油气处理装置</w:t>
                  </w:r>
                  <w:r>
                    <w:rPr>
                      <w:rFonts w:ascii="Times New Roman" w:hAnsi="Times New Roman" w:eastAsia="Times New Roman" w:cs="Times New Roman"/>
                      <w:color w:val="000000" w:themeColor="text1"/>
                      <w:spacing w:val="5"/>
                      <w:sz w:val="21"/>
                      <w:szCs w:val="21"/>
                      <w14:textFill>
                        <w14:solidFill>
                          <w14:schemeClr w14:val="tx1"/>
                        </w14:solidFill>
                      </w14:textFill>
                    </w:rPr>
                    <w:t>+</w:t>
                  </w:r>
                  <w:r>
                    <w:rPr>
                      <w:rFonts w:hint="eastAsia" w:ascii="Times New Roman" w:hAnsi="Times New Roman" w:cs="Times New Roman"/>
                      <w:color w:val="000000" w:themeColor="text1"/>
                      <w:spacing w:val="5"/>
                      <w:sz w:val="21"/>
                      <w:szCs w:val="21"/>
                      <w:lang w:val="en-US" w:eastAsia="zh-CN"/>
                      <w14:textFill>
                        <w14:solidFill>
                          <w14:schemeClr w14:val="tx1"/>
                        </w14:solidFill>
                      </w14:textFill>
                    </w:rPr>
                    <w:t>1</w:t>
                  </w:r>
                  <w:r>
                    <w:rPr>
                      <w:rFonts w:ascii="Times New Roman" w:hAnsi="Times New Roman" w:eastAsia="Times New Roman" w:cs="Times New Roman"/>
                      <w:color w:val="000000" w:themeColor="text1"/>
                      <w:spacing w:val="5"/>
                      <w:sz w:val="21"/>
                      <w:szCs w:val="21"/>
                      <w14:textFill>
                        <w14:solidFill>
                          <w14:schemeClr w14:val="tx1"/>
                        </w14:solidFill>
                      </w14:textFill>
                    </w:rPr>
                    <w:t>5m</w:t>
                  </w:r>
                  <w:r>
                    <w:rPr>
                      <w:color w:val="000000" w:themeColor="text1"/>
                      <w:spacing w:val="5"/>
                      <w:sz w:val="21"/>
                      <w:szCs w:val="21"/>
                      <w14:textFill>
                        <w14:solidFill>
                          <w14:schemeClr w14:val="tx1"/>
                        </w14:solidFill>
                      </w14:textFill>
                    </w:rPr>
                    <w:t>高排气简</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pacing w:val="-3"/>
                      <w:position w:val="2"/>
                      <w:sz w:val="21"/>
                      <w:szCs w:val="21"/>
                      <w:lang w:val="en-US" w:eastAsia="zh-CN"/>
                      <w14:textFill>
                        <w14:solidFill>
                          <w14:schemeClr w14:val="tx1"/>
                        </w14:solidFill>
                      </w14:textFill>
                    </w:rPr>
                    <w:t>150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color w:val="000000" w:themeColor="text1"/>
                      <w:sz w:val="21"/>
                      <w:szCs w:val="21"/>
                      <w14:textFill>
                        <w14:solidFill>
                          <w14:schemeClr w14:val="tx1"/>
                        </w14:solidFill>
                      </w14:textFill>
                    </w:rPr>
                  </w:pPr>
                </w:p>
              </w:tc>
              <w:tc>
                <w:tcPr>
                  <w:tcW w:w="128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7"/>
                      <w:sz w:val="21"/>
                      <w:szCs w:val="21"/>
                      <w14:textFill>
                        <w14:solidFill>
                          <w14:schemeClr w14:val="tx1"/>
                        </w14:solidFill>
                      </w14:textFill>
                    </w:rPr>
                    <w:t>设备动静密</w:t>
                  </w:r>
                </w:p>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7"/>
                      <w:sz w:val="21"/>
                      <w:szCs w:val="21"/>
                      <w14:textFill>
                        <w14:solidFill>
                          <w14:schemeClr w14:val="tx1"/>
                        </w14:solidFill>
                      </w14:textFill>
                    </w:rPr>
                    <w:t>封点废气</w:t>
                  </w:r>
                </w:p>
              </w:tc>
              <w:tc>
                <w:tcPr>
                  <w:tcW w:w="480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8"/>
                      <w:sz w:val="21"/>
                      <w:szCs w:val="21"/>
                      <w14:textFill>
                        <w14:solidFill>
                          <w14:schemeClr w14:val="tx1"/>
                        </w14:solidFill>
                      </w14:textFill>
                    </w:rPr>
                    <w:t>制定泄漏检测与修复</w:t>
                  </w:r>
                  <w:r>
                    <w:rPr>
                      <w:rFonts w:ascii="Times New Roman" w:hAnsi="Times New Roman" w:eastAsia="Times New Roman" w:cs="Times New Roman"/>
                      <w:color w:val="000000" w:themeColor="text1"/>
                      <w:sz w:val="21"/>
                      <w:szCs w:val="21"/>
                      <w14:textFill>
                        <w14:solidFill>
                          <w14:schemeClr w14:val="tx1"/>
                        </w14:solidFill>
                      </w14:textFill>
                    </w:rPr>
                    <w:t>LDAR</w:t>
                  </w:r>
                  <w:r>
                    <w:rPr>
                      <w:color w:val="000000" w:themeColor="text1"/>
                      <w:spacing w:val="8"/>
                      <w:sz w:val="21"/>
                      <w:szCs w:val="21"/>
                      <w14:textFill>
                        <w14:solidFill>
                          <w14:schemeClr w14:val="tx1"/>
                        </w14:solidFill>
                      </w14:textFill>
                    </w:rPr>
                    <w:t>计划，建立</w:t>
                  </w:r>
                  <w:r>
                    <w:rPr>
                      <w:rFonts w:ascii="Times New Roman" w:hAnsi="Times New Roman" w:eastAsia="Times New Roman" w:cs="Times New Roman"/>
                      <w:color w:val="000000" w:themeColor="text1"/>
                      <w:sz w:val="21"/>
                      <w:szCs w:val="21"/>
                      <w14:textFill>
                        <w14:solidFill>
                          <w14:schemeClr w14:val="tx1"/>
                        </w14:solidFill>
                      </w14:textFill>
                    </w:rPr>
                    <w:t>LDAR</w:t>
                  </w:r>
                  <w:r>
                    <w:rPr>
                      <w:color w:val="000000" w:themeColor="text1"/>
                      <w:spacing w:val="8"/>
                      <w:sz w:val="21"/>
                      <w:szCs w:val="21"/>
                      <w14:textFill>
                        <w14:solidFill>
                          <w14:schemeClr w14:val="tx1"/>
                        </w14:solidFill>
                      </w14:textFill>
                    </w:rPr>
                    <w:t>信息</w:t>
                  </w:r>
                  <w:r>
                    <w:rPr>
                      <w:color w:val="000000" w:themeColor="text1"/>
                      <w:spacing w:val="11"/>
                      <w:sz w:val="21"/>
                      <w:szCs w:val="21"/>
                      <w14:textFill>
                        <w14:solidFill>
                          <w14:schemeClr w14:val="tx1"/>
                        </w14:solidFill>
                      </w14:textFill>
                    </w:rPr>
                    <w:t>管理平台并上传相关数据，定期检测、及时修复，</w:t>
                  </w:r>
                  <w:r>
                    <w:rPr>
                      <w:color w:val="000000" w:themeColor="text1"/>
                      <w:spacing w:val="8"/>
                      <w:sz w:val="21"/>
                      <w:szCs w:val="21"/>
                      <w14:textFill>
                        <w14:solidFill>
                          <w14:schemeClr w14:val="tx1"/>
                        </w14:solidFill>
                      </w14:textFill>
                    </w:rPr>
                    <w:t>防止或减少跑、冒、滴、漏现象</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8"/>
                      <w:position w:val="2"/>
                      <w:sz w:val="21"/>
                      <w:szCs w:val="21"/>
                      <w14:textFill>
                        <w14:solidFill>
                          <w14:schemeClr w14:val="tx1"/>
                        </w14:solidFill>
                      </w14:textFill>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Merge w:val="restart"/>
                  <w:tcBorders>
                    <w:bottom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color w:val="000000" w:themeColor="text1"/>
                      <w:sz w:val="21"/>
                      <w:szCs w:val="21"/>
                      <w14:textFill>
                        <w14:solidFill>
                          <w14:schemeClr w14:val="tx1"/>
                        </w14:solidFill>
                      </w14:textFill>
                    </w:rPr>
                  </w:pPr>
                </w:p>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废水</w:t>
                  </w:r>
                </w:p>
              </w:tc>
              <w:tc>
                <w:tcPr>
                  <w:tcW w:w="128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leftChars="0" w:right="0" w:firstLine="0" w:firstLineChars="0"/>
                    <w:jc w:val="center"/>
                    <w:textAlignment w:val="baseline"/>
                    <w:rPr>
                      <w:color w:val="000000" w:themeColor="text1"/>
                      <w:sz w:val="21"/>
                      <w:szCs w:val="21"/>
                      <w14:textFill>
                        <w14:solidFill>
                          <w14:schemeClr w14:val="tx1"/>
                        </w14:solidFill>
                      </w14:textFill>
                    </w:rPr>
                  </w:pPr>
                  <w:r>
                    <w:rPr>
                      <w:rFonts w:hint="eastAsia"/>
                      <w:color w:val="000000" w:themeColor="text1"/>
                      <w:spacing w:val="7"/>
                      <w:sz w:val="21"/>
                      <w:szCs w:val="21"/>
                      <w:lang w:val="en-US" w:eastAsia="zh-CN"/>
                      <w14:textFill>
                        <w14:solidFill>
                          <w14:schemeClr w14:val="tx1"/>
                        </w14:solidFill>
                      </w14:textFill>
                    </w:rPr>
                    <w:t>地面清洗</w:t>
                  </w:r>
                  <w:r>
                    <w:rPr>
                      <w:color w:val="000000" w:themeColor="text1"/>
                      <w:spacing w:val="7"/>
                      <w:sz w:val="21"/>
                      <w:szCs w:val="21"/>
                      <w14:textFill>
                        <w14:solidFill>
                          <w14:schemeClr w14:val="tx1"/>
                        </w14:solidFill>
                      </w14:textFill>
                    </w:rPr>
                    <w:t>废水</w:t>
                  </w:r>
                </w:p>
              </w:tc>
              <w:tc>
                <w:tcPr>
                  <w:tcW w:w="480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leftChars="0" w:right="0" w:firstLine="0" w:firstLineChars="0"/>
                    <w:jc w:val="center"/>
                    <w:textAlignment w:val="baseline"/>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pacing w:val="1"/>
                      <w:sz w:val="21"/>
                      <w:szCs w:val="21"/>
                      <w:lang w:val="en-US" w:eastAsia="zh-CN"/>
                      <w14:textFill>
                        <w14:solidFill>
                          <w14:schemeClr w14:val="tx1"/>
                        </w14:solidFill>
                      </w14:textFill>
                    </w:rPr>
                    <w:t>依托原有</w:t>
                  </w:r>
                  <w:r>
                    <w:rPr>
                      <w:color w:val="000000" w:themeColor="text1"/>
                      <w:spacing w:val="1"/>
                      <w:sz w:val="21"/>
                      <w:szCs w:val="21"/>
                      <w14:textFill>
                        <w14:solidFill>
                          <w14:schemeClr w14:val="tx1"/>
                        </w14:solidFill>
                      </w14:textFill>
                    </w:rPr>
                    <w:t>污水处理厂</w:t>
                  </w:r>
                  <w:r>
                    <w:rPr>
                      <w:rFonts w:hint="eastAsia"/>
                      <w:color w:val="000000" w:themeColor="text1"/>
                      <w:spacing w:val="1"/>
                      <w:sz w:val="21"/>
                      <w:szCs w:val="21"/>
                      <w:lang w:eastAsia="zh-CN"/>
                      <w14:textFill>
                        <w14:solidFill>
                          <w14:schemeClr w14:val="tx1"/>
                        </w14:solidFill>
                      </w14:textFill>
                    </w:rPr>
                    <w:t>，</w:t>
                  </w:r>
                  <w:r>
                    <w:rPr>
                      <w:rFonts w:hint="eastAsia"/>
                      <w:color w:val="000000" w:themeColor="text1"/>
                      <w:spacing w:val="1"/>
                      <w:sz w:val="21"/>
                      <w:szCs w:val="21"/>
                      <w:lang w:val="en-US" w:eastAsia="zh-CN"/>
                      <w14:textFill>
                        <w14:solidFill>
                          <w14:schemeClr w14:val="tx1"/>
                        </w14:solidFill>
                      </w14:textFill>
                    </w:rPr>
                    <w:t>日常维护、管理</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21"/>
                      <w:szCs w:val="21"/>
                      <w14:textFill>
                        <w14:solidFill>
                          <w14:schemeClr w14:val="tx1"/>
                        </w14:solidFill>
                      </w14:textFill>
                    </w:rPr>
                  </w:pPr>
                  <w:r>
                    <w:rPr>
                      <w:rFonts w:hint="eastAsia" w:eastAsia="宋体" w:cs="Times New Roman"/>
                      <w:color w:val="000000" w:themeColor="text1"/>
                      <w:position w:val="2"/>
                      <w:sz w:val="21"/>
                      <w:szCs w:val="21"/>
                      <w:lang w:val="en-US"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color w:val="000000" w:themeColor="text1"/>
                      <w:sz w:val="21"/>
                      <w:szCs w:val="21"/>
                      <w14:textFill>
                        <w14:solidFill>
                          <w14:schemeClr w14:val="tx1"/>
                        </w14:solidFill>
                      </w14:textFill>
                    </w:rPr>
                  </w:pPr>
                </w:p>
              </w:tc>
              <w:tc>
                <w:tcPr>
                  <w:tcW w:w="128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生活污水</w:t>
                  </w:r>
                </w:p>
              </w:tc>
              <w:tc>
                <w:tcPr>
                  <w:tcW w:w="480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依托原有化粪池</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color w:val="000000" w:themeColor="text1"/>
                      <w:sz w:val="21"/>
                      <w:szCs w:val="21"/>
                      <w14:textFill>
                        <w14:solidFill>
                          <w14:schemeClr w14:val="tx1"/>
                        </w14:solidFill>
                      </w14:textFill>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position w:val="2"/>
                      <w:sz w:val="21"/>
                      <w:szCs w:val="21"/>
                      <w:lang w:val="en-US"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噪声</w:t>
                  </w:r>
                </w:p>
              </w:tc>
              <w:tc>
                <w:tcPr>
                  <w:tcW w:w="128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6"/>
                      <w:sz w:val="21"/>
                      <w:szCs w:val="21"/>
                      <w14:textFill>
                        <w14:solidFill>
                          <w14:schemeClr w14:val="tx1"/>
                        </w14:solidFill>
                      </w14:textFill>
                    </w:rPr>
                    <w:t>设备噪声</w:t>
                  </w:r>
                </w:p>
              </w:tc>
              <w:tc>
                <w:tcPr>
                  <w:tcW w:w="480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采用低噪声设备，基础减振，集中布置，专用泵房、</w:t>
                  </w:r>
                  <w:r>
                    <w:rPr>
                      <w:color w:val="000000" w:themeColor="text1"/>
                      <w:spacing w:val="6"/>
                      <w:sz w:val="21"/>
                      <w:szCs w:val="21"/>
                      <w14:textFill>
                        <w14:solidFill>
                          <w14:schemeClr w14:val="tx1"/>
                        </w14:solidFill>
                      </w14:textFill>
                    </w:rPr>
                    <w:t>绿化降噪</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position w:val="2"/>
                      <w:sz w:val="21"/>
                      <w:szCs w:val="21"/>
                      <w14:textFill>
                        <w14:solidFill>
                          <w14:schemeClr w14:val="tx1"/>
                        </w14:solidFill>
                      </w14:textFill>
                    </w:rPr>
                    <w:t>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Merge w:val="restart"/>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固体废物</w:t>
                  </w:r>
                </w:p>
              </w:tc>
              <w:tc>
                <w:tcPr>
                  <w:tcW w:w="128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6"/>
                      <w:sz w:val="21"/>
                      <w:szCs w:val="21"/>
                      <w14:textFill>
                        <w14:solidFill>
                          <w14:schemeClr w14:val="tx1"/>
                        </w14:solidFill>
                      </w14:textFill>
                    </w:rPr>
                    <w:t>危险废物</w:t>
                  </w:r>
                </w:p>
              </w:tc>
              <w:tc>
                <w:tcPr>
                  <w:tcW w:w="480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eastAsia="宋体"/>
                      <w:color w:val="000000" w:themeColor="text1"/>
                      <w:sz w:val="21"/>
                      <w:szCs w:val="21"/>
                      <w:lang w:eastAsia="zh-CN"/>
                      <w14:textFill>
                        <w14:solidFill>
                          <w14:schemeClr w14:val="tx1"/>
                        </w14:solidFill>
                      </w14:textFill>
                    </w:rPr>
                  </w:pPr>
                  <w:r>
                    <w:rPr>
                      <w:color w:val="000000" w:themeColor="text1"/>
                      <w:spacing w:val="11"/>
                      <w:sz w:val="21"/>
                      <w:szCs w:val="21"/>
                      <w14:textFill>
                        <w14:solidFill>
                          <w14:schemeClr w14:val="tx1"/>
                        </w14:solidFill>
                      </w14:textFill>
                    </w:rPr>
                    <w:t>清罐油泥由有危险废物处置资质的单位清理并及时运走处置，不在厂区储存；污水处理站含油污泥、废</w:t>
                  </w:r>
                  <w:r>
                    <w:rPr>
                      <w:rFonts w:hint="eastAsia"/>
                      <w:color w:val="000000" w:themeColor="text1"/>
                      <w:spacing w:val="11"/>
                      <w:sz w:val="21"/>
                      <w:szCs w:val="21"/>
                      <w:lang w:val="en-US" w:eastAsia="zh-CN"/>
                      <w14:textFill>
                        <w14:solidFill>
                          <w14:schemeClr w14:val="tx1"/>
                        </w14:solidFill>
                      </w14:textFill>
                    </w:rPr>
                    <w:t>机油</w:t>
                  </w:r>
                  <w:r>
                    <w:rPr>
                      <w:color w:val="000000" w:themeColor="text1"/>
                      <w:spacing w:val="11"/>
                      <w:sz w:val="21"/>
                      <w:szCs w:val="21"/>
                      <w14:textFill>
                        <w14:solidFill>
                          <w14:schemeClr w14:val="tx1"/>
                        </w14:solidFill>
                      </w14:textFill>
                    </w:rPr>
                    <w:t>、</w:t>
                  </w:r>
                  <w:r>
                    <w:rPr>
                      <w:rFonts w:hint="eastAsia"/>
                      <w:color w:val="000000" w:themeColor="text1"/>
                      <w:spacing w:val="11"/>
                      <w:sz w:val="21"/>
                      <w:szCs w:val="21"/>
                      <w:lang w:val="en-US" w:eastAsia="zh-CN"/>
                      <w14:textFill>
                        <w14:solidFill>
                          <w14:schemeClr w14:val="tx1"/>
                        </w14:solidFill>
                      </w14:textFill>
                    </w:rPr>
                    <w:t>废油桶、废活性炭、</w:t>
                  </w:r>
                  <w:r>
                    <w:rPr>
                      <w:color w:val="000000" w:themeColor="text1"/>
                      <w:spacing w:val="11"/>
                      <w:sz w:val="21"/>
                      <w:szCs w:val="21"/>
                      <w14:textFill>
                        <w14:solidFill>
                          <w14:schemeClr w14:val="tx1"/>
                        </w14:solidFill>
                      </w14:textFill>
                    </w:rPr>
                    <w:t>含油抹布手套</w:t>
                  </w:r>
                  <w:r>
                    <w:rPr>
                      <w:color w:val="000000" w:themeColor="text1"/>
                      <w:spacing w:val="21"/>
                      <w:sz w:val="21"/>
                      <w:szCs w:val="21"/>
                      <w14:textFill>
                        <w14:solidFill>
                          <w14:schemeClr w14:val="tx1"/>
                        </w14:solidFill>
                      </w14:textFill>
                    </w:rPr>
                    <w:t>采用专用容器分类收集后暂存于危废库</w:t>
                  </w:r>
                  <w:r>
                    <w:rPr>
                      <w:color w:val="000000" w:themeColor="text1"/>
                      <w:spacing w:val="8"/>
                      <w:sz w:val="21"/>
                      <w:szCs w:val="21"/>
                      <w14:textFill>
                        <w14:solidFill>
                          <w14:schemeClr w14:val="tx1"/>
                        </w14:solidFill>
                      </w14:textFill>
                    </w:rPr>
                    <w:t>内，定期交有资质单位处置</w:t>
                  </w:r>
                  <w:r>
                    <w:rPr>
                      <w:rFonts w:hint="eastAsia"/>
                      <w:color w:val="000000" w:themeColor="text1"/>
                      <w:spacing w:val="8"/>
                      <w:sz w:val="21"/>
                      <w:szCs w:val="21"/>
                      <w:lang w:eastAsia="zh-CN"/>
                      <w14:textFill>
                        <w14:solidFill>
                          <w14:schemeClr w14:val="tx1"/>
                        </w14:solidFill>
                      </w14:textFill>
                    </w:rPr>
                    <w:t>。</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8"/>
                      <w:position w:val="2"/>
                      <w:sz w:val="21"/>
                      <w:szCs w:val="21"/>
                      <w14:textFill>
                        <w14:solidFill>
                          <w14:schemeClr w14:val="tx1"/>
                        </w14:solidFill>
                      </w14:textFill>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Merge w:val="continue"/>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pacing w:val="2"/>
                      <w:sz w:val="21"/>
                      <w:szCs w:val="21"/>
                      <w14:textFill>
                        <w14:solidFill>
                          <w14:schemeClr w14:val="tx1"/>
                        </w14:solidFill>
                      </w14:textFill>
                    </w:rPr>
                  </w:pPr>
                </w:p>
              </w:tc>
              <w:tc>
                <w:tcPr>
                  <w:tcW w:w="128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eastAsia="宋体"/>
                      <w:color w:val="000000" w:themeColor="text1"/>
                      <w:spacing w:val="6"/>
                      <w:sz w:val="21"/>
                      <w:szCs w:val="21"/>
                      <w:lang w:val="en-US" w:eastAsia="zh-CN"/>
                      <w14:textFill>
                        <w14:solidFill>
                          <w14:schemeClr w14:val="tx1"/>
                        </w14:solidFill>
                      </w14:textFill>
                    </w:rPr>
                  </w:pPr>
                  <w:r>
                    <w:rPr>
                      <w:rFonts w:hint="eastAsia"/>
                      <w:color w:val="000000" w:themeColor="text1"/>
                      <w:spacing w:val="6"/>
                      <w:sz w:val="21"/>
                      <w:szCs w:val="21"/>
                      <w:lang w:val="en-US" w:eastAsia="zh-CN"/>
                      <w14:textFill>
                        <w14:solidFill>
                          <w14:schemeClr w14:val="tx1"/>
                        </w14:solidFill>
                      </w14:textFill>
                    </w:rPr>
                    <w:t>生活垃圾</w:t>
                  </w:r>
                </w:p>
              </w:tc>
              <w:tc>
                <w:tcPr>
                  <w:tcW w:w="4805"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rFonts w:hint="eastAsia" w:eastAsia="宋体"/>
                      <w:color w:val="000000" w:themeColor="text1"/>
                      <w:spacing w:val="11"/>
                      <w:sz w:val="21"/>
                      <w:szCs w:val="21"/>
                      <w:lang w:eastAsia="zh-CN"/>
                      <w14:textFill>
                        <w14:solidFill>
                          <w14:schemeClr w14:val="tx1"/>
                        </w14:solidFill>
                      </w14:textFill>
                    </w:rPr>
                  </w:pPr>
                  <w:r>
                    <w:rPr>
                      <w:color w:val="000000" w:themeColor="text1"/>
                      <w:spacing w:val="11"/>
                      <w:sz w:val="21"/>
                      <w:szCs w:val="21"/>
                      <w14:textFill>
                        <w14:solidFill>
                          <w14:schemeClr w14:val="tx1"/>
                        </w14:solidFill>
                      </w14:textFill>
                    </w:rPr>
                    <w:t>生活垃圾采用分类垃圾桶收集，定期交</w:t>
                  </w:r>
                  <w:r>
                    <w:rPr>
                      <w:color w:val="000000" w:themeColor="text1"/>
                      <w:spacing w:val="7"/>
                      <w:sz w:val="21"/>
                      <w:szCs w:val="21"/>
                      <w14:textFill>
                        <w14:solidFill>
                          <w14:schemeClr w14:val="tx1"/>
                        </w14:solidFill>
                      </w14:textFill>
                    </w:rPr>
                    <w:t>环卫部门处置</w:t>
                  </w:r>
                  <w:r>
                    <w:rPr>
                      <w:rFonts w:hint="eastAsia"/>
                      <w:color w:val="000000" w:themeColor="text1"/>
                      <w:spacing w:val="7"/>
                      <w:sz w:val="21"/>
                      <w:szCs w:val="21"/>
                      <w:lang w:eastAsia="zh-CN"/>
                      <w14:textFill>
                        <w14:solidFill>
                          <w14:schemeClr w14:val="tx1"/>
                        </w14:solidFill>
                      </w14:textFill>
                    </w:rPr>
                    <w:t>。</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000000" w:themeColor="text1"/>
                      <w:spacing w:val="-8"/>
                      <w:positio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pacing w:val="-8"/>
                      <w:position w:val="2"/>
                      <w:sz w:val="21"/>
                      <w:szCs w:val="21"/>
                      <w:lang w:val="en-US" w:eastAsia="zh-CN"/>
                      <w14:textFill>
                        <w14:solidFill>
                          <w14:schemeClr w14:val="tx1"/>
                        </w14:solidFill>
                      </w14:textFill>
                    </w:rPr>
                    <w:t>0.2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7"/>
                      <w:sz w:val="21"/>
                      <w:szCs w:val="21"/>
                      <w14:textFill>
                        <w14:solidFill>
                          <w14:schemeClr w14:val="tx1"/>
                        </w14:solidFill>
                      </w14:textFill>
                    </w:rPr>
                    <w:t>环境管理及监测</w:t>
                  </w:r>
                </w:p>
              </w:tc>
              <w:tc>
                <w:tcPr>
                  <w:tcW w:w="6090" w:type="dxa"/>
                  <w:gridSpan w:val="2"/>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11"/>
                      <w:sz w:val="21"/>
                      <w:szCs w:val="21"/>
                      <w14:textFill>
                        <w14:solidFill>
                          <w14:schemeClr w14:val="tx1"/>
                        </w14:solidFill>
                      </w14:textFill>
                    </w:rPr>
                    <w:t>制定环境管理制度，配备专业环保管理人员，定时</w:t>
                  </w:r>
                  <w:r>
                    <w:rPr>
                      <w:rFonts w:hint="eastAsia"/>
                      <w:color w:val="000000" w:themeColor="text1"/>
                      <w:spacing w:val="11"/>
                      <w:sz w:val="21"/>
                      <w:szCs w:val="21"/>
                      <w:lang w:val="en-US" w:eastAsia="zh-CN"/>
                      <w14:textFill>
                        <w14:solidFill>
                          <w14:schemeClr w14:val="tx1"/>
                        </w14:solidFill>
                      </w14:textFill>
                    </w:rPr>
                    <w:t>委托资质单位进行</w:t>
                  </w:r>
                  <w:r>
                    <w:rPr>
                      <w:color w:val="000000" w:themeColor="text1"/>
                      <w:spacing w:val="11"/>
                      <w:sz w:val="21"/>
                      <w:szCs w:val="21"/>
                      <w14:textFill>
                        <w14:solidFill>
                          <w14:schemeClr w14:val="tx1"/>
                        </w14:solidFill>
                      </w14:textFill>
                    </w:rPr>
                    <w:t>污染源监</w:t>
                  </w:r>
                  <w:r>
                    <w:rPr>
                      <w:color w:val="000000" w:themeColor="text1"/>
                      <w:sz w:val="21"/>
                      <w:szCs w:val="21"/>
                      <w14:textFill>
                        <w14:solidFill>
                          <w14:schemeClr w14:val="tx1"/>
                        </w14:solidFill>
                      </w14:textFill>
                    </w:rPr>
                    <w:t>测</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position w:val="2"/>
                      <w:sz w:val="21"/>
                      <w:szCs w:val="21"/>
                      <w14:textFill>
                        <w14:solidFill>
                          <w14:schemeClr w14:val="tx1"/>
                        </w14:solidFill>
                      </w14:textFill>
                    </w:rPr>
                    <w:t>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Merge w:val="restart"/>
                  <w:tcBorders>
                    <w:bottom w:val="nil"/>
                  </w:tcBorders>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风险</w:t>
                  </w:r>
                </w:p>
              </w:tc>
              <w:tc>
                <w:tcPr>
                  <w:tcW w:w="6090" w:type="dxa"/>
                  <w:gridSpan w:val="2"/>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14:textFill>
                        <w14:solidFill>
                          <w14:schemeClr w14:val="tx1"/>
                        </w14:solidFill>
                      </w14:textFill>
                    </w:rPr>
                  </w:pPr>
                  <w:r>
                    <w:rPr>
                      <w:rFonts w:hint="eastAsia"/>
                      <w:color w:val="000000" w:themeColor="text1"/>
                      <w:spacing w:val="9"/>
                      <w:sz w:val="21"/>
                      <w:szCs w:val="21"/>
                      <w:lang w:val="en-US" w:eastAsia="zh-CN"/>
                      <w14:textFill>
                        <w14:solidFill>
                          <w14:schemeClr w14:val="tx1"/>
                        </w14:solidFill>
                      </w14:textFill>
                    </w:rPr>
                    <w:t>依托原有</w:t>
                  </w:r>
                  <w:r>
                    <w:rPr>
                      <w:color w:val="000000" w:themeColor="text1"/>
                      <w:spacing w:val="8"/>
                      <w:sz w:val="21"/>
                      <w:szCs w:val="21"/>
                      <w14:textFill>
                        <w14:solidFill>
                          <w14:schemeClr w14:val="tx1"/>
                        </w14:solidFill>
                      </w14:textFill>
                    </w:rPr>
                    <w:t>事故水池</w:t>
                  </w:r>
                  <w:r>
                    <w:rPr>
                      <w:rFonts w:hint="eastAsia" w:ascii="Times New Roman" w:hAnsi="Times New Roman" w:cs="Times New Roman"/>
                      <w:color w:val="000000" w:themeColor="text1"/>
                      <w:spacing w:val="8"/>
                      <w:sz w:val="21"/>
                      <w:szCs w:val="21"/>
                      <w:lang w:val="en-US" w:eastAsia="zh-CN"/>
                      <w14:textFill>
                        <w14:solidFill>
                          <w14:schemeClr w14:val="tx1"/>
                        </w14:solidFill>
                      </w14:textFill>
                    </w:rPr>
                    <w:t>310</w:t>
                  </w:r>
                  <w:r>
                    <w:rPr>
                      <w:rFonts w:ascii="Times New Roman" w:hAnsi="Times New Roman" w:eastAsia="Times New Roman" w:cs="Times New Roman"/>
                      <w:color w:val="000000" w:themeColor="text1"/>
                      <w:spacing w:val="8"/>
                      <w:sz w:val="21"/>
                      <w:szCs w:val="21"/>
                      <w14:textFill>
                        <w14:solidFill>
                          <w14:schemeClr w14:val="tx1"/>
                        </w14:solidFill>
                      </w14:textFill>
                    </w:rPr>
                    <w:t>0</w:t>
                  </w:r>
                  <w:r>
                    <w:rPr>
                      <w:rFonts w:hint="eastAsia" w:ascii="Times New Roman" w:hAnsi="Times New Roman" w:eastAsia="宋体" w:cs="Times New Roman"/>
                      <w:color w:val="000000" w:themeColor="text1"/>
                      <w:spacing w:val="8"/>
                      <w:sz w:val="21"/>
                      <w:szCs w:val="21"/>
                      <w:lang w:val="en-US" w:eastAsia="zh-CN"/>
                      <w14:textFill>
                        <w14:solidFill>
                          <w14:schemeClr w14:val="tx1"/>
                        </w14:solidFill>
                      </w14:textFill>
                    </w:rPr>
                    <w:t>m³</w:t>
                  </w:r>
                  <w:r>
                    <w:rPr>
                      <w:rFonts w:hint="eastAsia" w:ascii="Times New Roman" w:hAnsi="Times New Roman" w:eastAsia="宋体" w:cs="Times New Roman"/>
                      <w:color w:val="000000" w:themeColor="text1"/>
                      <w:spacing w:val="8"/>
                      <w:position w:val="6"/>
                      <w:sz w:val="21"/>
                      <w:szCs w:val="21"/>
                      <w:vertAlign w:val="baseline"/>
                      <w:lang w:eastAsia="zh-CN"/>
                      <w14:textFill>
                        <w14:solidFill>
                          <w14:schemeClr w14:val="tx1"/>
                        </w14:solidFill>
                      </w14:textFill>
                    </w:rPr>
                    <w:t>、</w:t>
                  </w:r>
                  <w:r>
                    <w:rPr>
                      <w:rFonts w:hint="eastAsia" w:ascii="Times New Roman" w:hAnsi="Times New Roman" w:eastAsia="宋体" w:cs="Times New Roman"/>
                      <w:color w:val="000000" w:themeColor="text1"/>
                      <w:spacing w:val="8"/>
                      <w:position w:val="6"/>
                      <w:sz w:val="21"/>
                      <w:szCs w:val="21"/>
                      <w:vertAlign w:val="baseline"/>
                      <w:lang w:val="en-US" w:eastAsia="zh-CN"/>
                      <w14:textFill>
                        <w14:solidFill>
                          <w14:schemeClr w14:val="tx1"/>
                        </w14:solidFill>
                      </w14:textFill>
                    </w:rPr>
                    <w:t>初期雨水池1000m³。</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972"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Arial"/>
                      <w:color w:val="000000" w:themeColor="text1"/>
                      <w:sz w:val="21"/>
                      <w:szCs w:val="21"/>
                      <w14:textFill>
                        <w14:solidFill>
                          <w14:schemeClr w14:val="tx1"/>
                        </w14:solidFill>
                      </w14:textFill>
                    </w:rPr>
                  </w:pPr>
                </w:p>
              </w:tc>
              <w:tc>
                <w:tcPr>
                  <w:tcW w:w="6090" w:type="dxa"/>
                  <w:gridSpan w:val="2"/>
                  <w:vAlign w:val="center"/>
                </w:tcPr>
                <w:p>
                  <w:pPr>
                    <w:pStyle w:val="96"/>
                    <w:keepNext w:val="0"/>
                    <w:keepLines w:val="0"/>
                    <w:pageBreakBefore w:val="0"/>
                    <w:widowControl/>
                    <w:kinsoku w:val="0"/>
                    <w:wordWrap/>
                    <w:overflowPunct/>
                    <w:topLinePunct w:val="0"/>
                    <w:autoSpaceDE w:val="0"/>
                    <w:autoSpaceDN w:val="0"/>
                    <w:bidi w:val="0"/>
                    <w:adjustRightInd w:val="0"/>
                    <w:snapToGrid w:val="0"/>
                    <w:spacing w:beforeLines="0" w:afterLines="0" w:line="240" w:lineRule="auto"/>
                    <w:ind w:left="0" w:right="0" w:firstLine="0" w:firstLineChars="0"/>
                    <w:jc w:val="center"/>
                    <w:textAlignment w:val="baseline"/>
                    <w:rPr>
                      <w:color w:val="000000" w:themeColor="text1"/>
                      <w:sz w:val="21"/>
                      <w:szCs w:val="21"/>
                      <w14:textFill>
                        <w14:solidFill>
                          <w14:schemeClr w14:val="tx1"/>
                        </w14:solidFill>
                      </w14:textFill>
                    </w:rPr>
                  </w:pPr>
                  <w:r>
                    <w:rPr>
                      <w:color w:val="000000" w:themeColor="text1"/>
                      <w:spacing w:val="9"/>
                      <w:sz w:val="21"/>
                      <w:szCs w:val="21"/>
                      <w14:textFill>
                        <w14:solidFill>
                          <w14:schemeClr w14:val="tx1"/>
                        </w14:solidFill>
                      </w14:textFill>
                    </w:rPr>
                    <w:t>储油罐区设立警告牌，配备相应的应急物资</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pacing w:val="-8"/>
                      <w:position w:val="1"/>
                      <w:sz w:val="21"/>
                      <w:szCs w:val="21"/>
                      <w:lang w:val="en-US" w:eastAsia="zh-CN"/>
                      <w14:textFill>
                        <w14:solidFill>
                          <w14:schemeClr w14:val="tx1"/>
                        </w14:solidFill>
                      </w14:textFill>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7062" w:type="dxa"/>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0"/>
                      <w:position w:val="-2"/>
                      <w:sz w:val="21"/>
                      <w:szCs w:val="21"/>
                      <w14:textFill>
                        <w14:solidFill>
                          <w14:schemeClr w14:val="tx1"/>
                        </w14:solidFill>
                      </w14:textFill>
                    </w:rPr>
                    <w:t>——</w:t>
                  </w:r>
                </w:p>
              </w:tc>
              <w:tc>
                <w:tcPr>
                  <w:tcW w:w="836"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pacing w:val="-1"/>
                      <w:sz w:val="21"/>
                      <w:szCs w:val="21"/>
                      <w:lang w:eastAsia="zh-CN"/>
                      <w14:textFill>
                        <w14:solidFill>
                          <w14:schemeClr w14:val="tx1"/>
                        </w14:solidFill>
                      </w14:textFill>
                    </w:rPr>
                    <w:t>189.2</w:t>
                  </w:r>
                </w:p>
              </w:tc>
            </w:tr>
          </w:tbl>
          <w:p>
            <w:pPr>
              <w:numPr>
                <w:ilvl w:val="0"/>
                <w:numId w:val="0"/>
              </w:numPr>
              <w:bidi w:val="0"/>
              <w:spacing w:line="360" w:lineRule="auto"/>
              <w:ind w:left="0" w:leftChars="0" w:firstLine="480" w:firstLineChars="200"/>
              <w:jc w:val="both"/>
              <w:rPr>
                <w:rFonts w:hint="eastAsia"/>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八、</w:t>
            </w:r>
            <w:r>
              <w:rPr>
                <w:rFonts w:hint="eastAsia"/>
                <w:color w:val="000000" w:themeColor="text1"/>
                <w:sz w:val="24"/>
                <w:szCs w:val="24"/>
                <w:highlight w:val="none"/>
                <w:lang w:val="en-US" w:eastAsia="zh-CN"/>
                <w14:textFill>
                  <w14:solidFill>
                    <w14:schemeClr w14:val="tx1"/>
                  </w14:solidFill>
                </w14:textFill>
              </w:rPr>
              <w:t>三本账分析</w:t>
            </w:r>
          </w:p>
          <w:p>
            <w:pPr>
              <w:pStyle w:val="6"/>
              <w:widowControl w:val="0"/>
              <w:numPr>
                <w:ilvl w:val="0"/>
                <w:numId w:val="0"/>
              </w:numPr>
              <w:adjustRightInd w:val="0"/>
              <w:spacing w:line="360" w:lineRule="auto"/>
              <w:ind w:firstLine="420"/>
              <w:jc w:val="both"/>
              <w:textAlignment w:val="baseline"/>
              <w:rPr>
                <w:rFonts w:hint="eastAsia"/>
                <w:color w:val="000000" w:themeColor="text1"/>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项目三本账情况如下表。</w:t>
            </w:r>
          </w:p>
          <w:p>
            <w:pPr>
              <w:pStyle w:val="6"/>
              <w:widowControl w:val="0"/>
              <w:numPr>
                <w:ilvl w:val="0"/>
                <w:numId w:val="0"/>
              </w:numPr>
              <w:adjustRightInd w:val="0"/>
              <w:spacing w:line="320" w:lineRule="atLeast"/>
              <w:ind w:firstLine="420"/>
              <w:jc w:val="center"/>
              <w:textAlignment w:val="baseline"/>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表4-19 项目三本账一览表</w:t>
            </w:r>
          </w:p>
          <w:tbl>
            <w:tblPr>
              <w:tblStyle w:val="27"/>
              <w:tblW w:w="8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3"/>
              <w:gridCol w:w="713"/>
              <w:gridCol w:w="764"/>
              <w:gridCol w:w="1357"/>
              <w:gridCol w:w="1148"/>
              <w:gridCol w:w="1059"/>
              <w:gridCol w:w="1215"/>
              <w:gridCol w:w="1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pacing w:val="-5"/>
                      <w:sz w:val="21"/>
                      <w:szCs w:val="21"/>
                      <w:highlight w:val="none"/>
                      <w14:textFill>
                        <w14:solidFill>
                          <w14:schemeClr w14:val="tx1"/>
                        </w14:solidFill>
                      </w14:textFill>
                    </w:rPr>
                    <w:t>污染</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pacing w:val="-4"/>
                      <w:sz w:val="21"/>
                      <w:szCs w:val="21"/>
                      <w:highlight w:val="none"/>
                      <w14:textFill>
                        <w14:solidFill>
                          <w14:schemeClr w14:val="tx1"/>
                        </w14:solidFill>
                      </w14:textFill>
                    </w:rPr>
                    <w:t>类别</w:t>
                  </w:r>
                </w:p>
              </w:tc>
              <w:tc>
                <w:tcPr>
                  <w:tcW w:w="71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pacing w:val="-6"/>
                      <w:sz w:val="21"/>
                      <w:szCs w:val="21"/>
                      <w:highlight w:val="none"/>
                      <w14:textFill>
                        <w14:solidFill>
                          <w14:schemeClr w14:val="tx1"/>
                        </w14:solidFill>
                      </w14:textFill>
                    </w:rPr>
                    <w:t>污染</w:t>
                  </w:r>
                  <w:r>
                    <w:rPr>
                      <w:rFonts w:hint="default" w:ascii="Times New Roman" w:hAnsi="Times New Roman" w:cs="Times New Roman"/>
                      <w:color w:val="000000" w:themeColor="text1"/>
                      <w:sz w:val="21"/>
                      <w:szCs w:val="21"/>
                      <w:highlight w:val="none"/>
                      <w14:textFill>
                        <w14:solidFill>
                          <w14:schemeClr w14:val="tx1"/>
                        </w14:solidFill>
                      </w14:textFill>
                    </w:rPr>
                    <w:t xml:space="preserve"> </w:t>
                  </w:r>
                  <w:r>
                    <w:rPr>
                      <w:rFonts w:hint="default" w:ascii="Times New Roman" w:hAnsi="Times New Roman" w:cs="Times New Roman"/>
                      <w:b/>
                      <w:bCs/>
                      <w:color w:val="000000" w:themeColor="text1"/>
                      <w:spacing w:val="-3"/>
                      <w:sz w:val="21"/>
                      <w:szCs w:val="21"/>
                      <w:highlight w:val="none"/>
                      <w14:textFill>
                        <w14:solidFill>
                          <w14:schemeClr w14:val="tx1"/>
                        </w14:solidFill>
                      </w14:textFill>
                    </w:rPr>
                    <w:t>源</w:t>
                  </w:r>
                </w:p>
              </w:tc>
              <w:tc>
                <w:tcPr>
                  <w:tcW w:w="764"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pacing w:val="-4"/>
                      <w:sz w:val="21"/>
                      <w:szCs w:val="21"/>
                      <w:highlight w:val="none"/>
                      <w14:textFill>
                        <w14:solidFill>
                          <w14:schemeClr w14:val="tx1"/>
                        </w14:solidFill>
                      </w14:textFill>
                    </w:rPr>
                    <w:t>污染物</w:t>
                  </w:r>
                </w:p>
              </w:tc>
              <w:tc>
                <w:tcPr>
                  <w:tcW w:w="1357"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pacing w:val="-4"/>
                      <w:sz w:val="21"/>
                      <w:szCs w:val="21"/>
                      <w:highlight w:val="none"/>
                      <w14:textFill>
                        <w14:solidFill>
                          <w14:schemeClr w14:val="tx1"/>
                        </w14:solidFill>
                      </w14:textFill>
                    </w:rPr>
                    <w:t>现有工程</w:t>
                  </w:r>
                  <w:r>
                    <w:rPr>
                      <w:rFonts w:hint="eastAsia" w:ascii="Times New Roman" w:hAnsi="Times New Roman" w:cs="Times New Roman"/>
                      <w:b/>
                      <w:bCs/>
                      <w:color w:val="000000" w:themeColor="text1"/>
                      <w:spacing w:val="-4"/>
                      <w:sz w:val="21"/>
                      <w:szCs w:val="21"/>
                      <w:highlight w:val="none"/>
                      <w:lang w:val="en-US" w:eastAsia="zh-CN"/>
                      <w14:textFill>
                        <w14:solidFill>
                          <w14:schemeClr w14:val="tx1"/>
                        </w14:solidFill>
                      </w14:textFill>
                    </w:rPr>
                    <w:t>许可</w:t>
                  </w:r>
                  <w:r>
                    <w:rPr>
                      <w:rFonts w:hint="default" w:ascii="Times New Roman" w:hAnsi="Times New Roman" w:cs="Times New Roman"/>
                      <w:b/>
                      <w:bCs/>
                      <w:color w:val="000000" w:themeColor="text1"/>
                      <w:spacing w:val="-4"/>
                      <w:sz w:val="21"/>
                      <w:szCs w:val="21"/>
                      <w:highlight w:val="none"/>
                      <w14:textFill>
                        <w14:solidFill>
                          <w14:schemeClr w14:val="tx1"/>
                        </w14:solidFill>
                      </w14:textFill>
                    </w:rPr>
                    <w:t>量</w:t>
                  </w:r>
                  <w:r>
                    <w:rPr>
                      <w:rFonts w:hint="default" w:ascii="Times New Roman" w:hAnsi="Times New Roman" w:eastAsia="Times New Roman" w:cs="Times New Roman"/>
                      <w:color w:val="000000" w:themeColor="text1"/>
                      <w:spacing w:val="-2"/>
                      <w:sz w:val="21"/>
                      <w:szCs w:val="21"/>
                      <w:highlight w:val="none"/>
                      <w:lang w:val="en-US" w:eastAsia="zh-CN"/>
                      <w14:textFill>
                        <w14:solidFill>
                          <w14:schemeClr w14:val="tx1"/>
                        </w14:solidFill>
                      </w14:textFill>
                    </w:rPr>
                    <w:t>t/</w:t>
                  </w:r>
                  <w:r>
                    <w:commentReference w:id="96"/>
                  </w:r>
                  <w:r>
                    <w:rPr>
                      <w:rFonts w:hint="default" w:ascii="Times New Roman" w:hAnsi="Times New Roman" w:eastAsia="Times New Roman" w:cs="Times New Roman"/>
                      <w:color w:val="000000" w:themeColor="text1"/>
                      <w:spacing w:val="-2"/>
                      <w:sz w:val="21"/>
                      <w:szCs w:val="21"/>
                      <w:highlight w:val="none"/>
                      <w:lang w:val="en-US" w:eastAsia="zh-CN"/>
                      <w14:textFill>
                        <w14:solidFill>
                          <w14:schemeClr w14:val="tx1"/>
                        </w14:solidFill>
                      </w14:textFill>
                    </w:rPr>
                    <w:t>a</w:t>
                  </w:r>
                </w:p>
              </w:tc>
              <w:tc>
                <w:tcPr>
                  <w:tcW w:w="1148"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b/>
                      <w:bCs/>
                      <w:color w:val="000000" w:themeColor="text1"/>
                      <w:spacing w:val="-3"/>
                      <w:sz w:val="21"/>
                      <w:szCs w:val="21"/>
                      <w:highlight w:val="none"/>
                      <w:lang w:val="en-US" w:eastAsia="zh-CN"/>
                      <w14:textFill>
                        <w14:solidFill>
                          <w14:schemeClr w14:val="tx1"/>
                        </w14:solidFill>
                      </w14:textFill>
                    </w:rPr>
                    <w:t>改建项目</w:t>
                  </w:r>
                  <w:r>
                    <w:rPr>
                      <w:rFonts w:hint="default" w:ascii="Times New Roman" w:hAnsi="Times New Roman" w:cs="Times New Roman"/>
                      <w:b/>
                      <w:bCs/>
                      <w:color w:val="000000" w:themeColor="text1"/>
                      <w:spacing w:val="-3"/>
                      <w:sz w:val="21"/>
                      <w:szCs w:val="21"/>
                      <w:highlight w:val="none"/>
                      <w14:textFill>
                        <w14:solidFill>
                          <w14:schemeClr w14:val="tx1"/>
                        </w14:solidFill>
                      </w14:textFill>
                    </w:rPr>
                    <w:t>排放量</w:t>
                  </w:r>
                  <w:r>
                    <w:rPr>
                      <w:rFonts w:hint="default" w:ascii="Times New Roman" w:hAnsi="Times New Roman" w:eastAsia="Times New Roman" w:cs="Times New Roman"/>
                      <w:color w:val="000000" w:themeColor="text1"/>
                      <w:spacing w:val="-2"/>
                      <w:sz w:val="21"/>
                      <w:szCs w:val="21"/>
                      <w:highlight w:val="none"/>
                      <w:lang w:val="en-US" w:eastAsia="zh-CN"/>
                      <w14:textFill>
                        <w14:solidFill>
                          <w14:schemeClr w14:val="tx1"/>
                        </w14:solidFill>
                      </w14:textFill>
                    </w:rPr>
                    <w:t>t/a</w:t>
                  </w:r>
                </w:p>
              </w:tc>
              <w:tc>
                <w:tcPr>
                  <w:tcW w:w="1059"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pacing w:val="-10"/>
                      <w:sz w:val="21"/>
                      <w:szCs w:val="21"/>
                      <w:highlight w:val="none"/>
                      <w14:textFill>
                        <w14:solidFill>
                          <w14:schemeClr w14:val="tx1"/>
                        </w14:solidFill>
                      </w14:textFill>
                    </w:rPr>
                    <w:t>以新带老</w:t>
                  </w:r>
                  <w:r>
                    <w:rPr>
                      <w:rFonts w:hint="default" w:ascii="Times New Roman" w:hAnsi="Times New Roman" w:cs="Times New Roman"/>
                      <w:b/>
                      <w:bCs/>
                      <w:color w:val="000000" w:themeColor="text1"/>
                      <w:spacing w:val="-7"/>
                      <w:sz w:val="21"/>
                      <w:szCs w:val="21"/>
                      <w:highlight w:val="none"/>
                      <w14:textFill>
                        <w14:solidFill>
                          <w14:schemeClr w14:val="tx1"/>
                        </w14:solidFill>
                      </w14:textFill>
                    </w:rPr>
                    <w:t>削减量</w:t>
                  </w:r>
                  <w:r>
                    <w:rPr>
                      <w:rFonts w:hint="default" w:ascii="Times New Roman" w:hAnsi="Times New Roman" w:eastAsia="Times New Roman" w:cs="Times New Roman"/>
                      <w:color w:val="000000" w:themeColor="text1"/>
                      <w:spacing w:val="-2"/>
                      <w:sz w:val="21"/>
                      <w:szCs w:val="21"/>
                      <w:highlight w:val="none"/>
                      <w:lang w:val="en-US" w:eastAsia="zh-CN"/>
                      <w14:textFill>
                        <w14:solidFill>
                          <w14:schemeClr w14:val="tx1"/>
                        </w14:solidFill>
                      </w14:textFill>
                    </w:rPr>
                    <w:t>t/a</w:t>
                  </w:r>
                </w:p>
              </w:tc>
              <w:tc>
                <w:tcPr>
                  <w:tcW w:w="1215"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b/>
                      <w:bCs/>
                      <w:color w:val="000000" w:themeColor="text1"/>
                      <w:spacing w:val="-4"/>
                      <w:sz w:val="21"/>
                      <w:szCs w:val="21"/>
                      <w:highlight w:val="none"/>
                      <w:lang w:val="en-US" w:eastAsia="zh-CN"/>
                      <w14:textFill>
                        <w14:solidFill>
                          <w14:schemeClr w14:val="tx1"/>
                        </w14:solidFill>
                      </w14:textFill>
                    </w:rPr>
                    <w:t>改建后</w:t>
                  </w:r>
                  <w:r>
                    <w:rPr>
                      <w:rFonts w:hint="default" w:ascii="Times New Roman" w:hAnsi="Times New Roman" w:cs="Times New Roman"/>
                      <w:b/>
                      <w:bCs/>
                      <w:color w:val="000000" w:themeColor="text1"/>
                      <w:spacing w:val="-3"/>
                      <w:sz w:val="21"/>
                      <w:szCs w:val="21"/>
                      <w:highlight w:val="none"/>
                      <w14:textFill>
                        <w14:solidFill>
                          <w14:schemeClr w14:val="tx1"/>
                        </w14:solidFill>
                      </w14:textFill>
                    </w:rPr>
                    <w:t>总排放量</w:t>
                  </w:r>
                  <w:r>
                    <w:rPr>
                      <w:rFonts w:hint="default" w:ascii="Times New Roman" w:hAnsi="Times New Roman" w:eastAsia="Times New Roman" w:cs="Times New Roman"/>
                      <w:color w:val="000000" w:themeColor="text1"/>
                      <w:spacing w:val="-2"/>
                      <w:sz w:val="21"/>
                      <w:szCs w:val="21"/>
                      <w:highlight w:val="none"/>
                      <w:lang w:val="en-US" w:eastAsia="zh-CN"/>
                      <w14:textFill>
                        <w14:solidFill>
                          <w14:schemeClr w14:val="tx1"/>
                        </w14:solidFill>
                      </w14:textFill>
                    </w:rPr>
                    <w:t>t/a</w:t>
                  </w:r>
                </w:p>
              </w:tc>
              <w:tc>
                <w:tcPr>
                  <w:tcW w:w="1257"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b/>
                      <w:bCs/>
                      <w:color w:val="000000" w:themeColor="text1"/>
                      <w:spacing w:val="-4"/>
                      <w:sz w:val="21"/>
                      <w:szCs w:val="21"/>
                      <w:highlight w:val="none"/>
                      <w:lang w:val="en-US" w:eastAsia="zh-CN"/>
                      <w14:textFill>
                        <w14:solidFill>
                          <w14:schemeClr w14:val="tx1"/>
                        </w14:solidFill>
                      </w14:textFill>
                    </w:rPr>
                    <w:t>改建</w:t>
                  </w:r>
                  <w:r>
                    <w:rPr>
                      <w:rFonts w:hint="default" w:ascii="Times New Roman" w:hAnsi="Times New Roman" w:cs="Times New Roman"/>
                      <w:b/>
                      <w:bCs/>
                      <w:color w:val="000000" w:themeColor="text1"/>
                      <w:spacing w:val="-4"/>
                      <w:sz w:val="21"/>
                      <w:szCs w:val="21"/>
                      <w:highlight w:val="none"/>
                      <w14:textFill>
                        <w14:solidFill>
                          <w14:schemeClr w14:val="tx1"/>
                        </w14:solidFill>
                      </w14:textFill>
                    </w:rPr>
                    <w:t>后增</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pacing w:val="-4"/>
                      <w:sz w:val="21"/>
                      <w:szCs w:val="21"/>
                      <w:highlight w:val="none"/>
                      <w14:textFill>
                        <w14:solidFill>
                          <w14:schemeClr w14:val="tx1"/>
                        </w14:solidFill>
                      </w14:textFill>
                    </w:rPr>
                    <w:t>减量</w:t>
                  </w:r>
                  <w:r>
                    <w:rPr>
                      <w:rFonts w:hint="default" w:ascii="Times New Roman" w:hAnsi="Times New Roman" w:eastAsia="Times New Roman" w:cs="Times New Roman"/>
                      <w:color w:val="000000" w:themeColor="text1"/>
                      <w:spacing w:val="-2"/>
                      <w:sz w:val="21"/>
                      <w:szCs w:val="21"/>
                      <w:highlight w:val="none"/>
                      <w:lang w:val="en-US" w:eastAsia="zh-CN"/>
                      <w14:textFill>
                        <w14:solidFill>
                          <w14:schemeClr w14:val="tx1"/>
                        </w14:solidFill>
                      </w14:textFill>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废气</w:t>
                  </w:r>
                </w:p>
              </w:tc>
              <w:tc>
                <w:tcPr>
                  <w:tcW w:w="71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生产过程、锅炉运行</w:t>
                  </w:r>
                </w:p>
              </w:tc>
              <w:tc>
                <w:tcPr>
                  <w:tcW w:w="764" w:type="dxa"/>
                  <w:noWrap w:val="0"/>
                  <w:vAlign w:val="center"/>
                </w:tcPr>
                <w:p>
                  <w:pPr>
                    <w:pStyle w:val="80"/>
                    <w:keepNext w:val="0"/>
                    <w:keepLines w:val="0"/>
                    <w:pageBreakBefore w:val="0"/>
                    <w:kinsoku/>
                    <w:wordWrap/>
                    <w:overflowPunct/>
                    <w:topLinePunct w:val="0"/>
                    <w:autoSpaceDE/>
                    <w:autoSpaceDN/>
                    <w:bidi w:val="0"/>
                    <w:adjustRightInd w:val="0"/>
                    <w:snapToGrid w:val="0"/>
                    <w:spacing w:before="0" w:line="240" w:lineRule="auto"/>
                    <w:ind w:left="0" w:leftChars="0" w:right="0" w:righ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VOCs</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eastAsia" w:ascii="Times New Roman" w:hAnsi="Times New Roman" w:eastAsia="宋体" w:cs="Times New Roman"/>
                      <w:color w:val="FF0000"/>
                      <w:spacing w:val="-2"/>
                      <w:sz w:val="21"/>
                      <w:szCs w:val="21"/>
                      <w:highlight w:val="none"/>
                      <w:lang w:val="en-US" w:eastAsia="zh-CN"/>
                    </w:rPr>
                  </w:pPr>
                  <w:r>
                    <w:rPr>
                      <w:rFonts w:hint="eastAsia" w:cs="Times New Roman"/>
                      <w:i w:val="0"/>
                      <w:iCs w:val="0"/>
                      <w:color w:val="FF0000"/>
                      <w:kern w:val="0"/>
                      <w:sz w:val="21"/>
                      <w:szCs w:val="21"/>
                      <w:u w:val="none"/>
                      <w:lang w:val="en-US" w:eastAsia="zh-CN" w:bidi="ar"/>
                    </w:rPr>
                    <w:t>0</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eastAsia" w:ascii="Times New Roman" w:hAnsi="Times New Roman" w:eastAsia="宋体" w:cs="Times New Roman"/>
                      <w:color w:val="FF0000"/>
                      <w:spacing w:val="-2"/>
                      <w:sz w:val="21"/>
                      <w:szCs w:val="21"/>
                      <w:highlight w:val="none"/>
                      <w:lang w:val="en-US" w:eastAsia="zh-CN"/>
                    </w:rPr>
                  </w:pPr>
                  <w:r>
                    <w:rPr>
                      <w:rFonts w:hint="eastAsia" w:cs="Times New Roman"/>
                      <w:i w:val="0"/>
                      <w:iCs w:val="0"/>
                      <w:color w:val="FF0000"/>
                      <w:kern w:val="0"/>
                      <w:sz w:val="21"/>
                      <w:szCs w:val="21"/>
                      <w:u w:val="none"/>
                      <w:lang w:val="en-US" w:eastAsia="zh-CN" w:bidi="ar"/>
                    </w:rPr>
                    <w:t>1.54</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Times New Roman" w:cs="Times New Roman"/>
                      <w:color w:val="FF0000"/>
                      <w:spacing w:val="-2"/>
                      <w:sz w:val="21"/>
                      <w:szCs w:val="21"/>
                      <w:highlight w:val="none"/>
                    </w:rPr>
                  </w:pPr>
                  <w:r>
                    <w:rPr>
                      <w:rFonts w:hint="eastAsia" w:cs="Times New Roman"/>
                      <w:i w:val="0"/>
                      <w:iCs w:val="0"/>
                      <w:color w:val="FF0000"/>
                      <w:kern w:val="0"/>
                      <w:sz w:val="21"/>
                      <w:szCs w:val="21"/>
                      <w:u w:val="none"/>
                      <w:lang w:val="en-US" w:eastAsia="zh-CN" w:bidi="ar"/>
                    </w:rPr>
                    <w:t>0</w:t>
                  </w:r>
                </w:p>
              </w:tc>
              <w:tc>
                <w:tcPr>
                  <w:tcW w:w="12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Times New Roman" w:cs="Times New Roman"/>
                      <w:color w:val="FF0000"/>
                      <w:spacing w:val="-2"/>
                      <w:sz w:val="21"/>
                      <w:szCs w:val="21"/>
                      <w:highlight w:val="none"/>
                      <w:lang w:val="en-US" w:eastAsia="zh-CN"/>
                    </w:rPr>
                  </w:pPr>
                  <w:r>
                    <w:rPr>
                      <w:color w:val="FF0000"/>
                      <w:sz w:val="21"/>
                      <w:szCs w:val="21"/>
                    </w:rPr>
                    <w:commentReference w:id="97"/>
                  </w:r>
                  <w:r>
                    <w:rPr>
                      <w:rFonts w:hint="eastAsia"/>
                      <w:color w:val="FF0000"/>
                      <w:sz w:val="21"/>
                      <w:szCs w:val="21"/>
                      <w:lang w:val="en-US" w:eastAsia="zh-CN"/>
                    </w:rPr>
                    <w:t>1.54</w:t>
                  </w:r>
                </w:p>
              </w:tc>
              <w:tc>
                <w:tcPr>
                  <w:tcW w:w="1257"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Times New Roman" w:cs="Times New Roman"/>
                      <w:color w:val="FF0000"/>
                      <w:spacing w:val="-2"/>
                      <w:kern w:val="2"/>
                      <w:sz w:val="21"/>
                      <w:szCs w:val="21"/>
                      <w:highlight w:val="none"/>
                      <w:lang w:val="en-US" w:eastAsia="zh-CN" w:bidi="ar-SA"/>
                    </w:rPr>
                  </w:pPr>
                  <w:r>
                    <w:rPr>
                      <w:rFonts w:hint="eastAsia" w:cs="Times New Roman"/>
                      <w:i w:val="0"/>
                      <w:iCs w:val="0"/>
                      <w:color w:val="FF0000"/>
                      <w:kern w:val="0"/>
                      <w:sz w:val="21"/>
                      <w:szCs w:val="21"/>
                      <w:u w:val="none"/>
                      <w:lang w:val="en-US" w:eastAsia="zh-CN" w:bidi="ar"/>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vMerge w:val="restart"/>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废水</w:t>
                  </w:r>
                </w:p>
              </w:tc>
              <w:tc>
                <w:tcPr>
                  <w:tcW w:w="713" w:type="dxa"/>
                  <w:vMerge w:val="restart"/>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员工</w:t>
                  </w:r>
                  <w:r>
                    <w:rPr>
                      <w:rFonts w:hint="default" w:ascii="Times New Roman" w:hAnsi="Times New Roman" w:cs="Times New Roman"/>
                      <w:color w:val="000000" w:themeColor="text1"/>
                      <w:spacing w:val="-2"/>
                      <w:sz w:val="21"/>
                      <w:szCs w:val="21"/>
                      <w:highlight w:val="none"/>
                      <w14:textFill>
                        <w14:solidFill>
                          <w14:schemeClr w14:val="tx1"/>
                        </w14:solidFill>
                      </w14:textFill>
                    </w:rPr>
                    <w:t>生活污水</w:t>
                  </w:r>
                  <w:r>
                    <w:rPr>
                      <w:rFonts w:hint="eastAsia" w:ascii="Times New Roman" w:hAnsi="Times New Roman" w:cs="Times New Roman"/>
                      <w:color w:val="000000" w:themeColor="text1"/>
                      <w:spacing w:val="-2"/>
                      <w:sz w:val="21"/>
                      <w:szCs w:val="21"/>
                      <w:highlight w:val="none"/>
                      <w:lang w:eastAsia="zh-CN"/>
                      <w14:textFill>
                        <w14:solidFill>
                          <w14:schemeClr w14:val="tx1"/>
                        </w14:solidFill>
                      </w14:textFill>
                    </w:rPr>
                    <w:t>、</w:t>
                  </w: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生产废水</w:t>
                  </w:r>
                </w:p>
              </w:tc>
              <w:tc>
                <w:tcPr>
                  <w:tcW w:w="764"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废水量</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0</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2800</w:t>
                  </w:r>
                </w:p>
              </w:tc>
              <w:tc>
                <w:tcPr>
                  <w:tcW w:w="12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vMerge w:val="continue"/>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pacing w:val="-2"/>
                      <w:sz w:val="21"/>
                      <w:szCs w:val="21"/>
                      <w:highlight w:val="none"/>
                      <w14:textFill>
                        <w14:solidFill>
                          <w14:schemeClr w14:val="tx1"/>
                        </w14:solidFill>
                      </w14:textFill>
                    </w:rPr>
                  </w:pPr>
                </w:p>
              </w:tc>
              <w:tc>
                <w:tcPr>
                  <w:tcW w:w="713" w:type="dxa"/>
                  <w:vMerge w:val="continue"/>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pacing w:val="-4"/>
                      <w:sz w:val="21"/>
                      <w:szCs w:val="21"/>
                      <w:highlight w:val="none"/>
                      <w14:textFill>
                        <w14:solidFill>
                          <w14:schemeClr w14:val="tx1"/>
                        </w14:solidFill>
                      </w14:textFill>
                    </w:rPr>
                  </w:pPr>
                </w:p>
              </w:tc>
              <w:tc>
                <w:tcPr>
                  <w:tcW w:w="764"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COD</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0</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0.32</w:t>
                  </w:r>
                </w:p>
              </w:tc>
              <w:tc>
                <w:tcPr>
                  <w:tcW w:w="12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vMerge w:val="continue"/>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pacing w:val="-2"/>
                      <w:sz w:val="21"/>
                      <w:szCs w:val="21"/>
                      <w:highlight w:val="none"/>
                      <w14:textFill>
                        <w14:solidFill>
                          <w14:schemeClr w14:val="tx1"/>
                        </w14:solidFill>
                      </w14:textFill>
                    </w:rPr>
                  </w:pPr>
                </w:p>
              </w:tc>
              <w:tc>
                <w:tcPr>
                  <w:tcW w:w="713" w:type="dxa"/>
                  <w:vMerge w:val="continue"/>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pacing w:val="-4"/>
                      <w:sz w:val="21"/>
                      <w:szCs w:val="21"/>
                      <w:highlight w:val="none"/>
                      <w14:textFill>
                        <w14:solidFill>
                          <w14:schemeClr w14:val="tx1"/>
                        </w14:solidFill>
                      </w14:textFill>
                    </w:rPr>
                  </w:pPr>
                </w:p>
              </w:tc>
              <w:tc>
                <w:tcPr>
                  <w:tcW w:w="764"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氨氮</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0</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0.003</w:t>
                  </w:r>
                </w:p>
              </w:tc>
              <w:tc>
                <w:tcPr>
                  <w:tcW w:w="12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生活垃圾</w:t>
                  </w:r>
                </w:p>
              </w:tc>
              <w:tc>
                <w:tcPr>
                  <w:tcW w:w="71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办公</w:t>
                  </w:r>
                </w:p>
              </w:tc>
              <w:tc>
                <w:tcPr>
                  <w:tcW w:w="764"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生活垃圾</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0</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3</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3.04</w:t>
                  </w:r>
                </w:p>
              </w:tc>
              <w:tc>
                <w:tcPr>
                  <w:tcW w:w="1215"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3</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危险废物</w:t>
                  </w:r>
                </w:p>
              </w:tc>
              <w:tc>
                <w:tcPr>
                  <w:tcW w:w="71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highlight w:val="none"/>
                      <w:lang w:val="en-US" w:eastAsia="zh-CN"/>
                      <w14:textFill>
                        <w14:solidFill>
                          <w14:schemeClr w14:val="tx1"/>
                        </w14:solidFill>
                      </w14:textFill>
                    </w:rPr>
                    <w:t>储罐</w:t>
                  </w:r>
                </w:p>
              </w:tc>
              <w:tc>
                <w:tcPr>
                  <w:tcW w:w="76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清罐油泥</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60t/5a</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420" w:firstLineChars="20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215"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60t/5a</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60t/5a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1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3"/>
                      <w:sz w:val="21"/>
                      <w:szCs w:val="21"/>
                      <w:highlight w:val="none"/>
                      <w:lang w:val="en-US" w:eastAsia="zh-CN"/>
                      <w14:textFill>
                        <w14:solidFill>
                          <w14:schemeClr w14:val="tx1"/>
                        </w14:solidFill>
                      </w14:textFill>
                    </w:rPr>
                    <w:t>污水处理系统</w:t>
                  </w:r>
                </w:p>
              </w:tc>
              <w:tc>
                <w:tcPr>
                  <w:tcW w:w="76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cente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污水处理系统含油污泥</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2.1</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420" w:firstLineChars="20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215"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2.1</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13" w:type="dxa"/>
                  <w:vMerge w:val="restart"/>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pacing w:val="-3"/>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highlight w:val="none"/>
                      <w:lang w:val="en-US" w:eastAsia="zh-CN"/>
                      <w14:textFill>
                        <w14:solidFill>
                          <w14:schemeClr w14:val="tx1"/>
                        </w14:solidFill>
                      </w14:textFill>
                    </w:rPr>
                    <w:t>设备维护</w:t>
                  </w:r>
                </w:p>
              </w:tc>
              <w:tc>
                <w:tcPr>
                  <w:tcW w:w="76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center"/>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废机油</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420" w:firstLineChars="20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2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13" w:type="dxa"/>
                  <w:vMerge w:val="continue"/>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pPr>
                </w:p>
              </w:tc>
              <w:tc>
                <w:tcPr>
                  <w:tcW w:w="76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center"/>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废油桶</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0.05</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420" w:firstLineChars="20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2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0.05</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1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pacing w:val="-3"/>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highlight w:val="none"/>
                      <w:lang w:val="en-US" w:eastAsia="zh-CN"/>
                      <w14:textFill>
                        <w14:solidFill>
                          <w14:schemeClr w14:val="tx1"/>
                        </w14:solidFill>
                      </w14:textFill>
                    </w:rPr>
                    <w:t>油气回收装置</w:t>
                  </w:r>
                </w:p>
              </w:tc>
              <w:tc>
                <w:tcPr>
                  <w:tcW w:w="76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center"/>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废活性炭</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10t/2a</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420" w:firstLineChars="20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2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10t/2a</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+10t/2a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713" w:type="dxa"/>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rFonts w:hint="default" w:ascii="Times New Roman" w:hAnsi="Times New Roman" w:cs="Times New Roman"/>
                      <w:color w:val="000000" w:themeColor="text1"/>
                      <w:spacing w:val="-3"/>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highlight w:val="none"/>
                      <w:lang w:val="en-US" w:eastAsia="zh-CN"/>
                      <w14:textFill>
                        <w14:solidFill>
                          <w14:schemeClr w14:val="tx1"/>
                        </w14:solidFill>
                      </w14:textFill>
                    </w:rPr>
                    <w:t>设备委会</w:t>
                  </w:r>
                </w:p>
              </w:tc>
              <w:tc>
                <w:tcPr>
                  <w:tcW w:w="76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center"/>
                    <w:rPr>
                      <w:rFonts w:hint="eastAsia"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含油抹布、手套</w:t>
                  </w:r>
                </w:p>
              </w:tc>
              <w:tc>
                <w:tcPr>
                  <w:tcW w:w="13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w:t>
                  </w:r>
                </w:p>
              </w:tc>
              <w:tc>
                <w:tcPr>
                  <w:tcW w:w="114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p>
              </w:tc>
              <w:tc>
                <w:tcPr>
                  <w:tcW w:w="10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420" w:firstLineChars="200"/>
                    <w:jc w:val="center"/>
                    <w:textAlignment w:val="top"/>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c>
                <w:tcPr>
                  <w:tcW w:w="12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p>
              </w:tc>
              <w:tc>
                <w:tcPr>
                  <w:tcW w:w="125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p>
              </w:tc>
            </w:tr>
          </w:tbl>
          <w:p>
            <w:pPr>
              <w:pStyle w:val="6"/>
              <w:widowControl w:val="0"/>
              <w:numPr>
                <w:ilvl w:val="0"/>
                <w:numId w:val="0"/>
              </w:numPr>
              <w:adjustRightInd w:val="0"/>
              <w:spacing w:line="320" w:lineRule="atLeast"/>
              <w:ind w:firstLine="420"/>
              <w:jc w:val="center"/>
              <w:textAlignment w:val="baseline"/>
              <w:rPr>
                <w:rFonts w:hint="default"/>
                <w:color w:val="000000" w:themeColor="text1"/>
                <w:lang w:val="en-US" w:eastAsia="zh-CN"/>
                <w14:textFill>
                  <w14:solidFill>
                    <w14:schemeClr w14:val="tx1"/>
                  </w14:solidFill>
                </w14:textFill>
              </w:rPr>
            </w:pPr>
          </w:p>
        </w:tc>
      </w:tr>
    </w:tbl>
    <w:p>
      <w:pPr>
        <w:adjustRightInd w:val="0"/>
        <w:snapToGrid w:val="0"/>
        <w:spacing w:line="360" w:lineRule="auto"/>
        <w:rPr>
          <w:rFonts w:hint="default" w:ascii="Times New Roman" w:hAnsi="Times New Roman" w:cs="Times New Roman"/>
          <w:b/>
          <w:color w:val="000000" w:themeColor="text1"/>
          <w:kern w:val="0"/>
          <w:sz w:val="28"/>
          <w:szCs w:val="28"/>
          <w:highlight w:val="none"/>
          <w14:textFill>
            <w14:solidFill>
              <w14:schemeClr w14:val="tx1"/>
            </w14:solidFill>
          </w14:textFill>
        </w:rPr>
        <w:sectPr>
          <w:footerReference r:id="rId13" w:type="default"/>
          <w:pgSz w:w="11907" w:h="16840"/>
          <w:pgMar w:top="1134" w:right="1134" w:bottom="1134"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2"/>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五、</w:t>
      </w:r>
      <w:bookmarkStart w:id="10" w:name="_Hlk54167917"/>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环境保护措施监督检查清单</w:t>
      </w:r>
      <w:bookmarkEnd w:id="10"/>
    </w:p>
    <w:tbl>
      <w:tblPr>
        <w:tblStyle w:val="27"/>
        <w:tblW w:w="94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375"/>
        <w:gridCol w:w="1667"/>
        <w:gridCol w:w="289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内容</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要素</w:t>
            </w:r>
          </w:p>
        </w:tc>
        <w:tc>
          <w:tcPr>
            <w:tcW w:w="175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排放口</w:t>
            </w:r>
            <w:r>
              <w:rPr>
                <w:rFonts w:hint="default"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编号、</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名称</w:t>
            </w:r>
            <w:r>
              <w:rPr>
                <w:rFonts w:hint="default"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污染源</w:t>
            </w:r>
          </w:p>
        </w:tc>
        <w:tc>
          <w:tcPr>
            <w:tcW w:w="137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污染物项目</w:t>
            </w:r>
          </w:p>
        </w:tc>
        <w:tc>
          <w:tcPr>
            <w:tcW w:w="16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环境保护措施</w:t>
            </w:r>
          </w:p>
        </w:tc>
        <w:tc>
          <w:tcPr>
            <w:tcW w:w="28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大气环境</w:t>
            </w:r>
          </w:p>
        </w:tc>
        <w:tc>
          <w:tcPr>
            <w:tcW w:w="175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油气处理系统排放口（DA001）</w:t>
            </w:r>
          </w:p>
        </w:tc>
        <w:tc>
          <w:tcPr>
            <w:tcW w:w="137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非甲烷总烃</w:t>
            </w:r>
          </w:p>
        </w:tc>
        <w:tc>
          <w:tcPr>
            <w:tcW w:w="16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经管线收集后</w:t>
            </w:r>
            <w:r>
              <w:rPr>
                <w:rFonts w:hint="eastAsia" w:cs="Times New Roman"/>
                <w:color w:val="000000" w:themeColor="text1"/>
                <w:szCs w:val="21"/>
                <w:highlight w:val="none"/>
                <w:lang w:val="en-US" w:eastAsia="zh-CN"/>
                <w14:textFill>
                  <w14:solidFill>
                    <w14:schemeClr w14:val="tx1"/>
                  </w14:solidFill>
                </w14:textFill>
              </w:rPr>
              <w:t>经</w:t>
            </w:r>
            <w:r>
              <w:rPr>
                <w:rFonts w:hint="default" w:ascii="Times New Roman" w:hAnsi="Times New Roman" w:eastAsia="宋体" w:cs="Times New Roman"/>
                <w:color w:val="000000" w:themeColor="text1"/>
                <w:szCs w:val="21"/>
                <w:highlight w:val="none"/>
                <w14:textFill>
                  <w14:solidFill>
                    <w14:schemeClr w14:val="tx1"/>
                  </w14:solidFill>
                </w14:textFill>
              </w:rPr>
              <w:t>1套油气</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回收装置处理经1</w:t>
            </w:r>
            <w:r>
              <w:rPr>
                <w:rFonts w:hint="default" w:ascii="Times New Roman" w:hAnsi="Times New Roman" w:eastAsia="宋体" w:cs="Times New Roman"/>
                <w:color w:val="000000" w:themeColor="text1"/>
                <w:szCs w:val="21"/>
                <w:highlight w:val="none"/>
                <w14:textFill>
                  <w14:solidFill>
                    <w14:schemeClr w14:val="tx1"/>
                  </w14:solidFill>
                </w14:textFill>
              </w:rPr>
              <w:t>5m高排气</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筒排放</w:t>
            </w:r>
          </w:p>
        </w:tc>
        <w:tc>
          <w:tcPr>
            <w:tcW w:w="28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r>
              <w:rPr>
                <w:rFonts w:hint="eastAsia" w:cs="Times New Roman"/>
                <w:color w:val="000000" w:themeColor="text1"/>
                <w:szCs w:val="21"/>
                <w:highlight w:val="none"/>
                <w:lang w:eastAsia="zh-CN"/>
                <w14:textFill>
                  <w14:solidFill>
                    <w14:schemeClr w14:val="tx1"/>
                  </w14:solidFill>
                </w14:textFill>
              </w:rPr>
              <w:t>石油炼制工业</w:t>
            </w:r>
            <w:r>
              <w:rPr>
                <w:rFonts w:hint="default" w:ascii="Times New Roman" w:hAnsi="Times New Roman" w:eastAsia="宋体" w:cs="Times New Roman"/>
                <w:color w:val="000000" w:themeColor="text1"/>
                <w:szCs w:val="21"/>
                <w:highlight w:val="none"/>
                <w14:textFill>
                  <w14:solidFill>
                    <w14:schemeClr w14:val="tx1"/>
                  </w14:solidFill>
                </w14:textFill>
              </w:rPr>
              <w:t>污染物排放标准》（GB</w:t>
            </w:r>
            <w:r>
              <w:rPr>
                <w:rFonts w:hint="eastAsia" w:cs="Times New Roman"/>
                <w:color w:val="000000" w:themeColor="text1"/>
                <w:szCs w:val="21"/>
                <w:highlight w:val="none"/>
                <w:lang w:eastAsia="zh-CN"/>
                <w14:textFill>
                  <w14:solidFill>
                    <w14:schemeClr w14:val="tx1"/>
                  </w14:solidFill>
                </w14:textFill>
              </w:rPr>
              <w:t>31570</w:t>
            </w:r>
            <w:r>
              <w:rPr>
                <w:rFonts w:hint="default" w:ascii="Times New Roman" w:hAnsi="Times New Roman" w:eastAsia="宋体" w:cs="Times New Roman"/>
                <w:color w:val="000000" w:themeColor="text1"/>
                <w:szCs w:val="21"/>
                <w:highlight w:val="none"/>
                <w14:textFill>
                  <w14:solidFill>
                    <w14:schemeClr w14:val="tx1"/>
                  </w14:solidFill>
                </w14:textFill>
              </w:rPr>
              <w:t>-2015）及其修改单表</w:t>
            </w:r>
            <w:r>
              <w:rPr>
                <w:rFonts w:hint="eastAsia" w:cs="Times New Roman"/>
                <w:color w:val="000000" w:themeColor="text1"/>
                <w:szCs w:val="2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有组织</w:t>
            </w:r>
            <w:r>
              <w:rPr>
                <w:rFonts w:hint="default" w:ascii="Times New Roman" w:hAnsi="Times New Roman" w:eastAsia="宋体" w:cs="Times New Roman"/>
                <w:color w:val="000000" w:themeColor="text1"/>
                <w:szCs w:val="21"/>
                <w:highlight w:val="none"/>
                <w14:textFill>
                  <w14:solidFill>
                    <w14:schemeClr w14:val="tx1"/>
                  </w14:solidFill>
                </w14:textFill>
              </w:rPr>
              <w:t>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69" w:hRule="atLeast"/>
          <w:jc w:val="center"/>
        </w:trPr>
        <w:tc>
          <w:tcPr>
            <w:tcW w:w="177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p>
        </w:tc>
        <w:tc>
          <w:tcPr>
            <w:tcW w:w="175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无组织废气</w:t>
            </w:r>
          </w:p>
        </w:tc>
        <w:tc>
          <w:tcPr>
            <w:tcW w:w="137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非甲烷总烃</w:t>
            </w:r>
          </w:p>
        </w:tc>
        <w:tc>
          <w:tcPr>
            <w:tcW w:w="16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采用内浮顶罐、LDAR监测技术</w:t>
            </w:r>
          </w:p>
        </w:tc>
        <w:tc>
          <w:tcPr>
            <w:tcW w:w="28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r>
              <w:rPr>
                <w:rFonts w:hint="eastAsia" w:cs="Times New Roman"/>
                <w:color w:val="000000" w:themeColor="text1"/>
                <w:szCs w:val="21"/>
                <w:highlight w:val="none"/>
                <w:lang w:eastAsia="zh-CN"/>
                <w14:textFill>
                  <w14:solidFill>
                    <w14:schemeClr w14:val="tx1"/>
                  </w14:solidFill>
                </w14:textFill>
              </w:rPr>
              <w:t>石油炼制工业</w:t>
            </w:r>
            <w:r>
              <w:rPr>
                <w:rFonts w:hint="default" w:ascii="Times New Roman" w:hAnsi="Times New Roman" w:eastAsia="宋体" w:cs="Times New Roman"/>
                <w:color w:val="000000" w:themeColor="text1"/>
                <w:szCs w:val="21"/>
                <w:highlight w:val="none"/>
                <w14:textFill>
                  <w14:solidFill>
                    <w14:schemeClr w14:val="tx1"/>
                  </w14:solidFill>
                </w14:textFill>
              </w:rPr>
              <w:t>污染物排放标准》（GB</w:t>
            </w:r>
            <w:r>
              <w:rPr>
                <w:rFonts w:hint="eastAsia" w:cs="Times New Roman"/>
                <w:color w:val="000000" w:themeColor="text1"/>
                <w:szCs w:val="21"/>
                <w:highlight w:val="none"/>
                <w:lang w:eastAsia="zh-CN"/>
                <w14:textFill>
                  <w14:solidFill>
                    <w14:schemeClr w14:val="tx1"/>
                  </w14:solidFill>
                </w14:textFill>
              </w:rPr>
              <w:t>31570</w:t>
            </w:r>
            <w:r>
              <w:rPr>
                <w:rFonts w:hint="default" w:ascii="Times New Roman" w:hAnsi="Times New Roman" w:eastAsia="宋体" w:cs="Times New Roman"/>
                <w:color w:val="000000" w:themeColor="text1"/>
                <w:szCs w:val="21"/>
                <w:highlight w:val="none"/>
                <w14:textFill>
                  <w14:solidFill>
                    <w14:schemeClr w14:val="tx1"/>
                  </w14:solidFill>
                </w14:textFill>
              </w:rPr>
              <w:t>-2015）及其修改单表</w:t>
            </w:r>
            <w:r>
              <w:rPr>
                <w:rFonts w:hint="eastAsia" w:cs="Times New Roman"/>
                <w:color w:val="000000" w:themeColor="text1"/>
                <w:szCs w:val="21"/>
                <w:highlight w:val="none"/>
                <w:lang w:val="en-US" w:eastAsia="zh-CN"/>
                <w14:textFill>
                  <w14:solidFill>
                    <w14:schemeClr w14:val="tx1"/>
                  </w14:solidFill>
                </w14:textFill>
              </w:rPr>
              <w:t>5</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无组织</w:t>
            </w:r>
            <w:r>
              <w:rPr>
                <w:rFonts w:hint="default" w:ascii="Times New Roman" w:hAnsi="Times New Roman" w:eastAsia="宋体" w:cs="Times New Roman"/>
                <w:color w:val="000000" w:themeColor="text1"/>
                <w:szCs w:val="21"/>
                <w:highlight w:val="none"/>
                <w14:textFill>
                  <w14:solidFill>
                    <w14:schemeClr w14:val="tx1"/>
                  </w14:solidFill>
                </w14:textFill>
              </w:rPr>
              <w:t>排放限值</w:t>
            </w:r>
            <w:r>
              <w:rPr>
                <w:rFonts w:hint="eastAsia" w:ascii="Times New Roman" w:hAnsi="Times New Roman" w:eastAsia="宋体"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lang w:val="en-US"/>
                <w14:textFill>
                  <w14:solidFill>
                    <w14:schemeClr w14:val="tx1"/>
                  </w14:solidFill>
                </w14:textFill>
              </w:rPr>
              <w:t>《挥发性有机物无组织排放控制标准》（GB37822-2019）表A.1厂区内VOCs无组织排放限值要求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地表水环境</w:t>
            </w:r>
          </w:p>
        </w:tc>
        <w:tc>
          <w:tcPr>
            <w:tcW w:w="175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生活污水</w:t>
            </w:r>
          </w:p>
        </w:tc>
        <w:tc>
          <w:tcPr>
            <w:tcW w:w="137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COD、氨氮、BOD</w:t>
            </w:r>
            <w:r>
              <w:rPr>
                <w:rFonts w:hint="eastAsia" w:cs="Times New Roman"/>
                <w:color w:val="000000" w:themeColor="text1"/>
                <w:szCs w:val="21"/>
                <w:highlight w:val="none"/>
                <w:vertAlign w:val="subscript"/>
                <w:lang w:val="en-US" w:eastAsia="zh-CN"/>
                <w14:textFill>
                  <w14:solidFill>
                    <w14:schemeClr w14:val="tx1"/>
                  </w14:solidFill>
                </w14:textFill>
              </w:rPr>
              <w:t>5</w:t>
            </w:r>
            <w:r>
              <w:rPr>
                <w:rFonts w:hint="eastAsia" w:cs="Times New Roman"/>
                <w:color w:val="000000" w:themeColor="text1"/>
                <w:szCs w:val="21"/>
                <w:highlight w:val="none"/>
                <w:lang w:val="en-US" w:eastAsia="zh-CN"/>
                <w14:textFill>
                  <w14:solidFill>
                    <w14:schemeClr w14:val="tx1"/>
                  </w14:solidFill>
                </w14:textFill>
              </w:rPr>
              <w:t>、SS</w:t>
            </w:r>
          </w:p>
        </w:tc>
        <w:tc>
          <w:tcPr>
            <w:tcW w:w="16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经原有化粪池、污水处理站处理后，排</w:t>
            </w:r>
            <w:r>
              <w:rPr>
                <w:rFonts w:hint="default"/>
                <w:color w:val="000000" w:themeColor="text1"/>
                <w:highlight w:val="none"/>
                <w14:textFill>
                  <w14:solidFill>
                    <w14:schemeClr w14:val="tx1"/>
                  </w14:solidFill>
                </w14:textFill>
              </w:rPr>
              <w:t>鄂尔多斯市泰鑫煤炭有限公司</w:t>
            </w:r>
            <w:r>
              <w:rPr>
                <w:rFonts w:hint="eastAsia"/>
                <w:color w:val="000000" w:themeColor="text1"/>
                <w:highlight w:val="none"/>
                <w:lang w:val="en-US" w:eastAsia="zh-CN"/>
                <w14:textFill>
                  <w14:solidFill>
                    <w14:schemeClr w14:val="tx1"/>
                  </w14:solidFill>
                </w14:textFill>
              </w:rPr>
              <w:t>用于</w:t>
            </w:r>
            <w:r>
              <w:rPr>
                <w:rFonts w:hint="default"/>
                <w:color w:val="000000" w:themeColor="text1"/>
                <w:highlight w:val="none"/>
                <w14:textFill>
                  <w14:solidFill>
                    <w14:schemeClr w14:val="tx1"/>
                  </w14:solidFill>
                </w14:textFill>
              </w:rPr>
              <w:t>洗煤</w:t>
            </w:r>
          </w:p>
        </w:tc>
        <w:tc>
          <w:tcPr>
            <w:tcW w:w="289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《石油炼制工业污染物排放标准》（GB31570-2015）及其修改单表1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新建企业水污染物排放浓度限值</w:t>
            </w:r>
            <w:r>
              <w:rPr>
                <w:rFonts w:hint="eastAsia" w:cs="Times New Roman"/>
                <w:color w:val="000000" w:themeColor="text1"/>
                <w:sz w:val="24"/>
                <w:highlight w:val="none"/>
                <w:lang w:val="en-US" w:eastAsia="zh-CN"/>
                <w14:textFill>
                  <w14:solidFill>
                    <w14:schemeClr w14:val="tx1"/>
                  </w14:solidFill>
                </w14:textFill>
              </w:rPr>
              <w:t>及《煤炭工业污染物排放标准》（GB20426-2006）表3标准限值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p>
        </w:tc>
        <w:tc>
          <w:tcPr>
            <w:tcW w:w="175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地面清洗废水、初期雨水</w:t>
            </w:r>
          </w:p>
        </w:tc>
        <w:tc>
          <w:tcPr>
            <w:tcW w:w="137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COD、氨氮、BOD</w:t>
            </w:r>
            <w:r>
              <w:rPr>
                <w:rFonts w:hint="eastAsia" w:cs="Times New Roman"/>
                <w:color w:val="000000" w:themeColor="text1"/>
                <w:szCs w:val="21"/>
                <w:highlight w:val="none"/>
                <w:vertAlign w:val="subscript"/>
                <w:lang w:val="en-US" w:eastAsia="zh-CN"/>
                <w14:textFill>
                  <w14:solidFill>
                    <w14:schemeClr w14:val="tx1"/>
                  </w14:solidFill>
                </w14:textFill>
              </w:rPr>
              <w:t>5</w:t>
            </w:r>
            <w:r>
              <w:rPr>
                <w:rFonts w:hint="eastAsia" w:cs="Times New Roman"/>
                <w:color w:val="000000" w:themeColor="text1"/>
                <w:szCs w:val="21"/>
                <w:highlight w:val="none"/>
                <w:lang w:val="en-US" w:eastAsia="zh-CN"/>
                <w14:textFill>
                  <w14:solidFill>
                    <w14:schemeClr w14:val="tx1"/>
                  </w14:solidFill>
                </w14:textFill>
              </w:rPr>
              <w:t>、SS、石油类</w:t>
            </w:r>
          </w:p>
        </w:tc>
        <w:tc>
          <w:tcPr>
            <w:tcW w:w="16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原有污水处理站处理后，排鄂尔多斯市泰鑫煤炭有限公司用于洗煤</w:t>
            </w:r>
          </w:p>
        </w:tc>
        <w:tc>
          <w:tcPr>
            <w:tcW w:w="289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000000" w:themeColor="text1"/>
                <w:szCs w:val="2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声环境</w:t>
            </w:r>
          </w:p>
        </w:tc>
        <w:tc>
          <w:tcPr>
            <w:tcW w:w="175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设备噪声</w:t>
            </w:r>
          </w:p>
        </w:tc>
        <w:tc>
          <w:tcPr>
            <w:tcW w:w="137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噪声</w:t>
            </w:r>
          </w:p>
        </w:tc>
        <w:tc>
          <w:tcPr>
            <w:tcW w:w="16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选用低噪声设备、基础减震</w:t>
            </w:r>
          </w:p>
        </w:tc>
        <w:tc>
          <w:tcPr>
            <w:tcW w:w="28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《工业企业厂界环境噪声排放标准》（GB12348-2008）</w:t>
            </w:r>
            <w:r>
              <w:rPr>
                <w:rFonts w:hint="eastAsia" w:cs="Times New Roman"/>
                <w:color w:val="000000" w:themeColor="text1"/>
                <w:szCs w:val="21"/>
                <w:highlight w:val="none"/>
                <w:lang w:val="en-US" w:eastAsia="zh-CN"/>
                <w14:textFill>
                  <w14:solidFill>
                    <w14:schemeClr w14:val="tx1"/>
                  </w14:solidFill>
                </w14:textFill>
              </w:rPr>
              <w:t>3类</w:t>
            </w:r>
            <w:r>
              <w:rPr>
                <w:rFonts w:hint="default" w:ascii="Times New Roman" w:hAnsi="Times New Roman" w:cs="Times New Roman"/>
                <w:color w:val="000000" w:themeColor="text1"/>
                <w:szCs w:val="21"/>
                <w:highlight w:val="none"/>
                <w14:textFill>
                  <w14:solidFill>
                    <w14:schemeClr w14:val="tx1"/>
                  </w14:solidFill>
                </w14:textFill>
              </w:rPr>
              <w:t>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电磁辐射</w:t>
            </w:r>
          </w:p>
        </w:tc>
        <w:tc>
          <w:tcPr>
            <w:tcW w:w="175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c>
          <w:tcPr>
            <w:tcW w:w="137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c>
          <w:tcPr>
            <w:tcW w:w="166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c>
          <w:tcPr>
            <w:tcW w:w="28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77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固体废物</w:t>
            </w:r>
          </w:p>
        </w:tc>
        <w:tc>
          <w:tcPr>
            <w:tcW w:w="7690" w:type="dxa"/>
            <w:gridSpan w:val="4"/>
            <w:noWrap w:val="0"/>
            <w:vAlign w:val="top"/>
          </w:tcPr>
          <w:p>
            <w:pPr>
              <w:pStyle w:val="96"/>
              <w:spacing w:before="41" w:line="247" w:lineRule="auto"/>
              <w:ind w:left="106" w:right="104" w:firstLine="3"/>
              <w:jc w:val="both"/>
              <w:rPr>
                <w:rFonts w:hint="default" w:ascii="Times New Roman" w:hAnsi="Times New Roman" w:cs="Times New Roman" w:eastAsiaTheme="minorEastAsia"/>
                <w:color w:val="000000" w:themeColor="text1"/>
                <w:sz w:val="24"/>
                <w:szCs w:val="24"/>
                <w:lang w:eastAsia="zh-CN"/>
                <w14:textFill>
                  <w14:solidFill>
                    <w14:schemeClr w14:val="tx1"/>
                  </w14:solidFill>
                </w14:textFill>
              </w:rPr>
            </w:pPr>
            <w:r>
              <w:rPr>
                <w:rFonts w:hint="eastAsia" w:asciiTheme="minorEastAsia" w:hAnsiTheme="minorEastAsia" w:eastAsiaTheme="minorEastAsia" w:cstheme="minorEastAsia"/>
                <w:color w:val="000000" w:themeColor="text1"/>
                <w:spacing w:val="11"/>
                <w:sz w:val="24"/>
                <w:szCs w:val="24"/>
                <w14:textFill>
                  <w14:solidFill>
                    <w14:schemeClr w14:val="tx1"/>
                  </w14:solidFill>
                </w14:textFill>
              </w:rPr>
              <w:t>危险废物：清罐油泥由有危险废物处置资质的单位清理并及时运走处置，不在厂</w:t>
            </w:r>
            <w:r>
              <w:rPr>
                <w:rFonts w:hint="default" w:ascii="Times New Roman" w:hAnsi="Times New Roman" w:cs="Times New Roman" w:eastAsiaTheme="minorEastAsia"/>
                <w:color w:val="000000" w:themeColor="text1"/>
                <w:spacing w:val="11"/>
                <w:sz w:val="24"/>
                <w:szCs w:val="24"/>
                <w14:textFill>
                  <w14:solidFill>
                    <w14:schemeClr w14:val="tx1"/>
                  </w14:solidFill>
                </w14:textFill>
              </w:rPr>
              <w:t>区储存；污水处理站含油污泥、废</w:t>
            </w:r>
            <w:r>
              <w:rPr>
                <w:rFonts w:hint="default" w:ascii="Times New Roman" w:hAnsi="Times New Roman" w:cs="Times New Roman" w:eastAsiaTheme="minorEastAsia"/>
                <w:color w:val="000000" w:themeColor="text1"/>
                <w:spacing w:val="11"/>
                <w:sz w:val="24"/>
                <w:szCs w:val="24"/>
                <w:lang w:val="en-US" w:eastAsia="zh-CN"/>
                <w14:textFill>
                  <w14:solidFill>
                    <w14:schemeClr w14:val="tx1"/>
                  </w14:solidFill>
                </w14:textFill>
              </w:rPr>
              <w:t>机</w:t>
            </w:r>
            <w:r>
              <w:rPr>
                <w:rFonts w:hint="default" w:ascii="Times New Roman" w:hAnsi="Times New Roman" w:cs="Times New Roman" w:eastAsiaTheme="minorEastAsia"/>
                <w:color w:val="000000" w:themeColor="text1"/>
                <w:spacing w:val="11"/>
                <w:sz w:val="24"/>
                <w:szCs w:val="24"/>
                <w14:textFill>
                  <w14:solidFill>
                    <w14:schemeClr w14:val="tx1"/>
                  </w14:solidFill>
                </w14:textFill>
              </w:rPr>
              <w:t>油、</w:t>
            </w:r>
            <w:r>
              <w:rPr>
                <w:rFonts w:hint="default" w:ascii="Times New Roman" w:hAnsi="Times New Roman" w:cs="Times New Roman" w:eastAsiaTheme="minorEastAsia"/>
                <w:color w:val="000000" w:themeColor="text1"/>
                <w:spacing w:val="11"/>
                <w:sz w:val="24"/>
                <w:szCs w:val="24"/>
                <w:lang w:val="en-US" w:eastAsia="zh-CN"/>
                <w14:textFill>
                  <w14:solidFill>
                    <w14:schemeClr w14:val="tx1"/>
                  </w14:solidFill>
                </w14:textFill>
              </w:rPr>
              <w:t>废油桶</w:t>
            </w:r>
            <w:r>
              <w:rPr>
                <w:rFonts w:hint="default" w:ascii="Times New Roman" w:hAnsi="Times New Roman" w:cs="Times New Roman" w:eastAsiaTheme="minorEastAsia"/>
                <w:color w:val="000000" w:themeColor="text1"/>
                <w:spacing w:val="11"/>
                <w:sz w:val="24"/>
                <w:szCs w:val="24"/>
                <w14:textFill>
                  <w14:solidFill>
                    <w14:schemeClr w14:val="tx1"/>
                  </w14:solidFill>
                </w14:textFill>
              </w:rPr>
              <w:t>、</w:t>
            </w:r>
            <w:r>
              <w:rPr>
                <w:rFonts w:hint="eastAsia" w:ascii="Times New Roman" w:hAnsi="Times New Roman" w:cs="Times New Roman" w:eastAsiaTheme="minorEastAsia"/>
                <w:color w:val="000000" w:themeColor="text1"/>
                <w:spacing w:val="11"/>
                <w:sz w:val="24"/>
                <w:szCs w:val="24"/>
                <w:lang w:val="en-US" w:eastAsia="zh-CN"/>
                <w14:textFill>
                  <w14:solidFill>
                    <w14:schemeClr w14:val="tx1"/>
                  </w14:solidFill>
                </w14:textFill>
              </w:rPr>
              <w:t>废活性炭、</w:t>
            </w:r>
            <w:r>
              <w:rPr>
                <w:rFonts w:hint="default" w:ascii="Times New Roman" w:hAnsi="Times New Roman" w:cs="Times New Roman" w:eastAsiaTheme="minorEastAsia"/>
                <w:color w:val="000000" w:themeColor="text1"/>
                <w:spacing w:val="11"/>
                <w:sz w:val="24"/>
                <w:szCs w:val="24"/>
                <w14:textFill>
                  <w14:solidFill>
                    <w14:schemeClr w14:val="tx1"/>
                  </w14:solidFill>
                </w14:textFill>
              </w:rPr>
              <w:t>含油抹布手套</w:t>
            </w:r>
            <w:r>
              <w:rPr>
                <w:rFonts w:hint="default" w:ascii="Times New Roman" w:hAnsi="Times New Roman" w:cs="Times New Roman" w:eastAsiaTheme="minorEastAsia"/>
                <w:color w:val="000000" w:themeColor="text1"/>
                <w:spacing w:val="8"/>
                <w:sz w:val="24"/>
                <w:szCs w:val="24"/>
                <w14:textFill>
                  <w14:solidFill>
                    <w14:schemeClr w14:val="tx1"/>
                  </w14:solidFill>
                </w14:textFill>
              </w:rPr>
              <w:t>采用专用容器分类收集后暂存于危废库内（厂区</w:t>
            </w:r>
            <w:r>
              <w:rPr>
                <w:rFonts w:hint="default" w:ascii="Times New Roman" w:hAnsi="Times New Roman" w:cs="Times New Roman" w:eastAsiaTheme="minorEastAsia"/>
                <w:color w:val="000000" w:themeColor="text1"/>
                <w:spacing w:val="8"/>
                <w:sz w:val="24"/>
                <w:szCs w:val="24"/>
                <w:lang w:val="en-US" w:eastAsia="zh-CN"/>
                <w14:textFill>
                  <w14:solidFill>
                    <w14:schemeClr w14:val="tx1"/>
                  </w14:solidFill>
                </w14:textFill>
              </w:rPr>
              <w:t>东</w:t>
            </w:r>
            <w:r>
              <w:rPr>
                <w:rFonts w:hint="default" w:ascii="Times New Roman" w:hAnsi="Times New Roman" w:cs="Times New Roman" w:eastAsiaTheme="minorEastAsia"/>
                <w:color w:val="000000" w:themeColor="text1"/>
                <w:spacing w:val="8"/>
                <w:sz w:val="24"/>
                <w:szCs w:val="24"/>
                <w14:textFill>
                  <w14:solidFill>
                    <w14:schemeClr w14:val="tx1"/>
                  </w14:solidFill>
                </w14:textFill>
              </w:rPr>
              <w:t>南部，建筑</w:t>
            </w:r>
            <w:r>
              <w:rPr>
                <w:rFonts w:hint="default" w:asciiTheme="minorEastAsia" w:hAnsiTheme="minorEastAsia" w:eastAsiaTheme="minorEastAsia" w:cstheme="minorEastAsia"/>
                <w:color w:val="000000" w:themeColor="text1"/>
                <w:spacing w:val="11"/>
                <w:sz w:val="24"/>
                <w:szCs w:val="24"/>
                <w14:textFill>
                  <w14:solidFill>
                    <w14:schemeClr w14:val="tx1"/>
                  </w14:solidFill>
                </w14:textFill>
              </w:rPr>
              <w:t>面积</w:t>
            </w:r>
            <w:r>
              <w:rPr>
                <w:rFonts w:hint="default" w:asciiTheme="minorEastAsia" w:hAnsiTheme="minorEastAsia" w:eastAsiaTheme="minorEastAsia" w:cstheme="minorEastAsia"/>
                <w:color w:val="000000" w:themeColor="text1"/>
                <w:spacing w:val="11"/>
                <w:sz w:val="24"/>
                <w:szCs w:val="24"/>
                <w:lang w:val="en-US" w:eastAsia="zh-CN"/>
                <w14:textFill>
                  <w14:solidFill>
                    <w14:schemeClr w14:val="tx1"/>
                  </w14:solidFill>
                </w14:textFill>
              </w:rPr>
              <w:t>34</w:t>
            </w:r>
            <w:r>
              <w:rPr>
                <w:rFonts w:hint="default" w:asciiTheme="minorEastAsia" w:hAnsiTheme="minorEastAsia" w:eastAsiaTheme="minorEastAsia" w:cstheme="minorEastAsia"/>
                <w:color w:val="000000" w:themeColor="text1"/>
                <w:spacing w:val="11"/>
                <w:sz w:val="24"/>
                <w:szCs w:val="24"/>
                <w14:textFill>
                  <w14:solidFill>
                    <w14:schemeClr w14:val="tx1"/>
                  </w14:solidFill>
                </w14:textFill>
              </w:rPr>
              <w:t>m</w:t>
            </w:r>
            <w:r>
              <w:rPr>
                <w:rFonts w:hint="default" w:asciiTheme="minorEastAsia" w:hAnsiTheme="minorEastAsia" w:eastAsiaTheme="minorEastAsia" w:cstheme="minorEastAsia"/>
                <w:color w:val="000000" w:themeColor="text1"/>
                <w:spacing w:val="11"/>
                <w:sz w:val="24"/>
                <w:szCs w:val="24"/>
                <w:vertAlign w:val="superscript"/>
                <w14:textFill>
                  <w14:solidFill>
                    <w14:schemeClr w14:val="tx1"/>
                  </w14:solidFill>
                </w14:textFill>
              </w:rPr>
              <w:t>2</w:t>
            </w:r>
            <w:r>
              <w:rPr>
                <w:rFonts w:hint="default" w:asciiTheme="minorEastAsia" w:hAnsiTheme="minorEastAsia" w:eastAsiaTheme="minorEastAsia" w:cstheme="minorEastAsia"/>
                <w:color w:val="000000" w:themeColor="text1"/>
                <w:spacing w:val="11"/>
                <w:sz w:val="24"/>
                <w:szCs w:val="24"/>
                <w14:textFill>
                  <w14:solidFill>
                    <w14:schemeClr w14:val="tx1"/>
                  </w14:solidFill>
                </w14:textFill>
              </w:rPr>
              <w:t>），</w:t>
            </w:r>
            <w:r>
              <w:rPr>
                <w:rFonts w:hint="default" w:ascii="Times New Roman" w:hAnsi="Times New Roman" w:cs="Times New Roman" w:eastAsiaTheme="minorEastAsia"/>
                <w:color w:val="000000" w:themeColor="text1"/>
                <w:spacing w:val="7"/>
                <w:sz w:val="24"/>
                <w:szCs w:val="24"/>
                <w14:textFill>
                  <w14:solidFill>
                    <w14:schemeClr w14:val="tx1"/>
                  </w14:solidFill>
                </w14:textFill>
              </w:rPr>
              <w:t>定</w:t>
            </w:r>
            <w:r>
              <w:rPr>
                <w:rFonts w:hint="default" w:ascii="Times New Roman" w:hAnsi="Times New Roman" w:cs="Times New Roman" w:eastAsiaTheme="minorEastAsia"/>
                <w:color w:val="000000" w:themeColor="text1"/>
                <w:spacing w:val="8"/>
                <w:sz w:val="24"/>
                <w:szCs w:val="24"/>
                <w14:textFill>
                  <w14:solidFill>
                    <w14:schemeClr w14:val="tx1"/>
                  </w14:solidFill>
                </w14:textFill>
              </w:rPr>
              <w:t>期交有资质单位处置</w:t>
            </w:r>
            <w:r>
              <w:rPr>
                <w:rFonts w:hint="default" w:ascii="Times New Roman" w:hAnsi="Times New Roman" w:cs="Times New Roman" w:eastAsiaTheme="minorEastAsia"/>
                <w:color w:val="000000" w:themeColor="text1"/>
                <w:spacing w:val="8"/>
                <w:sz w:val="24"/>
                <w:szCs w:val="24"/>
                <w:lang w:eastAsia="zh-CN"/>
                <w14:textFill>
                  <w14:solidFill>
                    <w14:schemeClr w14:val="tx1"/>
                  </w14:solidFill>
                </w14:textFill>
              </w:rPr>
              <w:t>。</w:t>
            </w:r>
          </w:p>
          <w:p>
            <w:pPr>
              <w:pStyle w:val="96"/>
              <w:spacing w:before="19" w:line="207" w:lineRule="auto"/>
              <w:ind w:left="110" w:leftChars="0" w:firstLine="516" w:firstLineChars="200"/>
              <w:jc w:val="both"/>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pacing w:val="9"/>
                <w:sz w:val="24"/>
                <w:szCs w:val="24"/>
                <w14:textFill>
                  <w14:solidFill>
                    <w14:schemeClr w14:val="tx1"/>
                  </w14:solidFill>
                </w14:textFill>
              </w:rPr>
              <w:t>生活垃圾采用垃圾桶收集</w:t>
            </w:r>
            <w:r>
              <w:rPr>
                <w:rFonts w:hint="eastAsia" w:asciiTheme="minorEastAsia" w:hAnsiTheme="minorEastAsia" w:eastAsiaTheme="minorEastAsia" w:cstheme="minorEastAsia"/>
                <w:color w:val="000000" w:themeColor="text1"/>
                <w:spacing w:val="9"/>
                <w:sz w:val="24"/>
                <w:szCs w:val="24"/>
                <w14:textFill>
                  <w14:solidFill>
                    <w14:schemeClr w14:val="tx1"/>
                  </w14:solidFill>
                </w14:textFill>
              </w:rPr>
              <w:t>，定期交环卫部门处置</w:t>
            </w:r>
            <w:r>
              <w:rPr>
                <w:rFonts w:hint="eastAsia" w:asciiTheme="minorEastAsia" w:hAnsiTheme="minorEastAsia" w:eastAsiaTheme="minorEastAsia" w:cstheme="minorEastAsia"/>
                <w:color w:val="000000" w:themeColor="text1"/>
                <w:spacing w:val="9"/>
                <w:sz w:val="24"/>
                <w:szCs w:val="24"/>
                <w:lang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77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土壤及地下水</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污染防治措施</w:t>
            </w:r>
          </w:p>
        </w:tc>
        <w:tc>
          <w:tcPr>
            <w:tcW w:w="7690" w:type="dxa"/>
            <w:gridSpan w:val="4"/>
            <w:noWrap w:val="0"/>
            <w:vAlign w:val="top"/>
          </w:tcPr>
          <w:p>
            <w:pPr>
              <w:pStyle w:val="96"/>
              <w:spacing w:before="180" w:line="228" w:lineRule="auto"/>
              <w:ind w:left="133"/>
              <w:jc w:val="both"/>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pacing w:val="10"/>
                <w:sz w:val="24"/>
                <w:szCs w:val="24"/>
                <w14:textFill>
                  <w14:solidFill>
                    <w14:schemeClr w14:val="tx1"/>
                  </w14:solidFill>
                </w14:textFill>
              </w:rPr>
              <w:t>采取分区防渗措施，分为重点防渗区、一般防渗区及非污</w:t>
            </w:r>
            <w:r>
              <w:rPr>
                <w:rFonts w:hint="eastAsia" w:asciiTheme="minorEastAsia" w:hAnsiTheme="minorEastAsia" w:eastAsiaTheme="minorEastAsia" w:cstheme="minorEastAsia"/>
                <w:color w:val="000000" w:themeColor="text1"/>
                <w:spacing w:val="9"/>
                <w:sz w:val="24"/>
                <w:szCs w:val="24"/>
                <w14:textFill>
                  <w14:solidFill>
                    <w14:schemeClr w14:val="tx1"/>
                  </w14:solidFill>
                </w14:textFill>
              </w:rPr>
              <w:t>染防治区，布设地下水及</w:t>
            </w:r>
            <w:r>
              <w:rPr>
                <w:rFonts w:hint="eastAsia" w:asciiTheme="minorEastAsia" w:hAnsiTheme="minorEastAsia" w:eastAsiaTheme="minorEastAsia" w:cstheme="minorEastAsia"/>
                <w:color w:val="000000" w:themeColor="text1"/>
                <w:spacing w:val="7"/>
                <w:sz w:val="24"/>
                <w:szCs w:val="24"/>
                <w14:textFill>
                  <w14:solidFill>
                    <w14:schemeClr w14:val="tx1"/>
                  </w14:solidFill>
                </w14:textFill>
              </w:rPr>
              <w:t>土壤监测点跟踪监测。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77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生态保护措施</w:t>
            </w:r>
          </w:p>
        </w:tc>
        <w:tc>
          <w:tcPr>
            <w:tcW w:w="7690"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环境风险</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防范措施</w:t>
            </w:r>
          </w:p>
        </w:tc>
        <w:tc>
          <w:tcPr>
            <w:tcW w:w="7690"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eastAsia="宋体"/>
                <w:color w:val="000000" w:themeColor="text1"/>
                <w:highlight w:val="none"/>
                <w:lang w:val="en-US" w:eastAsia="zh-CN"/>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储罐区设有围堰，</w:t>
            </w:r>
            <w:r>
              <w:rPr>
                <w:rFonts w:hint="default" w:eastAsia="宋体"/>
                <w:color w:val="000000" w:themeColor="text1"/>
                <w:highlight w:val="none"/>
                <w:lang w:val="en-US" w:eastAsia="zh-CN"/>
                <w14:textFill>
                  <w14:solidFill>
                    <w14:schemeClr w14:val="tx1"/>
                  </w14:solidFill>
                </w14:textFill>
              </w:rPr>
              <w:t>油罐与油罐之间、油罐与围堰之间、围堰与道路之间均严格按照规范要求留有足够的防火距离。本项目设置围堰、导流系统、事故收集池</w:t>
            </w:r>
            <w:r>
              <w:rPr>
                <w:rFonts w:hint="eastAsia"/>
                <w:color w:val="000000" w:themeColor="text1"/>
                <w:highlight w:val="none"/>
                <w:lang w:val="en-US" w:eastAsia="zh-CN"/>
                <w14:textFill>
                  <w14:solidFill>
                    <w14:schemeClr w14:val="tx1"/>
                  </w14:solidFill>
                </w14:textFill>
              </w:rPr>
              <w:t>、初期雨水池</w:t>
            </w:r>
            <w:r>
              <w:rPr>
                <w:rFonts w:hint="default" w:eastAsia="宋体"/>
                <w:color w:val="000000" w:themeColor="text1"/>
                <w:highlight w:val="none"/>
                <w:lang w:val="en-US" w:eastAsia="zh-CN"/>
                <w14:textFill>
                  <w14:solidFill>
                    <w14:schemeClr w14:val="tx1"/>
                  </w14:solidFill>
                </w14:textFill>
              </w:rPr>
              <w:t>进行应急处理， 制定事故应急预案等防治措施。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其他环境</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管理要求</w:t>
            </w:r>
          </w:p>
        </w:tc>
        <w:tc>
          <w:tcPr>
            <w:tcW w:w="7690" w:type="dxa"/>
            <w:gridSpan w:val="4"/>
            <w:noWrap w:val="0"/>
            <w:vAlign w:val="center"/>
          </w:tcPr>
          <w:p>
            <w:pPr>
              <w:pStyle w:val="104"/>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b/>
                <w:bCs/>
                <w:color w:val="000000" w:themeColor="text1"/>
                <w:sz w:val="24"/>
                <w:szCs w:val="24"/>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）环境管理</w:t>
            </w:r>
          </w:p>
          <w:p>
            <w:pPr>
              <w:pStyle w:val="104"/>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根据《关于开展排放口规范化整治工作的通知》国家环境保护总局环发【</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1999</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24号；《排放口规范化整治技术》国家环境保护</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总局环发【</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1999</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24号等文件的要求，一切新建、改建的排污单位以及限期治理的排污单位，必须在建设污染治理设施的同时，建设规范化排污口。因此，本项目投产时，各类排污口必须规范化建设和管理，而且规范化工作应与污染治理同步实施，即治理设施完工时，规范化建设工作必须同时完成，并列入污染治理设施的验收。</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u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废水排放口：本项目废水主要为生活污水和</w:t>
            </w:r>
            <w:r>
              <w:rPr>
                <w:rFonts w:hint="eastAsia" w:ascii="Times New Roman" w:hAnsi="Times New Roman" w:eastAsia="宋体" w:cs="Times New Roman"/>
                <w:color w:val="000000" w:themeColor="text1"/>
                <w:sz w:val="24"/>
                <w:szCs w:val="24"/>
                <w:u w:val="none"/>
                <w:lang w:eastAsia="zh-CN"/>
                <w14:textFill>
                  <w14:solidFill>
                    <w14:schemeClr w14:val="tx1"/>
                  </w14:solidFill>
                </w14:textFill>
              </w:rPr>
              <w:t>地面清洗</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废水</w:t>
            </w:r>
            <w:r>
              <w:rPr>
                <w:rFonts w:hint="eastAsia" w:ascii="Times New Roman" w:hAnsi="Times New Roman" w:eastAsia="宋体" w:cs="Times New Roman"/>
                <w:color w:val="000000" w:themeColor="text1"/>
                <w:sz w:val="24"/>
                <w:szCs w:val="24"/>
                <w:u w:val="none"/>
                <w:lang w:eastAsia="zh-CN"/>
                <w14:textFill>
                  <w14:solidFill>
                    <w14:schemeClr w14:val="tx1"/>
                  </w14:solidFill>
                </w14:textFill>
              </w:rPr>
              <w:t>及初期雨水</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，生活污水经化粪池</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设施处理后</w:t>
            </w:r>
            <w:r>
              <w:rPr>
                <w:rFonts w:hint="eastAsia" w:cs="Times New Roman"/>
                <w:color w:val="000000" w:themeColor="text1"/>
                <w:sz w:val="24"/>
                <w:szCs w:val="24"/>
                <w:u w:val="none"/>
                <w:lang w:val="en-US" w:eastAsia="zh-CN"/>
                <w14:textFill>
                  <w14:solidFill>
                    <w14:schemeClr w14:val="tx1"/>
                  </w14:solidFill>
                </w14:textFill>
              </w:rPr>
              <w:t>与</w:t>
            </w:r>
            <w:r>
              <w:rPr>
                <w:rFonts w:hint="eastAsia" w:ascii="Times New Roman" w:hAnsi="Times New Roman" w:eastAsia="宋体" w:cs="Times New Roman"/>
                <w:color w:val="000000" w:themeColor="text1"/>
                <w:sz w:val="24"/>
                <w:szCs w:val="24"/>
                <w:u w:val="none"/>
                <w:lang w:eastAsia="zh-CN"/>
                <w14:textFill>
                  <w14:solidFill>
                    <w14:schemeClr w14:val="tx1"/>
                  </w14:solidFill>
                </w14:textFill>
              </w:rPr>
              <w:t>地面清洗</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废水</w:t>
            </w:r>
            <w:r>
              <w:rPr>
                <w:rFonts w:hint="eastAsia" w:ascii="Times New Roman" w:hAnsi="Times New Roman" w:eastAsia="宋体" w:cs="Times New Roman"/>
                <w:color w:val="000000" w:themeColor="text1"/>
                <w:sz w:val="24"/>
                <w:szCs w:val="24"/>
                <w:u w:val="none"/>
                <w:lang w:eastAsia="zh-CN"/>
                <w14:textFill>
                  <w14:solidFill>
                    <w14:schemeClr w14:val="tx1"/>
                  </w14:solidFill>
                </w14:textFill>
              </w:rPr>
              <w:t>及初期雨水</w:t>
            </w:r>
            <w:r>
              <w:rPr>
                <w:rFonts w:hint="eastAsia" w:cs="Times New Roman"/>
                <w:color w:val="000000" w:themeColor="text1"/>
                <w:sz w:val="24"/>
                <w:szCs w:val="24"/>
                <w:u w:val="none"/>
                <w:lang w:val="en-US" w:eastAsia="zh-CN"/>
                <w14:textFill>
                  <w14:solidFill>
                    <w14:schemeClr w14:val="tx1"/>
                  </w14:solidFill>
                </w14:textFill>
              </w:rPr>
              <w:t>一并</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经厂区污水处理站处理后排鄂尔多斯市泰鑫煤炭有限公司用于洗煤</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ins w:id="0" w:author="Administrator" w:date="2018-04-19T11:31:00Z"/>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（2）废气排放口：排放口应预留检测口并设立标志，以便于今后的环境监测。</w:t>
            </w:r>
          </w:p>
          <w:p>
            <w:pPr>
              <w:pStyle w:val="10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本项目应按《环境保护图形标志</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-排放口（源）</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GB15562.1-1995</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）规定的图形，在各废气、危废、声排污口（源）挂牌标识，做到各排污口</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（源）的环保标志明显，便于企业管理和公众监督。</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ins w:id="1" w:author="Administrator" w:date="2018-04-19T11:31:00Z"/>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排污口位置必须合理确定，按《排污口规范化整治技术要求》（环监【1996】470号）文件要求进行规范化管理。污染物排放口的环保图形标志牌应设置在靠近采样点的醒目位置处，标志牌设置高度为其上缘距离地面2m。一般排污单位的污染物排放口或固体废物贮存处置场地可以根据情况设置立式或平面固定式标志牌。一般污染物排放口或固体废物贮存处置场地设置提示性环境保护图形标志牌。</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97" w:firstLineChars="200"/>
              <w:textAlignment w:val="auto"/>
              <w:rPr>
                <w:rFonts w:hint="default" w:ascii="Times New Roman" w:hAnsi="Times New Roman" w:cs="Times New Roman"/>
                <w:b/>
                <w:bCs/>
                <w:color w:val="000000" w:themeColor="text1"/>
                <w:spacing w:val="4"/>
                <w:kern w:val="0"/>
                <w:sz w:val="24"/>
                <w:szCs w:val="24"/>
                <w:highlight w:val="none"/>
                <w14:textFill>
                  <w14:solidFill>
                    <w14:schemeClr w14:val="tx1"/>
                  </w14:solidFill>
                </w14:textFill>
              </w:rPr>
            </w:pPr>
            <w:r>
              <w:rPr>
                <w:rFonts w:hint="default" w:ascii="Times New Roman" w:hAnsi="Times New Roman" w:cs="Times New Roman"/>
                <w:b/>
                <w:bCs/>
                <w:color w:val="000000" w:themeColor="text1"/>
                <w:spacing w:val="4"/>
                <w:kern w:val="0"/>
                <w:sz w:val="24"/>
                <w:szCs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pacing w:val="4"/>
                <w:kern w:val="0"/>
                <w:sz w:val="24"/>
                <w:szCs w:val="24"/>
                <w:highlight w:val="none"/>
                <w14:textFill>
                  <w14:solidFill>
                    <w14:schemeClr w14:val="tx1"/>
                  </w14:solidFill>
                </w14:textFill>
              </w:rPr>
              <w:t>）排污口的规范化</w:t>
            </w:r>
          </w:p>
          <w:p>
            <w:pPr>
              <w:pStyle w:val="1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关于开展排放口规范化整治工作的通知》国家环境保护总局环发【1999】24号文件的要求，一切新建、改建的排污单位以及限期治理的排污单位，必须在建设污染治理设施的同时，建设规范化排污口。因此，建设单位在投产时，各类排污口必须规范化建设和管理，而且规范化工作应</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与</w:t>
            </w:r>
            <w:r>
              <w:rPr>
                <w:rFonts w:hint="default" w:ascii="Times New Roman" w:hAnsi="Times New Roman" w:eastAsia="宋体" w:cs="Times New Roman"/>
                <w:color w:val="000000" w:themeColor="text1"/>
                <w:sz w:val="24"/>
                <w:szCs w:val="24"/>
                <w:highlight w:val="none"/>
                <w14:textFill>
                  <w14:solidFill>
                    <w14:schemeClr w14:val="tx1"/>
                  </w14:solidFill>
                </w14:textFill>
              </w:rPr>
              <w:t>污染治理同步实施，即治理设施完工时，规范化工作必须同时完成，并列入污染物治理设施的验收内容。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拟建项目应在气、水、声、固排污口（源）挂牌标识。规范化整治具体如下：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①</w:t>
            </w:r>
            <w:r>
              <w:rPr>
                <w:rFonts w:hint="default" w:ascii="Times New Roman" w:hAnsi="Times New Roman" w:cs="Times New Roman"/>
                <w:color w:val="000000" w:themeColor="text1"/>
                <w:sz w:val="24"/>
                <w:szCs w:val="24"/>
                <w:highlight w:val="none"/>
                <w14:textFill>
                  <w14:solidFill>
                    <w14:schemeClr w14:val="tx1"/>
                  </w14:solidFill>
                </w14:textFill>
              </w:rPr>
              <w:t>项目建成后，污水排放口附近醒目处应</w:t>
            </w:r>
            <w:r>
              <w:rPr>
                <w:rFonts w:hint="default" w:ascii="Times New Roman" w:hAnsi="Times New Roman" w:cs="Times New Roman"/>
                <w:color w:val="000000" w:themeColor="text1"/>
                <w:sz w:val="24"/>
                <w:szCs w:val="24"/>
                <w:highlight w:val="none"/>
                <w:lang w:eastAsia="zh-CN"/>
                <w14:textFill>
                  <w14:solidFill>
                    <w14:schemeClr w14:val="tx1"/>
                  </w14:solidFill>
                </w14:textFill>
              </w:rPr>
              <w:t>竖立</w:t>
            </w:r>
            <w:r>
              <w:rPr>
                <w:rFonts w:hint="default" w:ascii="Times New Roman" w:hAnsi="Times New Roman" w:cs="Times New Roman"/>
                <w:color w:val="000000" w:themeColor="text1"/>
                <w:sz w:val="24"/>
                <w:szCs w:val="24"/>
                <w:highlight w:val="none"/>
                <w14:textFill>
                  <w14:solidFill>
                    <w14:schemeClr w14:val="tx1"/>
                  </w14:solidFill>
                </w14:textFill>
              </w:rPr>
              <w:t>一个环保图形标志牌。在项目设计时应预设采样口或采样阀，采样口或采样阀的设置要有利于废水的流量测量，并制定采样监测计划。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②</w:t>
            </w:r>
            <w:r>
              <w:rPr>
                <w:rFonts w:hint="default" w:ascii="Times New Roman" w:hAnsi="Times New Roman" w:cs="Times New Roman"/>
                <w:color w:val="000000" w:themeColor="text1"/>
                <w:sz w:val="24"/>
                <w:szCs w:val="24"/>
                <w:highlight w:val="none"/>
                <w14:textFill>
                  <w14:solidFill>
                    <w14:schemeClr w14:val="tx1"/>
                  </w14:solidFill>
                </w14:textFill>
              </w:rPr>
              <w:t>项目建成后，废气排气筒附近醒目处均应</w:t>
            </w:r>
            <w:r>
              <w:rPr>
                <w:rFonts w:hint="default" w:ascii="Times New Roman" w:hAnsi="Times New Roman" w:cs="Times New Roman"/>
                <w:color w:val="000000" w:themeColor="text1"/>
                <w:sz w:val="24"/>
                <w:szCs w:val="24"/>
                <w:highlight w:val="none"/>
                <w:lang w:eastAsia="zh-CN"/>
                <w14:textFill>
                  <w14:solidFill>
                    <w14:schemeClr w14:val="tx1"/>
                  </w14:solidFill>
                </w14:textFill>
              </w:rPr>
              <w:t>竖立</w:t>
            </w:r>
            <w:r>
              <w:rPr>
                <w:rFonts w:hint="default" w:ascii="Times New Roman" w:hAnsi="Times New Roman" w:cs="Times New Roman"/>
                <w:color w:val="000000" w:themeColor="text1"/>
                <w:sz w:val="24"/>
                <w:szCs w:val="24"/>
                <w:highlight w:val="none"/>
                <w14:textFill>
                  <w14:solidFill>
                    <w14:schemeClr w14:val="tx1"/>
                  </w14:solidFill>
                </w14:textFill>
              </w:rPr>
              <w:t>一个环保图形标志牌。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③</w:t>
            </w:r>
            <w:r>
              <w:rPr>
                <w:rFonts w:hint="default" w:ascii="Times New Roman" w:hAnsi="Times New Roman" w:cs="Times New Roman"/>
                <w:color w:val="000000" w:themeColor="text1"/>
                <w:sz w:val="24"/>
                <w:szCs w:val="24"/>
                <w:highlight w:val="none"/>
                <w14:textFill>
                  <w14:solidFill>
                    <w14:schemeClr w14:val="tx1"/>
                  </w14:solidFill>
                </w14:textFill>
              </w:rPr>
              <w:t>项目建成后，在噪声较大的车间外或噪声源较大的地方醒目处应设置环保图形标志牌。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标志牌的设置应按《环境保护图形标志—排放口（源）》（GB15562.1-1995）</w:t>
            </w:r>
            <w:r>
              <w:rPr>
                <w:rFonts w:hint="default" w:ascii="Times New Roman" w:hAnsi="Times New Roman" w:cs="Times New Roman"/>
                <w:color w:val="000000" w:themeColor="text1"/>
                <w:sz w:val="24"/>
                <w:szCs w:val="24"/>
                <w:highlight w:val="none"/>
                <w:lang w:eastAsia="zh-CN"/>
                <w14:textFill>
                  <w14:solidFill>
                    <w14:schemeClr w14:val="tx1"/>
                  </w14:solidFill>
                </w14:textFill>
              </w:rPr>
              <w:t>及其修改单</w:t>
            </w:r>
            <w:r>
              <w:rPr>
                <w:rFonts w:hint="default" w:ascii="Times New Roman" w:hAnsi="Times New Roman" w:cs="Times New Roman"/>
                <w:color w:val="000000" w:themeColor="text1"/>
                <w:sz w:val="24"/>
                <w:szCs w:val="24"/>
                <w:highlight w:val="none"/>
                <w14:textFill>
                  <w14:solidFill>
                    <w14:schemeClr w14:val="tx1"/>
                  </w14:solidFill>
                </w14:textFill>
              </w:rPr>
              <w:t>的规定执行。标志牌必须保持清晰、完整，当发现有损坏或颜色有变化，应及时修复或更换。检查时间一年两次。</w:t>
            </w:r>
          </w:p>
          <w:p>
            <w:pPr>
              <w:pStyle w:val="105"/>
              <w:keepNext w:val="0"/>
              <w:keepLines w:val="0"/>
              <w:pageBreakBefore w:val="0"/>
              <w:widowControl/>
              <w:kinsoku/>
              <w:wordWrap/>
              <w:overflowPunct/>
              <w:topLinePunct w:val="0"/>
              <w:autoSpaceDE/>
              <w:autoSpaceDN/>
              <w:bidi w:val="0"/>
              <w:adjustRightInd/>
              <w:snapToGrid w:val="0"/>
              <w:spacing w:before="157" w:beforeLines="50" w:after="0" w:line="240" w:lineRule="auto"/>
              <w:ind w:right="113"/>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表</w:t>
            </w:r>
            <w:r>
              <w:rPr>
                <w:rFonts w:hint="eastAsia" w:ascii="Times New Roman" w:cs="Times New Roman"/>
                <w:b/>
                <w:bCs/>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b/>
                <w:bCs/>
                <w:color w:val="000000" w:themeColor="text1"/>
                <w:sz w:val="21"/>
                <w:szCs w:val="21"/>
                <w:highlight w:val="none"/>
                <w14:textFill>
                  <w14:solidFill>
                    <w14:schemeClr w14:val="tx1"/>
                  </w14:solidFill>
                </w14:textFill>
              </w:rPr>
              <w:t xml:space="preserve">   环境保护图形标志的形状及颜色表</w:t>
            </w:r>
          </w:p>
          <w:tbl>
            <w:tblPr>
              <w:tblStyle w:val="27"/>
              <w:tblW w:w="496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5"/>
              <w:gridCol w:w="1856"/>
              <w:gridCol w:w="1855"/>
              <w:gridCol w:w="18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8" w:hRule="atLeast"/>
                <w:tblHeader/>
                <w:jc w:val="center"/>
              </w:trPr>
              <w:tc>
                <w:tcPr>
                  <w:tcW w:w="1249" w:type="pct"/>
                  <w:noWrap w:val="0"/>
                  <w:vAlign w:val="center"/>
                </w:tcPr>
                <w:p>
                  <w:pPr>
                    <w:keepNext w:val="0"/>
                    <w:keepLines w:val="0"/>
                    <w:pageBreakBefore w:val="0"/>
                    <w:widowControl w:val="0"/>
                    <w:kinsoku/>
                    <w:wordWrap/>
                    <w:overflowPunct/>
                    <w:topLinePunct w:val="0"/>
                    <w:autoSpaceDE/>
                    <w:autoSpaceDN/>
                    <w:bidi w:val="0"/>
                    <w:adjustRightInd/>
                    <w:snapToGrid/>
                    <w:ind w:left="51" w:right="51" w:firstLine="0" w:firstLineChars="0"/>
                    <w:jc w:val="center"/>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标准名称</w:t>
                  </w:r>
                </w:p>
              </w:tc>
              <w:tc>
                <w:tcPr>
                  <w:tcW w:w="1250" w:type="pct"/>
                  <w:noWrap w:val="0"/>
                  <w:vAlign w:val="center"/>
                </w:tcPr>
                <w:p>
                  <w:pPr>
                    <w:keepNext w:val="0"/>
                    <w:keepLines w:val="0"/>
                    <w:pageBreakBefore w:val="0"/>
                    <w:widowControl w:val="0"/>
                    <w:kinsoku/>
                    <w:wordWrap/>
                    <w:overflowPunct/>
                    <w:topLinePunct w:val="0"/>
                    <w:autoSpaceDE/>
                    <w:autoSpaceDN/>
                    <w:bidi w:val="0"/>
                    <w:adjustRightInd/>
                    <w:snapToGrid/>
                    <w:ind w:left="51" w:right="51" w:firstLine="0" w:firstLineChars="0"/>
                    <w:jc w:val="center"/>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形状</w:t>
                  </w:r>
                </w:p>
              </w:tc>
              <w:tc>
                <w:tcPr>
                  <w:tcW w:w="1249" w:type="pct"/>
                  <w:noWrap w:val="0"/>
                  <w:vAlign w:val="center"/>
                </w:tcPr>
                <w:p>
                  <w:pPr>
                    <w:keepNext w:val="0"/>
                    <w:keepLines w:val="0"/>
                    <w:pageBreakBefore w:val="0"/>
                    <w:widowControl w:val="0"/>
                    <w:kinsoku/>
                    <w:wordWrap/>
                    <w:overflowPunct/>
                    <w:topLinePunct w:val="0"/>
                    <w:autoSpaceDE/>
                    <w:autoSpaceDN/>
                    <w:bidi w:val="0"/>
                    <w:adjustRightInd/>
                    <w:snapToGrid/>
                    <w:ind w:left="51" w:right="51" w:firstLine="0" w:firstLineChars="0"/>
                    <w:jc w:val="center"/>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背景颜色</w:t>
                  </w:r>
                </w:p>
              </w:tc>
              <w:tc>
                <w:tcPr>
                  <w:tcW w:w="1250" w:type="pct"/>
                  <w:noWrap w:val="0"/>
                  <w:vAlign w:val="center"/>
                </w:tcPr>
                <w:p>
                  <w:pPr>
                    <w:keepNext w:val="0"/>
                    <w:keepLines w:val="0"/>
                    <w:pageBreakBefore w:val="0"/>
                    <w:widowControl w:val="0"/>
                    <w:kinsoku/>
                    <w:wordWrap/>
                    <w:overflowPunct/>
                    <w:topLinePunct w:val="0"/>
                    <w:autoSpaceDE/>
                    <w:autoSpaceDN/>
                    <w:bidi w:val="0"/>
                    <w:adjustRightInd/>
                    <w:snapToGrid/>
                    <w:ind w:left="51" w:right="51" w:firstLine="0" w:firstLineChars="0"/>
                    <w:jc w:val="center"/>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图形颜色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tblHeader/>
                <w:jc w:val="center"/>
              </w:trPr>
              <w:tc>
                <w:tcPr>
                  <w:tcW w:w="1249" w:type="pct"/>
                  <w:noWrap w:val="0"/>
                  <w:vAlign w:val="center"/>
                </w:tcPr>
                <w:p>
                  <w:pPr>
                    <w:keepNext w:val="0"/>
                    <w:keepLines w:val="0"/>
                    <w:pageBreakBefore w:val="0"/>
                    <w:widowControl w:val="0"/>
                    <w:kinsoku/>
                    <w:wordWrap/>
                    <w:overflowPunct/>
                    <w:topLinePunct w:val="0"/>
                    <w:autoSpaceDE/>
                    <w:autoSpaceDN/>
                    <w:bidi w:val="0"/>
                    <w:adjustRightInd/>
                    <w:snapToGrid/>
                    <w:ind w:left="51" w:right="51" w:firstLine="0" w:firstLineChars="0"/>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警告标志</w:t>
                  </w:r>
                </w:p>
              </w:tc>
              <w:tc>
                <w:tcPr>
                  <w:tcW w:w="1250" w:type="pct"/>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三角形边框</w:t>
                  </w:r>
                </w:p>
              </w:tc>
              <w:tc>
                <w:tcPr>
                  <w:tcW w:w="1249" w:type="pct"/>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黄色</w:t>
                  </w:r>
                </w:p>
              </w:tc>
              <w:tc>
                <w:tcPr>
                  <w:tcW w:w="1250" w:type="pct"/>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黑色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tblHeader/>
                <w:jc w:val="center"/>
              </w:trPr>
              <w:tc>
                <w:tcPr>
                  <w:tcW w:w="1249" w:type="pct"/>
                  <w:noWrap w:val="0"/>
                  <w:vAlign w:val="center"/>
                </w:tcPr>
                <w:p>
                  <w:pPr>
                    <w:keepNext w:val="0"/>
                    <w:keepLines w:val="0"/>
                    <w:pageBreakBefore w:val="0"/>
                    <w:widowControl w:val="0"/>
                    <w:kinsoku/>
                    <w:wordWrap/>
                    <w:overflowPunct/>
                    <w:topLinePunct w:val="0"/>
                    <w:autoSpaceDE/>
                    <w:autoSpaceDN/>
                    <w:bidi w:val="0"/>
                    <w:adjustRightInd/>
                    <w:snapToGrid/>
                    <w:ind w:left="51" w:right="51" w:firstLine="0" w:firstLineChars="0"/>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提示标志</w:t>
                  </w:r>
                </w:p>
              </w:tc>
              <w:tc>
                <w:tcPr>
                  <w:tcW w:w="1250" w:type="pct"/>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正方形边框</w:t>
                  </w:r>
                </w:p>
              </w:tc>
              <w:tc>
                <w:tcPr>
                  <w:tcW w:w="1249" w:type="pct"/>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绿色</w:t>
                  </w:r>
                </w:p>
              </w:tc>
              <w:tc>
                <w:tcPr>
                  <w:tcW w:w="1250" w:type="pct"/>
                  <w:noWrap w:val="0"/>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白色</w:t>
                  </w:r>
                </w:p>
              </w:tc>
            </w:tr>
          </w:tbl>
          <w:p>
            <w:pPr>
              <w:pStyle w:val="105"/>
              <w:keepNext w:val="0"/>
              <w:keepLines w:val="0"/>
              <w:pageBreakBefore w:val="0"/>
              <w:widowControl/>
              <w:kinsoku/>
              <w:wordWrap/>
              <w:overflowPunct/>
              <w:topLinePunct w:val="0"/>
              <w:autoSpaceDE/>
              <w:autoSpaceDN/>
              <w:bidi w:val="0"/>
              <w:adjustRightInd/>
              <w:snapToGrid w:val="0"/>
              <w:spacing w:before="0" w:after="0" w:line="240" w:lineRule="auto"/>
              <w:ind w:right="113"/>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表</w:t>
            </w:r>
            <w:r>
              <w:rPr>
                <w:rFonts w:hint="eastAsia" w:ascii="Times New Roman" w:cs="Times New Roman"/>
                <w:b/>
                <w:bCs/>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b/>
                <w:bCs/>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b/>
                <w:bCs/>
                <w:color w:val="000000" w:themeColor="text1"/>
                <w:sz w:val="21"/>
                <w:szCs w:val="21"/>
                <w:highlight w:val="none"/>
                <w14:textFill>
                  <w14:solidFill>
                    <w14:schemeClr w14:val="tx1"/>
                  </w14:solidFill>
                </w14:textFill>
              </w:rPr>
              <w:t xml:space="preserve">   环境保护图形符号一览表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3"/>
              <w:gridCol w:w="1646"/>
              <w:gridCol w:w="1647"/>
              <w:gridCol w:w="1647"/>
              <w:gridCol w:w="16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序号</w:t>
                  </w:r>
                </w:p>
              </w:tc>
              <w:tc>
                <w:tcPr>
                  <w:tcW w:w="110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提示图形符号</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警告图形符号</w:t>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名称</w:t>
                  </w:r>
                </w:p>
              </w:tc>
              <w:tc>
                <w:tcPr>
                  <w:tcW w:w="1103"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0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drawing>
                      <wp:inline distT="0" distB="0" distL="114300" distR="114300">
                        <wp:extent cx="899160" cy="918210"/>
                        <wp:effectExtent l="0" t="0" r="15240" b="15240"/>
                        <wp:docPr id="56"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22"/>
                                <pic:cNvPicPr>
                                  <a:picLocks noChangeAspect="true"/>
                                </pic:cNvPicPr>
                              </pic:nvPicPr>
                              <pic:blipFill>
                                <a:blip r:embed="rId64"/>
                                <a:stretch>
                                  <a:fillRect/>
                                </a:stretch>
                              </pic:blipFill>
                              <pic:spPr>
                                <a:xfrm>
                                  <a:off x="0" y="0"/>
                                  <a:ext cx="899160" cy="918210"/>
                                </a:xfrm>
                                <a:prstGeom prst="rect">
                                  <a:avLst/>
                                </a:prstGeom>
                                <a:noFill/>
                                <a:ln>
                                  <a:noFill/>
                                </a:ln>
                              </pic:spPr>
                            </pic:pic>
                          </a:graphicData>
                        </a:graphic>
                      </wp:inline>
                    </w:drawing>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drawing>
                      <wp:inline distT="0" distB="0" distL="114300" distR="114300">
                        <wp:extent cx="899160" cy="899160"/>
                        <wp:effectExtent l="0" t="0" r="15240" b="15240"/>
                        <wp:docPr id="57"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23"/>
                                <pic:cNvPicPr>
                                  <a:picLocks noChangeAspect="true"/>
                                </pic:cNvPicPr>
                              </pic:nvPicPr>
                              <pic:blipFill>
                                <a:blip r:embed="rId65"/>
                                <a:stretch>
                                  <a:fillRect/>
                                </a:stretch>
                              </pic:blipFill>
                              <pic:spPr>
                                <a:xfrm>
                                  <a:off x="0" y="0"/>
                                  <a:ext cx="899160" cy="899160"/>
                                </a:xfrm>
                                <a:prstGeom prst="rect">
                                  <a:avLst/>
                                </a:prstGeom>
                                <a:noFill/>
                                <a:ln>
                                  <a:noFill/>
                                </a:ln>
                              </pic:spPr>
                            </pic:pic>
                          </a:graphicData>
                        </a:graphic>
                      </wp:inline>
                    </w:drawing>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废水排放口</w:t>
                  </w:r>
                </w:p>
              </w:tc>
              <w:tc>
                <w:tcPr>
                  <w:tcW w:w="1103"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表示废水向水体排放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110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drawing>
                      <wp:inline distT="0" distB="0" distL="114300" distR="114300">
                        <wp:extent cx="882015" cy="899160"/>
                        <wp:effectExtent l="0" t="0" r="13335" b="15240"/>
                        <wp:docPr id="58"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24"/>
                                <pic:cNvPicPr>
                                  <a:picLocks noChangeAspect="true"/>
                                </pic:cNvPicPr>
                              </pic:nvPicPr>
                              <pic:blipFill>
                                <a:blip r:embed="rId66"/>
                                <a:stretch>
                                  <a:fillRect/>
                                </a:stretch>
                              </pic:blipFill>
                              <pic:spPr>
                                <a:xfrm>
                                  <a:off x="0" y="0"/>
                                  <a:ext cx="882015" cy="899160"/>
                                </a:xfrm>
                                <a:prstGeom prst="rect">
                                  <a:avLst/>
                                </a:prstGeom>
                                <a:noFill/>
                                <a:ln>
                                  <a:noFill/>
                                </a:ln>
                              </pic:spPr>
                            </pic:pic>
                          </a:graphicData>
                        </a:graphic>
                      </wp:inline>
                    </w:drawing>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drawing>
                      <wp:inline distT="0" distB="0" distL="114300" distR="114300">
                        <wp:extent cx="900430" cy="900430"/>
                        <wp:effectExtent l="0" t="0" r="13970" b="13970"/>
                        <wp:docPr id="59"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25"/>
                                <pic:cNvPicPr>
                                  <a:picLocks noChangeAspect="true"/>
                                </pic:cNvPicPr>
                              </pic:nvPicPr>
                              <pic:blipFill>
                                <a:blip r:embed="rId67"/>
                                <a:stretch>
                                  <a:fillRect/>
                                </a:stretch>
                              </pic:blipFill>
                              <pic:spPr>
                                <a:xfrm>
                                  <a:off x="0" y="0"/>
                                  <a:ext cx="900430" cy="900430"/>
                                </a:xfrm>
                                <a:prstGeom prst="rect">
                                  <a:avLst/>
                                </a:prstGeom>
                                <a:noFill/>
                                <a:ln>
                                  <a:noFill/>
                                </a:ln>
                              </pic:spPr>
                            </pic:pic>
                          </a:graphicData>
                        </a:graphic>
                      </wp:inline>
                    </w:drawing>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废气排放口</w:t>
                  </w:r>
                </w:p>
              </w:tc>
              <w:tc>
                <w:tcPr>
                  <w:tcW w:w="1103"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表示废气向大气环境排放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110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drawing>
                      <wp:inline distT="0" distB="0" distL="114300" distR="114300">
                        <wp:extent cx="899160" cy="899160"/>
                        <wp:effectExtent l="0" t="0" r="15240" b="15240"/>
                        <wp:docPr id="64"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28"/>
                                <pic:cNvPicPr>
                                  <a:picLocks noChangeAspect="true"/>
                                </pic:cNvPicPr>
                              </pic:nvPicPr>
                              <pic:blipFill>
                                <a:blip r:embed="rId68"/>
                                <a:stretch>
                                  <a:fillRect/>
                                </a:stretch>
                              </pic:blipFill>
                              <pic:spPr>
                                <a:xfrm>
                                  <a:off x="0" y="0"/>
                                  <a:ext cx="899160" cy="899160"/>
                                </a:xfrm>
                                <a:prstGeom prst="rect">
                                  <a:avLst/>
                                </a:prstGeom>
                                <a:noFill/>
                                <a:ln>
                                  <a:noFill/>
                                </a:ln>
                              </pic:spPr>
                            </pic:pic>
                          </a:graphicData>
                        </a:graphic>
                      </wp:inline>
                    </w:drawing>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drawing>
                      <wp:inline distT="0" distB="0" distL="114300" distR="114300">
                        <wp:extent cx="900430" cy="899795"/>
                        <wp:effectExtent l="0" t="0" r="13970" b="14605"/>
                        <wp:docPr id="63"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29"/>
                                <pic:cNvPicPr>
                                  <a:picLocks noChangeAspect="true"/>
                                </pic:cNvPicPr>
                              </pic:nvPicPr>
                              <pic:blipFill>
                                <a:blip r:embed="rId69"/>
                                <a:stretch>
                                  <a:fillRect/>
                                </a:stretch>
                              </pic:blipFill>
                              <pic:spPr>
                                <a:xfrm>
                                  <a:off x="0" y="0"/>
                                  <a:ext cx="900430" cy="899795"/>
                                </a:xfrm>
                                <a:prstGeom prst="rect">
                                  <a:avLst/>
                                </a:prstGeom>
                                <a:noFill/>
                                <a:ln>
                                  <a:noFill/>
                                </a:ln>
                              </pic:spPr>
                            </pic:pic>
                          </a:graphicData>
                        </a:graphic>
                      </wp:inline>
                    </w:drawing>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噪声排放源</w:t>
                  </w:r>
                </w:p>
              </w:tc>
              <w:tc>
                <w:tcPr>
                  <w:tcW w:w="1103"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表示噪声向外环境排放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0"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1101"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2" w:type="pct"/>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lang w:eastAsia="zh-CN"/>
                      <w14:textFill>
                        <w14:solidFill>
                          <w14:schemeClr w14:val="tx1"/>
                        </w14:solidFill>
                      </w14:textFill>
                    </w:rPr>
                    <w:drawing>
                      <wp:inline distT="0" distB="0" distL="114300" distR="114300">
                        <wp:extent cx="931545" cy="601980"/>
                        <wp:effectExtent l="0" t="0" r="1905" b="7620"/>
                        <wp:docPr id="36" name="图片 3" descr="微信截图_202303201009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 descr="微信截图_20230320100904"/>
                                <pic:cNvPicPr>
                                  <a:picLocks noChangeAspect="true"/>
                                </pic:cNvPicPr>
                              </pic:nvPicPr>
                              <pic:blipFill>
                                <a:blip r:embed="rId70"/>
                                <a:stretch>
                                  <a:fillRect/>
                                </a:stretch>
                              </pic:blipFill>
                              <pic:spPr>
                                <a:xfrm>
                                  <a:off x="0" y="0"/>
                                  <a:ext cx="931545" cy="601980"/>
                                </a:xfrm>
                                <a:prstGeom prst="rect">
                                  <a:avLst/>
                                </a:prstGeom>
                                <a:noFill/>
                                <a:ln>
                                  <a:noFill/>
                                </a:ln>
                              </pic:spPr>
                            </pic:pic>
                          </a:graphicData>
                        </a:graphic>
                      </wp:inline>
                    </w:drawing>
                  </w:r>
                </w:p>
              </w:tc>
              <w:tc>
                <w:tcPr>
                  <w:tcW w:w="1102"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危险废物</w:t>
                  </w:r>
                </w:p>
              </w:tc>
              <w:tc>
                <w:tcPr>
                  <w:tcW w:w="1103"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表示危险废物贮存、处置场</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建设单位如实填写《中华人</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民</w:t>
            </w:r>
            <w:r>
              <w:rPr>
                <w:rFonts w:hint="default" w:ascii="Times New Roman" w:hAnsi="Times New Roman" w:cs="Times New Roman"/>
                <w:color w:val="000000" w:themeColor="text1"/>
                <w:kern w:val="0"/>
                <w:sz w:val="24"/>
                <w:szCs w:val="24"/>
                <w14:textFill>
                  <w14:solidFill>
                    <w14:schemeClr w14:val="tx1"/>
                  </w14:solidFill>
                </w14:textFill>
              </w:rPr>
              <w:t>共和国规范化排污口登记证》的有关内容，由环保主管部门签发登记证。建设单位应把有关排污情况如排污口的性质、编号、排污口位置以及主要排放的污染物种类、数量、浓度、排放规律、排放走向及污染治理设施的运行情况建档管理，并报送环保主管部门备案</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lang w:eastAsia="zh-CN"/>
                <w14:textFill>
                  <w14:solidFill>
                    <w14:schemeClr w14:val="tx1"/>
                  </w14:solidFill>
                </w14:textFill>
              </w:rPr>
              <w:t>根据《固定污染源排污许可分类管理名录（</w:t>
            </w:r>
            <w:r>
              <w:rPr>
                <w:rFonts w:hint="eastAsia" w:ascii="Times New Roman" w:hAnsi="Times New Roman" w:cs="Times New Roman"/>
                <w:color w:val="000000" w:themeColor="text1"/>
                <w:kern w:val="0"/>
                <w:sz w:val="24"/>
                <w:szCs w:val="24"/>
                <w:lang w:val="en-US" w:eastAsia="zh-CN"/>
                <w14:textFill>
                  <w14:solidFill>
                    <w14:schemeClr w14:val="tx1"/>
                  </w14:solidFill>
                </w14:textFill>
              </w:rPr>
              <w:t>2019年版</w:t>
            </w:r>
            <w:r>
              <w:rPr>
                <w:rFonts w:hint="eastAsia" w:ascii="Times New Roman" w:hAnsi="Times New Roman" w:cs="Times New Roman"/>
                <w:color w:val="000000" w:themeColor="text1"/>
                <w:kern w:val="0"/>
                <w:sz w:val="24"/>
                <w:szCs w:val="24"/>
                <w:lang w:eastAsia="zh-CN"/>
                <w14:textFill>
                  <w14:solidFill>
                    <w14:schemeClr w14:val="tx1"/>
                  </w14:solidFill>
                </w14:textFill>
              </w:rPr>
              <w:t>）》，本项目属于“二十、石油、煤炭及其他燃料加工</w:t>
            </w:r>
            <w:r>
              <w:rPr>
                <w:rFonts w:hint="eastAsia" w:ascii="Times New Roman" w:hAnsi="Times New Roman" w:cs="Times New Roman"/>
                <w:color w:val="000000" w:themeColor="text1"/>
                <w:kern w:val="0"/>
                <w:sz w:val="24"/>
                <w:szCs w:val="24"/>
                <w:lang w:val="en-US" w:eastAsia="zh-CN"/>
                <w14:textFill>
                  <w14:solidFill>
                    <w14:schemeClr w14:val="tx1"/>
                  </w14:solidFill>
                </w14:textFill>
              </w:rPr>
              <w:t>25-42.精炼石油产品制造251-原油加工及石油制品制造2511</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-“重点管理”类，</w:t>
            </w:r>
            <w:r>
              <w:rPr>
                <w:rFonts w:hint="eastAsia" w:ascii="宋体" w:hAnsi="宋体" w:eastAsia="宋体" w:cs="宋体"/>
                <w:color w:val="000000" w:themeColor="text1"/>
                <w:sz w:val="24"/>
                <w:szCs w:val="24"/>
                <w:lang w:val="en-US" w:eastAsia="zh-CN"/>
                <w14:textFill>
                  <w14:solidFill>
                    <w14:schemeClr w14:val="tx1"/>
                  </w14:solidFill>
                </w14:textFill>
              </w:rPr>
              <w:t>建设单位需在排污前申请相关排污许可</w:t>
            </w:r>
            <w:r>
              <w:rPr>
                <w:rFonts w:hint="default" w:ascii="Times New Roman" w:hAnsi="Times New Roman" w:cs="Times New Roman"/>
                <w:color w:val="000000" w:themeColor="text1"/>
                <w:sz w:val="24"/>
                <w:szCs w:val="24"/>
                <w:highlight w:val="none"/>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outlineLvl w:val="9"/>
              <w:rPr>
                <w:rFonts w:hint="default" w:ascii="Times New Roman" w:hAnsi="Times New Roman" w:eastAsia="宋体" w:cs="Times New Roman"/>
                <w:b/>
                <w:color w:val="000000" w:themeColor="text1"/>
                <w:sz w:val="24"/>
                <w:lang w:val="en-US"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3</w:t>
            </w:r>
            <w:r>
              <w:rPr>
                <w:rFonts w:hint="eastAsia" w:cs="Times New Roman"/>
                <w:color w:val="000000" w:themeColor="text1"/>
                <w:sz w:val="24"/>
                <w:szCs w:val="24"/>
                <w:highlight w:val="none"/>
                <w:lang w:eastAsia="zh-CN"/>
                <w14:textFill>
                  <w14:solidFill>
                    <w14:schemeClr w14:val="tx1"/>
                  </w14:solidFill>
                </w14:textFill>
              </w:rPr>
              <w:t>）环境保护三同时验收</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w:t>
            </w:r>
            <w:r>
              <w:rPr>
                <w:rFonts w:hint="eastAsia" w:ascii="Times New Roman" w:hAnsi="Times New Roman" w:eastAsia="宋体" w:cs="Times New Roman"/>
                <w:b/>
                <w:color w:val="000000" w:themeColor="text1"/>
                <w:sz w:val="24"/>
                <w:lang w:val="en-US" w:eastAsia="zh-CN"/>
                <w14:textFill>
                  <w14:solidFill>
                    <w14:schemeClr w14:val="tx1"/>
                  </w14:solidFill>
                </w14:textFill>
              </w:rPr>
              <w:t>5-3</w:t>
            </w:r>
            <w:r>
              <w:rPr>
                <w:rFonts w:hint="default" w:ascii="Times New Roman" w:hAnsi="Times New Roman" w:eastAsia="宋体" w:cs="Times New Roman"/>
                <w:b/>
                <w:color w:val="000000" w:themeColor="text1"/>
                <w:sz w:val="24"/>
                <w14:textFill>
                  <w14:solidFill>
                    <w14:schemeClr w14:val="tx1"/>
                  </w14:solidFill>
                </w14:textFill>
              </w:rPr>
              <w:t xml:space="preserve"> </w:t>
            </w:r>
            <w:r>
              <w:rPr>
                <w:rFonts w:hint="eastAsia" w:ascii="Times New Roman" w:hAnsi="Times New Roman" w:eastAsia="宋体" w:cs="Times New Roman"/>
                <w:b/>
                <w:color w:val="000000" w:themeColor="text1"/>
                <w:sz w:val="24"/>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sz w:val="24"/>
                <w14:textFill>
                  <w14:solidFill>
                    <w14:schemeClr w14:val="tx1"/>
                  </w14:solidFill>
                </w14:textFill>
              </w:rPr>
              <w:t>项目环保验收“三同时”一览表</w:t>
            </w:r>
          </w:p>
          <w:tbl>
            <w:tblPr>
              <w:tblStyle w:val="27"/>
              <w:tblW w:w="75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574"/>
              <w:gridCol w:w="697"/>
              <w:gridCol w:w="954"/>
              <w:gridCol w:w="1893"/>
              <w:gridCol w:w="2083"/>
              <w:gridCol w:w="13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69" w:hRule="atLeast"/>
                <w:jc w:val="center"/>
              </w:trPr>
              <w:tc>
                <w:tcPr>
                  <w:tcW w:w="1467" w:type="pct"/>
                  <w:gridSpan w:val="3"/>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污染物类别</w:t>
                  </w:r>
                </w:p>
              </w:tc>
              <w:tc>
                <w:tcPr>
                  <w:tcW w:w="262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设计采取的污染防治措施</w:t>
                  </w:r>
                </w:p>
              </w:tc>
              <w:tc>
                <w:tcPr>
                  <w:tcW w:w="90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lang w:val="en-US" w:eastAsia="zh-CN"/>
                      <w14:textFill>
                        <w14:solidFill>
                          <w14:schemeClr w14:val="tx1"/>
                        </w14:solidFill>
                      </w14:textFill>
                    </w:rPr>
                    <w:t>验收监测因子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1467" w:type="pct"/>
                  <w:gridSpan w:val="3"/>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000000" w:themeColor="text1"/>
                      <w:sz w:val="21"/>
                      <w:szCs w:val="21"/>
                      <w14:textFill>
                        <w14:solidFill>
                          <w14:schemeClr w14:val="tx1"/>
                        </w14:solidFill>
                      </w14:textFill>
                    </w:rPr>
                  </w:pP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实施措施</w:t>
                  </w:r>
                </w:p>
              </w:tc>
              <w:tc>
                <w:tcPr>
                  <w:tcW w:w="1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lang w:val="en-US" w:eastAsia="zh-CN"/>
                      <w14:textFill>
                        <w14:solidFill>
                          <w14:schemeClr w14:val="tx1"/>
                        </w14:solidFill>
                      </w14:textFill>
                    </w:rPr>
                    <w:t>排放标准</w:t>
                  </w:r>
                </w:p>
              </w:tc>
              <w:tc>
                <w:tcPr>
                  <w:tcW w:w="90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000000" w:themeColor="text1"/>
                      <w:sz w:val="21"/>
                      <w:szCs w:val="21"/>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69" w:hRule="atLeast"/>
                <w:jc w:val="center"/>
              </w:trPr>
              <w:tc>
                <w:tcPr>
                  <w:tcW w:w="37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废气</w:t>
                  </w:r>
                </w:p>
              </w:tc>
              <w:tc>
                <w:tcPr>
                  <w:tcW w:w="108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储罐大呼吸（调和）及油品装卸车过程中产生的少量非甲烷总烃</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经管线收集后有</w:t>
                  </w:r>
                  <w:r>
                    <w:rPr>
                      <w:rFonts w:hint="default" w:ascii="Times New Roman" w:hAnsi="Times New Roman" w:eastAsia="宋体" w:cs="Times New Roman"/>
                      <w:color w:val="000000" w:themeColor="text1"/>
                      <w:sz w:val="21"/>
                      <w:szCs w:val="21"/>
                      <w:highlight w:val="none"/>
                      <w14:textFill>
                        <w14:solidFill>
                          <w14:schemeClr w14:val="tx1"/>
                        </w14:solidFill>
                      </w14:textFill>
                    </w:rPr>
                    <w:t>1套油气</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回收装置处理经1</w:t>
                  </w:r>
                  <w:r>
                    <w:rPr>
                      <w:rFonts w:hint="default" w:ascii="Times New Roman" w:hAnsi="Times New Roman" w:eastAsia="宋体" w:cs="Times New Roman"/>
                      <w:color w:val="000000" w:themeColor="text1"/>
                      <w:sz w:val="21"/>
                      <w:szCs w:val="21"/>
                      <w:highlight w:val="none"/>
                      <w14:textFill>
                        <w14:solidFill>
                          <w14:schemeClr w14:val="tx1"/>
                        </w14:solidFill>
                      </w14:textFill>
                    </w:rPr>
                    <w:t>5m高排气</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筒排放</w:t>
                  </w:r>
                </w:p>
              </w:tc>
              <w:tc>
                <w:tcPr>
                  <w:tcW w:w="1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石油炼制工业</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污染物排放标准》（GB</w:t>
                  </w:r>
                  <w:r>
                    <w:rPr>
                      <w:rFonts w:hint="eastAsia" w:cs="Times New Roman"/>
                      <w:color w:val="000000" w:themeColor="text1"/>
                      <w:sz w:val="21"/>
                      <w:szCs w:val="21"/>
                      <w:lang w:val="en-US" w:eastAsia="zh-CN"/>
                      <w14:textFill>
                        <w14:solidFill>
                          <w14:schemeClr w14:val="tx1"/>
                        </w14:solidFill>
                      </w14:textFill>
                    </w:rPr>
                    <w:t>31570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-2015）及其修改单表</w:t>
                  </w: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有组织排放限值</w:t>
                  </w:r>
                </w:p>
              </w:tc>
              <w:tc>
                <w:tcPr>
                  <w:tcW w:w="9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69" w:hRule="atLeast"/>
                <w:jc w:val="center"/>
              </w:trPr>
              <w:tc>
                <w:tcPr>
                  <w:tcW w:w="37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p>
              </w:tc>
              <w:tc>
                <w:tcPr>
                  <w:tcW w:w="108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储罐小呼吸、</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设备与管线组件动静密封点废气</w:t>
                  </w:r>
                </w:p>
              </w:tc>
              <w:tc>
                <w:tcPr>
                  <w:tcW w:w="1248"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采用内浮顶罐、LDAR监测技术</w:t>
                  </w:r>
                </w:p>
              </w:tc>
              <w:tc>
                <w:tcPr>
                  <w:tcW w:w="1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eastAsia="zh-CN"/>
                      <w14:textFill>
                        <w14:solidFill>
                          <w14:schemeClr w14:val="tx1"/>
                        </w14:solidFill>
                      </w14:textFill>
                    </w:rPr>
                    <w:t>石油炼制工业</w:t>
                  </w:r>
                  <w:r>
                    <w:rPr>
                      <w:rFonts w:hint="default" w:ascii="Times New Roman" w:hAnsi="Times New Roman" w:eastAsia="宋体" w:cs="Times New Roman"/>
                      <w:color w:val="000000" w:themeColor="text1"/>
                      <w:sz w:val="21"/>
                      <w:szCs w:val="21"/>
                      <w:highlight w:val="none"/>
                      <w14:textFill>
                        <w14:solidFill>
                          <w14:schemeClr w14:val="tx1"/>
                        </w14:solidFill>
                      </w14:textFill>
                    </w:rPr>
                    <w:t>污染物排放标准》（GB</w:t>
                  </w:r>
                  <w:r>
                    <w:rPr>
                      <w:rFonts w:hint="eastAsia" w:cs="Times New Roman"/>
                      <w:color w:val="000000" w:themeColor="text1"/>
                      <w:sz w:val="21"/>
                      <w:szCs w:val="21"/>
                      <w:highlight w:val="none"/>
                      <w:lang w:eastAsia="zh-CN"/>
                      <w14:textFill>
                        <w14:solidFill>
                          <w14:schemeClr w14:val="tx1"/>
                        </w14:solidFill>
                      </w14:textFill>
                    </w:rPr>
                    <w:t>31570</w:t>
                  </w:r>
                  <w:r>
                    <w:rPr>
                      <w:rFonts w:hint="default" w:ascii="Times New Roman" w:hAnsi="Times New Roman" w:eastAsia="宋体" w:cs="Times New Roman"/>
                      <w:color w:val="000000" w:themeColor="text1"/>
                      <w:sz w:val="21"/>
                      <w:szCs w:val="21"/>
                      <w:highlight w:val="none"/>
                      <w14:textFill>
                        <w14:solidFill>
                          <w14:schemeClr w14:val="tx1"/>
                        </w14:solidFill>
                      </w14:textFill>
                    </w:rPr>
                    <w:t>-2015）及其修改单表</w:t>
                  </w:r>
                  <w:r>
                    <w:rPr>
                      <w:rFonts w:hint="eastAsia" w:cs="Times New Roman"/>
                      <w:color w:val="000000" w:themeColor="text1"/>
                      <w:sz w:val="21"/>
                      <w:szCs w:val="21"/>
                      <w:highlight w:val="none"/>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无组织</w:t>
                  </w:r>
                  <w:r>
                    <w:rPr>
                      <w:rFonts w:hint="default" w:ascii="Times New Roman" w:hAnsi="Times New Roman" w:eastAsia="宋体" w:cs="Times New Roman"/>
                      <w:color w:val="000000" w:themeColor="text1"/>
                      <w:sz w:val="21"/>
                      <w:szCs w:val="21"/>
                      <w:highlight w:val="none"/>
                      <w14:textFill>
                        <w14:solidFill>
                          <w14:schemeClr w14:val="tx1"/>
                        </w14:solidFill>
                      </w14:textFill>
                    </w:rPr>
                    <w:t>排放限值</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t>《挥发性有机物无组织排放控制标准》（GB37822-2019）表A.1厂区内VOCs无组织排放限值要求</w:t>
                  </w:r>
                </w:p>
              </w:tc>
              <w:tc>
                <w:tcPr>
                  <w:tcW w:w="9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3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废水</w:t>
                  </w:r>
                </w:p>
              </w:tc>
              <w:tc>
                <w:tcPr>
                  <w:tcW w:w="108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生活污水</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经原有化粪池、污水处理站处理后，排</w:t>
                  </w:r>
                  <w:r>
                    <w:rPr>
                      <w:rFonts w:hint="default"/>
                      <w:color w:val="000000" w:themeColor="text1"/>
                      <w:sz w:val="21"/>
                      <w:szCs w:val="21"/>
                      <w:highlight w:val="none"/>
                      <w14:textFill>
                        <w14:solidFill>
                          <w14:schemeClr w14:val="tx1"/>
                        </w14:solidFill>
                      </w14:textFill>
                    </w:rPr>
                    <w:t>鄂尔多斯市泰鑫煤炭有限公司</w:t>
                  </w:r>
                  <w:r>
                    <w:rPr>
                      <w:rFonts w:hint="eastAsia"/>
                      <w:color w:val="000000" w:themeColor="text1"/>
                      <w:sz w:val="21"/>
                      <w:szCs w:val="21"/>
                      <w:highlight w:val="none"/>
                      <w:lang w:val="en-US" w:eastAsia="zh-CN"/>
                      <w14:textFill>
                        <w14:solidFill>
                          <w14:schemeClr w14:val="tx1"/>
                        </w14:solidFill>
                      </w14:textFill>
                    </w:rPr>
                    <w:t>用于</w:t>
                  </w:r>
                  <w:r>
                    <w:rPr>
                      <w:rFonts w:hint="default"/>
                      <w:color w:val="000000" w:themeColor="text1"/>
                      <w:sz w:val="21"/>
                      <w:szCs w:val="21"/>
                      <w:highlight w:val="none"/>
                      <w14:textFill>
                        <w14:solidFill>
                          <w14:schemeClr w14:val="tx1"/>
                        </w14:solidFill>
                      </w14:textFill>
                    </w:rPr>
                    <w:t>洗煤</w:t>
                  </w:r>
                </w:p>
              </w:tc>
              <w:tc>
                <w:tcPr>
                  <w:tcW w:w="137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《石油炼制工业污染物排放标准》（GB31570-2015）及其修改单表1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新建企业水污染物排放浓度限值</w:t>
                  </w:r>
                  <w:r>
                    <w:rPr>
                      <w:rFonts w:hint="default" w:ascii="Times New Roman" w:hAnsi="Times New Roman" w:eastAsia="宋体" w:cs="Times New Roman"/>
                      <w:color w:val="000000" w:themeColor="text1"/>
                      <w:sz w:val="21"/>
                      <w:szCs w:val="21"/>
                      <w:highlight w:val="none"/>
                      <w14:textFill>
                        <w14:solidFill>
                          <w14:schemeClr w14:val="tx1"/>
                        </w14:solidFill>
                      </w14:textFill>
                    </w:rPr>
                    <w:t>和《煤炭工业污染物排放标准》（GB20426-2006）表3标准限值</w:t>
                  </w:r>
                </w:p>
              </w:tc>
              <w:tc>
                <w:tcPr>
                  <w:tcW w:w="90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3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8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地面清洗废水、初期雨水</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原有污水处理站处理后，排鄂尔多斯市泰鑫煤炭有限公司用于洗煤</w:t>
                  </w:r>
                </w:p>
              </w:tc>
              <w:tc>
                <w:tcPr>
                  <w:tcW w:w="137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0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37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固废</w:t>
                  </w:r>
                </w:p>
              </w:tc>
              <w:tc>
                <w:tcPr>
                  <w:tcW w:w="459"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t>一般</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t>固废</w:t>
                  </w:r>
                </w:p>
              </w:tc>
              <w:tc>
                <w:tcPr>
                  <w:tcW w:w="629"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t>生活垃圾</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委托当地环卫部门及时清运，不外排</w:t>
                  </w:r>
                </w:p>
              </w:tc>
              <w:tc>
                <w:tcPr>
                  <w:tcW w:w="1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一般工业固体废物贮存和填埋污染控制标准</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》（GB18599-20</w:t>
                  </w: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20</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）标准</w:t>
                  </w:r>
                </w:p>
              </w:tc>
              <w:tc>
                <w:tcPr>
                  <w:tcW w:w="9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1608" w:hRule="atLeast"/>
                <w:jc w:val="center"/>
              </w:trPr>
              <w:tc>
                <w:tcPr>
                  <w:tcW w:w="37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p>
              </w:tc>
              <w:tc>
                <w:tcPr>
                  <w:tcW w:w="45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t>危险</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
                      <w14:textFill>
                        <w14:solidFill>
                          <w14:schemeClr w14:val="tx1"/>
                        </w14:solidFill>
                      </w14:textFill>
                    </w:rPr>
                    <w:t>废物</w:t>
                  </w:r>
                </w:p>
              </w:tc>
              <w:tc>
                <w:tcPr>
                  <w:tcW w:w="629" w:type="pct"/>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eastAsia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stheme="minorEastAsia"/>
                      <w:color w:val="000000" w:themeColor="text1"/>
                      <w:spacing w:val="11"/>
                      <w:sz w:val="21"/>
                      <w:szCs w:val="21"/>
                      <w14:textFill>
                        <w14:solidFill>
                          <w14:schemeClr w14:val="tx1"/>
                        </w14:solidFill>
                      </w14:textFill>
                    </w:rPr>
                    <w:t>清罐油泥</w:t>
                  </w:r>
                  <w:r>
                    <w:rPr>
                      <w:rFonts w:hint="eastAsia" w:asciiTheme="minorEastAsia" w:hAnsiTheme="minorEastAsia" w:eastAsiaTheme="minorEastAsia" w:cstheme="minorEastAsia"/>
                      <w:color w:val="000000" w:themeColor="text1"/>
                      <w:spacing w:val="11"/>
                      <w:sz w:val="21"/>
                      <w:szCs w:val="21"/>
                      <w:lang w:eastAsia="zh-CN"/>
                      <w14:textFill>
                        <w14:solidFill>
                          <w14:schemeClr w14:val="tx1"/>
                        </w14:solidFill>
                      </w14:textFill>
                    </w:rPr>
                    <w:t>、</w:t>
                  </w:r>
                </w:p>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pacing w:val="11"/>
                      <w:sz w:val="21"/>
                      <w:szCs w:val="21"/>
                      <w14:textFill>
                        <w14:solidFill>
                          <w14:schemeClr w14:val="tx1"/>
                        </w14:solidFill>
                      </w14:textFill>
                    </w:rPr>
                    <w:t>污水处理站含油污泥、废</w:t>
                  </w:r>
                  <w:r>
                    <w:rPr>
                      <w:rFonts w:hint="default" w:ascii="Times New Roman" w:hAnsi="Times New Roman" w:cs="Times New Roman" w:eastAsiaTheme="minorEastAsia"/>
                      <w:color w:val="000000" w:themeColor="text1"/>
                      <w:spacing w:val="11"/>
                      <w:sz w:val="21"/>
                      <w:szCs w:val="21"/>
                      <w:lang w:val="en-US" w:eastAsia="zh-CN"/>
                      <w14:textFill>
                        <w14:solidFill>
                          <w14:schemeClr w14:val="tx1"/>
                        </w14:solidFill>
                      </w14:textFill>
                    </w:rPr>
                    <w:t>机</w:t>
                  </w:r>
                  <w:r>
                    <w:rPr>
                      <w:rFonts w:hint="default" w:ascii="Times New Roman" w:hAnsi="Times New Roman" w:cs="Times New Roman" w:eastAsiaTheme="minorEastAsia"/>
                      <w:color w:val="000000" w:themeColor="text1"/>
                      <w:spacing w:val="11"/>
                      <w:sz w:val="21"/>
                      <w:szCs w:val="21"/>
                      <w14:textFill>
                        <w14:solidFill>
                          <w14:schemeClr w14:val="tx1"/>
                        </w14:solidFill>
                      </w14:textFill>
                    </w:rPr>
                    <w:t>油、</w:t>
                  </w:r>
                  <w:r>
                    <w:rPr>
                      <w:rFonts w:hint="default" w:ascii="Times New Roman" w:hAnsi="Times New Roman" w:cs="Times New Roman" w:eastAsiaTheme="minorEastAsia"/>
                      <w:color w:val="000000" w:themeColor="text1"/>
                      <w:spacing w:val="11"/>
                      <w:sz w:val="21"/>
                      <w:szCs w:val="21"/>
                      <w:lang w:val="en-US" w:eastAsia="zh-CN"/>
                      <w14:textFill>
                        <w14:solidFill>
                          <w14:schemeClr w14:val="tx1"/>
                        </w14:solidFill>
                      </w14:textFill>
                    </w:rPr>
                    <w:t>废油桶</w:t>
                  </w:r>
                  <w:r>
                    <w:rPr>
                      <w:rFonts w:hint="default" w:ascii="Times New Roman" w:hAnsi="Times New Roman" w:cs="Times New Roman" w:eastAsiaTheme="minorEastAsia"/>
                      <w:color w:val="000000" w:themeColor="text1"/>
                      <w:spacing w:val="11"/>
                      <w:sz w:val="21"/>
                      <w:szCs w:val="21"/>
                      <w14:textFill>
                        <w14:solidFill>
                          <w14:schemeClr w14:val="tx1"/>
                        </w14:solidFill>
                      </w14:textFill>
                    </w:rPr>
                    <w:t>、</w:t>
                  </w:r>
                  <w:r>
                    <w:rPr>
                      <w:rFonts w:hint="eastAsia" w:ascii="Times New Roman" w:hAnsi="Times New Roman" w:cs="Times New Roman" w:eastAsiaTheme="minorEastAsia"/>
                      <w:color w:val="000000" w:themeColor="text1"/>
                      <w:spacing w:val="11"/>
                      <w:sz w:val="21"/>
                      <w:szCs w:val="21"/>
                      <w:lang w:val="en-US" w:eastAsia="zh-CN"/>
                      <w14:textFill>
                        <w14:solidFill>
                          <w14:schemeClr w14:val="tx1"/>
                        </w14:solidFill>
                      </w14:textFill>
                    </w:rPr>
                    <w:t>废活性炭、</w:t>
                  </w:r>
                  <w:r>
                    <w:rPr>
                      <w:rFonts w:hint="default" w:ascii="Times New Roman" w:hAnsi="Times New Roman" w:cs="Times New Roman" w:eastAsiaTheme="minorEastAsia"/>
                      <w:color w:val="000000" w:themeColor="text1"/>
                      <w:spacing w:val="11"/>
                      <w:sz w:val="21"/>
                      <w:szCs w:val="21"/>
                      <w14:textFill>
                        <w14:solidFill>
                          <w14:schemeClr w14:val="tx1"/>
                        </w14:solidFill>
                      </w14:textFill>
                    </w:rPr>
                    <w:t>含油抹布手套</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委托有资质单位处置</w:t>
                  </w:r>
                </w:p>
              </w:tc>
              <w:tc>
                <w:tcPr>
                  <w:tcW w:w="1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《危险废物贮存污染控制标准》（GB18597-2023）</w:t>
                  </w:r>
                </w:p>
              </w:tc>
              <w:tc>
                <w:tcPr>
                  <w:tcW w:w="9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1467"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环境风险</w:t>
                  </w:r>
                </w:p>
              </w:tc>
              <w:tc>
                <w:tcPr>
                  <w:tcW w:w="262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依托原有事故水池、初期雨水池</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配备</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应急</w:t>
                  </w:r>
                  <w:r>
                    <w:rPr>
                      <w:rFonts w:hint="default" w:ascii="Times New Roman" w:hAnsi="Times New Roman" w:eastAsia="宋体" w:cs="Times New Roman"/>
                      <w:color w:val="000000" w:themeColor="text1"/>
                      <w:sz w:val="21"/>
                      <w:szCs w:val="21"/>
                      <w14:textFill>
                        <w14:solidFill>
                          <w14:schemeClr w14:val="tx1"/>
                        </w14:solidFill>
                      </w14:textFill>
                    </w:rPr>
                    <w:t>设施</w:t>
                  </w:r>
                </w:p>
              </w:tc>
              <w:tc>
                <w:tcPr>
                  <w:tcW w:w="9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1467"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c>
                <w:tcPr>
                  <w:tcW w:w="12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减振等</w:t>
                  </w:r>
                </w:p>
              </w:tc>
              <w:tc>
                <w:tcPr>
                  <w:tcW w:w="13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满足GB12348-2008</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中3类标准</w:t>
                  </w:r>
                </w:p>
              </w:tc>
              <w:tc>
                <w:tcPr>
                  <w:tcW w:w="9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等效连续A声级</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p>
        </w:tc>
      </w:tr>
    </w:tbl>
    <w:p>
      <w:pPr>
        <w:pStyle w:val="22"/>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br w:type="page"/>
      </w:r>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六、结论</w:t>
      </w:r>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针对厂区周围土壤、地下水存在的污染情况，建设单位已结合污染源头制定地下水污染管控方案，配套了管控工程，并定期开展管控效果跟踪评估。现地下水污染物已显著降低，地下水质量已逐步向好。</w:t>
            </w:r>
          </w:p>
          <w:p>
            <w:pPr>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本次项目利用“30万吨/年芳烃抽提项目”现有设施进行改建，</w:t>
            </w:r>
            <w:r>
              <w:rPr>
                <w:rFonts w:hint="default" w:ascii="Times New Roman" w:hAnsi="Times New Roman" w:cs="Times New Roman"/>
                <w:color w:val="000000" w:themeColor="text1"/>
                <w:sz w:val="24"/>
                <w:highlight w:val="none"/>
                <w14:textFill>
                  <w14:solidFill>
                    <w14:schemeClr w14:val="tx1"/>
                  </w14:solidFill>
                </w14:textFill>
              </w:rPr>
              <w:t>本建设项目符合国家相关产业政策，选址合理，总平面布置合理可行，项目对废气、废水、噪声和固体废物等污染物采取了妥善的处理处置措施，污染物排放总量较小，在落实各项规定的污染防治措施后，各污染物能达标排放，对周围的环境影响可控制在允许的范围内，周围环境质量能满足功能区划要求。在全面落实各项污染防范措施、搞好“三同时”制度、保证安全生产的前提下，项目的建设整体上符合环境保护和社会可持续发展的要求，从环境保护角度分析，本项目是可行的。</w:t>
            </w:r>
          </w:p>
        </w:tc>
      </w:tr>
    </w:tbl>
    <w:p>
      <w:pPr>
        <w:rPr>
          <w:rFonts w:hint="default" w:ascii="Times New Roman" w:hAnsi="Times New Roman" w:cs="Times New Roman"/>
          <w:color w:val="000000" w:themeColor="text1"/>
          <w:highlight w:val="none"/>
          <w14:textFill>
            <w14:solidFill>
              <w14:schemeClr w14:val="tx1"/>
            </w14:solidFill>
          </w14:textFill>
        </w:rPr>
        <w:sectPr>
          <w:pgSz w:w="11906" w:h="16838"/>
          <w:pgMar w:top="1134" w:right="1134" w:bottom="1134"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2"/>
        <w:adjustRightInd w:val="0"/>
        <w:snapToGrid w:val="0"/>
        <w:spacing w:before="0" w:beforeAutospacing="0" w:after="0" w:afterAutospacing="0" w:line="360" w:lineRule="auto"/>
        <w:outlineLvl w:val="0"/>
        <w:rPr>
          <w:rFonts w:hint="default" w:ascii="Times New Roman" w:hAnsi="Times New Roman" w:eastAsia="黑体" w:cs="Times New Roman"/>
          <w:snapToGrid w:val="0"/>
          <w:color w:val="000000" w:themeColor="text1"/>
          <w:sz w:val="32"/>
          <w:szCs w:val="32"/>
          <w:highlight w:val="none"/>
          <w14:textFill>
            <w14:solidFill>
              <w14:schemeClr w14:val="tx1"/>
            </w14:solidFill>
          </w14:textFill>
        </w:rPr>
      </w:pPr>
      <w:r>
        <w:rPr>
          <w:rFonts w:hint="default" w:ascii="Times New Roman" w:hAnsi="Times New Roman" w:eastAsia="黑体" w:cs="Times New Roman"/>
          <w:snapToGrid w:val="0"/>
          <w:color w:val="000000" w:themeColor="text1"/>
          <w:sz w:val="32"/>
          <w:szCs w:val="32"/>
          <w:highlight w:val="none"/>
          <w14:textFill>
            <w14:solidFill>
              <w14:schemeClr w14:val="tx1"/>
            </w14:solidFill>
          </w14:textFill>
        </w:rPr>
        <w:t>附表</w:t>
      </w:r>
    </w:p>
    <w:p>
      <w:pPr>
        <w:pStyle w:val="22"/>
        <w:adjustRightInd w:val="0"/>
        <w:snapToGrid w:val="0"/>
        <w:spacing w:before="0" w:beforeAutospacing="0" w:after="0" w:afterAutospacing="0" w:line="240" w:lineRule="auto"/>
        <w:jc w:val="center"/>
        <w:outlineLvl w:val="0"/>
        <w:rPr>
          <w:rFonts w:hint="default" w:ascii="Times New Roman" w:hAnsi="Times New Roman" w:eastAsia="方正小标宋_GBK" w:cs="Times New Roman"/>
          <w:snapToGrid w:val="0"/>
          <w:color w:val="000000" w:themeColor="text1"/>
          <w:sz w:val="38"/>
          <w:szCs w:val="38"/>
          <w:highlight w:val="none"/>
          <w14:textFill>
            <w14:solidFill>
              <w14:schemeClr w14:val="tx1"/>
            </w14:solidFill>
          </w14:textFill>
        </w:rPr>
      </w:pPr>
      <w:r>
        <w:rPr>
          <w:rFonts w:hint="default" w:ascii="Times New Roman" w:hAnsi="Times New Roman" w:eastAsia="方正小标宋_GBK" w:cs="Times New Roman"/>
          <w:snapToGrid w:val="0"/>
          <w:color w:val="000000" w:themeColor="text1"/>
          <w:sz w:val="38"/>
          <w:szCs w:val="38"/>
          <w:highlight w:val="none"/>
          <w14:textFill>
            <w14:solidFill>
              <w14:schemeClr w14:val="tx1"/>
            </w14:solidFill>
          </w14:textFill>
        </w:rPr>
        <w:t>建设项目污染物排放量汇总表</w:t>
      </w:r>
    </w:p>
    <w:tbl>
      <w:tblPr>
        <w:tblStyle w:val="27"/>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tcBorders>
              <w:tl2br w:val="single" w:color="auto" w:sz="4" w:space="0"/>
            </w:tcBorders>
            <w:noWrap w:val="0"/>
            <w:tcMar>
              <w:left w:w="28" w:type="dxa"/>
              <w:right w:w="28" w:type="dxa"/>
            </w:tcMar>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right"/>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项目</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left"/>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分类</w:t>
            </w:r>
          </w:p>
        </w:tc>
        <w:tc>
          <w:tcPr>
            <w:tcW w:w="1417" w:type="dxa"/>
            <w:noWrap w:val="0"/>
            <w:tcMar>
              <w:left w:w="28" w:type="dxa"/>
              <w:right w:w="28" w:type="dxa"/>
            </w:tcMar>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污染物名称</w:t>
            </w:r>
          </w:p>
        </w:tc>
        <w:tc>
          <w:tcPr>
            <w:tcW w:w="1701" w:type="dxa"/>
            <w:noWrap w:val="0"/>
            <w:tcMar>
              <w:left w:w="28" w:type="dxa"/>
              <w:right w:w="28" w:type="dxa"/>
            </w:tcMar>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现有工程</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①</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c>
          <w:tcPr>
            <w:tcW w:w="1276" w:type="dxa"/>
            <w:noWrap w:val="0"/>
            <w:tcMar>
              <w:left w:w="28" w:type="dxa"/>
              <w:right w:w="28" w:type="dxa"/>
            </w:tcMar>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现有工程</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许可排放量</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2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②</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c>
          <w:tcPr>
            <w:tcW w:w="1701" w:type="dxa"/>
            <w:noWrap w:val="0"/>
            <w:tcMar>
              <w:left w:w="28" w:type="dxa"/>
              <w:right w:w="28" w:type="dxa"/>
            </w:tcMar>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在建工程</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③</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c>
          <w:tcPr>
            <w:tcW w:w="1559" w:type="dxa"/>
            <w:noWrap w:val="0"/>
            <w:tcMar>
              <w:left w:w="28" w:type="dxa"/>
              <w:right w:w="28" w:type="dxa"/>
            </w:tcMar>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本项目</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④</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c>
          <w:tcPr>
            <w:tcW w:w="1761" w:type="dxa"/>
            <w:noWrap w:val="0"/>
            <w:tcMar>
              <w:left w:w="28" w:type="dxa"/>
              <w:right w:w="28" w:type="dxa"/>
            </w:tcMar>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t>以新带老削减量</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t>（新建项目不填）</w: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⑤</w: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end"/>
            </w:r>
          </w:p>
        </w:tc>
        <w:tc>
          <w:tcPr>
            <w:tcW w:w="1959" w:type="dxa"/>
            <w:noWrap w:val="0"/>
            <w:tcMar>
              <w:left w:w="28" w:type="dxa"/>
              <w:right w:w="28" w:type="dxa"/>
            </w:tcMar>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t>本项目建成后</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t>全厂排放量（固体废物产生量）</w: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⑥</w: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end"/>
            </w:r>
          </w:p>
        </w:tc>
        <w:tc>
          <w:tcPr>
            <w:tcW w:w="826" w:type="dxa"/>
            <w:noWrap w:val="0"/>
            <w:tcMar>
              <w:left w:w="28" w:type="dxa"/>
              <w:right w:w="28" w:type="dxa"/>
            </w:tcMar>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变化量</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⑦</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废气</w:t>
            </w:r>
          </w:p>
        </w:tc>
        <w:tc>
          <w:tcPr>
            <w:tcW w:w="1417"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非甲烷总烃</w:t>
            </w:r>
          </w:p>
        </w:tc>
        <w:tc>
          <w:tcPr>
            <w:tcW w:w="170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w:t>
            </w:r>
          </w:p>
        </w:tc>
        <w:tc>
          <w:tcPr>
            <w:tcW w:w="1276"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w:t>
            </w:r>
          </w:p>
        </w:tc>
        <w:tc>
          <w:tcPr>
            <w:tcW w:w="170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0</w:t>
            </w:r>
          </w:p>
        </w:tc>
        <w:tc>
          <w:tcPr>
            <w:tcW w:w="1559"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snapToGrid w:val="0"/>
                <w:color w:val="FF0000"/>
                <w:kern w:val="21"/>
                <w:szCs w:val="21"/>
                <w:highlight w:val="none"/>
                <w:lang w:val="en-US" w:eastAsia="zh-CN"/>
              </w:rPr>
            </w:pPr>
            <w:r>
              <w:rPr>
                <w:rFonts w:hint="eastAsia" w:ascii="Times New Roman" w:cs="Times New Roman"/>
                <w:snapToGrid w:val="0"/>
                <w:color w:val="FF0000"/>
                <w:kern w:val="21"/>
                <w:szCs w:val="21"/>
                <w:highlight w:val="none"/>
                <w:lang w:val="en-US" w:eastAsia="zh-CN"/>
              </w:rPr>
              <w:t>1.53</w:t>
            </w:r>
            <w:r>
              <w:rPr>
                <w:rFonts w:hint="eastAsia" w:ascii="Times New Roman" w:hAnsi="Times New Roman" w:cs="Times New Roman"/>
                <w:snapToGrid w:val="0"/>
                <w:color w:val="FF0000"/>
                <w:kern w:val="21"/>
                <w:szCs w:val="21"/>
                <w:highlight w:val="none"/>
                <w:lang w:val="en-US" w:eastAsia="zh-CN"/>
              </w:rPr>
              <w:t>t/a</w:t>
            </w:r>
          </w:p>
        </w:tc>
        <w:tc>
          <w:tcPr>
            <w:tcW w:w="176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FF0000"/>
                <w:kern w:val="21"/>
                <w:szCs w:val="21"/>
                <w:highlight w:val="none"/>
              </w:rPr>
            </w:pPr>
          </w:p>
        </w:tc>
        <w:tc>
          <w:tcPr>
            <w:tcW w:w="1959"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FF0000"/>
                <w:kern w:val="21"/>
                <w:szCs w:val="21"/>
                <w:highlight w:val="none"/>
              </w:rPr>
            </w:pPr>
            <w:r>
              <w:rPr>
                <w:rFonts w:hint="eastAsia" w:ascii="Times New Roman" w:cs="Times New Roman"/>
                <w:snapToGrid w:val="0"/>
                <w:color w:val="FF0000"/>
                <w:kern w:val="21"/>
                <w:szCs w:val="21"/>
                <w:highlight w:val="none"/>
                <w:lang w:val="en-US" w:eastAsia="zh-CN"/>
              </w:rPr>
              <w:t>1.53t</w:t>
            </w:r>
            <w:r>
              <w:rPr>
                <w:rFonts w:hint="eastAsia" w:ascii="Times New Roman" w:hAnsi="Times New Roman" w:cs="Times New Roman"/>
                <w:snapToGrid w:val="0"/>
                <w:color w:val="FF0000"/>
                <w:kern w:val="21"/>
                <w:szCs w:val="21"/>
                <w:highlight w:val="none"/>
                <w:lang w:val="en-US" w:eastAsia="zh-CN"/>
              </w:rPr>
              <w:t>/a</w:t>
            </w:r>
          </w:p>
        </w:tc>
        <w:tc>
          <w:tcPr>
            <w:tcW w:w="826"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FF0000"/>
                <w:kern w:val="21"/>
                <w:szCs w:val="21"/>
                <w:highlight w:val="none"/>
              </w:rPr>
            </w:pPr>
            <w:r>
              <w:rPr>
                <w:rFonts w:hint="eastAsia" w:ascii="Times New Roman" w:cs="Times New Roman"/>
                <w:snapToGrid w:val="0"/>
                <w:color w:val="FF0000"/>
                <w:kern w:val="21"/>
                <w:szCs w:val="21"/>
                <w:highlight w:val="none"/>
                <w:lang w:val="en-US" w:eastAsia="zh-CN"/>
              </w:rPr>
              <w:t>+1.53</w:t>
            </w:r>
            <w:r>
              <w:rPr>
                <w:rFonts w:hint="eastAsia" w:ascii="Times New Roman" w:hAnsi="Times New Roman" w:cs="Times New Roman"/>
                <w:snapToGrid w:val="0"/>
                <w:color w:val="FF0000"/>
                <w:kern w:val="21"/>
                <w:szCs w:val="21"/>
                <w:highlight w:val="none"/>
                <w:lang w:val="en-US" w:eastAsia="zh-CN"/>
              </w:rPr>
              <w:t>t/a</w:t>
            </w:r>
            <w:r>
              <w:rPr>
                <w:color w:val="FF0000"/>
              </w:rPr>
              <w:commentReference w:id="98"/>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废水</w:t>
            </w:r>
          </w:p>
        </w:tc>
        <w:tc>
          <w:tcPr>
            <w:tcW w:w="1417"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80" w:firstLineChars="200"/>
              <w:jc w:val="both"/>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80" w:firstLineChars="200"/>
              <w:jc w:val="both"/>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80" w:firstLineChars="200"/>
              <w:jc w:val="both"/>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6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959"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826"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一般工业</w:t>
            </w:r>
          </w:p>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固体废物</w:t>
            </w:r>
          </w:p>
        </w:tc>
        <w:tc>
          <w:tcPr>
            <w:tcW w:w="1417"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80" w:firstLineChars="200"/>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6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95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82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危险废物</w:t>
            </w:r>
          </w:p>
        </w:tc>
        <w:tc>
          <w:tcPr>
            <w:tcW w:w="141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清罐油泥</w:t>
            </w:r>
          </w:p>
        </w:tc>
        <w:tc>
          <w:tcPr>
            <w:tcW w:w="17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60t/5a</w:t>
            </w:r>
          </w:p>
        </w:tc>
        <w:tc>
          <w:tcPr>
            <w:tcW w:w="176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9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60t/5a</w:t>
            </w:r>
          </w:p>
        </w:tc>
        <w:tc>
          <w:tcPr>
            <w:tcW w:w="82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60t/5a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污水处理系统含油污泥</w:t>
            </w:r>
          </w:p>
        </w:tc>
        <w:tc>
          <w:tcPr>
            <w:tcW w:w="17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2.1</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c>
          <w:tcPr>
            <w:tcW w:w="176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9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2.1</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c>
          <w:tcPr>
            <w:tcW w:w="82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2.1</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废机油</w:t>
            </w:r>
          </w:p>
        </w:tc>
        <w:tc>
          <w:tcPr>
            <w:tcW w:w="17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c>
          <w:tcPr>
            <w:tcW w:w="176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9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c>
          <w:tcPr>
            <w:tcW w:w="82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olor w:val="000000" w:themeColor="text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废油桶</w:t>
            </w:r>
          </w:p>
        </w:tc>
        <w:tc>
          <w:tcPr>
            <w:tcW w:w="17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0.05</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c>
          <w:tcPr>
            <w:tcW w:w="176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9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0.05</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c>
          <w:tcPr>
            <w:tcW w:w="82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0.05</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废活性炭</w:t>
            </w:r>
          </w:p>
        </w:tc>
        <w:tc>
          <w:tcPr>
            <w:tcW w:w="17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10t/2a</w:t>
            </w:r>
          </w:p>
        </w:tc>
        <w:tc>
          <w:tcPr>
            <w:tcW w:w="176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9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10t/2a</w:t>
            </w:r>
          </w:p>
        </w:tc>
        <w:tc>
          <w:tcPr>
            <w:tcW w:w="82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+10t/2a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olor w:val="000000" w:themeColor="text1"/>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含油抹布、手套</w:t>
            </w:r>
          </w:p>
        </w:tc>
        <w:tc>
          <w:tcPr>
            <w:tcW w:w="17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c>
          <w:tcPr>
            <w:tcW w:w="176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9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c>
          <w:tcPr>
            <w:tcW w:w="82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05" w:type="dxa"/>
            <w:gridSpan w:val="2"/>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生活垃圾</w:t>
            </w:r>
          </w:p>
        </w:tc>
        <w:tc>
          <w:tcPr>
            <w:tcW w:w="170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2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7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w:t>
            </w:r>
          </w:p>
        </w:tc>
        <w:tc>
          <w:tcPr>
            <w:tcW w:w="155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highlight w:val="none"/>
                <w:lang w:val="en-US" w:eastAsia="zh-CN"/>
                <w14:textFill>
                  <w14:solidFill>
                    <w14:schemeClr w14:val="tx1"/>
                  </w14:solidFill>
                </w14:textFill>
              </w:rPr>
              <w:t>3t/a</w:t>
            </w:r>
          </w:p>
        </w:tc>
        <w:tc>
          <w:tcPr>
            <w:tcW w:w="176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959"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3</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t/a</w:t>
            </w:r>
          </w:p>
        </w:tc>
        <w:tc>
          <w:tcPr>
            <w:tcW w:w="826"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pPr>
            <w:r>
              <w:rPr>
                <w:rFonts w:hint="eastAsia" w:ascii="Times New Roman" w:cs="Times New Roman"/>
                <w:snapToGrid w:val="0"/>
                <w:color w:val="000000" w:themeColor="text1"/>
                <w:kern w:val="21"/>
                <w:szCs w:val="21"/>
                <w:highlight w:val="none"/>
                <w:lang w:val="en-US" w:eastAsia="zh-CN"/>
                <w14:textFill>
                  <w14:solidFill>
                    <w14:schemeClr w14:val="tx1"/>
                  </w14:solidFill>
                </w14:textFill>
              </w:rPr>
              <w:t>3</w:t>
            </w:r>
            <w:r>
              <w:rPr>
                <w:rFonts w:hint="default" w:ascii="Times New Roman" w:hAnsi="Times New Roman" w:cs="Times New Roman"/>
                <w:snapToGrid w:val="0"/>
                <w:color w:val="000000" w:themeColor="text1"/>
                <w:kern w:val="21"/>
                <w:szCs w:val="21"/>
                <w:highlight w:val="none"/>
                <w:lang w:val="en-US" w:eastAsia="zh-CN"/>
                <w14:textFill>
                  <w14:solidFill>
                    <w14:schemeClr w14:val="tx1"/>
                  </w14:solidFill>
                </w14:textFill>
              </w:rPr>
              <w:t>t/a</w:t>
            </w:r>
          </w:p>
        </w:tc>
      </w:tr>
    </w:tbl>
    <w:p>
      <w:pPr>
        <w:pStyle w:val="57"/>
        <w:spacing w:before="192" w:beforeLines="80" w:after="24"/>
        <w:jc w:val="left"/>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注：</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⑥</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①</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③</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④</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⑤</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⑦</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⑥</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①</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p>
    <w:p>
      <w:pPr>
        <w:ind w:left="0" w:leftChars="0" w:firstLine="0" w:firstLineChars="0"/>
        <w:rPr>
          <w:rFonts w:hint="default" w:ascii="Times New Roman" w:hAnsi="Times New Roman" w:cs="Times New Roman"/>
          <w:color w:val="000000" w:themeColor="text1"/>
          <w:highlight w:val="none"/>
          <w14:textFill>
            <w14:solidFill>
              <w14:schemeClr w14:val="tx1"/>
            </w14:solidFill>
          </w14:textFill>
        </w:rPr>
        <w:sectPr>
          <w:footerReference r:id="rId14"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bidi w:val="0"/>
        <w:rPr>
          <w:rFonts w:hint="default" w:ascii="Times New Roman" w:hAnsi="Times New Roman" w:cs="Times New Roman"/>
          <w:b w:val="0"/>
          <w:bCs w:val="0"/>
          <w:color w:val="000000" w:themeColor="text1"/>
          <w:sz w:val="28"/>
          <w:szCs w:val="28"/>
          <w:highlight w:val="none"/>
          <w:lang w:val="en-US" w:eastAsia="zh-CN"/>
          <w14:textFill>
            <w14:solidFill>
              <w14:schemeClr w14:val="tx1"/>
            </w14:solidFill>
          </w14:textFill>
        </w:rPr>
        <w:sectPr>
          <w:footerReference r:id="rId15" w:type="default"/>
          <w:pgSz w:w="11906" w:h="16838"/>
          <w:pgMar w:top="1134" w:right="1134" w:bottom="1134"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color w:val="000000" w:themeColor="text1"/>
          <w14:textFill>
            <w14:solidFill>
              <w14:schemeClr w14:val="tx1"/>
            </w14:solidFill>
          </w14:textFill>
        </w:rPr>
        <w:drawing>
          <wp:inline distT="0" distB="0" distL="114300" distR="114300">
            <wp:extent cx="5855335" cy="8272780"/>
            <wp:effectExtent l="0" t="0" r="12065" b="13970"/>
            <wp:docPr id="7"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true"/>
                    </pic:cNvPicPr>
                  </pic:nvPicPr>
                  <pic:blipFill>
                    <a:blip r:embed="rId71"/>
                    <a:stretch>
                      <a:fillRect/>
                    </a:stretch>
                  </pic:blipFill>
                  <pic:spPr>
                    <a:xfrm>
                      <a:off x="0" y="0"/>
                      <a:ext cx="5855335" cy="8272780"/>
                    </a:xfrm>
                    <a:prstGeom prst="rect">
                      <a:avLst/>
                    </a:prstGeom>
                    <a:noFill/>
                    <a:ln>
                      <a:noFill/>
                    </a:ln>
                  </pic:spPr>
                </pic:pic>
              </a:graphicData>
            </a:graphic>
          </wp:inline>
        </w:drawing>
      </w:r>
    </w:p>
    <w:p>
      <w:pPr>
        <w:pStyle w:val="53"/>
        <w:ind w:left="0" w:leftChars="0" w:firstLine="0" w:firstLineChars="0"/>
        <w:jc w:val="left"/>
        <w:rPr>
          <w:rFonts w:hint="eastAsia" w:eastAsia="黑体" w:cs="Times New Roman"/>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附件2 营业执照</w:t>
      </w:r>
    </w:p>
    <w:p>
      <w:pPr>
        <w:jc w:val="center"/>
        <w:rPr>
          <w:rFonts w:hint="default" w:ascii="Times New Roman" w:hAnsi="Times New Roman" w:cs="Times New Roman"/>
          <w:b w:val="0"/>
          <w:bCs w:val="0"/>
          <w:color w:val="000000" w:themeColor="text1"/>
          <w:sz w:val="28"/>
          <w:szCs w:val="28"/>
          <w:highlight w:val="none"/>
          <w:lang w:val="en-US" w:eastAsia="zh-CN"/>
          <w14:textFill>
            <w14:solidFill>
              <w14:schemeClr w14:val="tx1"/>
            </w14:solidFill>
          </w14:textFill>
        </w:rPr>
        <w:sectPr>
          <w:pgSz w:w="16838" w:h="11906" w:orient="landscape"/>
          <w:pgMar w:top="1531" w:right="1134" w:bottom="1134" w:left="1134" w:header="851" w:footer="851" w:gutter="0"/>
          <w:pgBorders>
            <w:top w:val="none" w:sz="0" w:space="0"/>
            <w:left w:val="none" w:sz="0" w:space="0"/>
            <w:bottom w:val="none" w:sz="0" w:space="0"/>
            <w:right w:val="none" w:sz="0" w:space="0"/>
          </w:pgBorders>
          <w:pgNumType w:fmt="numberInDash"/>
          <w:cols w:space="720" w:num="1"/>
          <w:docGrid w:linePitch="312" w:charSpace="0"/>
        </w:sectPr>
      </w:pPr>
      <w:r>
        <w:rPr>
          <w:color w:val="000000" w:themeColor="text1"/>
          <w14:textFill>
            <w14:solidFill>
              <w14:schemeClr w14:val="tx1"/>
            </w14:solidFill>
          </w14:textFill>
        </w:rPr>
        <w:drawing>
          <wp:inline distT="0" distB="0" distL="114300" distR="114300">
            <wp:extent cx="7341235" cy="5452110"/>
            <wp:effectExtent l="0" t="0" r="12065" b="15240"/>
            <wp:docPr id="3"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true"/>
                    </pic:cNvPicPr>
                  </pic:nvPicPr>
                  <pic:blipFill>
                    <a:blip r:embed="rId72"/>
                    <a:stretch>
                      <a:fillRect/>
                    </a:stretch>
                  </pic:blipFill>
                  <pic:spPr>
                    <a:xfrm>
                      <a:off x="0" y="0"/>
                      <a:ext cx="7341235" cy="5452110"/>
                    </a:xfrm>
                    <a:prstGeom prst="rect">
                      <a:avLst/>
                    </a:prstGeom>
                    <a:noFill/>
                    <a:ln>
                      <a:noFill/>
                    </a:ln>
                  </pic:spPr>
                </pic:pic>
              </a:graphicData>
            </a:graphic>
          </wp:inline>
        </w:drawing>
      </w:r>
    </w:p>
    <w:p>
      <w:pPr>
        <w:pStyle w:val="25"/>
        <w:ind w:left="0" w:leftChars="0" w:firstLine="0" w:firstLineChars="0"/>
        <w:jc w:val="left"/>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eastAsia" w:eastAsia="黑体" w:cs="Times New Roman"/>
          <w:color w:val="000000" w:themeColor="text1"/>
          <w:sz w:val="24"/>
          <w:szCs w:val="24"/>
          <w:highlight w:val="none"/>
          <w:lang w:val="en-US" w:eastAsia="zh-CN"/>
          <w14:textFill>
            <w14:solidFill>
              <w14:schemeClr w14:val="tx1"/>
            </w14:solidFill>
          </w14:textFill>
        </w:rPr>
        <w:t>附件3 项目备案证明</w:t>
      </w:r>
      <w:commentRangeStart w:id="99"/>
      <w:commentRangeStart w:id="100"/>
      <w:r>
        <w:commentReference w:id="99"/>
      </w:r>
      <w:commentRangeEnd w:id="99"/>
      <w:commentRangeEnd w:id="100"/>
      <w:r>
        <w:commentReference w:id="100"/>
      </w:r>
    </w:p>
    <w:p>
      <w:pPr>
        <w:ind w:left="0" w:leftChars="0" w:firstLine="0" w:firstLineChars="0"/>
        <w:rPr>
          <w:rFonts w:hint="eastAsia" w:ascii="Times New Roman" w:hAnsi="Times New Roman" w:eastAsia="黑体" w:cs="Times New Roman"/>
          <w:color w:val="000000" w:themeColor="text1"/>
          <w:highlight w:val="no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870575" cy="8389620"/>
            <wp:effectExtent l="0" t="0" r="15875" b="11430"/>
            <wp:docPr id="5"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true"/>
                    </pic:cNvPicPr>
                  </pic:nvPicPr>
                  <pic:blipFill>
                    <a:blip r:embed="rId73"/>
                    <a:stretch>
                      <a:fillRect/>
                    </a:stretch>
                  </pic:blipFill>
                  <pic:spPr>
                    <a:xfrm>
                      <a:off x="0" y="0"/>
                      <a:ext cx="5870575" cy="8389620"/>
                    </a:xfrm>
                    <a:prstGeom prst="rect">
                      <a:avLst/>
                    </a:prstGeom>
                    <a:noFill/>
                    <a:ln>
                      <a:noFill/>
                    </a:ln>
                  </pic:spPr>
                </pic:pic>
              </a:graphicData>
            </a:graphic>
          </wp:inline>
        </w:drawing>
      </w:r>
    </w:p>
    <w:p>
      <w:pPr>
        <w:pStyle w:val="2"/>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附件4入园准入协议</w:t>
      </w:r>
    </w:p>
    <w:p>
      <w:pPr>
        <w:bidi w:val="0"/>
        <w:ind w:left="0" w:leftChars="0" w:firstLine="0" w:firstLineChars="0"/>
        <w:outlineLvl w:val="9"/>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04510" cy="7886700"/>
            <wp:effectExtent l="0" t="0" r="3810" b="7620"/>
            <wp:docPr id="105"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26"/>
                    <pic:cNvPicPr>
                      <a:picLocks noChangeAspect="true"/>
                    </pic:cNvPicPr>
                  </pic:nvPicPr>
                  <pic:blipFill>
                    <a:blip r:embed="rId74"/>
                    <a:stretch>
                      <a:fillRect/>
                    </a:stretch>
                  </pic:blipFill>
                  <pic:spPr>
                    <a:xfrm>
                      <a:off x="0" y="0"/>
                      <a:ext cx="5604510" cy="788670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3875" cy="7877810"/>
            <wp:effectExtent l="0" t="0" r="15875" b="8890"/>
            <wp:docPr id="106"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6" name="图片 27"/>
                    <pic:cNvPicPr>
                      <a:picLocks noChangeAspect="true"/>
                    </pic:cNvPicPr>
                  </pic:nvPicPr>
                  <pic:blipFill>
                    <a:blip r:embed="rId75"/>
                    <a:stretch>
                      <a:fillRect/>
                    </a:stretch>
                  </pic:blipFill>
                  <pic:spPr>
                    <a:xfrm>
                      <a:off x="0" y="0"/>
                      <a:ext cx="5603875" cy="787781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780" cy="8016875"/>
            <wp:effectExtent l="0" t="0" r="13970" b="3175"/>
            <wp:docPr id="107"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 name="图片 28"/>
                    <pic:cNvPicPr>
                      <a:picLocks noChangeAspect="true"/>
                    </pic:cNvPicPr>
                  </pic:nvPicPr>
                  <pic:blipFill>
                    <a:blip r:embed="rId76"/>
                    <a:stretch>
                      <a:fillRect/>
                    </a:stretch>
                  </pic:blipFill>
                  <pic:spPr>
                    <a:xfrm>
                      <a:off x="0" y="0"/>
                      <a:ext cx="5605780" cy="80168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2605" cy="8132445"/>
            <wp:effectExtent l="0" t="0" r="17145" b="1905"/>
            <wp:docPr id="108"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8" name="图片 29"/>
                    <pic:cNvPicPr>
                      <a:picLocks noChangeAspect="true"/>
                    </pic:cNvPicPr>
                  </pic:nvPicPr>
                  <pic:blipFill>
                    <a:blip r:embed="rId77"/>
                    <a:stretch>
                      <a:fillRect/>
                    </a:stretch>
                  </pic:blipFill>
                  <pic:spPr>
                    <a:xfrm>
                      <a:off x="0" y="0"/>
                      <a:ext cx="5602605" cy="813244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15305" cy="8352155"/>
            <wp:effectExtent l="0" t="0" r="4445" b="10795"/>
            <wp:docPr id="109"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9" name="图片 30"/>
                    <pic:cNvPicPr>
                      <a:picLocks noChangeAspect="true"/>
                    </pic:cNvPicPr>
                  </pic:nvPicPr>
                  <pic:blipFill>
                    <a:blip r:embed="rId78"/>
                    <a:stretch>
                      <a:fillRect/>
                    </a:stretch>
                  </pic:blipFill>
                  <pic:spPr>
                    <a:xfrm>
                      <a:off x="0" y="0"/>
                      <a:ext cx="5615305" cy="835215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14670" cy="8251190"/>
            <wp:effectExtent l="0" t="0" r="5080" b="16510"/>
            <wp:docPr id="110"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 name="图片 31"/>
                    <pic:cNvPicPr>
                      <a:picLocks noChangeAspect="true"/>
                    </pic:cNvPicPr>
                  </pic:nvPicPr>
                  <pic:blipFill>
                    <a:blip r:embed="rId79"/>
                    <a:stretch>
                      <a:fillRect/>
                    </a:stretch>
                  </pic:blipFill>
                  <pic:spPr>
                    <a:xfrm>
                      <a:off x="0" y="0"/>
                      <a:ext cx="5614670" cy="825119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7050" cy="8394700"/>
            <wp:effectExtent l="0" t="0" r="12700" b="6350"/>
            <wp:docPr id="111"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1" name="图片 32"/>
                    <pic:cNvPicPr>
                      <a:picLocks noChangeAspect="true"/>
                    </pic:cNvPicPr>
                  </pic:nvPicPr>
                  <pic:blipFill>
                    <a:blip r:embed="rId80"/>
                    <a:stretch>
                      <a:fillRect/>
                    </a:stretch>
                  </pic:blipFill>
                  <pic:spPr>
                    <a:xfrm>
                      <a:off x="0" y="0"/>
                      <a:ext cx="5607050" cy="839470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1335" cy="8116570"/>
            <wp:effectExtent l="0" t="0" r="18415" b="17780"/>
            <wp:docPr id="112" name="图片 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2" name="图片 33"/>
                    <pic:cNvPicPr>
                      <a:picLocks noChangeAspect="true"/>
                    </pic:cNvPicPr>
                  </pic:nvPicPr>
                  <pic:blipFill>
                    <a:blip r:embed="rId81"/>
                    <a:stretch>
                      <a:fillRect/>
                    </a:stretch>
                  </pic:blipFill>
                  <pic:spPr>
                    <a:xfrm>
                      <a:off x="0" y="0"/>
                      <a:ext cx="5601335" cy="811657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97525" cy="7858125"/>
            <wp:effectExtent l="0" t="0" r="3175" b="9525"/>
            <wp:docPr id="113"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3" name="图片 34"/>
                    <pic:cNvPicPr>
                      <a:picLocks noChangeAspect="true"/>
                    </pic:cNvPicPr>
                  </pic:nvPicPr>
                  <pic:blipFill>
                    <a:blip r:embed="rId82"/>
                    <a:stretch>
                      <a:fillRect/>
                    </a:stretch>
                  </pic:blipFill>
                  <pic:spPr>
                    <a:xfrm>
                      <a:off x="0" y="0"/>
                      <a:ext cx="5597525" cy="7858125"/>
                    </a:xfrm>
                    <a:prstGeom prst="rect">
                      <a:avLst/>
                    </a:prstGeom>
                    <a:noFill/>
                    <a:ln>
                      <a:noFill/>
                    </a:ln>
                  </pic:spPr>
                </pic:pic>
              </a:graphicData>
            </a:graphic>
          </wp:inline>
        </w:drawing>
      </w:r>
    </w:p>
    <w:p>
      <w:pPr>
        <w:bidi w:val="0"/>
        <w:outlineLvl w:val="9"/>
        <w:rPr>
          <w:color w:val="000000" w:themeColor="text1"/>
          <w14:textFill>
            <w14:solidFill>
              <w14:schemeClr w14:val="tx1"/>
            </w14:solidFill>
          </w14:textFill>
        </w:rPr>
      </w:pPr>
    </w:p>
    <w:p>
      <w:pPr>
        <w:bidi w:val="0"/>
        <w:outlineLvl w:val="9"/>
        <w:rPr>
          <w:color w:val="000000" w:themeColor="text1"/>
          <w14:textFill>
            <w14:solidFill>
              <w14:schemeClr w14:val="tx1"/>
            </w14:solidFill>
          </w14:textFill>
        </w:rPr>
      </w:pPr>
    </w:p>
    <w:p>
      <w:pPr>
        <w:bidi w:val="0"/>
        <w:outlineLvl w:val="9"/>
        <w:rPr>
          <w:color w:val="000000" w:themeColor="text1"/>
          <w14:textFill>
            <w14:solidFill>
              <w14:schemeClr w14:val="tx1"/>
            </w14:solidFill>
          </w14:textFill>
        </w:rPr>
      </w:pPr>
    </w:p>
    <w:p>
      <w:pPr>
        <w:bidi w:val="0"/>
        <w:outlineLvl w:val="9"/>
        <w:rPr>
          <w:color w:val="000000" w:themeColor="text1"/>
          <w14:textFill>
            <w14:solidFill>
              <w14:schemeClr w14:val="tx1"/>
            </w14:solidFill>
          </w14:textFill>
        </w:rPr>
      </w:pPr>
    </w:p>
    <w:p>
      <w:pPr>
        <w:pStyle w:val="2"/>
        <w:bidi w:val="0"/>
        <w:rPr>
          <w:rFonts w:hint="eastAsia"/>
          <w:color w:val="000000" w:themeColor="text1"/>
          <w:highlight w:val="none"/>
          <w:lang w:val="en-US" w:eastAsia="zh-CN"/>
          <w14:textFill>
            <w14:solidFill>
              <w14:schemeClr w14:val="tx1"/>
            </w14:solidFill>
          </w14:textFill>
        </w:rPr>
        <w:sectPr>
          <w:pgSz w:w="11906" w:h="16838"/>
          <w:pgMar w:top="1134" w:right="1134" w:bottom="1134" w:left="1531" w:header="1020" w:footer="992" w:gutter="0"/>
          <w:pgBorders>
            <w:top w:val="none" w:sz="0" w:space="0"/>
            <w:left w:val="none" w:sz="0" w:space="0"/>
            <w:bottom w:val="none" w:sz="0" w:space="0"/>
            <w:right w:val="none" w:sz="0" w:space="0"/>
          </w:pgBorders>
          <w:cols w:space="720" w:num="1"/>
          <w:docGrid w:linePitch="312" w:charSpace="0"/>
        </w:sectPr>
      </w:pPr>
    </w:p>
    <w:p>
      <w:pPr>
        <w:pStyle w:val="2"/>
        <w:bidi w:val="0"/>
        <w:jc w:val="left"/>
        <w:rPr>
          <w:rFonts w:hint="eastAsia" w:eastAsia="黑体"/>
          <w:color w:val="000000" w:themeColor="text1"/>
          <w:highlight w:val="none"/>
          <w:lang w:val="en-US" w:eastAsia="zh-CN"/>
          <w14:textFill>
            <w14:solidFill>
              <w14:schemeClr w14:val="tx1"/>
            </w14:solidFill>
          </w14:textFill>
        </w:rPr>
        <w:sectPr>
          <w:pgSz w:w="11906" w:h="16838"/>
          <w:pgMar w:top="1134" w:right="1134" w:bottom="1134" w:left="1531" w:header="1020" w:footer="992"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color w:val="000000" w:themeColor="text1"/>
          <w:highlight w:val="none"/>
          <w:lang w:val="en-US" w:eastAsia="zh-CN"/>
          <w14:textFill>
            <w14:solidFill>
              <w14:schemeClr w14:val="tx1"/>
            </w14:solidFill>
          </w14:textFill>
        </w:rPr>
        <w:t>附件5 30万吨/年芳烃抽提项目环评批复</w:t>
      </w:r>
      <w:r>
        <w:rPr>
          <w:rFonts w:hint="default"/>
          <w:color w:val="000000" w:themeColor="text1"/>
          <w:highlight w:val="none"/>
          <w:lang w:val="en-US" w:eastAsia="zh-CN"/>
          <w14:textFill>
            <w14:solidFill>
              <w14:schemeClr w14:val="tx1"/>
            </w14:solidFill>
          </w14:textFill>
        </w:rPr>
        <w:drawing>
          <wp:inline distT="0" distB="0" distL="114300" distR="114300">
            <wp:extent cx="5861685" cy="8202295"/>
            <wp:effectExtent l="0" t="0" r="5715" b="8255"/>
            <wp:docPr id="144" name="图片 144" descr="芳烃抽提项目环评"/>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4" name="图片 144" descr="芳烃抽提项目环评"/>
                    <pic:cNvPicPr>
                      <a:picLocks noChangeAspect="true"/>
                    </pic:cNvPicPr>
                  </pic:nvPicPr>
                  <pic:blipFill>
                    <a:blip r:embed="rId83"/>
                    <a:stretch>
                      <a:fillRect/>
                    </a:stretch>
                  </pic:blipFill>
                  <pic:spPr>
                    <a:xfrm>
                      <a:off x="0" y="0"/>
                      <a:ext cx="5861685" cy="8202295"/>
                    </a:xfrm>
                    <a:prstGeom prst="rect">
                      <a:avLst/>
                    </a:prstGeom>
                  </pic:spPr>
                </pic:pic>
              </a:graphicData>
            </a:graphic>
          </wp:inline>
        </w:drawing>
      </w:r>
      <w:r>
        <w:rPr>
          <w:color w:val="000000" w:themeColor="text1"/>
          <w14:textFill>
            <w14:solidFill>
              <w14:schemeClr w14:val="tx1"/>
            </w14:solidFill>
          </w14:textFill>
        </w:rPr>
        <w:drawing>
          <wp:inline distT="0" distB="0" distL="114300" distR="114300">
            <wp:extent cx="5866765" cy="8170545"/>
            <wp:effectExtent l="0" t="0" r="635" b="1905"/>
            <wp:docPr id="145" name="图片 145" descr="芳烃抽提项目环评_00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5" name="图片 145" descr="芳烃抽提项目环评_0001"/>
                    <pic:cNvPicPr>
                      <a:picLocks noChangeAspect="true"/>
                    </pic:cNvPicPr>
                  </pic:nvPicPr>
                  <pic:blipFill>
                    <a:blip r:embed="rId84"/>
                    <a:stretch>
                      <a:fillRect/>
                    </a:stretch>
                  </pic:blipFill>
                  <pic:spPr>
                    <a:xfrm>
                      <a:off x="0" y="0"/>
                      <a:ext cx="5866765" cy="8170545"/>
                    </a:xfrm>
                    <a:prstGeom prst="rect">
                      <a:avLst/>
                    </a:prstGeom>
                  </pic:spPr>
                </pic:pic>
              </a:graphicData>
            </a:graphic>
          </wp:inline>
        </w:drawing>
      </w:r>
      <w:r>
        <w:rPr>
          <w:rFonts w:hint="eastAsia" w:eastAsia="黑体"/>
          <w:color w:val="000000" w:themeColor="text1"/>
          <w:highlight w:val="none"/>
          <w:lang w:val="en-US" w:eastAsia="zh-CN"/>
          <w14:textFill>
            <w14:solidFill>
              <w14:schemeClr w14:val="tx1"/>
            </w14:solidFill>
          </w14:textFill>
        </w:rPr>
        <w:drawing>
          <wp:inline distT="0" distB="0" distL="114300" distR="114300">
            <wp:extent cx="5865495" cy="8053070"/>
            <wp:effectExtent l="0" t="0" r="1905" b="5080"/>
            <wp:docPr id="147" name="图片 147" descr="芳烃抽提项目环评_00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7" name="图片 147" descr="芳烃抽提项目环评_0002"/>
                    <pic:cNvPicPr>
                      <a:picLocks noChangeAspect="true"/>
                    </pic:cNvPicPr>
                  </pic:nvPicPr>
                  <pic:blipFill>
                    <a:blip r:embed="rId85"/>
                    <a:stretch>
                      <a:fillRect/>
                    </a:stretch>
                  </pic:blipFill>
                  <pic:spPr>
                    <a:xfrm>
                      <a:off x="0" y="0"/>
                      <a:ext cx="5865495" cy="8053070"/>
                    </a:xfrm>
                    <a:prstGeom prst="rect">
                      <a:avLst/>
                    </a:prstGeom>
                  </pic:spPr>
                </pic:pic>
              </a:graphicData>
            </a:graphic>
          </wp:inline>
        </w:drawing>
      </w:r>
      <w:r>
        <w:rPr>
          <w:rFonts w:hint="eastAsia" w:eastAsia="黑体"/>
          <w:color w:val="000000" w:themeColor="text1"/>
          <w:highlight w:val="none"/>
          <w:lang w:val="en-US" w:eastAsia="zh-CN"/>
          <w14:textFill>
            <w14:solidFill>
              <w14:schemeClr w14:val="tx1"/>
            </w14:solidFill>
          </w14:textFill>
        </w:rPr>
        <w:drawing>
          <wp:inline distT="0" distB="0" distL="114300" distR="114300">
            <wp:extent cx="5864860" cy="8180705"/>
            <wp:effectExtent l="0" t="0" r="2540" b="10795"/>
            <wp:docPr id="149" name="图片 149" descr="芳烃抽提项目环评_00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9" name="图片 149" descr="芳烃抽提项目环评_0003"/>
                    <pic:cNvPicPr>
                      <a:picLocks noChangeAspect="true"/>
                    </pic:cNvPicPr>
                  </pic:nvPicPr>
                  <pic:blipFill>
                    <a:blip r:embed="rId86"/>
                    <a:stretch>
                      <a:fillRect/>
                    </a:stretch>
                  </pic:blipFill>
                  <pic:spPr>
                    <a:xfrm>
                      <a:off x="0" y="0"/>
                      <a:ext cx="5864860" cy="8180705"/>
                    </a:xfrm>
                    <a:prstGeom prst="rect">
                      <a:avLst/>
                    </a:prstGeom>
                  </pic:spPr>
                </pic:pic>
              </a:graphicData>
            </a:graphic>
          </wp:inline>
        </w:drawing>
      </w:r>
    </w:p>
    <w:p>
      <w:pPr>
        <w:pStyle w:val="2"/>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附件6 引用检测报告</w:t>
      </w:r>
    </w:p>
    <w:p>
      <w:pPr>
        <w:ind w:left="0" w:leftChars="0" w:firstLine="0" w:firstLineChars="0"/>
        <w:jc w:val="center"/>
        <w:rPr>
          <w:rFonts w:hint="default"/>
          <w:color w:val="000000" w:themeColor="text1"/>
          <w:highlight w:val="no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605145" cy="7927975"/>
            <wp:effectExtent l="0" t="0" r="14605" b="15875"/>
            <wp:docPr id="83"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true"/>
                    </pic:cNvPicPr>
                  </pic:nvPicPr>
                  <pic:blipFill>
                    <a:blip r:embed="rId87"/>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145" cy="7927975"/>
            <wp:effectExtent l="0" t="0" r="14605" b="15875"/>
            <wp:docPr id="84"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6"/>
                    <pic:cNvPicPr>
                      <a:picLocks noChangeAspect="true"/>
                    </pic:cNvPicPr>
                  </pic:nvPicPr>
                  <pic:blipFill>
                    <a:blip r:embed="rId88"/>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145" cy="7927975"/>
            <wp:effectExtent l="0" t="0" r="14605" b="15875"/>
            <wp:docPr id="85"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true"/>
                    </pic:cNvPicPr>
                  </pic:nvPicPr>
                  <pic:blipFill>
                    <a:blip r:embed="rId89"/>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145" cy="7927975"/>
            <wp:effectExtent l="0" t="0" r="14605" b="15875"/>
            <wp:docPr id="86"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true"/>
                    </pic:cNvPicPr>
                  </pic:nvPicPr>
                  <pic:blipFill>
                    <a:blip r:embed="rId90"/>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145" cy="7927975"/>
            <wp:effectExtent l="0" t="0" r="14605" b="15875"/>
            <wp:docPr id="87"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true"/>
                    </pic:cNvPicPr>
                  </pic:nvPicPr>
                  <pic:blipFill>
                    <a:blip r:embed="rId91"/>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145" cy="7927975"/>
            <wp:effectExtent l="0" t="0" r="14605" b="15875"/>
            <wp:docPr id="88"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true"/>
                    </pic:cNvPicPr>
                  </pic:nvPicPr>
                  <pic:blipFill>
                    <a:blip r:embed="rId92"/>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145" cy="7927975"/>
            <wp:effectExtent l="0" t="0" r="14605" b="15875"/>
            <wp:docPr id="89"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true"/>
                    </pic:cNvPicPr>
                  </pic:nvPicPr>
                  <pic:blipFill>
                    <a:blip r:embed="rId93"/>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145" cy="7927975"/>
            <wp:effectExtent l="0" t="0" r="14605" b="15875"/>
            <wp:docPr id="90"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12"/>
                    <pic:cNvPicPr>
                      <a:picLocks noChangeAspect="true"/>
                    </pic:cNvPicPr>
                  </pic:nvPicPr>
                  <pic:blipFill>
                    <a:blip r:embed="rId94"/>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145" cy="7927975"/>
            <wp:effectExtent l="0" t="0" r="14605" b="15875"/>
            <wp:docPr id="91"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13"/>
                    <pic:cNvPicPr>
                      <a:picLocks noChangeAspect="true"/>
                    </pic:cNvPicPr>
                  </pic:nvPicPr>
                  <pic:blipFill>
                    <a:blip r:embed="rId95"/>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5145" cy="7927975"/>
            <wp:effectExtent l="0" t="0" r="14605" b="15875"/>
            <wp:docPr id="92"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14"/>
                    <pic:cNvPicPr>
                      <a:picLocks noChangeAspect="true"/>
                    </pic:cNvPicPr>
                  </pic:nvPicPr>
                  <pic:blipFill>
                    <a:blip r:embed="rId96"/>
                    <a:stretch>
                      <a:fillRect/>
                    </a:stretch>
                  </pic:blipFill>
                  <pic:spPr>
                    <a:xfrm>
                      <a:off x="0" y="0"/>
                      <a:ext cx="5605145" cy="7927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94"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15"/>
                    <pic:cNvPicPr>
                      <a:picLocks noChangeAspect="true"/>
                    </pic:cNvPicPr>
                  </pic:nvPicPr>
                  <pic:blipFill>
                    <a:blip r:embed="rId97"/>
                    <a:stretch>
                      <a:fillRect/>
                    </a:stretch>
                  </pic:blipFill>
                  <pic:spPr>
                    <a:xfrm>
                      <a:off x="0" y="0"/>
                      <a:ext cx="5608320" cy="7934960"/>
                    </a:xfrm>
                    <a:prstGeom prst="rect">
                      <a:avLst/>
                    </a:prstGeom>
                    <a:noFill/>
                    <a:ln>
                      <a:noFill/>
                    </a:ln>
                  </pic:spPr>
                </pic:pic>
              </a:graphicData>
            </a:graphic>
          </wp:inline>
        </w:drawing>
      </w:r>
    </w:p>
    <w:p>
      <w:pPr>
        <w:pStyle w:val="25"/>
        <w:rPr>
          <w:rFonts w:hint="eastAsia"/>
          <w:color w:val="000000" w:themeColor="text1"/>
          <w:highlight w:val="none"/>
          <w:lang w:val="en-US" w:eastAsia="zh-CN"/>
          <w14:textFill>
            <w14:solidFill>
              <w14:schemeClr w14:val="tx1"/>
            </w14:solidFill>
          </w14:textFill>
        </w:rPr>
      </w:pPr>
    </w:p>
    <w:p>
      <w:pPr>
        <w:pStyle w:val="26"/>
        <w:ind w:left="0" w:leftChars="0" w:firstLine="0" w:firstLineChars="0"/>
        <w:rPr>
          <w:rFonts w:hint="eastAsia"/>
          <w:color w:val="000000" w:themeColor="text1"/>
          <w:highlight w:val="none"/>
          <w:lang w:eastAsia="zh-CN"/>
          <w14:textFill>
            <w14:solidFill>
              <w14:schemeClr w14:val="tx1"/>
            </w14:solidFill>
          </w14:textFill>
        </w:rPr>
      </w:pPr>
    </w:p>
    <w:p>
      <w:pPr>
        <w:ind w:left="0" w:leftChars="0" w:firstLine="0" w:firstLineChars="0"/>
        <w:rPr>
          <w:rFonts w:hint="eastAsia"/>
          <w:color w:val="000000" w:themeColor="text1"/>
          <w:highlight w:val="none"/>
          <w:lang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608320" cy="7934960"/>
            <wp:effectExtent l="0" t="0" r="11430" b="8890"/>
            <wp:docPr id="95"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16"/>
                    <pic:cNvPicPr>
                      <a:picLocks noChangeAspect="true"/>
                    </pic:cNvPicPr>
                  </pic:nvPicPr>
                  <pic:blipFill>
                    <a:blip r:embed="rId98"/>
                    <a:stretch>
                      <a:fillRect/>
                    </a:stretch>
                  </pic:blipFill>
                  <pic:spPr>
                    <a:xfrm>
                      <a:off x="0" y="0"/>
                      <a:ext cx="5608320" cy="7934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96"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17"/>
                    <pic:cNvPicPr>
                      <a:picLocks noChangeAspect="true"/>
                    </pic:cNvPicPr>
                  </pic:nvPicPr>
                  <pic:blipFill>
                    <a:blip r:embed="rId99"/>
                    <a:stretch>
                      <a:fillRect/>
                    </a:stretch>
                  </pic:blipFill>
                  <pic:spPr>
                    <a:xfrm>
                      <a:off x="0" y="0"/>
                      <a:ext cx="5608320" cy="7934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97"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18"/>
                    <pic:cNvPicPr>
                      <a:picLocks noChangeAspect="true"/>
                    </pic:cNvPicPr>
                  </pic:nvPicPr>
                  <pic:blipFill>
                    <a:blip r:embed="rId100"/>
                    <a:stretch>
                      <a:fillRect/>
                    </a:stretch>
                  </pic:blipFill>
                  <pic:spPr>
                    <a:xfrm>
                      <a:off x="0" y="0"/>
                      <a:ext cx="5608320" cy="7934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98"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19"/>
                    <pic:cNvPicPr>
                      <a:picLocks noChangeAspect="true"/>
                    </pic:cNvPicPr>
                  </pic:nvPicPr>
                  <pic:blipFill>
                    <a:blip r:embed="rId101"/>
                    <a:stretch>
                      <a:fillRect/>
                    </a:stretch>
                  </pic:blipFill>
                  <pic:spPr>
                    <a:xfrm>
                      <a:off x="0" y="0"/>
                      <a:ext cx="5608320" cy="7934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99"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20"/>
                    <pic:cNvPicPr>
                      <a:picLocks noChangeAspect="true"/>
                    </pic:cNvPicPr>
                  </pic:nvPicPr>
                  <pic:blipFill>
                    <a:blip r:embed="rId102"/>
                    <a:stretch>
                      <a:fillRect/>
                    </a:stretch>
                  </pic:blipFill>
                  <pic:spPr>
                    <a:xfrm>
                      <a:off x="0" y="0"/>
                      <a:ext cx="5608320" cy="7934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100"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0" name="图片 21"/>
                    <pic:cNvPicPr>
                      <a:picLocks noChangeAspect="true"/>
                    </pic:cNvPicPr>
                  </pic:nvPicPr>
                  <pic:blipFill>
                    <a:blip r:embed="rId103"/>
                    <a:stretch>
                      <a:fillRect/>
                    </a:stretch>
                  </pic:blipFill>
                  <pic:spPr>
                    <a:xfrm>
                      <a:off x="0" y="0"/>
                      <a:ext cx="5608320" cy="7934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101"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 name="图片 22"/>
                    <pic:cNvPicPr>
                      <a:picLocks noChangeAspect="true"/>
                    </pic:cNvPicPr>
                  </pic:nvPicPr>
                  <pic:blipFill>
                    <a:blip r:embed="rId104"/>
                    <a:stretch>
                      <a:fillRect/>
                    </a:stretch>
                  </pic:blipFill>
                  <pic:spPr>
                    <a:xfrm>
                      <a:off x="0" y="0"/>
                      <a:ext cx="5608320" cy="7934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102"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2" name="图片 23"/>
                    <pic:cNvPicPr>
                      <a:picLocks noChangeAspect="true"/>
                    </pic:cNvPicPr>
                  </pic:nvPicPr>
                  <pic:blipFill>
                    <a:blip r:embed="rId105"/>
                    <a:stretch>
                      <a:fillRect/>
                    </a:stretch>
                  </pic:blipFill>
                  <pic:spPr>
                    <a:xfrm>
                      <a:off x="0" y="0"/>
                      <a:ext cx="5608320" cy="7934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103"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3" name="图片 24"/>
                    <pic:cNvPicPr>
                      <a:picLocks noChangeAspect="true"/>
                    </pic:cNvPicPr>
                  </pic:nvPicPr>
                  <pic:blipFill>
                    <a:blip r:embed="rId106"/>
                    <a:stretch>
                      <a:fillRect/>
                    </a:stretch>
                  </pic:blipFill>
                  <pic:spPr>
                    <a:xfrm>
                      <a:off x="0" y="0"/>
                      <a:ext cx="5608320" cy="7934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08320" cy="7934960"/>
            <wp:effectExtent l="0" t="0" r="11430" b="8890"/>
            <wp:docPr id="104"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4" name="图片 25"/>
                    <pic:cNvPicPr>
                      <a:picLocks noChangeAspect="true"/>
                    </pic:cNvPicPr>
                  </pic:nvPicPr>
                  <pic:blipFill>
                    <a:blip r:embed="rId107"/>
                    <a:stretch>
                      <a:fillRect/>
                    </a:stretch>
                  </pic:blipFill>
                  <pic:spPr>
                    <a:xfrm>
                      <a:off x="0" y="0"/>
                      <a:ext cx="5608320" cy="7934960"/>
                    </a:xfrm>
                    <a:prstGeom prst="rect">
                      <a:avLst/>
                    </a:prstGeom>
                    <a:noFill/>
                    <a:ln>
                      <a:noFill/>
                    </a:ln>
                  </pic:spPr>
                </pic:pic>
              </a:graphicData>
            </a:graphic>
          </wp:inline>
        </w:drawing>
      </w:r>
    </w:p>
    <w:p>
      <w:pPr>
        <w:pStyle w:val="6"/>
        <w:rPr>
          <w:rFonts w:hint="eastAsia"/>
          <w:color w:val="000000" w:themeColor="text1"/>
          <w:highlight w:val="none"/>
          <w:lang w:eastAsia="zh-CN"/>
          <w14:textFill>
            <w14:solidFill>
              <w14:schemeClr w14:val="tx1"/>
            </w14:solidFill>
          </w14:textFill>
        </w:rPr>
      </w:pPr>
    </w:p>
    <w:p>
      <w:pPr>
        <w:rPr>
          <w:rFonts w:hint="eastAsia"/>
          <w:color w:val="000000" w:themeColor="text1"/>
          <w:highlight w:val="none"/>
          <w:lang w:eastAsia="zh-CN"/>
          <w14:textFill>
            <w14:solidFill>
              <w14:schemeClr w14:val="tx1"/>
            </w14:solidFill>
          </w14:textFill>
        </w:rPr>
      </w:pPr>
    </w:p>
    <w:p>
      <w:pPr>
        <w:bidi w:val="0"/>
        <w:outlineLvl w:val="9"/>
        <w:rPr>
          <w:rFonts w:hint="eastAsia"/>
          <w:color w:val="000000" w:themeColor="text1"/>
          <w:highlight w:val="none"/>
          <w:lang w:val="en-US" w:eastAsia="zh-CN"/>
          <w14:textFill>
            <w14:solidFill>
              <w14:schemeClr w14:val="tx1"/>
            </w14:solidFill>
          </w14:textFill>
        </w:rPr>
      </w:pPr>
    </w:p>
    <w:p>
      <w:pPr>
        <w:bidi w:val="0"/>
        <w:outlineLvl w:val="9"/>
        <w:rPr>
          <w:rFonts w:hint="eastAsia"/>
          <w:color w:val="000000" w:themeColor="text1"/>
          <w:highlight w:val="none"/>
          <w:lang w:val="en-US" w:eastAsia="zh-CN"/>
          <w14:textFill>
            <w14:solidFill>
              <w14:schemeClr w14:val="tx1"/>
            </w14:solidFill>
          </w14:textFill>
        </w:rPr>
      </w:pPr>
    </w:p>
    <w:p>
      <w:pPr>
        <w:pStyle w:val="2"/>
        <w:bidi w:val="0"/>
        <w:jc w:val="left"/>
        <w:rPr>
          <w:color w:val="000000" w:themeColor="text1"/>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附件7 地下水污染治理承诺报告</w:t>
      </w:r>
      <w:r>
        <w:rPr>
          <w:color w:val="000000" w:themeColor="text1"/>
          <w14:textFill>
            <w14:solidFill>
              <w14:schemeClr w14:val="tx1"/>
            </w14:solidFill>
          </w14:textFill>
        </w:rPr>
        <w:drawing>
          <wp:inline distT="0" distB="0" distL="114300" distR="114300">
            <wp:extent cx="5866130" cy="8143875"/>
            <wp:effectExtent l="0" t="0" r="1270" b="9525"/>
            <wp:docPr id="114"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4" name="图片 35"/>
                    <pic:cNvPicPr>
                      <a:picLocks noChangeAspect="true"/>
                    </pic:cNvPicPr>
                  </pic:nvPicPr>
                  <pic:blipFill>
                    <a:blip r:embed="rId108"/>
                    <a:stretch>
                      <a:fillRect/>
                    </a:stretch>
                  </pic:blipFill>
                  <pic:spPr>
                    <a:xfrm>
                      <a:off x="0" y="0"/>
                      <a:ext cx="5866130" cy="81438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858510" cy="8458200"/>
            <wp:effectExtent l="0" t="0" r="8890" b="0"/>
            <wp:docPr id="115"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5" name="图片 36"/>
                    <pic:cNvPicPr>
                      <a:picLocks noChangeAspect="true"/>
                    </pic:cNvPicPr>
                  </pic:nvPicPr>
                  <pic:blipFill>
                    <a:blip r:embed="rId109"/>
                    <a:stretch>
                      <a:fillRect/>
                    </a:stretch>
                  </pic:blipFill>
                  <pic:spPr>
                    <a:xfrm>
                      <a:off x="0" y="0"/>
                      <a:ext cx="5858510" cy="8458200"/>
                    </a:xfrm>
                    <a:prstGeom prst="rect">
                      <a:avLst/>
                    </a:prstGeom>
                    <a:noFill/>
                    <a:ln>
                      <a:noFill/>
                    </a:ln>
                  </pic:spPr>
                </pic:pic>
              </a:graphicData>
            </a:graphic>
          </wp:inline>
        </w:drawing>
      </w:r>
    </w:p>
    <w:p>
      <w:pPr>
        <w:bidi w:val="0"/>
        <w:jc w:val="left"/>
        <w:outlineLvl w:val="9"/>
        <w:rPr>
          <w:color w:val="000000" w:themeColor="text1"/>
          <w14:textFill>
            <w14:solidFill>
              <w14:schemeClr w14:val="tx1"/>
            </w14:solidFill>
          </w14:textFill>
        </w:rPr>
      </w:pPr>
    </w:p>
    <w:p>
      <w:pPr>
        <w:bidi w:val="0"/>
        <w:jc w:val="left"/>
        <w:outlineLvl w:val="9"/>
        <w:rPr>
          <w:color w:val="000000" w:themeColor="text1"/>
          <w14:textFill>
            <w14:solidFill>
              <w14:schemeClr w14:val="tx1"/>
            </w14:solidFill>
          </w14:textFill>
        </w:rPr>
      </w:pPr>
    </w:p>
    <w:p>
      <w:pPr>
        <w:pStyle w:val="2"/>
        <w:bidi w:val="0"/>
        <w:jc w:val="left"/>
        <w:rPr>
          <w:rFonts w:hint="default" w:eastAsia="黑体"/>
          <w:color w:val="000000" w:themeColor="text1"/>
          <w:highlight w:val="none"/>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附件8 中水接收协议</w:t>
      </w:r>
      <w:commentRangeStart w:id="101"/>
      <w:commentRangeStart w:id="102"/>
      <w:r>
        <w:commentReference w:id="101"/>
      </w:r>
      <w:commentRangeEnd w:id="101"/>
      <w:commentRangeEnd w:id="102"/>
      <w:r>
        <w:commentReference w:id="102"/>
      </w:r>
    </w:p>
    <w:p>
      <w:pPr>
        <w:ind w:left="0" w:leftChars="0" w:firstLine="0" w:firstLineChars="0"/>
        <w:rPr>
          <w:rFonts w:hint="eastAsia" w:eastAsia="宋体"/>
          <w:color w:val="000000" w:themeColor="text1"/>
          <w:lang w:eastAsia="zh-CN"/>
          <w14:textFill>
            <w14:solidFill>
              <w14:schemeClr w14:val="tx1"/>
            </w14:solidFill>
          </w14:textFill>
        </w:rPr>
      </w:pPr>
      <w:r>
        <w:drawing>
          <wp:inline distT="0" distB="0" distL="114300" distR="114300">
            <wp:extent cx="5855970" cy="8286750"/>
            <wp:effectExtent l="0" t="0" r="11430" b="0"/>
            <wp:docPr id="150"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0" name="图片 4"/>
                    <pic:cNvPicPr>
                      <a:picLocks noChangeAspect="true"/>
                    </pic:cNvPicPr>
                  </pic:nvPicPr>
                  <pic:blipFill>
                    <a:blip r:embed="rId110"/>
                    <a:stretch>
                      <a:fillRect/>
                    </a:stretch>
                  </pic:blipFill>
                  <pic:spPr>
                    <a:xfrm>
                      <a:off x="0" y="0"/>
                      <a:ext cx="5855970" cy="8286750"/>
                    </a:xfrm>
                    <a:prstGeom prst="rect">
                      <a:avLst/>
                    </a:prstGeom>
                    <a:noFill/>
                    <a:ln>
                      <a:noFill/>
                    </a:ln>
                  </pic:spPr>
                </pic:pic>
              </a:graphicData>
            </a:graphic>
          </wp:inline>
        </w:drawing>
      </w:r>
      <w:r>
        <w:drawing>
          <wp:inline distT="0" distB="0" distL="114300" distR="114300">
            <wp:extent cx="5855970" cy="8286750"/>
            <wp:effectExtent l="0" t="0" r="11430" b="0"/>
            <wp:docPr id="151"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1" name="图片 5"/>
                    <pic:cNvPicPr>
                      <a:picLocks noChangeAspect="true"/>
                    </pic:cNvPicPr>
                  </pic:nvPicPr>
                  <pic:blipFill>
                    <a:blip r:embed="rId111"/>
                    <a:stretch>
                      <a:fillRect/>
                    </a:stretch>
                  </pic:blipFill>
                  <pic:spPr>
                    <a:xfrm>
                      <a:off x="0" y="0"/>
                      <a:ext cx="5855970" cy="8286750"/>
                    </a:xfrm>
                    <a:prstGeom prst="rect">
                      <a:avLst/>
                    </a:prstGeom>
                    <a:noFill/>
                    <a:ln>
                      <a:noFill/>
                    </a:ln>
                  </pic:spPr>
                </pic:pic>
              </a:graphicData>
            </a:graphic>
          </wp:inline>
        </w:drawing>
      </w:r>
      <w:r>
        <w:drawing>
          <wp:inline distT="0" distB="0" distL="114300" distR="114300">
            <wp:extent cx="5852795" cy="8905240"/>
            <wp:effectExtent l="0" t="0" r="14605" b="10160"/>
            <wp:docPr id="152"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2" name="图片 6"/>
                    <pic:cNvPicPr>
                      <a:picLocks noChangeAspect="true"/>
                    </pic:cNvPicPr>
                  </pic:nvPicPr>
                  <pic:blipFill>
                    <a:blip r:embed="rId112"/>
                    <a:stretch>
                      <a:fillRect/>
                    </a:stretch>
                  </pic:blipFill>
                  <pic:spPr>
                    <a:xfrm>
                      <a:off x="0" y="0"/>
                      <a:ext cx="5852795" cy="8905240"/>
                    </a:xfrm>
                    <a:prstGeom prst="rect">
                      <a:avLst/>
                    </a:prstGeom>
                    <a:noFill/>
                    <a:ln>
                      <a:noFill/>
                    </a:ln>
                  </pic:spPr>
                </pic:pic>
              </a:graphicData>
            </a:graphic>
          </wp:inline>
        </w:drawing>
      </w:r>
    </w:p>
    <w:p>
      <w:pPr>
        <w:ind w:left="0" w:leftChars="0" w:firstLine="0" w:firstLineChars="0"/>
        <w:outlineLvl w:val="0"/>
        <w:rPr>
          <w:rFonts w:hint="default"/>
          <w:color w:val="000000" w:themeColor="text1"/>
          <w:highlight w:val="none"/>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附件9 文物审查函</w:t>
      </w:r>
    </w:p>
    <w:p>
      <w:pPr>
        <w:pStyle w:val="6"/>
        <w:ind w:left="0" w:leftChars="0"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854065" cy="8229600"/>
            <wp:effectExtent l="0" t="0" r="13335" b="0"/>
            <wp:docPr id="11"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true"/>
                    </pic:cNvPicPr>
                  </pic:nvPicPr>
                  <pic:blipFill>
                    <a:blip r:embed="rId113"/>
                    <a:stretch>
                      <a:fillRect/>
                    </a:stretch>
                  </pic:blipFill>
                  <pic:spPr>
                    <a:xfrm>
                      <a:off x="0" y="0"/>
                      <a:ext cx="5854065" cy="822960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864225" cy="8536940"/>
            <wp:effectExtent l="0" t="0" r="3175" b="16510"/>
            <wp:docPr id="13"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true"/>
                    </pic:cNvPicPr>
                  </pic:nvPicPr>
                  <pic:blipFill>
                    <a:blip r:embed="rId114"/>
                    <a:stretch>
                      <a:fillRect/>
                    </a:stretch>
                  </pic:blipFill>
                  <pic:spPr>
                    <a:xfrm>
                      <a:off x="0" y="0"/>
                      <a:ext cx="5864225" cy="853694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855335" cy="8382635"/>
            <wp:effectExtent l="0" t="0" r="12065" b="18415"/>
            <wp:docPr id="14"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true"/>
                    </pic:cNvPicPr>
                  </pic:nvPicPr>
                  <pic:blipFill>
                    <a:blip r:embed="rId115"/>
                    <a:stretch>
                      <a:fillRect/>
                    </a:stretch>
                  </pic:blipFill>
                  <pic:spPr>
                    <a:xfrm>
                      <a:off x="0" y="0"/>
                      <a:ext cx="5855335" cy="838263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854065" cy="8277860"/>
            <wp:effectExtent l="0" t="0" r="13335" b="8890"/>
            <wp:docPr id="28"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true"/>
                    </pic:cNvPicPr>
                  </pic:nvPicPr>
                  <pic:blipFill>
                    <a:blip r:embed="rId116"/>
                    <a:stretch>
                      <a:fillRect/>
                    </a:stretch>
                  </pic:blipFill>
                  <pic:spPr>
                    <a:xfrm>
                      <a:off x="0" y="0"/>
                      <a:ext cx="5854065" cy="8277860"/>
                    </a:xfrm>
                    <a:prstGeom prst="rect">
                      <a:avLst/>
                    </a:prstGeom>
                    <a:noFill/>
                    <a:ln>
                      <a:noFill/>
                    </a:ln>
                  </pic:spPr>
                </pic:pic>
              </a:graphicData>
            </a:graphic>
          </wp:inline>
        </w:drawing>
      </w:r>
    </w:p>
    <w:p>
      <w:pPr>
        <w:pStyle w:val="6"/>
        <w:ind w:left="0" w:leftChars="0" w:firstLine="0" w:firstLineChars="0"/>
        <w:rPr>
          <w:color w:val="000000" w:themeColor="text1"/>
          <w14:textFill>
            <w14:solidFill>
              <w14:schemeClr w14:val="tx1"/>
            </w14:solidFill>
          </w14:textFill>
        </w:rPr>
      </w:pPr>
    </w:p>
    <w:p>
      <w:pPr>
        <w:pStyle w:val="6"/>
        <w:ind w:left="0" w:leftChars="0" w:firstLine="0" w:firstLineChars="0"/>
        <w:rPr>
          <w:color w:val="000000" w:themeColor="text1"/>
          <w14:textFill>
            <w14:solidFill>
              <w14:schemeClr w14:val="tx1"/>
            </w14:solidFill>
          </w14:textFill>
        </w:rPr>
      </w:pPr>
    </w:p>
    <w:p>
      <w:pPr>
        <w:pStyle w:val="6"/>
        <w:ind w:left="0" w:leftChars="0" w:firstLine="0" w:firstLineChars="0"/>
        <w:rPr>
          <w:color w:val="000000" w:themeColor="text1"/>
          <w14:textFill>
            <w14:solidFill>
              <w14:schemeClr w14:val="tx1"/>
            </w14:solidFill>
          </w14:textFill>
        </w:rPr>
      </w:pPr>
    </w:p>
    <w:p>
      <w:pPr>
        <w:pStyle w:val="6"/>
        <w:ind w:left="0" w:leftChars="0" w:firstLine="0" w:firstLineChars="0"/>
        <w:jc w:val="left"/>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附件10 土壤补测报告</w:t>
      </w:r>
    </w:p>
    <w:p>
      <w:pPr>
        <w:pStyle w:val="6"/>
        <w:ind w:left="0" w:leftChars="0" w:firstLine="0" w:firstLineChars="0"/>
        <w:jc w:val="left"/>
        <w:rPr>
          <w:rFonts w:hint="eastAsia"/>
          <w:b/>
          <w:bCs/>
          <w:color w:val="000000" w:themeColor="text1"/>
          <w:lang w:val="en-US" w:eastAsia="zh-CN"/>
          <w14:textFill>
            <w14:solidFill>
              <w14:schemeClr w14:val="tx1"/>
            </w14:solidFill>
          </w14:textFill>
        </w:rPr>
      </w:pPr>
      <w:r>
        <w:drawing>
          <wp:inline distT="0" distB="0" distL="114300" distR="114300">
            <wp:extent cx="5863590" cy="8303895"/>
            <wp:effectExtent l="0" t="0" r="3810" b="1905"/>
            <wp:docPr id="3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true"/>
                    </pic:cNvPicPr>
                  </pic:nvPicPr>
                  <pic:blipFill>
                    <a:blip r:embed="rId117"/>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5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 name="图片 3"/>
                    <pic:cNvPicPr>
                      <a:picLocks noChangeAspect="true"/>
                    </pic:cNvPicPr>
                  </pic:nvPicPr>
                  <pic:blipFill>
                    <a:blip r:embed="rId118"/>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60"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0" name="图片 4"/>
                    <pic:cNvPicPr>
                      <a:picLocks noChangeAspect="true"/>
                    </pic:cNvPicPr>
                  </pic:nvPicPr>
                  <pic:blipFill>
                    <a:blip r:embed="rId119"/>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61"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1" name="图片 5"/>
                    <pic:cNvPicPr>
                      <a:picLocks noChangeAspect="true"/>
                    </pic:cNvPicPr>
                  </pic:nvPicPr>
                  <pic:blipFill>
                    <a:blip r:embed="rId120"/>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62"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2" name="图片 6"/>
                    <pic:cNvPicPr>
                      <a:picLocks noChangeAspect="true"/>
                    </pic:cNvPicPr>
                  </pic:nvPicPr>
                  <pic:blipFill>
                    <a:blip r:embed="rId121"/>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65"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5" name="图片 7"/>
                    <pic:cNvPicPr>
                      <a:picLocks noChangeAspect="true"/>
                    </pic:cNvPicPr>
                  </pic:nvPicPr>
                  <pic:blipFill>
                    <a:blip r:embed="rId122"/>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66"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6" name="图片 8"/>
                    <pic:cNvPicPr>
                      <a:picLocks noChangeAspect="true"/>
                    </pic:cNvPicPr>
                  </pic:nvPicPr>
                  <pic:blipFill>
                    <a:blip r:embed="rId123"/>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67"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7" name="图片 9"/>
                    <pic:cNvPicPr>
                      <a:picLocks noChangeAspect="true"/>
                    </pic:cNvPicPr>
                  </pic:nvPicPr>
                  <pic:blipFill>
                    <a:blip r:embed="rId124"/>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68"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8" name="图片 10"/>
                    <pic:cNvPicPr>
                      <a:picLocks noChangeAspect="true"/>
                    </pic:cNvPicPr>
                  </pic:nvPicPr>
                  <pic:blipFill>
                    <a:blip r:embed="rId125"/>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69"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9" name="图片 11"/>
                    <pic:cNvPicPr>
                      <a:picLocks noChangeAspect="true"/>
                    </pic:cNvPicPr>
                  </pic:nvPicPr>
                  <pic:blipFill>
                    <a:blip r:embed="rId126"/>
                    <a:stretch>
                      <a:fillRect/>
                    </a:stretch>
                  </pic:blipFill>
                  <pic:spPr>
                    <a:xfrm>
                      <a:off x="0" y="0"/>
                      <a:ext cx="5863590" cy="8303895"/>
                    </a:xfrm>
                    <a:prstGeom prst="rect">
                      <a:avLst/>
                    </a:prstGeom>
                    <a:noFill/>
                    <a:ln>
                      <a:noFill/>
                    </a:ln>
                  </pic:spPr>
                </pic:pic>
              </a:graphicData>
            </a:graphic>
          </wp:inline>
        </w:drawing>
      </w:r>
      <w:r>
        <w:drawing>
          <wp:inline distT="0" distB="0" distL="114300" distR="114300">
            <wp:extent cx="5863590" cy="8303895"/>
            <wp:effectExtent l="0" t="0" r="3810" b="1905"/>
            <wp:docPr id="170"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0" name="图片 12"/>
                    <pic:cNvPicPr>
                      <a:picLocks noChangeAspect="true"/>
                    </pic:cNvPicPr>
                  </pic:nvPicPr>
                  <pic:blipFill>
                    <a:blip r:embed="rId127"/>
                    <a:stretch>
                      <a:fillRect/>
                    </a:stretch>
                  </pic:blipFill>
                  <pic:spPr>
                    <a:xfrm>
                      <a:off x="0" y="0"/>
                      <a:ext cx="5863590" cy="8303895"/>
                    </a:xfrm>
                    <a:prstGeom prst="rect">
                      <a:avLst/>
                    </a:prstGeom>
                    <a:noFill/>
                    <a:ln>
                      <a:noFill/>
                    </a:ln>
                  </pic:spPr>
                </pic:pic>
              </a:graphicData>
            </a:graphic>
          </wp:inline>
        </w:drawing>
      </w:r>
    </w:p>
    <w:p>
      <w:pPr>
        <w:pStyle w:val="6"/>
        <w:ind w:left="0" w:leftChars="0" w:firstLine="0" w:firstLineChars="0"/>
        <w:jc w:val="left"/>
        <w:rPr>
          <w:rFonts w:hint="eastAsia"/>
          <w:b/>
          <w:bCs/>
          <w:color w:val="000000" w:themeColor="text1"/>
          <w:lang w:val="en-US" w:eastAsia="zh-CN"/>
          <w14:textFill>
            <w14:solidFill>
              <w14:schemeClr w14:val="tx1"/>
            </w14:solidFill>
          </w14:textFill>
        </w:rPr>
      </w:pPr>
    </w:p>
    <w:p>
      <w:pPr>
        <w:pStyle w:val="6"/>
        <w:ind w:left="0" w:leftChars="0" w:firstLine="0" w:firstLineChars="0"/>
        <w:jc w:val="left"/>
        <w:rPr>
          <w:rFonts w:hint="eastAsia"/>
          <w:b/>
          <w:bCs/>
          <w:color w:val="000000" w:themeColor="text1"/>
          <w:lang w:val="en-US" w:eastAsia="zh-CN"/>
          <w14:textFill>
            <w14:solidFill>
              <w14:schemeClr w14:val="tx1"/>
            </w14:solidFill>
          </w14:textFill>
        </w:rPr>
      </w:pPr>
    </w:p>
    <w:p>
      <w:pPr>
        <w:pStyle w:val="6"/>
        <w:ind w:left="0" w:leftChars="0" w:firstLine="0" w:firstLineChars="0"/>
        <w:jc w:val="left"/>
        <w:rPr>
          <w:rFonts w:hint="eastAsia"/>
          <w:b/>
          <w:bCs/>
          <w:color w:val="000000" w:themeColor="text1"/>
          <w:lang w:val="en-US" w:eastAsia="zh-CN"/>
          <w14:textFill>
            <w14:solidFill>
              <w14:schemeClr w14:val="tx1"/>
            </w14:solidFill>
          </w14:textFill>
        </w:rPr>
      </w:pPr>
    </w:p>
    <w:p>
      <w:pPr>
        <w:pStyle w:val="6"/>
        <w:ind w:left="0" w:leftChars="0" w:firstLine="0" w:firstLineChars="0"/>
        <w:jc w:val="left"/>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附件11 专家审核意见及修改说明</w:t>
      </w:r>
      <w:r>
        <w:rPr>
          <w:color w:val="000000" w:themeColor="text1"/>
          <w14:textFill>
            <w14:solidFill>
              <w14:schemeClr w14:val="tx1"/>
            </w14:solidFill>
          </w14:textFill>
        </w:rPr>
        <w:drawing>
          <wp:inline distT="0" distB="0" distL="114300" distR="114300">
            <wp:extent cx="5864225" cy="8239760"/>
            <wp:effectExtent l="0" t="0" r="3175" b="8890"/>
            <wp:docPr id="4"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true"/>
                    </pic:cNvPicPr>
                  </pic:nvPicPr>
                  <pic:blipFill>
                    <a:blip r:embed="rId128"/>
                    <a:stretch>
                      <a:fillRect/>
                    </a:stretch>
                  </pic:blipFill>
                  <pic:spPr>
                    <a:xfrm>
                      <a:off x="0" y="0"/>
                      <a:ext cx="5864225" cy="823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864225" cy="8239760"/>
            <wp:effectExtent l="0" t="0" r="3175" b="8890"/>
            <wp:docPr id="29"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true"/>
                    </pic:cNvPicPr>
                  </pic:nvPicPr>
                  <pic:blipFill>
                    <a:blip r:embed="rId129"/>
                    <a:stretch>
                      <a:fillRect/>
                    </a:stretch>
                  </pic:blipFill>
                  <pic:spPr>
                    <a:xfrm>
                      <a:off x="0" y="0"/>
                      <a:ext cx="5864225" cy="823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864225" cy="8239760"/>
            <wp:effectExtent l="0" t="0" r="3175" b="8890"/>
            <wp:docPr id="30"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true"/>
                    </pic:cNvPicPr>
                  </pic:nvPicPr>
                  <pic:blipFill>
                    <a:blip r:embed="rId130"/>
                    <a:stretch>
                      <a:fillRect/>
                    </a:stretch>
                  </pic:blipFill>
                  <pic:spPr>
                    <a:xfrm>
                      <a:off x="0" y="0"/>
                      <a:ext cx="5864225" cy="823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864225" cy="8239760"/>
            <wp:effectExtent l="0" t="0" r="3175" b="8890"/>
            <wp:docPr id="31"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true"/>
                    </pic:cNvPicPr>
                  </pic:nvPicPr>
                  <pic:blipFill>
                    <a:blip r:embed="rId131"/>
                    <a:stretch>
                      <a:fillRect/>
                    </a:stretch>
                  </pic:blipFill>
                  <pic:spPr>
                    <a:xfrm>
                      <a:off x="0" y="0"/>
                      <a:ext cx="5864225" cy="823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864225" cy="8239760"/>
            <wp:effectExtent l="0" t="0" r="3175" b="8890"/>
            <wp:docPr id="32"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true"/>
                    </pic:cNvPicPr>
                  </pic:nvPicPr>
                  <pic:blipFill>
                    <a:blip r:embed="rId132"/>
                    <a:stretch>
                      <a:fillRect/>
                    </a:stretch>
                  </pic:blipFill>
                  <pic:spPr>
                    <a:xfrm>
                      <a:off x="0" y="0"/>
                      <a:ext cx="5864225" cy="8239760"/>
                    </a:xfrm>
                    <a:prstGeom prst="rect">
                      <a:avLst/>
                    </a:prstGeom>
                    <a:noFill/>
                    <a:ln>
                      <a:noFill/>
                    </a:ln>
                  </pic:spPr>
                </pic:pic>
              </a:graphicData>
            </a:graphic>
          </wp:inline>
        </w:drawing>
      </w:r>
    </w:p>
    <w:p>
      <w:pPr>
        <w:pStyle w:val="6"/>
        <w:ind w:left="0" w:leftChars="0" w:firstLine="0" w:firstLineChars="0"/>
        <w:jc w:val="left"/>
        <w:rPr>
          <w:color w:val="000000" w:themeColor="text1"/>
          <w14:textFill>
            <w14:solidFill>
              <w14:schemeClr w14:val="tx1"/>
            </w14:solidFill>
          </w14:textFill>
        </w:rPr>
      </w:pPr>
    </w:p>
    <w:p>
      <w:pPr>
        <w:pStyle w:val="6"/>
        <w:ind w:left="0" w:leftChars="0" w:firstLine="0" w:firstLineChars="0"/>
        <w:jc w:val="left"/>
        <w:rPr>
          <w:color w:val="000000" w:themeColor="text1"/>
          <w14:textFill>
            <w14:solidFill>
              <w14:schemeClr w14:val="tx1"/>
            </w14:solidFill>
          </w14:textFill>
        </w:rPr>
      </w:pPr>
    </w:p>
    <w:p>
      <w:pPr>
        <w:pStyle w:val="6"/>
        <w:ind w:left="0" w:leftChars="0" w:firstLine="0" w:firstLineChars="0"/>
        <w:jc w:val="left"/>
        <w:rPr>
          <w:color w:val="000000" w:themeColor="text1"/>
          <w14:textFill>
            <w14:solidFill>
              <w14:schemeClr w14:val="tx1"/>
            </w14:solidFill>
          </w14:textFill>
        </w:rPr>
      </w:pPr>
    </w:p>
    <w:p>
      <w:pPr>
        <w:pStyle w:val="6"/>
        <w:ind w:left="0" w:leftChars="0" w:firstLine="0" w:firstLineChars="0"/>
        <w:jc w:val="left"/>
        <w:rPr>
          <w:rFonts w:hint="default" w:eastAsia="宋体"/>
          <w:b/>
          <w:bCs/>
          <w:color w:val="000000" w:themeColor="text1"/>
          <w:lang w:val="en-US" w:eastAsia="zh-CN"/>
          <w14:textFill>
            <w14:solidFill>
              <w14:schemeClr w14:val="tx1"/>
            </w14:solidFill>
          </w14:textFill>
        </w:rPr>
        <w:sectPr>
          <w:pgSz w:w="11906" w:h="16838"/>
          <w:pgMar w:top="1134" w:right="1134" w:bottom="1134" w:left="1531" w:header="1020" w:footer="992" w:gutter="0"/>
          <w:pgBorders>
            <w:top w:val="none" w:sz="0" w:space="0"/>
            <w:left w:val="none" w:sz="0" w:space="0"/>
            <w:bottom w:val="none" w:sz="0" w:space="0"/>
            <w:right w:val="none" w:sz="0" w:space="0"/>
          </w:pgBorders>
          <w:cols w:space="720" w:num="1"/>
          <w:docGrid w:linePitch="312" w:charSpace="0"/>
        </w:sectPr>
      </w:pPr>
      <w:r>
        <w:rPr>
          <w:rFonts w:hint="eastAsia"/>
          <w:b/>
          <w:bCs/>
          <w:color w:val="000000" w:themeColor="text1"/>
          <w:lang w:val="en-US" w:eastAsia="zh-CN"/>
          <w14:textFill>
            <w14:solidFill>
              <w14:schemeClr w14:val="tx1"/>
            </w14:solidFill>
          </w14:textFill>
        </w:rPr>
        <w:t>附件12 供水协议</w:t>
      </w:r>
      <w:r>
        <w:drawing>
          <wp:inline distT="0" distB="0" distL="114300" distR="114300">
            <wp:extent cx="5859780" cy="8163560"/>
            <wp:effectExtent l="0" t="0" r="7620" b="8890"/>
            <wp:docPr id="175"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5" name="图片 2"/>
                    <pic:cNvPicPr>
                      <a:picLocks noChangeAspect="true"/>
                    </pic:cNvPicPr>
                  </pic:nvPicPr>
                  <pic:blipFill>
                    <a:blip r:embed="rId133"/>
                    <a:stretch>
                      <a:fillRect/>
                    </a:stretch>
                  </pic:blipFill>
                  <pic:spPr>
                    <a:xfrm>
                      <a:off x="0" y="0"/>
                      <a:ext cx="5859780" cy="8163560"/>
                    </a:xfrm>
                    <a:prstGeom prst="rect">
                      <a:avLst/>
                    </a:prstGeom>
                    <a:noFill/>
                    <a:ln>
                      <a:noFill/>
                    </a:ln>
                  </pic:spPr>
                </pic:pic>
              </a:graphicData>
            </a:graphic>
          </wp:inline>
        </w:drawing>
      </w:r>
      <w:r>
        <w:drawing>
          <wp:inline distT="0" distB="0" distL="114300" distR="114300">
            <wp:extent cx="5863590" cy="8650605"/>
            <wp:effectExtent l="0" t="0" r="3810" b="17145"/>
            <wp:docPr id="17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6" name="图片 3"/>
                    <pic:cNvPicPr>
                      <a:picLocks noChangeAspect="true"/>
                    </pic:cNvPicPr>
                  </pic:nvPicPr>
                  <pic:blipFill>
                    <a:blip r:embed="rId134"/>
                    <a:stretch>
                      <a:fillRect/>
                    </a:stretch>
                  </pic:blipFill>
                  <pic:spPr>
                    <a:xfrm>
                      <a:off x="0" y="0"/>
                      <a:ext cx="5863590" cy="8650605"/>
                    </a:xfrm>
                    <a:prstGeom prst="rect">
                      <a:avLst/>
                    </a:prstGeom>
                    <a:noFill/>
                    <a:ln>
                      <a:noFill/>
                    </a:ln>
                  </pic:spPr>
                </pic:pic>
              </a:graphicData>
            </a:graphic>
          </wp:inline>
        </w:drawing>
      </w:r>
      <w:r>
        <w:drawing>
          <wp:inline distT="0" distB="0" distL="114300" distR="114300">
            <wp:extent cx="5862320" cy="8677910"/>
            <wp:effectExtent l="0" t="0" r="5080" b="8890"/>
            <wp:docPr id="177"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7" name="图片 4"/>
                    <pic:cNvPicPr>
                      <a:picLocks noChangeAspect="true"/>
                    </pic:cNvPicPr>
                  </pic:nvPicPr>
                  <pic:blipFill>
                    <a:blip r:embed="rId135"/>
                    <a:stretch>
                      <a:fillRect/>
                    </a:stretch>
                  </pic:blipFill>
                  <pic:spPr>
                    <a:xfrm>
                      <a:off x="0" y="0"/>
                      <a:ext cx="5862320" cy="8677910"/>
                    </a:xfrm>
                    <a:prstGeom prst="rect">
                      <a:avLst/>
                    </a:prstGeom>
                    <a:noFill/>
                    <a:ln>
                      <a:noFill/>
                    </a:ln>
                  </pic:spPr>
                </pic:pic>
              </a:graphicData>
            </a:graphic>
          </wp:inline>
        </w:drawing>
      </w:r>
      <w:r>
        <w:drawing>
          <wp:inline distT="0" distB="0" distL="114300" distR="114300">
            <wp:extent cx="5862955" cy="8917940"/>
            <wp:effectExtent l="0" t="0" r="4445" b="16510"/>
            <wp:docPr id="178"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8" name="图片 5"/>
                    <pic:cNvPicPr>
                      <a:picLocks noChangeAspect="true"/>
                    </pic:cNvPicPr>
                  </pic:nvPicPr>
                  <pic:blipFill>
                    <a:blip r:embed="rId136"/>
                    <a:stretch>
                      <a:fillRect/>
                    </a:stretch>
                  </pic:blipFill>
                  <pic:spPr>
                    <a:xfrm>
                      <a:off x="0" y="0"/>
                      <a:ext cx="5862955" cy="8917940"/>
                    </a:xfrm>
                    <a:prstGeom prst="rect">
                      <a:avLst/>
                    </a:prstGeom>
                    <a:noFill/>
                    <a:ln>
                      <a:noFill/>
                    </a:ln>
                  </pic:spPr>
                </pic:pic>
              </a:graphicData>
            </a:graphic>
          </wp:inline>
        </w:drawing>
      </w:r>
      <w:r>
        <w:rPr>
          <w:rFonts w:hint="eastAsia"/>
          <w:b/>
          <w:bCs/>
          <w:color w:val="000000" w:themeColor="text1"/>
          <w:lang w:val="en-US" w:eastAsia="zh-CN"/>
          <w14:textFill>
            <w14:solidFill>
              <w14:schemeClr w14:val="tx1"/>
            </w14:solidFill>
          </w14:textFill>
        </w:rPr>
        <w:t>附件13 评审意见及修改说明</w:t>
      </w:r>
      <w:r>
        <w:drawing>
          <wp:inline distT="0" distB="0" distL="114300" distR="114300">
            <wp:extent cx="5816600" cy="8216265"/>
            <wp:effectExtent l="0" t="0" r="12700" b="13335"/>
            <wp:docPr id="171"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1" name="图片 13"/>
                    <pic:cNvPicPr>
                      <a:picLocks noChangeAspect="true"/>
                    </pic:cNvPicPr>
                  </pic:nvPicPr>
                  <pic:blipFill>
                    <a:blip r:embed="rId137"/>
                    <a:stretch>
                      <a:fillRect/>
                    </a:stretch>
                  </pic:blipFill>
                  <pic:spPr>
                    <a:xfrm>
                      <a:off x="0" y="0"/>
                      <a:ext cx="5816600" cy="8216265"/>
                    </a:xfrm>
                    <a:prstGeom prst="rect">
                      <a:avLst/>
                    </a:prstGeom>
                    <a:noFill/>
                    <a:ln>
                      <a:noFill/>
                    </a:ln>
                  </pic:spPr>
                </pic:pic>
              </a:graphicData>
            </a:graphic>
          </wp:inline>
        </w:drawing>
      </w:r>
      <w:r>
        <w:drawing>
          <wp:inline distT="0" distB="0" distL="114300" distR="114300">
            <wp:extent cx="5956935" cy="8611235"/>
            <wp:effectExtent l="0" t="0" r="5715" b="18415"/>
            <wp:docPr id="172"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true"/>
                    </pic:cNvPicPr>
                  </pic:nvPicPr>
                  <pic:blipFill>
                    <a:blip r:embed="rId138"/>
                    <a:stretch>
                      <a:fillRect/>
                    </a:stretch>
                  </pic:blipFill>
                  <pic:spPr>
                    <a:xfrm>
                      <a:off x="0" y="0"/>
                      <a:ext cx="5956935" cy="8611235"/>
                    </a:xfrm>
                    <a:prstGeom prst="rect">
                      <a:avLst/>
                    </a:prstGeom>
                    <a:noFill/>
                    <a:ln>
                      <a:noFill/>
                    </a:ln>
                  </pic:spPr>
                </pic:pic>
              </a:graphicData>
            </a:graphic>
          </wp:inline>
        </w:drawing>
      </w:r>
      <w:r>
        <w:drawing>
          <wp:inline distT="0" distB="0" distL="114300" distR="114300">
            <wp:extent cx="5854700" cy="8926195"/>
            <wp:effectExtent l="0" t="0" r="12700" b="8255"/>
            <wp:docPr id="173"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3" name="图片 15"/>
                    <pic:cNvPicPr>
                      <a:picLocks noChangeAspect="true"/>
                    </pic:cNvPicPr>
                  </pic:nvPicPr>
                  <pic:blipFill>
                    <a:blip r:embed="rId139"/>
                    <a:stretch>
                      <a:fillRect/>
                    </a:stretch>
                  </pic:blipFill>
                  <pic:spPr>
                    <a:xfrm>
                      <a:off x="0" y="0"/>
                      <a:ext cx="5854700" cy="8926195"/>
                    </a:xfrm>
                    <a:prstGeom prst="rect">
                      <a:avLst/>
                    </a:prstGeom>
                    <a:noFill/>
                    <a:ln>
                      <a:noFill/>
                    </a:ln>
                  </pic:spPr>
                </pic:pic>
              </a:graphicData>
            </a:graphic>
          </wp:inline>
        </w:drawing>
      </w:r>
      <w:r>
        <w:drawing>
          <wp:inline distT="0" distB="0" distL="114300" distR="114300">
            <wp:extent cx="5810250" cy="8162925"/>
            <wp:effectExtent l="0" t="0" r="0" b="9525"/>
            <wp:docPr id="174"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4" name="图片 16"/>
                    <pic:cNvPicPr>
                      <a:picLocks noChangeAspect="true"/>
                    </pic:cNvPicPr>
                  </pic:nvPicPr>
                  <pic:blipFill>
                    <a:blip r:embed="rId140"/>
                    <a:stretch>
                      <a:fillRect/>
                    </a:stretch>
                  </pic:blipFill>
                  <pic:spPr>
                    <a:xfrm>
                      <a:off x="0" y="0"/>
                      <a:ext cx="5810250" cy="8162925"/>
                    </a:xfrm>
                    <a:prstGeom prst="rect">
                      <a:avLst/>
                    </a:prstGeom>
                    <a:noFill/>
                    <a:ln>
                      <a:noFill/>
                    </a:ln>
                  </pic:spPr>
                </pic:pic>
              </a:graphicData>
            </a:graphic>
          </wp:inline>
        </w:drawing>
      </w:r>
    </w:p>
    <w:p>
      <w:pPr>
        <w:ind w:left="0" w:leftChars="0" w:firstLine="0" w:firstLineChars="0"/>
        <w:rPr>
          <w:rFonts w:hint="default" w:eastAsia="黑体" w:cs="Times New Roman"/>
          <w:color w:val="000000" w:themeColor="text1"/>
          <w:highlight w:val="none"/>
          <w:lang w:val="en-US" w:eastAsia="zh-CN"/>
          <w14:textFill>
            <w14:solidFill>
              <w14:schemeClr w14:val="tx1"/>
            </w14:solidFill>
          </w14:textFill>
        </w:rPr>
      </w:pPr>
    </w:p>
    <w:p>
      <w:pPr>
        <w:ind w:left="0" w:leftChars="0" w:firstLine="0" w:firstLineChars="0"/>
        <w:jc w:val="center"/>
        <w:rPr>
          <w:rFonts w:ascii="宋体" w:hAnsi="宋体" w:eastAsia="宋体" w:cs="宋体"/>
          <w:color w:val="000000" w:themeColor="text1"/>
          <w:sz w:val="24"/>
          <w:szCs w:val="24"/>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7586980</wp:posOffset>
                </wp:positionH>
                <wp:positionV relativeFrom="paragraph">
                  <wp:posOffset>1958975</wp:posOffset>
                </wp:positionV>
                <wp:extent cx="904240" cy="356235"/>
                <wp:effectExtent l="386715" t="4445" r="23495" b="496570"/>
                <wp:wrapNone/>
                <wp:docPr id="118" name="圆角矩形标注 118"/>
                <wp:cNvGraphicFramePr/>
                <a:graphic xmlns:a="http://schemas.openxmlformats.org/drawingml/2006/main">
                  <a:graphicData uri="http://schemas.microsoft.com/office/word/2010/wordprocessingShape">
                    <wps:wsp>
                      <wps:cNvSpPr/>
                      <wps:spPr>
                        <a:xfrm>
                          <a:off x="9037955" y="1834515"/>
                          <a:ext cx="904240" cy="356235"/>
                        </a:xfrm>
                        <a:prstGeom prst="wedgeRoundRectCallout">
                          <a:avLst>
                            <a:gd name="adj1" fmla="val -92251"/>
                            <a:gd name="adj2" fmla="val 182833"/>
                            <a:gd name="adj3" fmla="val 16667"/>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ind w:left="0" w:leftChars="0" w:firstLine="0" w:firstLineChars="0"/>
                              <w:jc w:val="both"/>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597.4pt;margin-top:154.25pt;height:28.05pt;width:71.2pt;z-index:251667456;v-text-anchor:middle;mso-width-relative:page;mso-height-relative:page;" fillcolor="#FFFFFF [3212]" filled="t" stroked="t" coordsize="21600,21600" o:gfxdata="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FgAAAGRycy9QSwECFAAUAAAACACHTuJAQTMLiNgAAAAN&#10;AQAADwAAAAAAAAABACAAAAA4AAAAZHJzL2Rvd25yZXYueG1sUEsBAhQAFAAAAAgAh07iQBE/pZix&#10;AgAASwUAAA4AAAAAAAAAAQAgAAAAPQEAAGRycy9lMm9Eb2MueG1sUEsFBgAAAAAGAAYAWQEAAGAG&#10;AAAAAA==&#10;" adj="0,50292,14400">
                <v:fill on="t" focussize="0,0"/>
                <v:stroke color="#000000 [3213]" joinstyle="round"/>
                <v:imagedata o:title=""/>
                <o:lock v:ext="edit" aspectratio="f"/>
                <v:textbox>
                  <w:txbxContent>
                    <w:p>
                      <w:pPr>
                        <w:ind w:left="0" w:leftChars="0" w:firstLine="0" w:firstLineChars="0"/>
                        <w:jc w:val="both"/>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v:textbox>
              </v:shape>
            </w:pict>
          </mc:Fallback>
        </mc:AlternateContent>
      </w:r>
      <w:r>
        <w:rPr>
          <w:rFonts w:ascii="宋体" w:hAnsi="宋体" w:eastAsia="宋体" w:cs="宋体"/>
          <w:color w:val="000000" w:themeColor="text1"/>
          <w:sz w:val="24"/>
          <w:szCs w:val="24"/>
          <w14:textFill>
            <w14:solidFill>
              <w14:schemeClr w14:val="tx1"/>
            </w14:solidFill>
          </w14:textFill>
        </w:rPr>
        <w:drawing>
          <wp:inline distT="0" distB="0" distL="114300" distR="114300">
            <wp:extent cx="7896225" cy="5249545"/>
            <wp:effectExtent l="0" t="0" r="0" b="0"/>
            <wp:docPr id="117" name="图片 37"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7" name="图片 37" descr="IMG_256"/>
                    <pic:cNvPicPr>
                      <a:picLocks noChangeAspect="true"/>
                    </pic:cNvPicPr>
                  </pic:nvPicPr>
                  <pic:blipFill>
                    <a:blip r:embed="rId141"/>
                    <a:srcRect t="3734" b="2152"/>
                    <a:stretch>
                      <a:fillRect/>
                    </a:stretch>
                  </pic:blipFill>
                  <pic:spPr>
                    <a:xfrm>
                      <a:off x="0" y="0"/>
                      <a:ext cx="7896225" cy="5249545"/>
                    </a:xfrm>
                    <a:prstGeom prst="rect">
                      <a:avLst/>
                    </a:prstGeom>
                    <a:noFill/>
                    <a:ln w="9525">
                      <a:noFill/>
                    </a:ln>
                  </pic:spPr>
                </pic:pic>
              </a:graphicData>
            </a:graphic>
          </wp:inline>
        </w:drawing>
      </w:r>
    </w:p>
    <w:p>
      <w:pPr>
        <w:ind w:left="0" w:leftChars="0" w:firstLine="0" w:firstLineChars="0"/>
        <w:jc w:val="center"/>
        <w:rPr>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附图1 项目地理位置图</w:t>
      </w:r>
    </w:p>
    <w:p>
      <w:pPr>
        <w:ind w:left="0" w:leftChars="0"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8128000</wp:posOffset>
            </wp:positionH>
            <wp:positionV relativeFrom="paragraph">
              <wp:posOffset>-38100</wp:posOffset>
            </wp:positionV>
            <wp:extent cx="822960" cy="758190"/>
            <wp:effectExtent l="0" t="0" r="15240" b="3810"/>
            <wp:wrapNone/>
            <wp:docPr id="121"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1" name="图片 40"/>
                    <pic:cNvPicPr>
                      <a:picLocks noChangeAspect="true"/>
                    </pic:cNvPicPr>
                  </pic:nvPicPr>
                  <pic:blipFill>
                    <a:blip r:embed="rId142"/>
                    <a:stretch>
                      <a:fillRect/>
                    </a:stretch>
                  </pic:blipFill>
                  <pic:spPr>
                    <a:xfrm>
                      <a:off x="0" y="0"/>
                      <a:ext cx="822960" cy="75819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8651240" cy="5403850"/>
            <wp:effectExtent l="0" t="0" r="16510" b="6350"/>
            <wp:docPr id="27"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true"/>
                    </pic:cNvPicPr>
                  </pic:nvPicPr>
                  <pic:blipFill>
                    <a:blip r:embed="rId143"/>
                    <a:stretch>
                      <a:fillRect/>
                    </a:stretch>
                  </pic:blipFill>
                  <pic:spPr>
                    <a:xfrm>
                      <a:off x="0" y="0"/>
                      <a:ext cx="8651240" cy="5403850"/>
                    </a:xfrm>
                    <a:prstGeom prst="rect">
                      <a:avLst/>
                    </a:prstGeom>
                    <a:noFill/>
                    <a:ln>
                      <a:noFill/>
                    </a:ln>
                  </pic:spPr>
                </pic:pic>
              </a:graphicData>
            </a:graphic>
          </wp:inline>
        </w:drawing>
      </w:r>
    </w:p>
    <w:p>
      <w:pPr>
        <w:ind w:left="0" w:leftChars="0" w:firstLine="0" w:firstLineChars="0"/>
        <w:jc w:val="center"/>
        <w:rPr>
          <w:rFonts w:hint="eastAsia"/>
          <w:b/>
          <w:bCs/>
          <w:color w:val="000000" w:themeColor="text1"/>
          <w:highlight w:val="none"/>
          <w:lang w:val="en-US" w:eastAsia="zh-CN"/>
          <w14:textFill>
            <w14:solidFill>
              <w14:schemeClr w14:val="tx1"/>
            </w14:solidFill>
          </w14:textFill>
        </w:rPr>
        <w:sectPr>
          <w:pgSz w:w="16838" w:h="11906" w:orient="landscape"/>
          <w:pgMar w:top="1531" w:right="1134" w:bottom="1134" w:left="1134"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b/>
          <w:bCs/>
          <w:color w:val="000000" w:themeColor="text1"/>
          <w:highlight w:val="none"/>
          <w:lang w:val="en-US" w:eastAsia="zh-CN"/>
          <w14:textFill>
            <w14:solidFill>
              <w14:schemeClr w14:val="tx1"/>
            </w14:solidFill>
          </w14:textFill>
        </w:rPr>
        <w:t>附图2 项目平面布置图</w:t>
      </w:r>
    </w:p>
    <w:p>
      <w:pPr>
        <w:pStyle w:val="6"/>
        <w:ind w:left="0" w:leftChars="0" w:firstLine="0" w:firstLineChars="0"/>
        <w:jc w:val="center"/>
        <w:rPr>
          <w:rFonts w:hint="eastAsia"/>
          <w:b/>
          <w:bCs/>
          <w:color w:val="000000" w:themeColor="text1"/>
          <w:highlight w:val="none"/>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g">
            <w:drawing>
              <wp:anchor distT="0" distB="0" distL="114300" distR="114300" simplePos="0" relativeHeight="251674624" behindDoc="0" locked="0" layoutInCell="1" allowOverlap="1">
                <wp:simplePos x="0" y="0"/>
                <wp:positionH relativeFrom="column">
                  <wp:posOffset>7442200</wp:posOffset>
                </wp:positionH>
                <wp:positionV relativeFrom="paragraph">
                  <wp:posOffset>8255</wp:posOffset>
                </wp:positionV>
                <wp:extent cx="1713865" cy="5559425"/>
                <wp:effectExtent l="0" t="0" r="635" b="3175"/>
                <wp:wrapNone/>
                <wp:docPr id="82" name="组合 82"/>
                <wp:cNvGraphicFramePr/>
                <a:graphic xmlns:a="http://schemas.openxmlformats.org/drawingml/2006/main">
                  <a:graphicData uri="http://schemas.microsoft.com/office/word/2010/wordprocessingGroup">
                    <wpg:wgp>
                      <wpg:cNvGrpSpPr/>
                      <wpg:grpSpPr>
                        <a:xfrm>
                          <a:off x="0" y="0"/>
                          <a:ext cx="1713865" cy="5559425"/>
                          <a:chOff x="13137" y="2105163"/>
                          <a:chExt cx="2699" cy="8755"/>
                        </a:xfrm>
                      </wpg:grpSpPr>
                      <wps:wsp>
                        <wps:cNvPr id="40" name="文本框 40"/>
                        <wps:cNvSpPr txBox="true"/>
                        <wps:spPr>
                          <a:xfrm>
                            <a:off x="13137" y="2112036"/>
                            <a:ext cx="2633" cy="188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lang w:val="en-US" w:eastAsia="zh-CN"/>
                                </w:rPr>
                              </w:pPr>
                              <w:r>
                                <w:rPr>
                                  <w:rFonts w:hint="eastAsia"/>
                                  <w:lang w:val="en-US" w:eastAsia="zh-CN"/>
                                </w:rPr>
                                <w:t>图 例</w:t>
                              </w:r>
                            </w:p>
                            <w:p>
                              <w:pPr>
                                <w:ind w:left="0" w:leftChars="0" w:firstLine="0" w:firstLineChars="0"/>
                                <w:jc w:val="right"/>
                                <w:rPr>
                                  <w:rFonts w:hint="eastAsia"/>
                                  <w:sz w:val="21"/>
                                  <w:szCs w:val="21"/>
                                  <w:lang w:val="en-US" w:eastAsia="zh-CN"/>
                                </w:rPr>
                              </w:pPr>
                              <w:r>
                                <w:rPr>
                                  <w:rFonts w:hint="eastAsia"/>
                                  <w:sz w:val="21"/>
                                  <w:szCs w:val="21"/>
                                  <w:lang w:val="en-US" w:eastAsia="zh-CN"/>
                                </w:rPr>
                                <w:t>项目边界</w:t>
                              </w:r>
                            </w:p>
                            <w:p>
                              <w:pPr>
                                <w:ind w:left="0" w:leftChars="0" w:firstLine="0" w:firstLineChars="0"/>
                                <w:jc w:val="right"/>
                                <w:rPr>
                                  <w:rFonts w:hint="eastAsia"/>
                                  <w:sz w:val="21"/>
                                  <w:szCs w:val="21"/>
                                  <w:lang w:val="en-US" w:eastAsia="zh-CN"/>
                                </w:rPr>
                              </w:pPr>
                              <w:r>
                                <w:rPr>
                                  <w:rFonts w:hint="eastAsia"/>
                                  <w:sz w:val="21"/>
                                  <w:szCs w:val="21"/>
                                  <w:lang w:val="en-US" w:eastAsia="zh-CN"/>
                                </w:rPr>
                                <w:t>噪声50米范围</w:t>
                              </w:r>
                            </w:p>
                            <w:p>
                              <w:pPr>
                                <w:ind w:left="0" w:leftChars="0" w:firstLine="0" w:firstLineChars="0"/>
                                <w:jc w:val="right"/>
                                <w:rPr>
                                  <w:rFonts w:hint="default"/>
                                  <w:sz w:val="21"/>
                                  <w:szCs w:val="21"/>
                                  <w:lang w:val="en-US" w:eastAsia="zh-CN"/>
                                </w:rPr>
                              </w:pPr>
                              <w:r>
                                <w:rPr>
                                  <w:rFonts w:hint="eastAsia"/>
                                  <w:sz w:val="21"/>
                                  <w:szCs w:val="21"/>
                                  <w:lang w:val="en-US" w:eastAsia="zh-CN"/>
                                </w:rPr>
                                <w:t>大气500米范围</w:t>
                              </w:r>
                            </w:p>
                            <w:p>
                              <w:pPr>
                                <w:ind w:left="0" w:leftChars="0" w:firstLine="0" w:firstLineChars="0"/>
                                <w:jc w:val="right"/>
                                <w:rPr>
                                  <w:rFonts w:hint="default"/>
                                  <w:lang w:val="en-US" w:eastAsia="zh-CN"/>
                                </w:rPr>
                              </w:pP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62" name="矩形 62"/>
                        <wps:cNvSpPr/>
                        <wps:spPr>
                          <a:xfrm>
                            <a:off x="13444" y="2112567"/>
                            <a:ext cx="559" cy="264"/>
                          </a:xfrm>
                          <a:prstGeom prst="rect">
                            <a:avLst/>
                          </a:prstGeom>
                          <a:noFill/>
                          <a:ln>
                            <a:solidFill>
                              <a:srgbClr val="0202F5"/>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79" name="矩形 79"/>
                        <wps:cNvSpPr/>
                        <wps:spPr>
                          <a:xfrm>
                            <a:off x="13407" y="2113019"/>
                            <a:ext cx="603" cy="251"/>
                          </a:xfrm>
                          <a:prstGeom prst="rect">
                            <a:avLst/>
                          </a:prstGeom>
                          <a:noFill/>
                          <a:ln>
                            <a:solidFill>
                              <a:srgbClr val="03F30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80" name="矩形 80"/>
                        <wps:cNvSpPr/>
                        <wps:spPr>
                          <a:xfrm>
                            <a:off x="13427" y="2113424"/>
                            <a:ext cx="603" cy="251"/>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pic:pic xmlns:pic="http://schemas.openxmlformats.org/drawingml/2006/picture">
                        <pic:nvPicPr>
                          <pic:cNvPr id="81" name="图片 40"/>
                          <pic:cNvPicPr>
                            <a:picLocks noChangeAspect="true"/>
                          </pic:cNvPicPr>
                        </pic:nvPicPr>
                        <pic:blipFill>
                          <a:blip r:embed="rId142"/>
                          <a:stretch>
                            <a:fillRect/>
                          </a:stretch>
                        </pic:blipFill>
                        <pic:spPr>
                          <a:xfrm>
                            <a:off x="14540" y="2105163"/>
                            <a:ext cx="1296" cy="1194"/>
                          </a:xfrm>
                          <a:prstGeom prst="rect">
                            <a:avLst/>
                          </a:prstGeom>
                          <a:noFill/>
                          <a:ln>
                            <a:noFill/>
                          </a:ln>
                        </pic:spPr>
                      </pic:pic>
                    </wpg:wgp>
                  </a:graphicData>
                </a:graphic>
              </wp:anchor>
            </w:drawing>
          </mc:Choice>
          <mc:Fallback>
            <w:pict>
              <v:group id="_x0000_s1026" o:spid="_x0000_s1026" o:spt="203" style="position:absolute;left:0pt;margin-left:586pt;margin-top:0.65pt;height:437.75pt;width:134.95pt;z-index:251674624;mso-width-relative:page;mso-height-relative:page;" coordorigin="13137,2105163" coordsize="2699,8755" o:gfxdata="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">
                <o:lock v:ext="edit" aspectratio="f"/>
                <v:shape id="_x0000_s1026" o:spid="_x0000_s1026" o:spt="202" type="#_x0000_t202" style="position:absolute;left:13137;top:2112036;height:1883;width:2633;" fillcolor="#FFFFFF [3201]" filled="t" stroked="f" coordsize="21600,21600" o:gfxdata="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">
                  <v:fill on="t" focussize="0,0"/>
                  <v:stroke on="f" weight="0.5pt"/>
                  <v:imagedata o:title=""/>
                  <o:lock v:ext="edit" aspectratio="f"/>
                  <v:textbox>
                    <w:txbxContent>
                      <w:p>
                        <w:pPr>
                          <w:ind w:left="0" w:leftChars="0" w:firstLine="0" w:firstLineChars="0"/>
                          <w:jc w:val="center"/>
                          <w:rPr>
                            <w:rFonts w:hint="eastAsia"/>
                            <w:lang w:val="en-US" w:eastAsia="zh-CN"/>
                          </w:rPr>
                        </w:pPr>
                        <w:r>
                          <w:rPr>
                            <w:rFonts w:hint="eastAsia"/>
                            <w:lang w:val="en-US" w:eastAsia="zh-CN"/>
                          </w:rPr>
                          <w:t>图 例</w:t>
                        </w:r>
                      </w:p>
                      <w:p>
                        <w:pPr>
                          <w:ind w:left="0" w:leftChars="0" w:firstLine="0" w:firstLineChars="0"/>
                          <w:jc w:val="right"/>
                          <w:rPr>
                            <w:rFonts w:hint="eastAsia"/>
                            <w:sz w:val="21"/>
                            <w:szCs w:val="21"/>
                            <w:lang w:val="en-US" w:eastAsia="zh-CN"/>
                          </w:rPr>
                        </w:pPr>
                        <w:r>
                          <w:rPr>
                            <w:rFonts w:hint="eastAsia"/>
                            <w:sz w:val="21"/>
                            <w:szCs w:val="21"/>
                            <w:lang w:val="en-US" w:eastAsia="zh-CN"/>
                          </w:rPr>
                          <w:t>项目边界</w:t>
                        </w:r>
                      </w:p>
                      <w:p>
                        <w:pPr>
                          <w:ind w:left="0" w:leftChars="0" w:firstLine="0" w:firstLineChars="0"/>
                          <w:jc w:val="right"/>
                          <w:rPr>
                            <w:rFonts w:hint="eastAsia"/>
                            <w:sz w:val="21"/>
                            <w:szCs w:val="21"/>
                            <w:lang w:val="en-US" w:eastAsia="zh-CN"/>
                          </w:rPr>
                        </w:pPr>
                        <w:r>
                          <w:rPr>
                            <w:rFonts w:hint="eastAsia"/>
                            <w:sz w:val="21"/>
                            <w:szCs w:val="21"/>
                            <w:lang w:val="en-US" w:eastAsia="zh-CN"/>
                          </w:rPr>
                          <w:t>噪声50米范围</w:t>
                        </w:r>
                      </w:p>
                      <w:p>
                        <w:pPr>
                          <w:ind w:left="0" w:leftChars="0" w:firstLine="0" w:firstLineChars="0"/>
                          <w:jc w:val="right"/>
                          <w:rPr>
                            <w:rFonts w:hint="default"/>
                            <w:sz w:val="21"/>
                            <w:szCs w:val="21"/>
                            <w:lang w:val="en-US" w:eastAsia="zh-CN"/>
                          </w:rPr>
                        </w:pPr>
                        <w:r>
                          <w:rPr>
                            <w:rFonts w:hint="eastAsia"/>
                            <w:sz w:val="21"/>
                            <w:szCs w:val="21"/>
                            <w:lang w:val="en-US" w:eastAsia="zh-CN"/>
                          </w:rPr>
                          <w:t>大气500米范围</w:t>
                        </w:r>
                      </w:p>
                      <w:p>
                        <w:pPr>
                          <w:ind w:left="0" w:leftChars="0" w:firstLine="0" w:firstLineChars="0"/>
                          <w:jc w:val="right"/>
                          <w:rPr>
                            <w:rFonts w:hint="default"/>
                            <w:lang w:val="en-US" w:eastAsia="zh-CN"/>
                          </w:rPr>
                        </w:pPr>
                      </w:p>
                    </w:txbxContent>
                  </v:textbox>
                </v:shape>
                <v:rect id="_x0000_s1026" o:spid="_x0000_s1026" o:spt="1" style="position:absolute;left:13444;top:2112567;height:264;width:559;v-text-anchor:middle;" filled="f" stroked="t" coordsize="21600,21600" o:gfxdata="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wOcz+70AAADbAAAADwAAAAAAAAABACAAAAA4AAAAZHJzL2Rvd25yZXYu&#10;eG1sUEsBAhQAFAAAAAgAh07iQDMvBZ47AAAAOQAAABAAAAAAAAAAAQAgAAAAIgEAAGRycy9zaGFw&#10;ZXhtbC54bWxQSwUGAAAAAAYABgBbAQAAzAMAAAAA&#10;">
                  <v:fill on="f" focussize="0,0"/>
                  <v:stroke weight="2pt" color="#0202F5 [2404]" joinstyle="round"/>
                  <v:imagedata o:title=""/>
                  <o:lock v:ext="edit" aspectratio="f"/>
                </v:rect>
                <v:rect id="_x0000_s1026" o:spid="_x0000_s1026" o:spt="1" style="position:absolute;left:13407;top:2113019;height:251;width:603;v-text-anchor:middle;" filled="f" stroked="t" coordsize="21600,21600" o:gfxdata="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B/Y5SG7AAAA2wAAAA8AAAAAAAAAAQAgAAAAOAAAAGRycy9kb3ducmV2Lnht&#10;bFBLAQIUABQAAAAIAIdO4kAzLwWeOwAAADkAAAAQAAAAAAAAAAEAIAAAACABAABkcnMvc2hhcGV4&#10;bWwueG1sUEsFBgAAAAAGAAYAWwEAAMoDAAAAAA==&#10;">
                  <v:fill on="f" focussize="0,0"/>
                  <v:stroke weight="2pt" color="#03F304 [2404]" joinstyle="round"/>
                  <v:imagedata o:title=""/>
                  <o:lock v:ext="edit" aspectratio="f"/>
                </v:rect>
                <v:rect id="_x0000_s1026" o:spid="_x0000_s1026" o:spt="1" style="position:absolute;left:13427;top:2113424;height:251;width:603;v-text-anchor:middle;" filled="f" stroked="t" coordsize="21600,21600" o:gfxdata="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55K+er0AAADbAAAADwAAAAAAAAABACAAAAA4AAAAZHJzL2Rvd25yZXYu&#10;eG1sUEsBAhQAFAAAAAgAh07iQDMvBZ47AAAAOQAAABAAAAAAAAAAAQAgAAAAIgEAAGRycy9zaGFw&#10;ZXhtbC54bWxQSwUGAAAAAAYABgBbAQAAzAMAAAAA&#10;">
                  <v:fill on="f" focussize="0,0"/>
                  <v:stroke weight="2pt" color="#FF0000 [2404]" joinstyle="round"/>
                  <v:imagedata o:title=""/>
                  <o:lock v:ext="edit" aspectratio="f"/>
                </v:rect>
                <v:shape id="图片 40" o:spid="_x0000_s1026" o:spt="75" type="#_x0000_t75" style="position:absolute;left:14540;top:2105163;height:1194;width:1296;" filled="f" o:preferrelative="t" stroked="f" coordsize="21600,21600" o:gfxdata="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KVF9P2+AAAA2wAAAA8AAAAAAAAAAQAgAAAAOAAAAGRycy9kb3ducmV2&#10;LnhtbFBLAQIUABQAAAAIAIdO4kAzLwWeOwAAADkAAAAQAAAAAAAAAAEAIAAAACMBAABkcnMvc2hh&#10;cGV4bWwueG1sUEsFBgAAAAAGAAYAWwEAAM0DAAAAAA==&#10;">
                  <v:fill on="f" focussize="0,0"/>
                  <v:stroke on="f"/>
                  <v:imagedata r:id="rId142" o:title=""/>
                  <o:lock v:ext="edit" aspectratio="t"/>
                </v:shape>
              </v:group>
            </w:pict>
          </mc:Fallback>
        </mc:AlternateContent>
      </w:r>
      <w:r>
        <w:rPr>
          <w:color w:val="000000" w:themeColor="text1"/>
          <w14:textFill>
            <w14:solidFill>
              <w14:schemeClr w14:val="tx1"/>
            </w14:solidFill>
          </w14:textFill>
        </w:rPr>
        <w:drawing>
          <wp:inline distT="0" distB="0" distL="114300" distR="114300">
            <wp:extent cx="8991600" cy="5572125"/>
            <wp:effectExtent l="0" t="0" r="0" b="9525"/>
            <wp:docPr id="35"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true"/>
                    </pic:cNvPicPr>
                  </pic:nvPicPr>
                  <pic:blipFill>
                    <a:blip r:embed="rId144"/>
                    <a:stretch>
                      <a:fillRect/>
                    </a:stretch>
                  </pic:blipFill>
                  <pic:spPr>
                    <a:xfrm>
                      <a:off x="0" y="0"/>
                      <a:ext cx="8991600" cy="5572125"/>
                    </a:xfrm>
                    <a:prstGeom prst="rect">
                      <a:avLst/>
                    </a:prstGeom>
                    <a:noFill/>
                    <a:ln>
                      <a:noFill/>
                    </a:ln>
                  </pic:spPr>
                </pic:pic>
              </a:graphicData>
            </a:graphic>
          </wp:inline>
        </w:drawing>
      </w:r>
    </w:p>
    <w:p>
      <w:pPr>
        <w:pStyle w:val="6"/>
        <w:jc w:val="center"/>
        <w:rPr>
          <w:color w:val="000000" w:themeColor="text1"/>
          <w14:textFill>
            <w14:solidFill>
              <w14:schemeClr w14:val="tx1"/>
            </w14:solidFill>
          </w14:textFill>
        </w:rPr>
        <w:sectPr>
          <w:pgSz w:w="16838" w:h="11906" w:orient="landscape"/>
          <w:pgMar w:top="1531" w:right="1134" w:bottom="1134" w:left="1134"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b/>
          <w:bCs/>
          <w:color w:val="000000" w:themeColor="text1"/>
          <w:highlight w:val="none"/>
          <w:lang w:val="en-US" w:eastAsia="zh-CN"/>
          <w14:textFill>
            <w14:solidFill>
              <w14:schemeClr w14:val="tx1"/>
            </w14:solidFill>
          </w14:textFill>
        </w:rPr>
        <w:t>附图3 项目环境保护目标分布图</w:t>
      </w:r>
    </w:p>
    <w:p>
      <w:pPr>
        <w:ind w:left="0" w:leftChars="0" w:firstLine="0" w:firstLineChars="0"/>
        <w:jc w:val="center"/>
        <w:rPr>
          <w:color w:val="000000" w:themeColor="text1"/>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672576" behindDoc="0" locked="0" layoutInCell="1" allowOverlap="1">
                <wp:simplePos x="0" y="0"/>
                <wp:positionH relativeFrom="column">
                  <wp:posOffset>6825615</wp:posOffset>
                </wp:positionH>
                <wp:positionV relativeFrom="paragraph">
                  <wp:posOffset>591820</wp:posOffset>
                </wp:positionV>
                <wp:extent cx="1922780" cy="1624330"/>
                <wp:effectExtent l="0" t="7620" r="20320" b="6350"/>
                <wp:wrapNone/>
                <wp:docPr id="24" name="组合 24"/>
                <wp:cNvGraphicFramePr/>
                <a:graphic xmlns:a="http://schemas.openxmlformats.org/drawingml/2006/main">
                  <a:graphicData uri="http://schemas.microsoft.com/office/word/2010/wordprocessingGroup">
                    <wpg:wgp>
                      <wpg:cNvGrpSpPr/>
                      <wpg:grpSpPr>
                        <a:xfrm>
                          <a:off x="0" y="0"/>
                          <a:ext cx="1922780" cy="1624330"/>
                          <a:chOff x="11946" y="1919074"/>
                          <a:chExt cx="3028" cy="2558"/>
                        </a:xfrm>
                      </wpg:grpSpPr>
                      <wps:wsp>
                        <wps:cNvPr id="22" name="直接箭头连接符 22"/>
                        <wps:cNvCnPr/>
                        <wps:spPr>
                          <a:xfrm flipH="true">
                            <a:off x="11946" y="1919074"/>
                            <a:ext cx="2047" cy="2559"/>
                          </a:xfrm>
                          <a:prstGeom prst="straightConnector1">
                            <a:avLst/>
                          </a:prstGeom>
                          <a:ln>
                            <a:solidFill>
                              <a:srgbClr val="00B0F0"/>
                            </a:solidFill>
                            <a:tailEnd type="arrow"/>
                          </a:ln>
                        </wps:spPr>
                        <wps:style>
                          <a:lnRef idx="2">
                            <a:schemeClr val="accent1"/>
                          </a:lnRef>
                          <a:fillRef idx="0">
                            <a:srgbClr val="FFFFFF"/>
                          </a:fillRef>
                          <a:effectRef idx="0">
                            <a:srgbClr val="FFFFFF"/>
                          </a:effectRef>
                          <a:fontRef idx="minor">
                            <a:schemeClr val="tx1"/>
                          </a:fontRef>
                        </wps:style>
                        <wps:bodyPr/>
                      </wps:wsp>
                      <wps:wsp>
                        <wps:cNvPr id="23" name="文本框 23"/>
                        <wps:cNvSpPr txBox="true"/>
                        <wps:spPr>
                          <a:xfrm>
                            <a:off x="13252" y="1920468"/>
                            <a:ext cx="1723" cy="487"/>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宋体"/>
                                  <w:lang w:val="en-US" w:eastAsia="zh-CN"/>
                                </w:rPr>
                              </w:pPr>
                              <w:r>
                                <w:rPr>
                                  <w:rFonts w:hint="eastAsia"/>
                                  <w:lang w:val="en-US" w:eastAsia="zh-CN"/>
                                </w:rPr>
                                <w:t>地下水流向</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g:wgp>
                  </a:graphicData>
                </a:graphic>
              </wp:anchor>
            </w:drawing>
          </mc:Choice>
          <mc:Fallback>
            <w:pict>
              <v:group id="_x0000_s1026" o:spid="_x0000_s1026" o:spt="203" style="position:absolute;left:0pt;margin-left:537.45pt;margin-top:46.6pt;height:127.9pt;width:151.4pt;z-index:251672576;mso-width-relative:page;mso-height-relative:page;" coordorigin="11946,1919074" coordsize="3028,2558" o:gfxdata="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">
                <o:lock v:ext="edit" aspectratio="f"/>
                <v:shape id="_x0000_s1026" o:spid="_x0000_s1026" o:spt="32" type="#_x0000_t32" style="position:absolute;left:11946;top:1919074;flip:x;height:2559;width:2047;" filled="f" stroked="t" coordsize="21600,21600" o:gfxdata="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B+IXOG7AAAA2wAAAA8AAAAAAAAAAQAgAAAAOAAAAGRycy9kb3ducmV2Lnht&#10;bFBLAQIUABQAAAAIAIdO4kAzLwWeOwAAADkAAAAQAAAAAAAAAAEAIAAAACABAABkcnMvc2hhcGV4&#10;bWwueG1sUEsFBgAAAAAGAAYAWwEAAMoDAAAAAA==&#10;">
                  <v:fill on="f" focussize="0,0"/>
                  <v:stroke weight="2pt" color="#00B0F0 [3204]" joinstyle="round" endarrow="open"/>
                  <v:imagedata o:title=""/>
                  <o:lock v:ext="edit" aspectratio="f"/>
                </v:shape>
                <v:shape id="_x0000_s1026" o:spid="_x0000_s1026" o:spt="202" type="#_x0000_t202" style="position:absolute;left:13252;top:1920468;height:487;width:1723;" fillcolor="#FFFFFF [3201]" filled="t" stroked="t" coordsize="21600,21600" o:gfxdata="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">
                  <v:fill on="t" focussize="0,0"/>
                  <v:stroke weight="0.5pt" color="#000000 [3204]" joinstyle="round"/>
                  <v:imagedata o:title=""/>
                  <o:lock v:ext="edit" aspectratio="f"/>
                  <v:textbox>
                    <w:txbxContent>
                      <w:p>
                        <w:pPr>
                          <w:ind w:left="0" w:leftChars="0" w:firstLine="0" w:firstLineChars="0"/>
                          <w:rPr>
                            <w:rFonts w:hint="eastAsia" w:eastAsia="宋体"/>
                            <w:lang w:val="en-US" w:eastAsia="zh-CN"/>
                          </w:rPr>
                        </w:pPr>
                        <w:r>
                          <w:rPr>
                            <w:rFonts w:hint="eastAsia"/>
                            <w:lang w:val="en-US" w:eastAsia="zh-CN"/>
                          </w:rPr>
                          <w:t>地下水流向</w:t>
                        </w:r>
                      </w:p>
                    </w:txbxContent>
                  </v:textbox>
                </v:shape>
              </v:group>
            </w:pict>
          </mc:Fallback>
        </mc:AlternateContent>
      </w:r>
      <w:r>
        <w:drawing>
          <wp:inline distT="0" distB="0" distL="114300" distR="114300">
            <wp:extent cx="9250045" cy="5343525"/>
            <wp:effectExtent l="0" t="0" r="8255" b="9525"/>
            <wp:docPr id="14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3" name="图片 3"/>
                    <pic:cNvPicPr>
                      <a:picLocks noChangeAspect="true"/>
                    </pic:cNvPicPr>
                  </pic:nvPicPr>
                  <pic:blipFill>
                    <a:blip r:embed="rId145"/>
                    <a:stretch>
                      <a:fillRect/>
                    </a:stretch>
                  </pic:blipFill>
                  <pic:spPr>
                    <a:xfrm>
                      <a:off x="0" y="0"/>
                      <a:ext cx="9250045" cy="5343525"/>
                    </a:xfrm>
                    <a:prstGeom prst="rect">
                      <a:avLst/>
                    </a:prstGeom>
                    <a:noFill/>
                    <a:ln>
                      <a:noFill/>
                    </a:ln>
                  </pic:spPr>
                </pic:pic>
              </a:graphicData>
            </a:graphic>
          </wp:inline>
        </w:drawing>
      </w:r>
    </w:p>
    <w:p>
      <w:pPr>
        <w:ind w:left="0" w:leftChars="0" w:firstLine="0" w:firstLineChars="0"/>
        <w:jc w:val="center"/>
        <w:rPr>
          <w:rFonts w:hint="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附图4 项目污染源监测计划及地下水、土壤跟踪监测布点图</w:t>
      </w:r>
    </w:p>
    <w:p>
      <w:pPr>
        <w:ind w:left="0" w:leftChars="0" w:firstLine="0" w:firstLineChars="0"/>
        <w:jc w:val="center"/>
        <w:rPr>
          <w:color w:val="000000" w:themeColor="text1"/>
          <w14:textFill>
            <w14:solidFill>
              <w14:schemeClr w14:val="tx1"/>
            </w14:solidFill>
          </w14:textFill>
        </w:rPr>
        <w:sectPr>
          <w:pgSz w:w="16838" w:h="11906" w:orient="landscape"/>
          <w:pgMar w:top="1531" w:right="1134" w:bottom="1134" w:left="1134" w:header="851" w:footer="851" w:gutter="0"/>
          <w:pgBorders>
            <w:top w:val="none" w:sz="0" w:space="0"/>
            <w:left w:val="none" w:sz="0" w:space="0"/>
            <w:bottom w:val="none" w:sz="0" w:space="0"/>
            <w:right w:val="none" w:sz="0" w:space="0"/>
          </w:pgBorders>
          <w:pgNumType w:fmt="numberInDash"/>
          <w:cols w:space="720" w:num="1"/>
          <w:docGrid w:linePitch="312" w:charSpace="0"/>
        </w:sectPr>
      </w:pPr>
      <w:r>
        <w:rPr>
          <w:color w:val="000000" w:themeColor="text1"/>
          <w:sz w:val="24"/>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5932170</wp:posOffset>
                </wp:positionH>
                <wp:positionV relativeFrom="paragraph">
                  <wp:posOffset>-3468370</wp:posOffset>
                </wp:positionV>
                <wp:extent cx="904240" cy="356235"/>
                <wp:effectExtent l="386715" t="4445" r="23495" b="496570"/>
                <wp:wrapNone/>
                <wp:docPr id="128" name="圆角矩形标注 128"/>
                <wp:cNvGraphicFramePr/>
                <a:graphic xmlns:a="http://schemas.openxmlformats.org/drawingml/2006/main">
                  <a:graphicData uri="http://schemas.microsoft.com/office/word/2010/wordprocessingShape">
                    <wps:wsp>
                      <wps:cNvSpPr/>
                      <wps:spPr>
                        <a:xfrm>
                          <a:off x="0" y="0"/>
                          <a:ext cx="904240" cy="356235"/>
                        </a:xfrm>
                        <a:prstGeom prst="wedgeRoundRectCallout">
                          <a:avLst>
                            <a:gd name="adj1" fmla="val -92251"/>
                            <a:gd name="adj2" fmla="val 182833"/>
                            <a:gd name="adj3" fmla="val 16667"/>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ind w:left="0" w:leftChars="0" w:firstLine="0" w:firstLineChars="0"/>
                              <w:jc w:val="both"/>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467.1pt;margin-top:-273.1pt;height:28.05pt;width:71.2pt;z-index:251670528;v-text-anchor:middle;mso-width-relative:page;mso-height-relative:page;" fillcolor="#FFFFFF [3212]" filled="t" stroked="t" coordsize="21600,21600" o:gfxdata="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FgAAAGRycy9QSwECFAAUAAAACACHTuJAGM1/HNgAAAAOAQAADwAAAAAAAAAB&#10;ACAAAAA4AAAAZHJzL2Rvd25yZXYueG1sUEsBAhQAFAAAAAgAh07iQHVH3jWlAgAAPwUAAA4AAAAA&#10;AAAAAQAgAAAAPQEAAGRycy9lMm9Eb2MueG1sUEsFBgAAAAAGAAYAWQEAAFQGAAAAAA==&#10;" adj="0,50292,14400">
                <v:fill on="t" focussize="0,0"/>
                <v:stroke color="#000000 [3213]" joinstyle="round"/>
                <v:imagedata o:title=""/>
                <o:lock v:ext="edit" aspectratio="f"/>
                <v:textbox>
                  <w:txbxContent>
                    <w:p>
                      <w:pPr>
                        <w:ind w:left="0" w:leftChars="0" w:firstLine="0" w:firstLineChars="0"/>
                        <w:jc w:val="both"/>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v:textbox>
              </v:shape>
            </w:pict>
          </mc:Fallback>
        </mc:AlternateContent>
      </w:r>
      <w:r>
        <w:rPr>
          <w:rFonts w:ascii="宋体" w:hAnsi="宋体" w:eastAsia="宋体" w:cs="宋体"/>
          <w:color w:val="000000" w:themeColor="text1"/>
          <w:sz w:val="24"/>
          <w:szCs w:val="24"/>
          <w14:textFill>
            <w14:solidFill>
              <w14:schemeClr w14:val="tx1"/>
            </w14:solidFill>
          </w14:textFill>
        </w:rPr>
        <w:drawing>
          <wp:anchor distT="0" distB="0" distL="114300" distR="114300" simplePos="0" relativeHeight="251669504" behindDoc="0" locked="0" layoutInCell="1" allowOverlap="1">
            <wp:simplePos x="0" y="0"/>
            <wp:positionH relativeFrom="column">
              <wp:posOffset>556895</wp:posOffset>
            </wp:positionH>
            <wp:positionV relativeFrom="paragraph">
              <wp:posOffset>-86360</wp:posOffset>
            </wp:positionV>
            <wp:extent cx="8088630" cy="5720715"/>
            <wp:effectExtent l="0" t="0" r="7620" b="13335"/>
            <wp:wrapTopAndBottom/>
            <wp:docPr id="126" name="图片 42"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6" name="图片 42" descr="IMG_256"/>
                    <pic:cNvPicPr>
                      <a:picLocks noChangeAspect="true"/>
                    </pic:cNvPicPr>
                  </pic:nvPicPr>
                  <pic:blipFill>
                    <a:blip r:embed="rId146"/>
                    <a:stretch>
                      <a:fillRect/>
                    </a:stretch>
                  </pic:blipFill>
                  <pic:spPr>
                    <a:xfrm>
                      <a:off x="0" y="0"/>
                      <a:ext cx="8088630" cy="5720715"/>
                    </a:xfrm>
                    <a:prstGeom prst="rect">
                      <a:avLst/>
                    </a:prstGeom>
                    <a:noFill/>
                    <a:ln w="9525">
                      <a:noFill/>
                    </a:ln>
                  </pic:spPr>
                </pic:pic>
              </a:graphicData>
            </a:graphic>
          </wp:anchor>
        </w:drawing>
      </w:r>
      <w:r>
        <w:rPr>
          <w:rFonts w:hint="eastAsia"/>
          <w:b/>
          <w:bCs/>
          <w:color w:val="000000" w:themeColor="text1"/>
          <w:lang w:val="en-US" w:eastAsia="zh-CN"/>
          <w14:textFill>
            <w14:solidFill>
              <w14:schemeClr w14:val="tx1"/>
            </w14:solidFill>
          </w14:textFill>
        </w:rPr>
        <w:t>附图5 项目与鄂尔多斯市环境管控单元关系图</w:t>
      </w:r>
    </w:p>
    <w:p>
      <w:pPr>
        <w:pStyle w:val="6"/>
        <w:ind w:left="0" w:leftChars="0" w:firstLine="0" w:firstLineChars="0"/>
        <w:jc w:val="cente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6941185</wp:posOffset>
                </wp:positionH>
                <wp:positionV relativeFrom="paragraph">
                  <wp:posOffset>1778000</wp:posOffset>
                </wp:positionV>
                <wp:extent cx="904240" cy="356235"/>
                <wp:effectExtent l="386715" t="4445" r="23495" b="496570"/>
                <wp:wrapNone/>
                <wp:docPr id="49" name="圆角矩形标注 49"/>
                <wp:cNvGraphicFramePr/>
                <a:graphic xmlns:a="http://schemas.openxmlformats.org/drawingml/2006/main">
                  <a:graphicData uri="http://schemas.microsoft.com/office/word/2010/wordprocessingShape">
                    <wps:wsp>
                      <wps:cNvSpPr/>
                      <wps:spPr>
                        <a:xfrm>
                          <a:off x="0" y="0"/>
                          <a:ext cx="904240" cy="356235"/>
                        </a:xfrm>
                        <a:prstGeom prst="wedgeRoundRectCallout">
                          <a:avLst>
                            <a:gd name="adj1" fmla="val -92251"/>
                            <a:gd name="adj2" fmla="val 182833"/>
                            <a:gd name="adj3" fmla="val 16667"/>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ind w:left="0" w:leftChars="0" w:firstLine="0" w:firstLineChars="0"/>
                              <w:jc w:val="both"/>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546.55pt;margin-top:140pt;height:28.05pt;width:71.2pt;z-index:251673600;v-text-anchor:middle;mso-width-relative:page;mso-height-relative:page;" fillcolor="#FFFFFF [3212]" filled="t" stroked="t" coordsize="21600,21600" o:gfxdata="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WAAAAZHJzL1BLAQIUABQAAAAIAIdO4kA/Zcm01wAAAA0BAAAPAAAAAAAAAAEA&#10;IAAAADgAAABkcnMvZG93bnJldi54bWxQSwECFAAUAAAACACHTuJAUtsNTqUCAAA9BQAADgAAAAAA&#10;AAABACAAAAA8AQAAZHJzL2Uyb0RvYy54bWxQSwUGAAAAAAYABgBZAQAAUwYAAAAA&#10;" adj="0,50292,14400">
                <v:fill on="t" focussize="0,0"/>
                <v:stroke color="#000000 [3213]" joinstyle="round"/>
                <v:imagedata o:title=""/>
                <o:lock v:ext="edit" aspectratio="f"/>
                <v:textbox>
                  <w:txbxContent>
                    <w:p>
                      <w:pPr>
                        <w:ind w:left="0" w:leftChars="0" w:firstLine="0" w:firstLineChars="0"/>
                        <w:jc w:val="both"/>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v:textbox>
              </v:shape>
            </w:pict>
          </mc:Fallback>
        </mc:AlternateConten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drawing>
          <wp:inline distT="0" distB="0" distL="114300" distR="114300">
            <wp:extent cx="7810500" cy="5499735"/>
            <wp:effectExtent l="0" t="0" r="0" b="5715"/>
            <wp:docPr id="48" name="图片 2" descr="生态红线"/>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2" descr="生态红线"/>
                    <pic:cNvPicPr>
                      <a:picLocks noChangeAspect="true"/>
                    </pic:cNvPicPr>
                  </pic:nvPicPr>
                  <pic:blipFill>
                    <a:blip r:embed="rId147"/>
                    <a:stretch>
                      <a:fillRect/>
                    </a:stretch>
                  </pic:blipFill>
                  <pic:spPr>
                    <a:xfrm>
                      <a:off x="0" y="0"/>
                      <a:ext cx="7810500" cy="5499735"/>
                    </a:xfrm>
                    <a:prstGeom prst="rect">
                      <a:avLst/>
                    </a:prstGeom>
                    <a:noFill/>
                    <a:ln>
                      <a:noFill/>
                    </a:ln>
                  </pic:spPr>
                </pic:pic>
              </a:graphicData>
            </a:graphic>
          </wp:inline>
        </w:drawing>
      </w:r>
    </w:p>
    <w:p>
      <w:pPr>
        <w:pStyle w:val="6"/>
        <w:ind w:left="0" w:leftChars="0" w:firstLine="0" w:firstLineChars="0"/>
        <w:jc w:val="center"/>
        <w:rPr>
          <w:rFonts w:hint="default"/>
          <w:color w:val="000000" w:themeColor="text1"/>
          <w:lang w:val="en-US" w:eastAsia="zh-CN"/>
          <w14:textFill>
            <w14:solidFill>
              <w14:schemeClr w14:val="tx1"/>
            </w14:solidFill>
          </w14:textFill>
        </w:rPr>
        <w:sectPr>
          <w:pgSz w:w="16838" w:h="11906" w:orient="landscape"/>
          <w:pgMar w:top="1531" w:right="1134" w:bottom="1134" w:left="1134"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b/>
          <w:bCs/>
          <w:color w:val="000000" w:themeColor="text1"/>
          <w:lang w:val="en-US" w:eastAsia="zh-CN"/>
          <w14:textFill>
            <w14:solidFill>
              <w14:schemeClr w14:val="tx1"/>
            </w14:solidFill>
          </w14:textFill>
        </w:rPr>
        <w:t>附图6 项目与鄂尔多斯市生态保护红线关系图</w:t>
      </w:r>
    </w:p>
    <w:p>
      <w:pPr>
        <w:pStyle w:val="6"/>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7731760" cy="5314950"/>
            <wp:effectExtent l="0" t="0" r="2540" b="0"/>
            <wp:docPr id="33"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true"/>
                    </pic:cNvPicPr>
                  </pic:nvPicPr>
                  <pic:blipFill>
                    <a:blip r:embed="rId148"/>
                    <a:stretch>
                      <a:fillRect/>
                    </a:stretch>
                  </pic:blipFill>
                  <pic:spPr>
                    <a:xfrm>
                      <a:off x="0" y="0"/>
                      <a:ext cx="7731760" cy="5314950"/>
                    </a:xfrm>
                    <a:prstGeom prst="rect">
                      <a:avLst/>
                    </a:prstGeom>
                    <a:noFill/>
                    <a:ln>
                      <a:noFill/>
                    </a:ln>
                  </pic:spPr>
                </pic:pic>
              </a:graphicData>
            </a:graphic>
          </wp:inline>
        </w:drawing>
      </w:r>
    </w:p>
    <w:p>
      <w:pPr>
        <w:pStyle w:val="6"/>
        <w:jc w:val="center"/>
        <w:rPr>
          <w:rFonts w:hint="eastAsia"/>
          <w:b/>
          <w:bCs/>
          <w:color w:val="000000" w:themeColor="text1"/>
          <w:lang w:val="en-US" w:eastAsia="zh-CN"/>
          <w14:textFill>
            <w14:solidFill>
              <w14:schemeClr w14:val="tx1"/>
            </w14:solidFill>
          </w14:textFill>
        </w:rPr>
        <w:sectPr>
          <w:pgSz w:w="16838" w:h="11906" w:orient="landscape"/>
          <w:pgMar w:top="1531" w:right="1134" w:bottom="1134" w:left="1134"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b/>
          <w:bCs/>
          <w:color w:val="000000" w:themeColor="text1"/>
          <w:lang w:val="en-US" w:eastAsia="zh-CN"/>
          <w14:textFill>
            <w14:solidFill>
              <w14:schemeClr w14:val="tx1"/>
            </w14:solidFill>
          </w14:textFill>
        </w:rPr>
        <w:t xml:space="preserve">附图7 </w:t>
      </w:r>
      <w:r>
        <w:commentReference w:id="103"/>
      </w:r>
      <w:r>
        <w:rPr>
          <w:rFonts w:hint="eastAsia"/>
          <w:b/>
          <w:bCs/>
          <w:color w:val="000000" w:themeColor="text1"/>
          <w:lang w:val="en-US" w:eastAsia="zh-CN"/>
          <w14:textFill>
            <w14:solidFill>
              <w14:schemeClr w14:val="tx1"/>
            </w14:solidFill>
          </w14:textFill>
        </w:rPr>
        <w:t>蒙苏经济开发区汇能煤化工片区士地使用规划图</w:t>
      </w:r>
    </w:p>
    <w:p>
      <w:pPr>
        <w:pStyle w:val="6"/>
        <w:jc w:val="center"/>
        <w:rPr>
          <w:rFonts w:hint="default"/>
          <w:b/>
          <w:bCs/>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g">
            <w:drawing>
              <wp:anchor distT="0" distB="0" distL="114300" distR="114300" simplePos="0" relativeHeight="251675648" behindDoc="0" locked="0" layoutInCell="1" allowOverlap="1">
                <wp:simplePos x="0" y="0"/>
                <wp:positionH relativeFrom="column">
                  <wp:posOffset>377190</wp:posOffset>
                </wp:positionH>
                <wp:positionV relativeFrom="paragraph">
                  <wp:posOffset>136525</wp:posOffset>
                </wp:positionV>
                <wp:extent cx="8376285" cy="5322570"/>
                <wp:effectExtent l="12700" t="0" r="12065" b="11430"/>
                <wp:wrapNone/>
                <wp:docPr id="148" name="组合 148"/>
                <wp:cNvGraphicFramePr/>
                <a:graphic xmlns:a="http://schemas.openxmlformats.org/drawingml/2006/main">
                  <a:graphicData uri="http://schemas.microsoft.com/office/word/2010/wordprocessingGroup">
                    <wpg:wgp>
                      <wpg:cNvGrpSpPr/>
                      <wpg:grpSpPr>
                        <a:xfrm>
                          <a:off x="0" y="0"/>
                          <a:ext cx="8376285" cy="5322570"/>
                          <a:chOff x="2925" y="2166310"/>
                          <a:chExt cx="13191" cy="8382"/>
                        </a:xfrm>
                      </wpg:grpSpPr>
                      <wps:wsp>
                        <wps:cNvPr id="119" name="任意多边形 119"/>
                        <wps:cNvSpPr/>
                        <wps:spPr>
                          <a:xfrm>
                            <a:off x="2925" y="2167026"/>
                            <a:ext cx="12548" cy="6174"/>
                          </a:xfrm>
                          <a:custGeom>
                            <a:avLst/>
                            <a:gdLst>
                              <a:gd name="connisteX0" fmla="*/ 91440 w 7967980"/>
                              <a:gd name="connsiteY0" fmla="*/ 0 h 3920490"/>
                              <a:gd name="connisteX1" fmla="*/ 0 w 7967980"/>
                              <a:gd name="connsiteY1" fmla="*/ 695960 h 3920490"/>
                              <a:gd name="connisteX2" fmla="*/ 3773170 w 7967980"/>
                              <a:gd name="connsiteY2" fmla="*/ 2437130 h 3920490"/>
                              <a:gd name="connisteX3" fmla="*/ 4121150 w 7967980"/>
                              <a:gd name="connsiteY3" fmla="*/ 3920490 h 3920490"/>
                              <a:gd name="connisteX4" fmla="*/ 5916295 w 7967980"/>
                              <a:gd name="connsiteY4" fmla="*/ 3773805 h 3920490"/>
                              <a:gd name="connisteX5" fmla="*/ 6246495 w 7967980"/>
                              <a:gd name="connsiteY5" fmla="*/ 3352800 h 3920490"/>
                              <a:gd name="connisteX6" fmla="*/ 7454900 w 7967980"/>
                              <a:gd name="connsiteY6" fmla="*/ 3168650 h 3920490"/>
                              <a:gd name="connisteX7" fmla="*/ 7967980 w 7967980"/>
                              <a:gd name="connsiteY7" fmla="*/ 1447800 h 3920490"/>
                              <a:gd name="connisteX8" fmla="*/ 2198370 w 7967980"/>
                              <a:gd name="connsiteY8" fmla="*/ 165100 h 3920490"/>
                              <a:gd name="connisteX9" fmla="*/ 1722120 w 7967980"/>
                              <a:gd name="connsiteY9" fmla="*/ 73025 h 3920490"/>
                              <a:gd name="connisteX10" fmla="*/ 91440 w 7967980"/>
                              <a:gd name="connsiteY10" fmla="*/ 0 h 39204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7967980" h="3920490">
                                <a:moveTo>
                                  <a:pt x="91440" y="0"/>
                                </a:moveTo>
                                <a:lnTo>
                                  <a:pt x="0" y="695960"/>
                                </a:lnTo>
                                <a:lnTo>
                                  <a:pt x="3773170" y="2437130"/>
                                </a:lnTo>
                                <a:lnTo>
                                  <a:pt x="4121150" y="3920490"/>
                                </a:lnTo>
                                <a:lnTo>
                                  <a:pt x="5916295" y="3773805"/>
                                </a:lnTo>
                                <a:lnTo>
                                  <a:pt x="6246495" y="3352800"/>
                                </a:lnTo>
                                <a:lnTo>
                                  <a:pt x="7454900" y="3168650"/>
                                </a:lnTo>
                                <a:lnTo>
                                  <a:pt x="7967980" y="1447800"/>
                                </a:lnTo>
                                <a:lnTo>
                                  <a:pt x="2198370" y="165100"/>
                                </a:lnTo>
                                <a:lnTo>
                                  <a:pt x="1722120" y="73025"/>
                                </a:lnTo>
                                <a:lnTo>
                                  <a:pt x="9144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20" name="任意多边形 120"/>
                        <wps:cNvSpPr/>
                        <wps:spPr>
                          <a:xfrm>
                            <a:off x="9127" y="2168641"/>
                            <a:ext cx="1500" cy="2165"/>
                          </a:xfrm>
                          <a:custGeom>
                            <a:avLst/>
                            <a:gdLst>
                              <a:gd name="connisteX0" fmla="*/ 256540 w 952500"/>
                              <a:gd name="connsiteY0" fmla="*/ 37465 h 1374775"/>
                              <a:gd name="connisteX1" fmla="*/ 952500 w 952500"/>
                              <a:gd name="connsiteY1" fmla="*/ 165100 h 1374775"/>
                              <a:gd name="connisteX2" fmla="*/ 861060 w 952500"/>
                              <a:gd name="connsiteY2" fmla="*/ 660400 h 1374775"/>
                              <a:gd name="connisteX3" fmla="*/ 622935 w 952500"/>
                              <a:gd name="connsiteY3" fmla="*/ 622935 h 1374775"/>
                              <a:gd name="connisteX4" fmla="*/ 530860 w 952500"/>
                              <a:gd name="connsiteY4" fmla="*/ 1374775 h 1374775"/>
                              <a:gd name="connisteX5" fmla="*/ 0 w 952500"/>
                              <a:gd name="connsiteY5" fmla="*/ 1264285 h 1374775"/>
                              <a:gd name="connisteX6" fmla="*/ 219710 w 952500"/>
                              <a:gd name="connsiteY6" fmla="*/ 0 h 13747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952500" h="1374775">
                                <a:moveTo>
                                  <a:pt x="256540" y="37465"/>
                                </a:moveTo>
                                <a:lnTo>
                                  <a:pt x="952500" y="165100"/>
                                </a:lnTo>
                                <a:lnTo>
                                  <a:pt x="861060" y="660400"/>
                                </a:lnTo>
                                <a:lnTo>
                                  <a:pt x="622935" y="622935"/>
                                </a:lnTo>
                                <a:lnTo>
                                  <a:pt x="530860" y="1374775"/>
                                </a:lnTo>
                                <a:lnTo>
                                  <a:pt x="0" y="1264285"/>
                                </a:lnTo>
                                <a:lnTo>
                                  <a:pt x="219710" y="0"/>
                                </a:lnTo>
                              </a:path>
                            </a:pathLst>
                          </a:custGeom>
                          <a:solidFill>
                            <a:schemeClr val="accent6">
                              <a:lumMod val="75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22" name="矩形 122"/>
                        <wps:cNvSpPr/>
                        <wps:spPr>
                          <a:xfrm rot="21120000">
                            <a:off x="9601" y="2172418"/>
                            <a:ext cx="1384" cy="383"/>
                          </a:xfrm>
                          <a:prstGeom prst="rect">
                            <a:avLst/>
                          </a:prstGeom>
                          <a:solidFill>
                            <a:schemeClr val="accent6">
                              <a:lumMod val="75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123" name="矩形 123"/>
                        <wps:cNvSpPr/>
                        <wps:spPr>
                          <a:xfrm>
                            <a:off x="10540" y="2171700"/>
                            <a:ext cx="202" cy="289"/>
                          </a:xfrm>
                          <a:prstGeom prst="rect">
                            <a:avLst/>
                          </a:prstGeom>
                          <a:solidFill>
                            <a:schemeClr val="accent6">
                              <a:lumMod val="75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124" name="矩形 124"/>
                        <wps:cNvSpPr/>
                        <wps:spPr>
                          <a:xfrm rot="5820000">
                            <a:off x="12365" y="2171360"/>
                            <a:ext cx="202" cy="289"/>
                          </a:xfrm>
                          <a:prstGeom prst="rect">
                            <a:avLst/>
                          </a:prstGeom>
                          <a:solidFill>
                            <a:schemeClr val="accent6">
                              <a:lumMod val="60000"/>
                              <a:lumOff val="40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125" name="任意多边形 125"/>
                        <wps:cNvSpPr/>
                        <wps:spPr>
                          <a:xfrm>
                            <a:off x="12935" y="2168901"/>
                            <a:ext cx="1615" cy="2395"/>
                          </a:xfrm>
                          <a:custGeom>
                            <a:avLst/>
                            <a:gdLst>
                              <a:gd name="connisteX0" fmla="*/ 54610 w 1025525"/>
                              <a:gd name="connsiteY0" fmla="*/ 0 h 1520825"/>
                              <a:gd name="connisteX1" fmla="*/ 0 w 1025525"/>
                              <a:gd name="connsiteY1" fmla="*/ 294005 h 1520825"/>
                              <a:gd name="connisteX2" fmla="*/ 347980 w 1025525"/>
                              <a:gd name="connsiteY2" fmla="*/ 311150 h 1520825"/>
                              <a:gd name="connisteX3" fmla="*/ 164465 w 1025525"/>
                              <a:gd name="connsiteY3" fmla="*/ 1428750 h 1520825"/>
                              <a:gd name="connisteX4" fmla="*/ 897255 w 1025525"/>
                              <a:gd name="connsiteY4" fmla="*/ 1520825 h 1520825"/>
                              <a:gd name="connisteX5" fmla="*/ 1025525 w 1025525"/>
                              <a:gd name="connsiteY5" fmla="*/ 238125 h 1520825"/>
                              <a:gd name="connisteX6" fmla="*/ 54610 w 1025525"/>
                              <a:gd name="connsiteY6" fmla="*/ 0 h 15208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025525" h="1520825">
                                <a:moveTo>
                                  <a:pt x="54610" y="0"/>
                                </a:moveTo>
                                <a:lnTo>
                                  <a:pt x="0" y="294005"/>
                                </a:lnTo>
                                <a:lnTo>
                                  <a:pt x="347980" y="311150"/>
                                </a:lnTo>
                                <a:lnTo>
                                  <a:pt x="164465" y="1428750"/>
                                </a:lnTo>
                                <a:lnTo>
                                  <a:pt x="897255" y="1520825"/>
                                </a:lnTo>
                                <a:lnTo>
                                  <a:pt x="1025525" y="238125"/>
                                </a:lnTo>
                                <a:lnTo>
                                  <a:pt x="54610" y="0"/>
                                </a:lnTo>
                                <a:close/>
                              </a:path>
                            </a:pathLst>
                          </a:custGeom>
                          <a:solidFill>
                            <a:schemeClr val="accent6">
                              <a:lumMod val="60000"/>
                              <a:lumOff val="40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27" name="矩形 127"/>
                        <wps:cNvSpPr/>
                        <wps:spPr>
                          <a:xfrm rot="5820000">
                            <a:off x="12717" y="2171572"/>
                            <a:ext cx="202" cy="289"/>
                          </a:xfrm>
                          <a:prstGeom prst="rect">
                            <a:avLst/>
                          </a:prstGeom>
                          <a:solidFill>
                            <a:schemeClr val="accent6">
                              <a:lumMod val="75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129" name="矩形 129"/>
                        <wps:cNvSpPr/>
                        <wps:spPr>
                          <a:xfrm rot="5820000">
                            <a:off x="11201" y="2172619"/>
                            <a:ext cx="202" cy="289"/>
                          </a:xfrm>
                          <a:prstGeom prst="rect">
                            <a:avLst/>
                          </a:prstGeom>
                          <a:solidFill>
                            <a:schemeClr val="accent6">
                              <a:lumMod val="75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130" name="文本框 130"/>
                        <wps:cNvSpPr txBox="true"/>
                        <wps:spPr>
                          <a:xfrm>
                            <a:off x="9549" y="2169029"/>
                            <a:ext cx="952" cy="6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宋体"/>
                                  <w:lang w:val="en-US" w:eastAsia="zh-CN"/>
                                </w:rPr>
                              </w:pPr>
                              <w:r>
                                <w:rPr>
                                  <w:rFonts w:hint="eastAsia"/>
                                  <w:lang w:val="en-US" w:eastAsia="zh-CN"/>
                                </w:rPr>
                                <w:t>罐区</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31" name="文本框 131"/>
                        <wps:cNvSpPr txBox="true"/>
                        <wps:spPr>
                          <a:xfrm>
                            <a:off x="13356" y="2169763"/>
                            <a:ext cx="1208" cy="6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宋体"/>
                                  <w:lang w:val="en-US" w:eastAsia="zh-CN"/>
                                </w:rPr>
                              </w:pPr>
                              <w:r>
                                <w:rPr>
                                  <w:rFonts w:hint="eastAsia"/>
                                  <w:lang w:val="en-US" w:eastAsia="zh-CN"/>
                                </w:rPr>
                                <w:t>卸车区</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32" name="文本框 132"/>
                        <wps:cNvSpPr txBox="true"/>
                        <wps:spPr>
                          <a:xfrm>
                            <a:off x="12844" y="2171467"/>
                            <a:ext cx="1865" cy="6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初期雨水池</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33" name="文本框 133"/>
                        <wps:cNvSpPr txBox="true"/>
                        <wps:spPr>
                          <a:xfrm>
                            <a:off x="11035" y="2170883"/>
                            <a:ext cx="1865" cy="6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油气回收装置</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34" name="文本框 134"/>
                        <wps:cNvSpPr txBox="true"/>
                        <wps:spPr>
                          <a:xfrm>
                            <a:off x="9609" y="2171578"/>
                            <a:ext cx="1261" cy="6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危废库</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35" name="文本框 135"/>
                        <wps:cNvSpPr txBox="true"/>
                        <wps:spPr>
                          <a:xfrm>
                            <a:off x="9518" y="2172768"/>
                            <a:ext cx="1553" cy="45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污水处理站</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36" name="文本框 136"/>
                        <wps:cNvSpPr txBox="true"/>
                        <wps:spPr>
                          <a:xfrm>
                            <a:off x="11330" y="2172495"/>
                            <a:ext cx="1261" cy="6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事故水池</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37" name="文本框 137"/>
                        <wps:cNvSpPr txBox="true"/>
                        <wps:spPr>
                          <a:xfrm>
                            <a:off x="13372" y="2172844"/>
                            <a:ext cx="2744" cy="184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b/>
                                  <w:bCs/>
                                  <w:lang w:val="en-US" w:eastAsia="zh-CN"/>
                                </w:rPr>
                              </w:pPr>
                              <w:r>
                                <w:rPr>
                                  <w:rFonts w:hint="eastAsia"/>
                                  <w:b/>
                                  <w:bCs/>
                                  <w:lang w:val="en-US" w:eastAsia="zh-CN"/>
                                </w:rPr>
                                <w:t>图 例</w:t>
                              </w:r>
                            </w:p>
                            <w:p>
                              <w:pPr>
                                <w:ind w:left="0" w:leftChars="0" w:firstLine="0" w:firstLineChars="0"/>
                                <w:jc w:val="right"/>
                                <w:rPr>
                                  <w:rFonts w:hint="eastAsia"/>
                                  <w:b/>
                                  <w:bCs/>
                                  <w:lang w:val="en-US" w:eastAsia="zh-CN"/>
                                </w:rPr>
                              </w:pPr>
                              <w:r>
                                <w:rPr>
                                  <w:rFonts w:hint="eastAsia"/>
                                  <w:b/>
                                  <w:bCs/>
                                  <w:lang w:val="en-US" w:eastAsia="zh-CN"/>
                                </w:rPr>
                                <w:t>一般防渗区</w:t>
                              </w:r>
                            </w:p>
                            <w:p>
                              <w:pPr>
                                <w:ind w:left="0" w:leftChars="0" w:firstLine="0" w:firstLineChars="0"/>
                                <w:jc w:val="right"/>
                                <w:rPr>
                                  <w:rFonts w:hint="default"/>
                                  <w:b/>
                                  <w:bCs/>
                                  <w:lang w:val="en-US" w:eastAsia="zh-CN"/>
                                </w:rPr>
                              </w:pPr>
                              <w:r>
                                <w:rPr>
                                  <w:rFonts w:hint="eastAsia"/>
                                  <w:b/>
                                  <w:bCs/>
                                  <w:lang w:val="en-US" w:eastAsia="zh-CN"/>
                                </w:rPr>
                                <w:t>重点防渗区</w:t>
                              </w:r>
                            </w:p>
                            <w:p>
                              <w:pPr>
                                <w:ind w:left="0" w:leftChars="0" w:firstLine="0" w:firstLineChars="0"/>
                                <w:jc w:val="center"/>
                                <w:rPr>
                                  <w:rFonts w:hint="eastAsia"/>
                                  <w:lang w:val="en-US" w:eastAsia="zh-CN"/>
                                </w:rPr>
                              </w:pP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38" name="矩形 138"/>
                        <wps:cNvSpPr/>
                        <wps:spPr>
                          <a:xfrm>
                            <a:off x="13757" y="2173393"/>
                            <a:ext cx="494" cy="311"/>
                          </a:xfrm>
                          <a:prstGeom prst="rect">
                            <a:avLst/>
                          </a:prstGeom>
                          <a:solidFill>
                            <a:schemeClr val="accent6">
                              <a:lumMod val="60000"/>
                              <a:lumOff val="40000"/>
                            </a:schemeClr>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139" name="矩形 139"/>
                        <wps:cNvSpPr/>
                        <wps:spPr>
                          <a:xfrm>
                            <a:off x="13796" y="2173926"/>
                            <a:ext cx="494" cy="311"/>
                          </a:xfrm>
                          <a:prstGeom prst="rect">
                            <a:avLst/>
                          </a:prstGeom>
                          <a:solidFill>
                            <a:schemeClr val="accent6">
                              <a:lumMod val="75000"/>
                            </a:schemeClr>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pic:pic xmlns:pic="http://schemas.openxmlformats.org/drawingml/2006/picture">
                        <pic:nvPicPr>
                          <pic:cNvPr id="146" name="图片 40"/>
                          <pic:cNvPicPr>
                            <a:picLocks noChangeAspect="true"/>
                          </pic:cNvPicPr>
                        </pic:nvPicPr>
                        <pic:blipFill>
                          <a:blip r:embed="rId142"/>
                          <a:stretch>
                            <a:fillRect/>
                          </a:stretch>
                        </pic:blipFill>
                        <pic:spPr>
                          <a:xfrm>
                            <a:off x="14703" y="2166310"/>
                            <a:ext cx="1296" cy="1194"/>
                          </a:xfrm>
                          <a:prstGeom prst="rect">
                            <a:avLst/>
                          </a:prstGeom>
                          <a:noFill/>
                          <a:ln>
                            <a:noFill/>
                          </a:ln>
                        </pic:spPr>
                      </pic:pic>
                    </wpg:wgp>
                  </a:graphicData>
                </a:graphic>
              </wp:anchor>
            </w:drawing>
          </mc:Choice>
          <mc:Fallback>
            <w:pict>
              <v:group id="_x0000_s1026" o:spid="_x0000_s1026" o:spt="203" style="position:absolute;left:0pt;margin-left:29.7pt;margin-top:10.75pt;height:419.1pt;width:659.55pt;z-index:251675648;mso-width-relative:page;mso-height-relative:page;" coordorigin="2925,2166310" coordsize="13191,8382" o:gfxdata="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">
                <o:lock v:ext="edit" aspectratio="f"/>
                <v:shape id="_x0000_s1026" o:spid="_x0000_s1026" o:spt="100" style="position:absolute;left:2925;top:2167026;height:6174;width:12548;" filled="f" stroked="t" coordsize="7967980,3920490" o:gfxdata="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oTKg970AAADcAAAADwAAAAAAAAABACAAAAA4AAAAZHJzL2Rvd25yZXYu&#10;eG1sUEsBAhQAFAAAAAgAh07iQDMvBZ47AAAAOQAAABAAAAAAAAAAAQAgAAAAIgEAAGRycy9zaGFw&#10;ZXhtbC54bWxQSwUGAAAAAAYABgBbAQAAzAMAAAAA&#10;" path="m91440,0l0,695960,3773170,2437130,4121150,3920490,5916295,3773805,6246495,3352800,7454900,3168650,7967980,1447800,2198370,165100,1722120,73025,91440,0xe">
                  <v:path o:connectlocs="144,0;0,1096;5942,3838;6490,6174;9317,5943;9837,5280;11740,4990;12548,2280;3462,260;2712,115;144,0" o:connectangles="0,0,0,0,0,0,0,0,0,0,0"/>
                  <v:fill on="f" focussize="0,0"/>
                  <v:stroke weight="2pt" color="#000000 [3213]" joinstyle="round"/>
                  <v:imagedata o:title=""/>
                  <o:lock v:ext="edit" aspectratio="f"/>
                </v:shape>
                <v:shape id="_x0000_s1026" o:spid="_x0000_s1026" o:spt="100" style="position:absolute;left:9127;top:2168641;height:2165;width:1500;" fillcolor="#E46C0A [2409]" filled="t" stroked="t" coordsize="952500,1374775" o:gfxdata="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IdKOHu+AAAA3AAAAA8AAAAAAAAAAQAgAAAAOAAAAGRycy9kb3ducmV2&#10;LnhtbFBLAQIUABQAAAAIAIdO4kAzLwWeOwAAADkAAAAQAAAAAAAAAAEAIAAAACMBAABkcnMvc2hh&#10;cGV4bWwueG1sUEsFBgAAAAAGAAYAWwEAAM0DAAAAAA==&#10;" path="m256540,37465l952500,165100,861060,660400,622935,622935,530860,1374775,0,1264285,219710,0e">
                  <v:path o:connectlocs="404,59;1500,260;1356,1040;981,981;836,2165;0,1991;346,0" o:connectangles="0,0,0,0,0,0,0"/>
                  <v:fill on="t" focussize="0,0"/>
                  <v:stroke weight="2pt" color="#000000 [3213]" joinstyle="round"/>
                  <v:imagedata o:title=""/>
                  <o:lock v:ext="edit" aspectratio="f"/>
                </v:shape>
                <v:rect id="_x0000_s1026" o:spid="_x0000_s1026" o:spt="1" style="position:absolute;left:9601;top:2172418;height:383;width:1384;rotation:-524288f;v-text-anchor:middle;" fillcolor="#E46C0A [2409]" filled="t" stroked="t" coordsize="21600,21600" o:gfxdata="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Jk7+5vAAAANwAAAAPAAAAAAAAAAEAIAAAADgAAABkcnMvZG93bnJldi54&#10;bWxQSwECFAAUAAAACACHTuJAMy8FnjsAAAA5AAAAEAAAAAAAAAABACAAAAAhAQAAZHJzL3NoYXBl&#10;eG1sLnhtbFBLBQYAAAAABgAGAFsBAADLAwAAAAA=&#10;">
                  <v:fill on="t" focussize="0,0"/>
                  <v:stroke weight="2pt" color="#000000 [3213]" joinstyle="round"/>
                  <v:imagedata o:title=""/>
                  <o:lock v:ext="edit" aspectratio="f"/>
                </v:rect>
                <v:rect id="_x0000_s1026" o:spid="_x0000_s1026" o:spt="1" style="position:absolute;left:10540;top:2171700;height:289;width:202;v-text-anchor:middle;" fillcolor="#E46C0A [2409]" filled="t" stroked="t" coordsize="21600,21600" o:gfxdata="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dPXC+70AAADcAAAADwAAAAAAAAABACAAAAA4AAAAZHJzL2Rvd25yZXYu&#10;eG1sUEsBAhQAFAAAAAgAh07iQDMvBZ47AAAAOQAAABAAAAAAAAAAAQAgAAAAIgEAAGRycy9zaGFw&#10;ZXhtbC54bWxQSwUGAAAAAAYABgBbAQAAzAMAAAAA&#10;">
                  <v:fill on="t" focussize="0,0"/>
                  <v:stroke weight="2pt" color="#000000 [3213]" joinstyle="round"/>
                  <v:imagedata o:title=""/>
                  <o:lock v:ext="edit" aspectratio="f"/>
                </v:rect>
                <v:rect id="_x0000_s1026" o:spid="_x0000_s1026" o:spt="1" style="position:absolute;left:12365;top:2171360;height:289;width:202;rotation:6356992f;v-text-anchor:middle;" fillcolor="#FAC090 [1945]" filled="t" stroked="t" coordsize="21600,21600" o:gfxdata="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CZyKjgvwAAANwAAAAPAAAAAAAAAAEAIAAAADgAAABkcnMvZG93bnJl&#10;di54bWxQSwECFAAUAAAACACHTuJAMy8FnjsAAAA5AAAAEAAAAAAAAAABACAAAAAkAQAAZHJzL3No&#10;YXBleG1sLnhtbFBLBQYAAAAABgAGAFsBAADOAwAAAAA=&#10;">
                  <v:fill on="t" focussize="0,0"/>
                  <v:stroke weight="2pt" color="#000000 [3213]" joinstyle="round"/>
                  <v:imagedata o:title=""/>
                  <o:lock v:ext="edit" aspectratio="f"/>
                </v:rect>
                <v:shape id="_x0000_s1026" o:spid="_x0000_s1026" o:spt="100" style="position:absolute;left:12935;top:2168901;height:2395;width:1615;" fillcolor="#FAC090 [1945]" filled="t" stroked="t" coordsize="1025525,1520825" o:gfxdata="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3JEMKvwAAANwAAAAPAAAAAAAAAAEAIAAAADgAAABkcnMvZG93bnJl&#10;di54bWxQSwECFAAUAAAACACHTuJAMy8FnjsAAAA5AAAAEAAAAAAAAAABACAAAAAkAQAAZHJzL3No&#10;YXBleG1sLnhtbFBLBQYAAAAABgAGAFsBAADOAwAAAAA=&#10;" path="m54610,0l0,294005,347980,311150,164465,1428750,897255,1520825,1025525,238125,54610,0xe">
                  <v:path o:connectlocs="86,0;0,463;548,490;259,2250;1413,2395;1615,375;86,0" o:connectangles="0,0,0,0,0,0,0"/>
                  <v:fill on="t" focussize="0,0"/>
                  <v:stroke weight="2pt" color="#000000 [3213]" joinstyle="round"/>
                  <v:imagedata o:title=""/>
                  <o:lock v:ext="edit" aspectratio="f"/>
                </v:shape>
                <v:rect id="_x0000_s1026" o:spid="_x0000_s1026" o:spt="1" style="position:absolute;left:12717;top:2171572;height:289;width:202;rotation:6356992f;v-text-anchor:middle;" fillcolor="#E46C0A [2409]" filled="t" stroked="t" coordsize="21600,21600" o:gfxdata="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LRqdwi7AAAA3AAAAA8AAAAAAAAAAQAgAAAAOAAAAGRycy9kb3ducmV2Lnht&#10;bFBLAQIUABQAAAAIAIdO4kAzLwWeOwAAADkAAAAQAAAAAAAAAAEAIAAAACABAABkcnMvc2hhcGV4&#10;bWwueG1sUEsFBgAAAAAGAAYAWwEAAMoDAAAAAA==&#10;">
                  <v:fill on="t" focussize="0,0"/>
                  <v:stroke weight="2pt" color="#000000 [3213]" joinstyle="round"/>
                  <v:imagedata o:title=""/>
                  <o:lock v:ext="edit" aspectratio="f"/>
                </v:rect>
                <v:rect id="_x0000_s1026" o:spid="_x0000_s1026" o:spt="1" style="position:absolute;left:11201;top:2172619;height:289;width:202;rotation:6356992f;v-text-anchor:middle;" fillcolor="#E46C0A [2409]" filled="t" stroked="t" coordsize="21600,21600" o:gfxdata="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qrlG4boAAADcAAAADwAAAAAAAAABACAAAAA4AAAAZHJzL2Rvd25yZXYueG1s&#10;UEsBAhQAFAAAAAgAh07iQDMvBZ47AAAAOQAAABAAAAAAAAAAAQAgAAAAHwEAAGRycy9zaGFwZXht&#10;bC54bWxQSwUGAAAAAAYABgBbAQAAyQMAAAAA&#10;">
                  <v:fill on="t" focussize="0,0"/>
                  <v:stroke weight="2pt" color="#000000 [3213]" joinstyle="round"/>
                  <v:imagedata o:title=""/>
                  <o:lock v:ext="edit" aspectratio="f"/>
                </v:rect>
                <v:shape id="_x0000_s1026" o:spid="_x0000_s1026" o:spt="202" type="#_x0000_t202" style="position:absolute;left:9549;top:2169029;height:622;width:952;" filled="f" stroked="f" coordsize="21600,21600" o:gfxdata="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YabHM8AAAADcAAAADwAAAAAAAAABACAAAAA4AAAAZHJzL2Rvd25y&#10;ZXYueG1sUEsBAhQAFAAAAAgAh07iQDMvBZ47AAAAOQAAABAAAAAAAAAAAQAgAAAAJQEAAGRycy9z&#10;aGFwZXhtbC54bWxQSwUGAAAAAAYABgBbAQAAzwMAAAAA&#10;">
                  <v:fill on="f" focussize="0,0"/>
                  <v:stroke on="f" weight="0.5pt"/>
                  <v:imagedata o:title=""/>
                  <o:lock v:ext="edit" aspectratio="f"/>
                  <v:textbox>
                    <w:txbxContent>
                      <w:p>
                        <w:pPr>
                          <w:ind w:left="0" w:leftChars="0" w:firstLine="0" w:firstLineChars="0"/>
                          <w:rPr>
                            <w:rFonts w:hint="eastAsia" w:eastAsia="宋体"/>
                            <w:lang w:val="en-US" w:eastAsia="zh-CN"/>
                          </w:rPr>
                        </w:pPr>
                        <w:r>
                          <w:rPr>
                            <w:rFonts w:hint="eastAsia"/>
                            <w:lang w:val="en-US" w:eastAsia="zh-CN"/>
                          </w:rPr>
                          <w:t>罐区</w:t>
                        </w:r>
                      </w:p>
                    </w:txbxContent>
                  </v:textbox>
                </v:shape>
                <v:shape id="_x0000_s1026" o:spid="_x0000_s1026" o:spt="202" type="#_x0000_t202" style="position:absolute;left:13356;top:2169763;height:622;width:1208;" filled="f" stroked="f" coordsize="21600,21600" o:gfxdata="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O6mKovAAAANwAAAAPAAAAAAAAAAEAIAAAADgAAABkcnMvZG93bnJldi54&#10;bWxQSwECFAAUAAAACACHTuJAMy8FnjsAAAA5AAAAEAAAAAAAAAABACAAAAAhAQAAZHJzL3NoYXBl&#10;eG1sLnhtbFBLBQYAAAAABgAGAFsBAADLAwAAAAA=&#10;">
                  <v:fill on="f" focussize="0,0"/>
                  <v:stroke on="f" weight="0.5pt"/>
                  <v:imagedata o:title=""/>
                  <o:lock v:ext="edit" aspectratio="f"/>
                  <v:textbox>
                    <w:txbxContent>
                      <w:p>
                        <w:pPr>
                          <w:ind w:left="0" w:leftChars="0" w:firstLine="0" w:firstLineChars="0"/>
                          <w:rPr>
                            <w:rFonts w:hint="eastAsia" w:eastAsia="宋体"/>
                            <w:lang w:val="en-US" w:eastAsia="zh-CN"/>
                          </w:rPr>
                        </w:pPr>
                        <w:r>
                          <w:rPr>
                            <w:rFonts w:hint="eastAsia"/>
                            <w:lang w:val="en-US" w:eastAsia="zh-CN"/>
                          </w:rPr>
                          <w:t>卸车区</w:t>
                        </w:r>
                      </w:p>
                    </w:txbxContent>
                  </v:textbox>
                </v:shape>
                <v:shape id="_x0000_s1026" o:spid="_x0000_s1026" o:spt="202" type="#_x0000_t202" style="position:absolute;left:12844;top:2171467;height:622;width:1865;" filled="f" stroked="f" coordsize="21600,21600" o:gfxdata="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OPzfvAAAANwAAAAPAAAAAAAAAAEAIAAAADgAAABkcnMvZG93bnJldi54&#10;bWxQSwECFAAUAAAACACHTuJAMy8FnjsAAAA5AAAAEAAAAAAAAAABACAAAAAhAQAAZHJzL3NoYXBl&#10;eG1sLnhtbFBLBQYAAAAABgAGAFsBAADLAw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初期雨水池</w:t>
                        </w:r>
                      </w:p>
                    </w:txbxContent>
                  </v:textbox>
                </v:shape>
                <v:shape id="_x0000_s1026" o:spid="_x0000_s1026" o:spt="202" type="#_x0000_t202" style="position:absolute;left:11035;top:2170883;height:622;width:1865;" filled="f" stroked="f" coordsize="21600,21600" o:gfxdata="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JF0WUS+AAAA3AAAAA8AAAAAAAAAAQAgAAAAOAAAAGRycy9kb3ducmV2&#10;LnhtbFBLAQIUABQAAAAIAIdO4kAzLwWeOwAAADkAAAAQAAAAAAAAAAEAIAAAACMBAABkcnMvc2hh&#10;cGV4bWwueG1sUEsFBgAAAAAGAAYAWwEAAM0D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油气回收装置</w:t>
                        </w:r>
                      </w:p>
                    </w:txbxContent>
                  </v:textbox>
                </v:shape>
                <v:shape id="_x0000_s1026" o:spid="_x0000_s1026" o:spt="202" type="#_x0000_t202" style="position:absolute;left:9609;top:2171578;height:622;width:1261;" filled="f" stroked="f" coordsize="21600,21600" o:gfxdata="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encEwvAAAANwAAAAPAAAAAAAAAAEAIAAAADgAAABkcnMvZG93bnJldi54&#10;bWxQSwECFAAUAAAACACHTuJAMy8FnjsAAAA5AAAAEAAAAAAAAAABACAAAAAhAQAAZHJzL3NoYXBl&#10;eG1sLnhtbFBLBQYAAAAABgAGAFsBAADLAw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危废库</w:t>
                        </w:r>
                      </w:p>
                    </w:txbxContent>
                  </v:textbox>
                </v:shape>
                <v:shape id="_x0000_s1026" o:spid="_x0000_s1026" o:spt="202" type="#_x0000_t202" style="position:absolute;left:9518;top:2172768;height:459;width:1553;" filled="f" stroked="f" coordsize="21600,21600" o:gfxdata="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x0WSrvAAAANwAAAAPAAAAAAAAAAEAIAAAADgAAABkcnMvZG93bnJldi54&#10;bWxQSwECFAAUAAAACACHTuJAMy8FnjsAAAA5AAAAEAAAAAAAAAABACAAAAAhAQAAZHJzL3NoYXBl&#10;eG1sLnhtbFBLBQYAAAAABgAGAFsBAADLAw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污水处理站</w:t>
                        </w:r>
                      </w:p>
                    </w:txbxContent>
                  </v:textbox>
                </v:shape>
                <v:shape id="_x0000_s1026" o:spid="_x0000_s1026" o:spt="202" type="#_x0000_t202" style="position:absolute;left:11330;top:2172495;height:622;width:1261;" filled="f" stroked="f" coordsize="21600,21600" o:gfxdata="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BA/rcvAAAANwAAAAPAAAAAAAAAAEAIAAAADgAAABkcnMvZG93bnJldi54&#10;bWxQSwECFAAUAAAACACHTuJAMy8FnjsAAAA5AAAAEAAAAAAAAAABACAAAAAhAQAAZHJzL3NoYXBl&#10;eG1sLnhtbFBLBQYAAAAABgAGAFsBAADLAw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事故水池</w:t>
                        </w:r>
                      </w:p>
                    </w:txbxContent>
                  </v:textbox>
                </v:shape>
                <v:shape id="_x0000_s1026" o:spid="_x0000_s1026" o:spt="202" type="#_x0000_t202" style="position:absolute;left:13372;top:2172844;height:1848;width:2744;" fillcolor="#FFFFFF [3201]" filled="t" stroked="t" coordsize="21600,21600" o:gfxdata="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">
                  <v:fill on="t" focussize="0,0"/>
                  <v:stroke weight="0.5pt" color="#000000 [3204]" joinstyle="round"/>
                  <v:imagedata o:title=""/>
                  <o:lock v:ext="edit" aspectratio="f"/>
                  <v:textbox>
                    <w:txbxContent>
                      <w:p>
                        <w:pPr>
                          <w:ind w:left="0" w:leftChars="0" w:firstLine="0" w:firstLineChars="0"/>
                          <w:jc w:val="center"/>
                          <w:rPr>
                            <w:rFonts w:hint="eastAsia"/>
                            <w:b/>
                            <w:bCs/>
                            <w:lang w:val="en-US" w:eastAsia="zh-CN"/>
                          </w:rPr>
                        </w:pPr>
                        <w:r>
                          <w:rPr>
                            <w:rFonts w:hint="eastAsia"/>
                            <w:b/>
                            <w:bCs/>
                            <w:lang w:val="en-US" w:eastAsia="zh-CN"/>
                          </w:rPr>
                          <w:t>图 例</w:t>
                        </w:r>
                      </w:p>
                      <w:p>
                        <w:pPr>
                          <w:ind w:left="0" w:leftChars="0" w:firstLine="0" w:firstLineChars="0"/>
                          <w:jc w:val="right"/>
                          <w:rPr>
                            <w:rFonts w:hint="eastAsia"/>
                            <w:b/>
                            <w:bCs/>
                            <w:lang w:val="en-US" w:eastAsia="zh-CN"/>
                          </w:rPr>
                        </w:pPr>
                        <w:r>
                          <w:rPr>
                            <w:rFonts w:hint="eastAsia"/>
                            <w:b/>
                            <w:bCs/>
                            <w:lang w:val="en-US" w:eastAsia="zh-CN"/>
                          </w:rPr>
                          <w:t>一般防渗区</w:t>
                        </w:r>
                      </w:p>
                      <w:p>
                        <w:pPr>
                          <w:ind w:left="0" w:leftChars="0" w:firstLine="0" w:firstLineChars="0"/>
                          <w:jc w:val="right"/>
                          <w:rPr>
                            <w:rFonts w:hint="default"/>
                            <w:b/>
                            <w:bCs/>
                            <w:lang w:val="en-US" w:eastAsia="zh-CN"/>
                          </w:rPr>
                        </w:pPr>
                        <w:r>
                          <w:rPr>
                            <w:rFonts w:hint="eastAsia"/>
                            <w:b/>
                            <w:bCs/>
                            <w:lang w:val="en-US" w:eastAsia="zh-CN"/>
                          </w:rPr>
                          <w:t>重点防渗区</w:t>
                        </w:r>
                      </w:p>
                      <w:p>
                        <w:pPr>
                          <w:ind w:left="0" w:leftChars="0" w:firstLine="0" w:firstLineChars="0"/>
                          <w:jc w:val="center"/>
                          <w:rPr>
                            <w:rFonts w:hint="eastAsia"/>
                            <w:lang w:val="en-US" w:eastAsia="zh-CN"/>
                          </w:rPr>
                        </w:pPr>
                      </w:p>
                    </w:txbxContent>
                  </v:textbox>
                </v:shape>
                <v:rect id="_x0000_s1026" o:spid="_x0000_s1026" o:spt="1" style="position:absolute;left:13757;top:2173393;height:311;width:494;v-text-anchor:middle;" fillcolor="#FAC090 [1945]" filled="t" stroked="t" coordsize="21600,21600" o:gfxdata="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lzxL4cAAAADcAAAADwAAAAAAAAABACAAAAA4AAAAZHJzL2Rvd25y&#10;ZXYueG1sUEsBAhQAFAAAAAgAh07iQDMvBZ47AAAAOQAAABAAAAAAAAAAAQAgAAAAJQEAAGRycy9z&#10;aGFwZXhtbC54bWxQSwUGAAAAAAYABgBbAQAAzwMAAAAA&#10;">
                  <v:fill on="t" focussize="0,0"/>
                  <v:stroke weight="2pt" color="#376092 [2404]" joinstyle="round"/>
                  <v:imagedata o:title=""/>
                  <o:lock v:ext="edit" aspectratio="f"/>
                </v:rect>
                <v:rect id="_x0000_s1026" o:spid="_x0000_s1026" o:spt="1" style="position:absolute;left:13796;top:2173926;height:311;width:494;v-text-anchor:middle;" fillcolor="#E46C0A [2409]" filled="t" stroked="t" coordsize="21600,21600" o:gfxdata="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tjxyQvAAAANwAAAAPAAAAAAAAAAEAIAAAADgAAABkcnMvZG93bnJldi54&#10;bWxQSwECFAAUAAAACACHTuJAMy8FnjsAAAA5AAAAEAAAAAAAAAABACAAAAAhAQAAZHJzL3NoYXBl&#10;eG1sLnhtbFBLBQYAAAAABgAGAFsBAADLAwAAAAA=&#10;">
                  <v:fill on="t" focussize="0,0"/>
                  <v:stroke weight="2pt" color="#376092 [2404]" joinstyle="round"/>
                  <v:imagedata o:title=""/>
                  <o:lock v:ext="edit" aspectratio="f"/>
                </v:rect>
                <v:shape id="图片 40" o:spid="_x0000_s1026" o:spt="75" type="#_x0000_t75" style="position:absolute;left:14703;top:2166310;height:1194;width:1296;" filled="f" o:preferrelative="t" stroked="f" coordsize="21600,21600" o:gfxdata="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ItI+eL0AAADcAAAADwAAAAAAAAABACAAAAA4AAAAZHJzL2Rvd25yZXYu&#10;eG1sUEsBAhQAFAAAAAgAh07iQDMvBZ47AAAAOQAAABAAAAAAAAAAAQAgAAAAIgEAAGRycy9zaGFw&#10;ZXhtbC54bWxQSwUGAAAAAAYABgBbAQAAzAMAAAAA&#10;">
                  <v:fill on="f" focussize="0,0"/>
                  <v:stroke on="f"/>
                  <v:imagedata r:id="rId142" o:title=""/>
                  <o:lock v:ext="edit" aspectratio="t"/>
                </v:shape>
              </v:group>
            </w:pict>
          </mc:Fallback>
        </mc:AlternateContent>
      </w: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pPr>
    </w:p>
    <w:p>
      <w:pPr>
        <w:pStyle w:val="6"/>
        <w:jc w:val="center"/>
        <w:rPr>
          <w:rFonts w:hint="default"/>
          <w:b/>
          <w:bCs/>
          <w:color w:val="000000" w:themeColor="text1"/>
          <w:lang w:val="en-US" w:eastAsia="zh-CN"/>
          <w14:textFill>
            <w14:solidFill>
              <w14:schemeClr w14:val="tx1"/>
            </w14:solidFill>
          </w14:textFill>
        </w:rPr>
        <w:sectPr>
          <w:pgSz w:w="16838" w:h="11906" w:orient="landscape"/>
          <w:pgMar w:top="1531" w:right="1134" w:bottom="1134" w:left="1134"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eastAsia"/>
          <w:b/>
          <w:bCs/>
          <w:color w:val="000000" w:themeColor="text1"/>
          <w:lang w:val="en-US" w:eastAsia="zh-CN"/>
          <w14:textFill>
            <w14:solidFill>
              <w14:schemeClr w14:val="tx1"/>
            </w14:solidFill>
          </w14:textFill>
        </w:rPr>
        <w:t>附图8 项目分区防渗图（比例尺1:51000）</w:t>
      </w:r>
    </w:p>
    <w:p>
      <w:pPr>
        <w:rPr>
          <w:rFonts w:ascii="Arial"/>
          <w:color w:val="000000" w:themeColor="text1"/>
          <w:sz w:val="21"/>
          <w14:textFill>
            <w14:solidFill>
              <w14:schemeClr w14:val="tx1"/>
            </w14:solidFill>
          </w14:textFill>
        </w:rPr>
      </w:pPr>
    </w:p>
    <w:p>
      <w:pPr>
        <w:rPr>
          <w:rFonts w:ascii="Arial"/>
          <w:color w:val="000000" w:themeColor="text1"/>
          <w:sz w:val="21"/>
          <w14:textFill>
            <w14:solidFill>
              <w14:schemeClr w14:val="tx1"/>
            </w14:solidFill>
          </w14:textFill>
        </w:rPr>
      </w:pPr>
    </w:p>
    <w:p>
      <w:pPr>
        <w:rPr>
          <w:rFonts w:ascii="Arial"/>
          <w:color w:val="000000" w:themeColor="text1"/>
          <w:sz w:val="21"/>
          <w14:textFill>
            <w14:solidFill>
              <w14:schemeClr w14:val="tx1"/>
            </w14:solidFill>
          </w14:textFill>
        </w:rPr>
      </w:pPr>
    </w:p>
    <w:p>
      <w:pPr>
        <w:rPr>
          <w:rFonts w:ascii="Arial"/>
          <w:color w:val="000000" w:themeColor="text1"/>
          <w:sz w:val="21"/>
          <w14:textFill>
            <w14:solidFill>
              <w14:schemeClr w14:val="tx1"/>
            </w14:solidFill>
          </w14:textFill>
        </w:rPr>
      </w:pP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0" w:firstLineChars="0"/>
        <w:jc w:val="center"/>
        <w:textAlignment w:val="auto"/>
        <w:rPr>
          <w:rFonts w:hint="eastAsia"/>
          <w:b/>
          <w:bCs/>
          <w:color w:val="000000" w:themeColor="text1"/>
          <w:spacing w:val="4"/>
          <w:sz w:val="43"/>
          <w:szCs w:val="43"/>
          <w:lang w:eastAsia="zh-CN"/>
          <w14:textFill>
            <w14:solidFill>
              <w14:schemeClr w14:val="tx1"/>
            </w14:solidFill>
          </w14:textFill>
        </w:rPr>
      </w:pPr>
      <w:r>
        <w:rPr>
          <w:rFonts w:hint="eastAsia"/>
          <w:b/>
          <w:bCs/>
          <w:color w:val="000000" w:themeColor="text1"/>
          <w:spacing w:val="4"/>
          <w:sz w:val="43"/>
          <w:szCs w:val="43"/>
          <w:lang w:eastAsia="zh-CN"/>
          <w14:textFill>
            <w14:solidFill>
              <w14:schemeClr w14:val="tx1"/>
            </w14:solidFill>
          </w14:textFill>
        </w:rPr>
        <w:t>鄂尔多斯市汇金达清洁溶剂油有限公司</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0" w:firstLineChars="0"/>
        <w:jc w:val="center"/>
        <w:textAlignment w:val="auto"/>
        <w:rPr>
          <w:rFonts w:hint="eastAsia" w:eastAsia="宋体"/>
          <w:color w:val="000000" w:themeColor="text1"/>
          <w:sz w:val="43"/>
          <w:szCs w:val="43"/>
          <w:lang w:eastAsia="zh-CN"/>
          <w14:textFill>
            <w14:solidFill>
              <w14:schemeClr w14:val="tx1"/>
            </w14:solidFill>
          </w14:textFill>
        </w:rPr>
      </w:pPr>
      <w:r>
        <w:rPr>
          <w:rFonts w:hint="eastAsia"/>
          <w:b/>
          <w:bCs/>
          <w:color w:val="000000" w:themeColor="text1"/>
          <w:spacing w:val="4"/>
          <w:sz w:val="43"/>
          <w:szCs w:val="43"/>
          <w:lang w:eastAsia="zh-CN"/>
          <w14:textFill>
            <w14:solidFill>
              <w14:schemeClr w14:val="tx1"/>
            </w14:solidFill>
          </w14:textFill>
        </w:rPr>
        <w:t>20万吨/年柴油调和项目</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0" w:firstLineChars="0"/>
        <w:jc w:val="center"/>
        <w:textAlignment w:val="auto"/>
        <w:outlineLvl w:val="0"/>
        <w:rPr>
          <w:color w:val="000000" w:themeColor="text1"/>
          <w:sz w:val="43"/>
          <w:szCs w:val="43"/>
          <w14:textFill>
            <w14:solidFill>
              <w14:schemeClr w14:val="tx1"/>
            </w14:solidFill>
          </w14:textFill>
        </w:rPr>
      </w:pPr>
      <w:r>
        <w:rPr>
          <w:b/>
          <w:bCs/>
          <w:color w:val="000000" w:themeColor="text1"/>
          <w:spacing w:val="4"/>
          <w:sz w:val="43"/>
          <w:szCs w:val="43"/>
          <w14:textFill>
            <w14:solidFill>
              <w14:schemeClr w14:val="tx1"/>
            </w14:solidFill>
          </w14:textFill>
        </w:rPr>
        <w:t>环境风险专项评价</w:t>
      </w:r>
    </w:p>
    <w:p>
      <w:pPr>
        <w:rPr>
          <w:rFonts w:ascii="Arial"/>
          <w:color w:val="000000" w:themeColor="text1"/>
          <w:sz w:val="21"/>
          <w14:textFill>
            <w14:solidFill>
              <w14:schemeClr w14:val="tx1"/>
            </w14:solidFill>
          </w14:textFill>
        </w:rPr>
      </w:pPr>
    </w:p>
    <w:p>
      <w:pPr>
        <w:rPr>
          <w:rFonts w:ascii="Arial"/>
          <w:color w:val="000000" w:themeColor="text1"/>
          <w:sz w:val="21"/>
          <w14:textFill>
            <w14:solidFill>
              <w14:schemeClr w14:val="tx1"/>
            </w14:solidFill>
          </w14:textFill>
        </w:rPr>
      </w:pPr>
    </w:p>
    <w:p>
      <w:pPr>
        <w:rPr>
          <w:rFonts w:ascii="Arial"/>
          <w:color w:val="000000" w:themeColor="text1"/>
          <w:sz w:val="21"/>
          <w14:textFill>
            <w14:solidFill>
              <w14:schemeClr w14:val="tx1"/>
            </w14:solidFill>
          </w14:textFill>
        </w:rPr>
      </w:pPr>
    </w:p>
    <w:p>
      <w:pPr>
        <w:rPr>
          <w:rFonts w:ascii="Arial"/>
          <w:color w:val="000000" w:themeColor="text1"/>
          <w:sz w:val="21"/>
          <w14:textFill>
            <w14:solidFill>
              <w14:schemeClr w14:val="tx1"/>
            </w14:solidFill>
          </w14:textFill>
        </w:rPr>
      </w:pPr>
    </w:p>
    <w:p>
      <w:pPr>
        <w:rPr>
          <w:rFonts w:ascii="Arial"/>
          <w:color w:val="000000" w:themeColor="text1"/>
          <w:sz w:val="21"/>
          <w14:textFill>
            <w14:solidFill>
              <w14:schemeClr w14:val="tx1"/>
            </w14:solidFill>
          </w14:textFill>
        </w:rPr>
      </w:pPr>
    </w:p>
    <w:p>
      <w:pPr>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spacing w:line="241" w:lineRule="auto"/>
        <w:rPr>
          <w:rFonts w:ascii="Arial"/>
          <w:color w:val="000000" w:themeColor="text1"/>
          <w:sz w:val="21"/>
          <w14:textFill>
            <w14:solidFill>
              <w14:schemeClr w14:val="tx1"/>
            </w14:solidFill>
          </w14:textFill>
        </w:rPr>
      </w:pPr>
    </w:p>
    <w:p>
      <w:pPr>
        <w:pStyle w:val="8"/>
        <w:spacing w:before="91" w:line="220" w:lineRule="auto"/>
        <w:ind w:left="29"/>
        <w:jc w:val="center"/>
        <w:rPr>
          <w:color w:val="000000" w:themeColor="text1"/>
          <w14:textFill>
            <w14:solidFill>
              <w14:schemeClr w14:val="tx1"/>
            </w14:solidFill>
          </w14:textFill>
        </w:rPr>
      </w:pPr>
    </w:p>
    <w:p>
      <w:pPr>
        <w:spacing w:line="301" w:lineRule="auto"/>
        <w:jc w:val="center"/>
        <w:rPr>
          <w:rFonts w:ascii="Arial"/>
          <w:color w:val="000000" w:themeColor="text1"/>
          <w:sz w:val="21"/>
          <w14:textFill>
            <w14:solidFill>
              <w14:schemeClr w14:val="tx1"/>
            </w14:solidFill>
          </w14:textFill>
        </w:rPr>
      </w:pPr>
    </w:p>
    <w:p>
      <w:pPr>
        <w:pStyle w:val="8"/>
        <w:spacing w:before="91" w:line="219" w:lineRule="auto"/>
        <w:ind w:left="28"/>
        <w:jc w:val="center"/>
        <w:rPr>
          <w:rFonts w:hint="default" w:eastAsia="宋体"/>
          <w:color w:val="000000" w:themeColor="text1"/>
          <w:sz w:val="28"/>
          <w:szCs w:val="28"/>
          <w:lang w:val="en-US" w:eastAsia="zh-CN"/>
          <w14:textFill>
            <w14:solidFill>
              <w14:schemeClr w14:val="tx1"/>
            </w14:solidFill>
          </w14:textFill>
        </w:rPr>
      </w:pPr>
      <w:r>
        <w:rPr>
          <w:color w:val="000000" w:themeColor="text1"/>
          <w:spacing w:val="-2"/>
          <w:sz w:val="28"/>
          <w:szCs w:val="28"/>
          <w14:textFill>
            <w14:solidFill>
              <w14:schemeClr w14:val="tx1"/>
            </w14:solidFill>
          </w14:textFill>
        </w:rPr>
        <w:t>建设单位（盖章</w:t>
      </w:r>
      <w:r>
        <w:rPr>
          <w:color w:val="000000" w:themeColor="text1"/>
          <w:spacing w:val="-68"/>
          <w:sz w:val="28"/>
          <w:szCs w:val="28"/>
          <w14:textFill>
            <w14:solidFill>
              <w14:schemeClr w14:val="tx1"/>
            </w14:solidFill>
          </w14:textFill>
        </w:rPr>
        <w:t>）：</w:t>
      </w:r>
      <w:r>
        <w:rPr>
          <w:color w:val="000000" w:themeColor="text1"/>
          <w:spacing w:val="2"/>
          <w:sz w:val="28"/>
          <w:szCs w:val="28"/>
          <w:u w:val="single" w:color="auto"/>
          <w14:textFill>
            <w14:solidFill>
              <w14:schemeClr w14:val="tx1"/>
            </w14:solidFill>
          </w14:textFill>
        </w:rPr>
        <w:t xml:space="preserve">  </w:t>
      </w:r>
      <w:r>
        <w:rPr>
          <w:rFonts w:hint="eastAsia"/>
          <w:color w:val="000000" w:themeColor="text1"/>
          <w:spacing w:val="-2"/>
          <w:sz w:val="28"/>
          <w:szCs w:val="28"/>
          <w:u w:val="single" w:color="auto"/>
          <w:lang w:eastAsia="zh-CN"/>
          <w14:textFill>
            <w14:solidFill>
              <w14:schemeClr w14:val="tx1"/>
            </w14:solidFill>
          </w14:textFill>
        </w:rPr>
        <w:t>鄂尔多斯市汇金达清洁溶剂油有限公司</w:t>
      </w:r>
      <w:r>
        <w:rPr>
          <w:rFonts w:hint="eastAsia"/>
          <w:color w:val="000000" w:themeColor="text1"/>
          <w:spacing w:val="-2"/>
          <w:sz w:val="28"/>
          <w:szCs w:val="28"/>
          <w:u w:val="single" w:color="auto"/>
          <w:lang w:val="en-US" w:eastAsia="zh-CN"/>
          <w14:textFill>
            <w14:solidFill>
              <w14:schemeClr w14:val="tx1"/>
            </w14:solidFill>
          </w14:textFill>
        </w:rPr>
        <w:t xml:space="preserve">  </w:t>
      </w:r>
    </w:p>
    <w:p>
      <w:pPr>
        <w:spacing w:line="299" w:lineRule="auto"/>
        <w:jc w:val="center"/>
        <w:rPr>
          <w:rFonts w:ascii="Arial"/>
          <w:color w:val="000000" w:themeColor="text1"/>
          <w:sz w:val="28"/>
          <w:szCs w:val="28"/>
          <w14:textFill>
            <w14:solidFill>
              <w14:schemeClr w14:val="tx1"/>
            </w14:solidFill>
          </w14:textFill>
        </w:rPr>
      </w:pPr>
    </w:p>
    <w:p>
      <w:pPr>
        <w:pStyle w:val="8"/>
        <w:spacing w:before="91" w:line="220" w:lineRule="auto"/>
        <w:ind w:left="27"/>
        <w:jc w:val="center"/>
        <w:rPr>
          <w:rFonts w:hint="default" w:eastAsia="宋体"/>
          <w:color w:val="000000" w:themeColor="text1"/>
          <w:lang w:val="en-US" w:eastAsia="zh-CN"/>
          <w14:textFill>
            <w14:solidFill>
              <w14:schemeClr w14:val="tx1"/>
            </w14:solidFill>
          </w14:textFill>
        </w:rPr>
      </w:pPr>
      <w:r>
        <w:rPr>
          <w:color w:val="000000" w:themeColor="text1"/>
          <w:spacing w:val="-2"/>
          <w:sz w:val="28"/>
          <w:szCs w:val="28"/>
          <w14:textFill>
            <w14:solidFill>
              <w14:schemeClr w14:val="tx1"/>
            </w14:solidFill>
          </w14:textFill>
        </w:rPr>
        <w:t>编制日期：</w:t>
      </w:r>
      <w:r>
        <w:rPr>
          <w:color w:val="000000" w:themeColor="text1"/>
          <w:spacing w:val="-2"/>
          <w:sz w:val="28"/>
          <w:szCs w:val="28"/>
          <w:u w:val="single" w:color="auto"/>
          <w14:textFill>
            <w14:solidFill>
              <w14:schemeClr w14:val="tx1"/>
            </w14:solidFill>
          </w14:textFill>
        </w:rPr>
        <w:t xml:space="preserve">    二零二</w:t>
      </w:r>
      <w:r>
        <w:rPr>
          <w:rFonts w:hint="eastAsia"/>
          <w:color w:val="000000" w:themeColor="text1"/>
          <w:spacing w:val="-2"/>
          <w:sz w:val="28"/>
          <w:szCs w:val="28"/>
          <w:u w:val="single" w:color="auto"/>
          <w:lang w:val="en-US" w:eastAsia="zh-CN"/>
          <w14:textFill>
            <w14:solidFill>
              <w14:schemeClr w14:val="tx1"/>
            </w14:solidFill>
          </w14:textFill>
        </w:rPr>
        <w:t>五</w:t>
      </w:r>
      <w:r>
        <w:rPr>
          <w:color w:val="000000" w:themeColor="text1"/>
          <w:spacing w:val="-2"/>
          <w:sz w:val="28"/>
          <w:szCs w:val="28"/>
          <w:u w:val="single" w:color="auto"/>
          <w14:textFill>
            <w14:solidFill>
              <w14:schemeClr w14:val="tx1"/>
            </w14:solidFill>
          </w14:textFill>
        </w:rPr>
        <w:t>年</w:t>
      </w:r>
      <w:r>
        <w:rPr>
          <w:rFonts w:hint="eastAsia"/>
          <w:color w:val="000000" w:themeColor="text1"/>
          <w:spacing w:val="-2"/>
          <w:sz w:val="28"/>
          <w:szCs w:val="28"/>
          <w:u w:val="single" w:color="auto"/>
          <w:lang w:val="en-US" w:eastAsia="zh-CN"/>
          <w14:textFill>
            <w14:solidFill>
              <w14:schemeClr w14:val="tx1"/>
            </w14:solidFill>
          </w14:textFill>
        </w:rPr>
        <w:t>十二</w:t>
      </w:r>
      <w:r>
        <w:rPr>
          <w:color w:val="000000" w:themeColor="text1"/>
          <w:spacing w:val="-2"/>
          <w:sz w:val="28"/>
          <w:szCs w:val="28"/>
          <w:u w:val="single" w:color="auto"/>
          <w14:textFill>
            <w14:solidFill>
              <w14:schemeClr w14:val="tx1"/>
            </w14:solidFill>
          </w14:textFill>
        </w:rPr>
        <w:t>月</w:t>
      </w:r>
      <w:r>
        <w:rPr>
          <w:rFonts w:hint="eastAsia"/>
          <w:color w:val="000000" w:themeColor="text1"/>
          <w:spacing w:val="-2"/>
          <w:sz w:val="28"/>
          <w:szCs w:val="28"/>
          <w:u w:val="single" w:color="auto"/>
          <w:lang w:val="en-US" w:eastAsia="zh-CN"/>
          <w14:textFill>
            <w14:solidFill>
              <w14:schemeClr w14:val="tx1"/>
            </w14:solidFill>
          </w14:textFill>
        </w:rPr>
        <w:t xml:space="preserve">    </w:t>
      </w:r>
    </w:p>
    <w:p>
      <w:pPr>
        <w:spacing w:line="267" w:lineRule="auto"/>
        <w:rPr>
          <w:rFonts w:ascii="Arial"/>
          <w:color w:val="000000" w:themeColor="text1"/>
          <w:sz w:val="21"/>
          <w14:textFill>
            <w14:solidFill>
              <w14:schemeClr w14:val="tx1"/>
            </w14:solidFill>
          </w14:textFill>
        </w:rPr>
      </w:pPr>
    </w:p>
    <w:p>
      <w:pPr>
        <w:spacing w:line="267" w:lineRule="auto"/>
        <w:rPr>
          <w:rFonts w:ascii="Arial"/>
          <w:color w:val="000000" w:themeColor="text1"/>
          <w:sz w:val="21"/>
          <w14:textFill>
            <w14:solidFill>
              <w14:schemeClr w14:val="tx1"/>
            </w14:solidFill>
          </w14:textFill>
        </w:rPr>
      </w:pPr>
    </w:p>
    <w:p>
      <w:pPr>
        <w:spacing w:line="267" w:lineRule="auto"/>
        <w:rPr>
          <w:rFonts w:ascii="Arial"/>
          <w:color w:val="000000" w:themeColor="text1"/>
          <w:sz w:val="21"/>
          <w14:textFill>
            <w14:solidFill>
              <w14:schemeClr w14:val="tx1"/>
            </w14:solidFill>
          </w14:textFill>
        </w:rPr>
      </w:pPr>
    </w:p>
    <w:p>
      <w:pPr>
        <w:spacing w:line="268" w:lineRule="auto"/>
        <w:rPr>
          <w:rFonts w:ascii="Arial"/>
          <w:color w:val="000000" w:themeColor="text1"/>
          <w:sz w:val="21"/>
          <w14:textFill>
            <w14:solidFill>
              <w14:schemeClr w14:val="tx1"/>
            </w14:solidFill>
          </w14:textFill>
        </w:rPr>
      </w:pPr>
    </w:p>
    <w:p>
      <w:pPr>
        <w:pStyle w:val="8"/>
        <w:spacing w:before="78" w:line="220" w:lineRule="auto"/>
        <w:ind w:left="29"/>
        <w:outlineLvl w:val="9"/>
        <w:rPr>
          <w:rFonts w:ascii="Times New Roman" w:hAnsi="Times New Roman" w:eastAsia="Times New Roman" w:cs="Times New Roman"/>
          <w:b/>
          <w:bCs/>
          <w:color w:val="000000" w:themeColor="text1"/>
          <w:spacing w:val="-13"/>
          <w:sz w:val="24"/>
          <w:szCs w:val="24"/>
          <w14:textFill>
            <w14:solidFill>
              <w14:schemeClr w14:val="tx1"/>
            </w14:solidFill>
          </w14:textFill>
        </w:rPr>
      </w:pPr>
    </w:p>
    <w:p>
      <w:pPr>
        <w:pStyle w:val="8"/>
        <w:spacing w:before="78" w:line="220" w:lineRule="auto"/>
        <w:ind w:left="29"/>
        <w:outlineLvl w:val="9"/>
        <w:rPr>
          <w:rFonts w:ascii="Times New Roman" w:hAnsi="Times New Roman" w:eastAsia="Times New Roman" w:cs="Times New Roman"/>
          <w:b/>
          <w:bCs/>
          <w:color w:val="000000" w:themeColor="text1"/>
          <w:spacing w:val="-13"/>
          <w:sz w:val="24"/>
          <w:szCs w:val="24"/>
          <w14:textFill>
            <w14:solidFill>
              <w14:schemeClr w14:val="tx1"/>
            </w14:solidFill>
          </w14:textFill>
        </w:rPr>
      </w:pPr>
    </w:p>
    <w:p>
      <w:pPr>
        <w:pStyle w:val="8"/>
        <w:spacing w:before="78" w:line="220" w:lineRule="auto"/>
        <w:ind w:left="0" w:leftChars="0" w:firstLine="0" w:firstLineChars="0"/>
        <w:outlineLvl w:val="0"/>
        <w:rPr>
          <w:rFonts w:hint="default"/>
          <w:color w:val="FF0000"/>
          <w:sz w:val="24"/>
          <w:szCs w:val="24"/>
          <w:lang w:val="en-US"/>
        </w:rPr>
      </w:pPr>
      <w:r>
        <w:rPr>
          <w:rFonts w:ascii="Times New Roman" w:hAnsi="Times New Roman" w:eastAsia="Times New Roman" w:cs="Times New Roman"/>
          <w:b/>
          <w:bCs/>
          <w:color w:val="FF0000"/>
          <w:spacing w:val="-13"/>
          <w:sz w:val="28"/>
          <w:szCs w:val="28"/>
        </w:rPr>
        <w:t>1</w:t>
      </w:r>
      <w:r>
        <w:rPr>
          <w:rFonts w:ascii="Times New Roman" w:hAnsi="Times New Roman" w:eastAsia="Times New Roman" w:cs="Times New Roman"/>
          <w:b/>
          <w:bCs/>
          <w:color w:val="FF0000"/>
          <w:spacing w:val="17"/>
          <w:sz w:val="28"/>
          <w:szCs w:val="28"/>
        </w:rPr>
        <w:t xml:space="preserve"> </w:t>
      </w:r>
      <w:r>
        <w:rPr>
          <w:color w:val="FF0000"/>
        </w:rPr>
        <w:commentReference w:id="104"/>
      </w:r>
      <w:r>
        <w:rPr>
          <w:rFonts w:hint="eastAsia" w:eastAsia="宋体"/>
          <w:b/>
          <w:bCs/>
          <w:color w:val="FF0000"/>
          <w:spacing w:val="-13"/>
          <w:sz w:val="28"/>
          <w:szCs w:val="28"/>
          <w:lang w:val="en-US" w:eastAsia="zh-CN"/>
        </w:rPr>
        <w:t>评价目的与原则</w:t>
      </w:r>
    </w:p>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firstLine="423"/>
        <w:jc w:val="both"/>
        <w:textAlignment w:val="auto"/>
        <w:rPr>
          <w:color w:val="FF0000"/>
          <w:sz w:val="24"/>
          <w:szCs w:val="24"/>
        </w:rPr>
      </w:pPr>
      <w:r>
        <w:rPr>
          <w:color w:val="FF0000"/>
          <w:spacing w:val="4"/>
          <w:sz w:val="24"/>
          <w:szCs w:val="24"/>
        </w:rPr>
        <w:t>依据《建设项目环境风险评价技术导则》（</w:t>
      </w:r>
      <w:r>
        <w:rPr>
          <w:rFonts w:ascii="Times New Roman" w:hAnsi="Times New Roman" w:eastAsia="Times New Roman" w:cs="Times New Roman"/>
          <w:color w:val="FF0000"/>
          <w:sz w:val="24"/>
          <w:szCs w:val="24"/>
        </w:rPr>
        <w:t>HJ</w:t>
      </w:r>
      <w:r>
        <w:rPr>
          <w:rFonts w:ascii="Times New Roman" w:hAnsi="Times New Roman" w:eastAsia="Times New Roman" w:cs="Times New Roman"/>
          <w:color w:val="FF0000"/>
          <w:spacing w:val="4"/>
          <w:sz w:val="24"/>
          <w:szCs w:val="24"/>
        </w:rPr>
        <w:t>169-2018</w:t>
      </w:r>
      <w:r>
        <w:rPr>
          <w:color w:val="FF0000"/>
          <w:spacing w:val="-38"/>
          <w:sz w:val="24"/>
          <w:szCs w:val="24"/>
        </w:rPr>
        <w:t>），</w:t>
      </w:r>
      <w:r>
        <w:rPr>
          <w:color w:val="FF0000"/>
          <w:spacing w:val="4"/>
          <w:sz w:val="24"/>
          <w:szCs w:val="24"/>
        </w:rPr>
        <w:t>编制环境风险专项评价，环境</w:t>
      </w:r>
      <w:r>
        <w:rPr>
          <w:color w:val="FF0000"/>
          <w:spacing w:val="7"/>
          <w:sz w:val="24"/>
          <w:szCs w:val="24"/>
        </w:rPr>
        <w:t>风险评价应以突发性事故导致的危险物质环境急性损害防控为目标，对建设项目的环境风险进行分析、预测和评估，提出环境风险预防、控制、减缓措施，明确环境风险监控及应急建</w:t>
      </w:r>
      <w:r>
        <w:rPr>
          <w:color w:val="FF0000"/>
          <w:spacing w:val="9"/>
          <w:sz w:val="24"/>
          <w:szCs w:val="24"/>
        </w:rPr>
        <w:t>议要求，为建设项目环境风险防控提供科学依据。</w:t>
      </w:r>
    </w:p>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firstLine="418"/>
        <w:textAlignment w:val="auto"/>
        <w:rPr>
          <w:color w:val="000000" w:themeColor="text1"/>
          <w:sz w:val="24"/>
          <w:szCs w:val="24"/>
          <w14:textFill>
            <w14:solidFill>
              <w14:schemeClr w14:val="tx1"/>
            </w14:solidFill>
          </w14:textFill>
        </w:rPr>
      </w:pPr>
      <w:r>
        <w:rPr>
          <w:color w:val="FF0000"/>
          <w:spacing w:val="7"/>
          <w:sz w:val="24"/>
          <w:szCs w:val="24"/>
        </w:rPr>
        <w:t>环境风险评价基本内容包括风险调查、环境风险潜势初判、风险识别、风险事故情形分</w:t>
      </w:r>
      <w:r>
        <w:rPr>
          <w:color w:val="FF0000"/>
          <w:spacing w:val="8"/>
          <w:sz w:val="24"/>
          <w:szCs w:val="24"/>
        </w:rPr>
        <w:t>析、风险预测与评价、环境风险管理等。</w:t>
      </w:r>
    </w:p>
    <w:p>
      <w:pPr>
        <w:pStyle w:val="8"/>
        <w:spacing w:line="220" w:lineRule="auto"/>
        <w:ind w:left="0" w:leftChars="0" w:firstLine="0" w:firstLineChars="0"/>
        <w:outlineLvl w:val="0"/>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8"/>
          <w:szCs w:val="28"/>
          <w14:textFill>
            <w14:solidFill>
              <w14:schemeClr w14:val="tx1"/>
            </w14:solidFill>
          </w14:textFill>
        </w:rPr>
        <w:t>2</w:t>
      </w:r>
      <w:r>
        <w:rPr>
          <w:rFonts w:ascii="Times New Roman" w:hAnsi="Times New Roman" w:eastAsia="Times New Roman" w:cs="Times New Roman"/>
          <w:b/>
          <w:bCs/>
          <w:color w:val="000000" w:themeColor="text1"/>
          <w:spacing w:val="10"/>
          <w:sz w:val="28"/>
          <w:szCs w:val="28"/>
          <w14:textFill>
            <w14:solidFill>
              <w14:schemeClr w14:val="tx1"/>
            </w14:solidFill>
          </w14:textFill>
        </w:rPr>
        <w:t xml:space="preserve"> </w:t>
      </w:r>
      <w:r>
        <w:rPr>
          <w:b/>
          <w:bCs/>
          <w:color w:val="000000" w:themeColor="text1"/>
          <w:spacing w:val="-5"/>
          <w:sz w:val="28"/>
          <w:szCs w:val="28"/>
          <w14:textFill>
            <w14:solidFill>
              <w14:schemeClr w14:val="tx1"/>
            </w14:solidFill>
          </w14:textFill>
        </w:rPr>
        <w:t>风险调查</w:t>
      </w:r>
    </w:p>
    <w:p>
      <w:pPr>
        <w:pStyle w:val="8"/>
        <w:spacing w:before="196" w:line="228" w:lineRule="auto"/>
        <w:ind w:left="19"/>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2.1 </w:t>
      </w:r>
      <w:r>
        <w:rPr>
          <w:b/>
          <w:bCs/>
          <w:color w:val="000000" w:themeColor="text1"/>
          <w:spacing w:val="6"/>
          <w:sz w:val="24"/>
          <w:szCs w:val="24"/>
          <w14:textFill>
            <w14:solidFill>
              <w14:schemeClr w14:val="tx1"/>
            </w14:solidFill>
          </w14:textFill>
        </w:rPr>
        <w:t>建设项目风险源调查</w:t>
      </w:r>
    </w:p>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firstLine="423"/>
        <w:jc w:val="both"/>
        <w:textAlignment w:val="auto"/>
        <w:rPr>
          <w:color w:val="000000" w:themeColor="text1"/>
          <w:sz w:val="20"/>
          <w:szCs w:val="20"/>
          <w14:textFill>
            <w14:solidFill>
              <w14:schemeClr w14:val="tx1"/>
            </w14:solidFill>
          </w14:textFill>
        </w:rPr>
      </w:pPr>
      <w:r>
        <w:rPr>
          <w:rFonts w:ascii="Times New Roman" w:hAnsi="Times New Roman" w:eastAsia="宋体" w:cs="Times New Roman"/>
          <w:color w:val="000000" w:themeColor="text1"/>
          <w:spacing w:val="7"/>
          <w:sz w:val="24"/>
          <w:szCs w:val="24"/>
          <w14:textFill>
            <w14:solidFill>
              <w14:schemeClr w14:val="tx1"/>
            </w14:solidFill>
          </w14:textFill>
        </w:rPr>
        <w:t>根据HJ169-2018中附录B表B.1及表B.2中的突发环境事件风险物质，项目涉及危险物质为油类物质，包括</w:t>
      </w:r>
      <w:r>
        <w:rPr>
          <w:rFonts w:hint="eastAsia" w:ascii="Times New Roman" w:hAnsi="Times New Roman" w:eastAsia="宋体" w:cs="Times New Roman"/>
          <w:color w:val="000000" w:themeColor="text1"/>
          <w:spacing w:val="7"/>
          <w:sz w:val="24"/>
          <w:szCs w:val="24"/>
          <w:lang w:val="en-US" w:eastAsia="zh-CN"/>
          <w14:textFill>
            <w14:solidFill>
              <w14:schemeClr w14:val="tx1"/>
            </w14:solidFill>
          </w14:textFill>
        </w:rPr>
        <w:t>汽油组分油</w:t>
      </w:r>
      <w:r>
        <w:rPr>
          <w:rFonts w:ascii="Times New Roman" w:hAnsi="Times New Roman" w:eastAsia="宋体" w:cs="Times New Roman"/>
          <w:color w:val="000000" w:themeColor="text1"/>
          <w:spacing w:val="7"/>
          <w:sz w:val="24"/>
          <w:szCs w:val="24"/>
          <w14:textFill>
            <w14:solidFill>
              <w14:schemeClr w14:val="tx1"/>
            </w14:solidFill>
          </w14:textFill>
        </w:rPr>
        <w:t>、柴油。危险物质数量和分布情况及生产工艺特点见下表。</w:t>
      </w:r>
    </w:p>
    <w:p>
      <w:pPr>
        <w:pStyle w:val="8"/>
        <w:spacing w:line="220" w:lineRule="auto"/>
        <w:ind w:left="20"/>
        <w:jc w:val="center"/>
        <w:rPr>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表</w:t>
      </w:r>
      <w:r>
        <w:rPr>
          <w:color w:val="000000" w:themeColor="text1"/>
          <w:spacing w:val="-41"/>
          <w:sz w:val="18"/>
          <w:szCs w:val="18"/>
          <w14:textFill>
            <w14:solidFill>
              <w14:schemeClr w14:val="tx1"/>
            </w14:solidFill>
          </w14:textFill>
        </w:rPr>
        <w:t xml:space="preserve"> </w:t>
      </w:r>
      <w:r>
        <w:rPr>
          <w:rFonts w:ascii="Times New Roman" w:hAnsi="Times New Roman" w:eastAsia="Times New Roman" w:cs="Times New Roman"/>
          <w:b/>
          <w:bCs/>
          <w:color w:val="000000" w:themeColor="text1"/>
          <w:sz w:val="18"/>
          <w:szCs w:val="18"/>
          <w14:textFill>
            <w14:solidFill>
              <w14:schemeClr w14:val="tx1"/>
            </w14:solidFill>
          </w14:textFill>
        </w:rPr>
        <w:t xml:space="preserve">2-1  </w:t>
      </w:r>
      <w:r>
        <w:rPr>
          <w:b/>
          <w:bCs/>
          <w:color w:val="000000" w:themeColor="text1"/>
          <w:spacing w:val="-1"/>
          <w:sz w:val="18"/>
          <w:szCs w:val="18"/>
          <w14:textFill>
            <w14:solidFill>
              <w14:schemeClr w14:val="tx1"/>
            </w14:solidFill>
          </w14:textFill>
        </w:rPr>
        <w:t>风险源情况调查表</w:t>
      </w:r>
    </w:p>
    <w:p>
      <w:pPr>
        <w:spacing w:line="30" w:lineRule="exact"/>
        <w:rPr>
          <w:color w:val="000000" w:themeColor="text1"/>
          <w14:textFill>
            <w14:solidFill>
              <w14:schemeClr w14:val="tx1"/>
            </w14:solidFill>
          </w14:textFill>
        </w:rPr>
      </w:pPr>
    </w:p>
    <w:tbl>
      <w:tblPr>
        <w:tblStyle w:val="99"/>
        <w:tblW w:w="865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21"/>
        <w:gridCol w:w="2495"/>
        <w:gridCol w:w="880"/>
        <w:gridCol w:w="2495"/>
        <w:gridCol w:w="146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jc w:val="center"/>
        </w:trPr>
        <w:tc>
          <w:tcPr>
            <w:tcW w:w="3816" w:type="dxa"/>
            <w:gridSpan w:val="2"/>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涉及危险物质设施</w:t>
            </w:r>
          </w:p>
        </w:tc>
        <w:tc>
          <w:tcPr>
            <w:tcW w:w="880" w:type="dxa"/>
            <w:vMerge w:val="restart"/>
            <w:tcBorders>
              <w:top w:val="single" w:color="000000" w:sz="10" w:space="0"/>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工艺</w:t>
            </w:r>
          </w:p>
        </w:tc>
        <w:tc>
          <w:tcPr>
            <w:tcW w:w="3963" w:type="dxa"/>
            <w:gridSpan w:val="2"/>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涉及危险物质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1321"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名称</w:t>
            </w:r>
          </w:p>
        </w:tc>
        <w:tc>
          <w:tcPr>
            <w:tcW w:w="2495"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规模</w:t>
            </w:r>
          </w:p>
        </w:tc>
        <w:tc>
          <w:tcPr>
            <w:tcW w:w="880" w:type="dxa"/>
            <w:vMerge w:val="continue"/>
            <w:tcBorders>
              <w:top w:val="nil"/>
            </w:tcBorders>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495"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名称</w:t>
            </w:r>
          </w:p>
        </w:tc>
        <w:tc>
          <w:tcPr>
            <w:tcW w:w="1468" w:type="dxa"/>
            <w:tcBorders>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最大存在总量</w:t>
            </w:r>
            <w:r>
              <w:rPr>
                <w:rFonts w:hint="default" w:ascii="Times New Roman" w:hAnsi="Times New Roman" w:eastAsia="Times New Roman" w:cs="Times New Roman"/>
                <w:color w:val="000000" w:themeColor="text1"/>
                <w:spacing w:val="-2"/>
                <w:sz w:val="21"/>
                <w:szCs w:val="21"/>
                <w14:textFill>
                  <w14:solidFill>
                    <w14:schemeClr w14:val="tx1"/>
                  </w14:solidFill>
                </w14:textFill>
              </w:rPr>
              <w:t>/t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jc w:val="center"/>
        </w:trPr>
        <w:tc>
          <w:tcPr>
            <w:tcW w:w="1321" w:type="dxa"/>
            <w:vMerge w:val="restart"/>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lang w:val="en-US" w:eastAsia="zh-CN"/>
                <w14:textFill>
                  <w14:solidFill>
                    <w14:schemeClr w14:val="tx1"/>
                  </w14:solidFill>
                </w14:textFill>
              </w:rPr>
              <w:t>罐区一</w:t>
            </w:r>
          </w:p>
        </w:tc>
        <w:tc>
          <w:tcPr>
            <w:tcW w:w="2495"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pacing w:val="-3"/>
                <w:sz w:val="21"/>
                <w:szCs w:val="21"/>
                <w:lang w:val="en-US" w:eastAsia="zh-CN"/>
                <w14:textFill>
                  <w14:solidFill>
                    <w14:schemeClr w14:val="tx1"/>
                  </w14:solidFill>
                </w14:textFill>
              </w:rPr>
              <w:t>3</w:t>
            </w:r>
            <w:r>
              <w:rPr>
                <w:rFonts w:hint="default" w:ascii="Times New Roman" w:hAnsi="Times New Roman" w:cs="Times New Roman"/>
                <w:color w:val="000000" w:themeColor="text1"/>
                <w:spacing w:val="-3"/>
                <w:sz w:val="21"/>
                <w:szCs w:val="21"/>
                <w14:textFill>
                  <w14:solidFill>
                    <w14:schemeClr w14:val="tx1"/>
                  </w14:solidFill>
                </w14:textFill>
              </w:rPr>
              <w:t>座</w:t>
            </w:r>
            <w:r>
              <w:rPr>
                <w:rFonts w:hint="default" w:ascii="Times New Roman" w:hAnsi="Times New Roman" w:eastAsia="Times New Roman" w:cs="Times New Roman"/>
                <w:color w:val="000000" w:themeColor="text1"/>
                <w:spacing w:val="-3"/>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3"/>
                <w:sz w:val="21"/>
                <w:szCs w:val="21"/>
                <w14:textFill>
                  <w14:solidFill>
                    <w14:schemeClr w14:val="tx1"/>
                  </w14:solidFill>
                </w14:textFill>
              </w:rPr>
              <w:t>000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m³柴油</w:t>
            </w:r>
            <w:r>
              <w:rPr>
                <w:rFonts w:hint="default" w:ascii="Times New Roman" w:hAnsi="Times New Roman" w:cs="Times New Roman"/>
                <w:color w:val="000000" w:themeColor="text1"/>
                <w:spacing w:val="-3"/>
                <w:sz w:val="21"/>
                <w:szCs w:val="21"/>
                <w14:textFill>
                  <w14:solidFill>
                    <w14:schemeClr w14:val="tx1"/>
                  </w14:solidFill>
                </w14:textFill>
              </w:rPr>
              <w:t>内浮顶储罐</w:t>
            </w:r>
            <w:r>
              <w:rPr>
                <w:rFonts w:hint="default" w:ascii="Times New Roman" w:hAnsi="Times New Roman" w:cs="Times New Roman"/>
                <w:color w:val="000000" w:themeColor="text1"/>
                <w:spacing w:val="-3"/>
                <w:sz w:val="21"/>
                <w:szCs w:val="21"/>
                <w:lang w:eastAsia="zh-CN"/>
                <w14:textFill>
                  <w14:solidFill>
                    <w14:schemeClr w14:val="tx1"/>
                  </w14:solidFill>
                </w14:textFill>
              </w:rPr>
              <w:t>、</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2</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座1</w:t>
            </w:r>
            <w:r>
              <w:rPr>
                <w:rFonts w:hint="default" w:ascii="Times New Roman" w:hAnsi="Times New Roman" w:eastAsia="Times New Roman" w:cs="Times New Roman"/>
                <w:color w:val="000000" w:themeColor="text1"/>
                <w:spacing w:val="-3"/>
                <w:sz w:val="21"/>
                <w:szCs w:val="21"/>
                <w14:textFill>
                  <w14:solidFill>
                    <w14:schemeClr w14:val="tx1"/>
                  </w14:solidFill>
                </w14:textFill>
              </w:rPr>
              <w:t>000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m³柴油</w:t>
            </w:r>
            <w:r>
              <w:rPr>
                <w:rFonts w:hint="default" w:ascii="Times New Roman" w:hAnsi="Times New Roman" w:cs="Times New Roman"/>
                <w:color w:val="000000" w:themeColor="text1"/>
                <w:spacing w:val="-3"/>
                <w:sz w:val="21"/>
                <w:szCs w:val="21"/>
                <w14:textFill>
                  <w14:solidFill>
                    <w14:schemeClr w14:val="tx1"/>
                  </w14:solidFill>
                </w14:textFill>
              </w:rPr>
              <w:t>内浮顶储罐</w:t>
            </w:r>
            <w:r>
              <w:rPr>
                <w:rFonts w:hint="default" w:ascii="Times New Roman" w:hAnsi="Times New Roman" w:cs="Times New Roman"/>
                <w:color w:val="000000" w:themeColor="text1"/>
                <w:spacing w:val="-3"/>
                <w:sz w:val="21"/>
                <w:szCs w:val="21"/>
                <w:lang w:eastAsia="zh-CN"/>
                <w14:textFill>
                  <w14:solidFill>
                    <w14:schemeClr w14:val="tx1"/>
                  </w14:solidFill>
                </w14:textFill>
              </w:rPr>
              <w:t>、</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1座500m³汽油</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组分油</w:t>
            </w:r>
            <w:r>
              <w:rPr>
                <w:rFonts w:hint="default" w:ascii="Times New Roman" w:hAnsi="Times New Roman" w:cs="Times New Roman"/>
                <w:color w:val="000000" w:themeColor="text1"/>
                <w:spacing w:val="-3"/>
                <w:sz w:val="21"/>
                <w:szCs w:val="21"/>
                <w14:textFill>
                  <w14:solidFill>
                    <w14:schemeClr w14:val="tx1"/>
                  </w14:solidFill>
                </w14:textFill>
              </w:rPr>
              <w:t>内浮顶储罐</w:t>
            </w:r>
            <w:r>
              <w:rPr>
                <w:rFonts w:hint="default" w:ascii="Times New Roman" w:hAnsi="Times New Roman" w:cs="Times New Roman"/>
                <w:color w:val="000000" w:themeColor="text1"/>
                <w:spacing w:val="-3"/>
                <w:sz w:val="21"/>
                <w:szCs w:val="21"/>
                <w:lang w:eastAsia="zh-CN"/>
                <w14:textFill>
                  <w14:solidFill>
                    <w14:schemeClr w14:val="tx1"/>
                  </w14:solidFill>
                </w14:textFill>
              </w:rPr>
              <w:t>、</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1座</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5</w:t>
            </w:r>
            <w:r>
              <w:rPr>
                <w:rFonts w:hint="default" w:ascii="Times New Roman" w:hAnsi="Times New Roman" w:eastAsia="Times New Roman" w:cs="Times New Roman"/>
                <w:color w:val="000000" w:themeColor="text1"/>
                <w:spacing w:val="-3"/>
                <w:sz w:val="21"/>
                <w:szCs w:val="21"/>
                <w14:textFill>
                  <w14:solidFill>
                    <w14:schemeClr w14:val="tx1"/>
                  </w14:solidFill>
                </w14:textFill>
              </w:rPr>
              <w:t>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m³柴油</w:t>
            </w:r>
            <w:r>
              <w:rPr>
                <w:rFonts w:hint="default" w:ascii="Times New Roman" w:hAnsi="Times New Roman" w:cs="Times New Roman"/>
                <w:color w:val="000000" w:themeColor="text1"/>
                <w:spacing w:val="-3"/>
                <w:sz w:val="21"/>
                <w:szCs w:val="21"/>
                <w14:textFill>
                  <w14:solidFill>
                    <w14:schemeClr w14:val="tx1"/>
                  </w14:solidFill>
                </w14:textFill>
              </w:rPr>
              <w:t>内浮顶储罐</w:t>
            </w:r>
          </w:p>
        </w:tc>
        <w:tc>
          <w:tcPr>
            <w:tcW w:w="880"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贮存</w:t>
            </w:r>
          </w:p>
        </w:tc>
        <w:tc>
          <w:tcPr>
            <w:tcW w:w="2495"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油类物质（</w:t>
            </w:r>
            <w:r>
              <w:rPr>
                <w:rFonts w:hint="default" w:ascii="Times New Roman" w:hAnsi="Times New Roman" w:cs="Times New Roman"/>
                <w:color w:val="000000" w:themeColor="text1"/>
                <w:spacing w:val="-6"/>
                <w:sz w:val="21"/>
                <w:szCs w:val="21"/>
                <w:lang w:val="en-US" w:eastAsia="zh-CN"/>
                <w14:textFill>
                  <w14:solidFill>
                    <w14:schemeClr w14:val="tx1"/>
                  </w14:solidFill>
                </w14:textFill>
              </w:rPr>
              <w:t>柴油</w:t>
            </w:r>
            <w:r>
              <w:rPr>
                <w:rFonts w:hint="default" w:ascii="Times New Roman" w:hAnsi="Times New Roman" w:cs="Times New Roman"/>
                <w:color w:val="000000" w:themeColor="text1"/>
                <w:spacing w:val="-2"/>
                <w:sz w:val="21"/>
                <w:szCs w:val="21"/>
                <w14:textFill>
                  <w14:solidFill>
                    <w14:schemeClr w14:val="tx1"/>
                  </w14:solidFill>
                </w14:textFill>
              </w:rPr>
              <w:t>）</w:t>
            </w:r>
          </w:p>
        </w:tc>
        <w:tc>
          <w:tcPr>
            <w:tcW w:w="1468"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pacing w:val="-1"/>
                <w:sz w:val="21"/>
                <w:szCs w:val="21"/>
                <w:lang w:val="en-US" w:eastAsia="zh-CN"/>
                <w14:textFill>
                  <w14:solidFill>
                    <w14:schemeClr w14:val="tx1"/>
                  </w14:solidFill>
                </w14:textFill>
              </w:rPr>
              <w:t>6069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jc w:val="center"/>
        </w:trPr>
        <w:tc>
          <w:tcPr>
            <w:tcW w:w="1321" w:type="dxa"/>
            <w:vMerge w:val="continue"/>
            <w:tcBorders>
              <w:left w:val="nil"/>
            </w:tcBorders>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14:textFill>
                  <w14:solidFill>
                    <w14:schemeClr w14:val="tx1"/>
                  </w14:solidFill>
                </w14:textFill>
              </w:rPr>
            </w:pPr>
          </w:p>
        </w:tc>
        <w:tc>
          <w:tcPr>
            <w:tcW w:w="2495"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14:textFill>
                  <w14:solidFill>
                    <w14:schemeClr w14:val="tx1"/>
                  </w14:solidFill>
                </w14:textFill>
              </w:rPr>
            </w:pPr>
          </w:p>
        </w:tc>
        <w:tc>
          <w:tcPr>
            <w:tcW w:w="880"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14:textFill>
                  <w14:solidFill>
                    <w14:schemeClr w14:val="tx1"/>
                  </w14:solidFill>
                </w14:textFill>
              </w:rPr>
            </w:pPr>
          </w:p>
        </w:tc>
        <w:tc>
          <w:tcPr>
            <w:tcW w:w="2495"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pacing w:val="-6"/>
                <w:sz w:val="21"/>
                <w:szCs w:val="21"/>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油类物质（</w:t>
            </w:r>
            <w:r>
              <w:rPr>
                <w:rFonts w:hint="default" w:ascii="Times New Roman" w:hAnsi="Times New Roman" w:cs="Times New Roman"/>
                <w:color w:val="000000" w:themeColor="text1"/>
                <w:spacing w:val="-6"/>
                <w:sz w:val="21"/>
                <w:szCs w:val="21"/>
                <w:lang w:val="en-US" w:eastAsia="zh-CN"/>
                <w14:textFill>
                  <w14:solidFill>
                    <w14:schemeClr w14:val="tx1"/>
                  </w14:solidFill>
                </w14:textFill>
              </w:rPr>
              <w:t>汽油组分油</w:t>
            </w:r>
            <w:r>
              <w:rPr>
                <w:rFonts w:hint="default" w:ascii="Times New Roman" w:hAnsi="Times New Roman" w:cs="Times New Roman"/>
                <w:color w:val="000000" w:themeColor="text1"/>
                <w:spacing w:val="-2"/>
                <w:sz w:val="21"/>
                <w:szCs w:val="21"/>
                <w14:textFill>
                  <w14:solidFill>
                    <w14:schemeClr w14:val="tx1"/>
                  </w14:solidFill>
                </w14:textFill>
              </w:rPr>
              <w:t>）</w:t>
            </w:r>
          </w:p>
        </w:tc>
        <w:tc>
          <w:tcPr>
            <w:tcW w:w="1468"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cs="Times New Roman"/>
                <w:color w:val="000000" w:themeColor="text1"/>
                <w:spacing w:val="-6"/>
                <w:sz w:val="21"/>
                <w:szCs w:val="21"/>
                <w:lang w:val="en-US" w:eastAsia="zh-CN"/>
                <w14:textFill>
                  <w14:solidFill>
                    <w14:schemeClr w14:val="tx1"/>
                  </w14:solidFill>
                </w14:textFill>
              </w:rPr>
              <w:t>318.75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2" w:hRule="atLeast"/>
          <w:jc w:val="center"/>
        </w:trPr>
        <w:tc>
          <w:tcPr>
            <w:tcW w:w="1321"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罐区</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二</w:t>
            </w:r>
          </w:p>
        </w:tc>
        <w:tc>
          <w:tcPr>
            <w:tcW w:w="2495"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lang w:val="en-US" w:eastAsia="zh-CN"/>
                <w14:textFill>
                  <w14:solidFill>
                    <w14:schemeClr w14:val="tx1"/>
                  </w14:solidFill>
                </w14:textFill>
              </w:rPr>
              <w:t>6</w:t>
            </w:r>
            <w:r>
              <w:rPr>
                <w:rFonts w:hint="default" w:ascii="Times New Roman" w:hAnsi="Times New Roman" w:cs="Times New Roman"/>
                <w:color w:val="000000" w:themeColor="text1"/>
                <w:spacing w:val="-3"/>
                <w:sz w:val="21"/>
                <w:szCs w:val="21"/>
                <w14:textFill>
                  <w14:solidFill>
                    <w14:schemeClr w14:val="tx1"/>
                  </w14:solidFill>
                </w14:textFill>
              </w:rPr>
              <w:t>座</w:t>
            </w:r>
            <w:r>
              <w:rPr>
                <w:rFonts w:hint="default" w:ascii="Times New Roman" w:hAnsi="Times New Roman" w:eastAsia="Times New Roman" w:cs="Times New Roman"/>
                <w:color w:val="000000" w:themeColor="text1"/>
                <w:spacing w:val="-3"/>
                <w:sz w:val="21"/>
                <w:szCs w:val="21"/>
                <w:lang w:val="en-US" w:eastAsia="zh-CN"/>
                <w14:textFill>
                  <w14:solidFill>
                    <w14:schemeClr w14:val="tx1"/>
                  </w14:solidFill>
                </w14:textFill>
              </w:rPr>
              <w:t>2000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m³柴油</w:t>
            </w:r>
            <w:r>
              <w:rPr>
                <w:rFonts w:hint="default" w:ascii="Times New Roman" w:hAnsi="Times New Roman" w:cs="Times New Roman"/>
                <w:color w:val="000000" w:themeColor="text1"/>
                <w:spacing w:val="-3"/>
                <w:sz w:val="21"/>
                <w:szCs w:val="21"/>
                <w14:textFill>
                  <w14:solidFill>
                    <w14:schemeClr w14:val="tx1"/>
                  </w14:solidFill>
                </w14:textFill>
              </w:rPr>
              <w:t>内浮顶储罐</w:t>
            </w:r>
          </w:p>
        </w:tc>
        <w:tc>
          <w:tcPr>
            <w:tcW w:w="880"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贮存</w:t>
            </w:r>
          </w:p>
        </w:tc>
        <w:tc>
          <w:tcPr>
            <w:tcW w:w="2495"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6"/>
                <w:sz w:val="21"/>
                <w:szCs w:val="21"/>
                <w14:textFill>
                  <w14:solidFill>
                    <w14:schemeClr w14:val="tx1"/>
                  </w14:solidFill>
                </w14:textFill>
              </w:rPr>
              <w:t>油类物质（</w:t>
            </w:r>
            <w:r>
              <w:rPr>
                <w:rFonts w:hint="default" w:ascii="Times New Roman" w:hAnsi="Times New Roman" w:cs="Times New Roman"/>
                <w:color w:val="000000" w:themeColor="text1"/>
                <w:spacing w:val="-6"/>
                <w:sz w:val="21"/>
                <w:szCs w:val="21"/>
                <w:lang w:val="en-US" w:eastAsia="zh-CN"/>
                <w14:textFill>
                  <w14:solidFill>
                    <w14:schemeClr w14:val="tx1"/>
                  </w14:solidFill>
                </w14:textFill>
              </w:rPr>
              <w:t>柴油</w:t>
            </w:r>
            <w:r>
              <w:rPr>
                <w:rFonts w:hint="default" w:ascii="Times New Roman" w:hAnsi="Times New Roman" w:cs="Times New Roman"/>
                <w:color w:val="000000" w:themeColor="text1"/>
                <w:spacing w:val="-2"/>
                <w:sz w:val="21"/>
                <w:szCs w:val="21"/>
                <w14:textFill>
                  <w14:solidFill>
                    <w14:schemeClr w14:val="tx1"/>
                  </w14:solidFill>
                </w14:textFill>
              </w:rPr>
              <w:t>）</w:t>
            </w:r>
          </w:p>
        </w:tc>
        <w:tc>
          <w:tcPr>
            <w:tcW w:w="1468"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8568</w:t>
            </w:r>
          </w:p>
        </w:tc>
      </w:tr>
    </w:tbl>
    <w:p>
      <w:pPr>
        <w:pStyle w:val="8"/>
        <w:spacing w:before="20" w:line="219" w:lineRule="auto"/>
        <w:ind w:left="21"/>
        <w:rPr>
          <w:rFonts w:hint="eastAsia" w:eastAsia="宋体"/>
          <w:color w:val="000000" w:themeColor="text1"/>
          <w:sz w:val="18"/>
          <w:szCs w:val="18"/>
          <w:lang w:eastAsia="zh-CN"/>
          <w14:textFill>
            <w14:solidFill>
              <w14:schemeClr w14:val="tx1"/>
            </w14:solidFill>
          </w14:textFill>
        </w:rPr>
      </w:pPr>
      <w:r>
        <w:rPr>
          <w:b/>
          <w:bCs/>
          <w:color w:val="000000" w:themeColor="text1"/>
          <w:spacing w:val="-1"/>
          <w:sz w:val="18"/>
          <w:szCs w:val="18"/>
          <w14:textFill>
            <w14:solidFill>
              <w14:schemeClr w14:val="tx1"/>
            </w14:solidFill>
          </w14:textFill>
        </w:rPr>
        <w:t>注：</w:t>
      </w:r>
      <w:r>
        <w:rPr>
          <w:rFonts w:hint="eastAsia"/>
          <w:b/>
          <w:bCs/>
          <w:color w:val="000000" w:themeColor="text1"/>
          <w:spacing w:val="-1"/>
          <w:sz w:val="18"/>
          <w:szCs w:val="18"/>
          <w:lang w:val="en-US" w:eastAsia="zh-CN"/>
          <w14:textFill>
            <w14:solidFill>
              <w14:schemeClr w14:val="tx1"/>
            </w14:solidFill>
          </w14:textFill>
        </w:rPr>
        <w:t>柴油</w:t>
      </w:r>
      <w:r>
        <w:rPr>
          <w:b/>
          <w:bCs/>
          <w:color w:val="000000" w:themeColor="text1"/>
          <w:spacing w:val="-1"/>
          <w:sz w:val="18"/>
          <w:szCs w:val="18"/>
          <w14:textFill>
            <w14:solidFill>
              <w14:schemeClr w14:val="tx1"/>
            </w14:solidFill>
          </w14:textFill>
        </w:rPr>
        <w:t>密度</w:t>
      </w:r>
      <w:r>
        <w:rPr>
          <w:b/>
          <w:bCs/>
          <w:color w:val="000000" w:themeColor="text1"/>
          <w:spacing w:val="-2"/>
          <w:sz w:val="18"/>
          <w:szCs w:val="18"/>
          <w14:textFill>
            <w14:solidFill>
              <w14:schemeClr w14:val="tx1"/>
            </w14:solidFill>
          </w14:textFill>
        </w:rPr>
        <w:t>按</w:t>
      </w:r>
      <w:r>
        <w:rPr>
          <w:color w:val="000000" w:themeColor="text1"/>
          <w:spacing w:val="-36"/>
          <w:sz w:val="18"/>
          <w:szCs w:val="18"/>
          <w14:textFill>
            <w14:solidFill>
              <w14:schemeClr w14:val="tx1"/>
            </w14:solidFill>
          </w14:textFill>
        </w:rPr>
        <w:t xml:space="preserve"> </w:t>
      </w:r>
      <w:r>
        <w:rPr>
          <w:rFonts w:ascii="Times New Roman" w:hAnsi="Times New Roman" w:eastAsia="Times New Roman" w:cs="Times New Roman"/>
          <w:b/>
          <w:bCs/>
          <w:color w:val="000000" w:themeColor="text1"/>
          <w:spacing w:val="-2"/>
          <w:sz w:val="18"/>
          <w:szCs w:val="18"/>
          <w14:textFill>
            <w14:solidFill>
              <w14:schemeClr w14:val="tx1"/>
            </w14:solidFill>
          </w14:textFill>
        </w:rPr>
        <w:t>0.</w:t>
      </w:r>
      <w:r>
        <w:rPr>
          <w:rFonts w:hint="eastAsia" w:ascii="Times New Roman" w:hAnsi="Times New Roman" w:eastAsia="宋体" w:cs="Times New Roman"/>
          <w:b/>
          <w:bCs/>
          <w:color w:val="000000" w:themeColor="text1"/>
          <w:spacing w:val="-2"/>
          <w:sz w:val="18"/>
          <w:szCs w:val="18"/>
          <w:lang w:val="en-US" w:eastAsia="zh-CN"/>
          <w14:textFill>
            <w14:solidFill>
              <w14:schemeClr w14:val="tx1"/>
            </w14:solidFill>
          </w14:textFill>
        </w:rPr>
        <w:t>84</w:t>
      </w:r>
      <w:r>
        <w:rPr>
          <w:rFonts w:ascii="Times New Roman" w:hAnsi="Times New Roman" w:eastAsia="Times New Roman" w:cs="Times New Roman"/>
          <w:b/>
          <w:bCs/>
          <w:color w:val="000000" w:themeColor="text1"/>
          <w:spacing w:val="-2"/>
          <w:sz w:val="18"/>
          <w:szCs w:val="18"/>
          <w14:textFill>
            <w14:solidFill>
              <w14:schemeClr w14:val="tx1"/>
            </w14:solidFill>
          </w14:textFill>
        </w:rPr>
        <w:t>t/m</w:t>
      </w:r>
      <w:r>
        <w:rPr>
          <w:rFonts w:ascii="Times New Roman" w:hAnsi="Times New Roman" w:eastAsia="Times New Roman" w:cs="Times New Roman"/>
          <w:b/>
          <w:bCs/>
          <w:color w:val="000000" w:themeColor="text1"/>
          <w:spacing w:val="-2"/>
          <w:position w:val="5"/>
          <w:sz w:val="11"/>
          <w:szCs w:val="11"/>
          <w14:textFill>
            <w14:solidFill>
              <w14:schemeClr w14:val="tx1"/>
            </w14:solidFill>
          </w14:textFill>
        </w:rPr>
        <w:t>3</w:t>
      </w:r>
      <w:r>
        <w:rPr>
          <w:b/>
          <w:bCs/>
          <w:color w:val="000000" w:themeColor="text1"/>
          <w:spacing w:val="-2"/>
          <w:sz w:val="18"/>
          <w:szCs w:val="18"/>
          <w14:textFill>
            <w14:solidFill>
              <w14:schemeClr w14:val="tx1"/>
            </w14:solidFill>
          </w14:textFill>
        </w:rPr>
        <w:t>计</w:t>
      </w:r>
      <w:r>
        <w:rPr>
          <w:rFonts w:hint="eastAsia"/>
          <w:b/>
          <w:bCs/>
          <w:color w:val="000000" w:themeColor="text1"/>
          <w:spacing w:val="-2"/>
          <w:sz w:val="18"/>
          <w:szCs w:val="18"/>
          <w:lang w:eastAsia="zh-CN"/>
          <w14:textFill>
            <w14:solidFill>
              <w14:schemeClr w14:val="tx1"/>
            </w14:solidFill>
          </w14:textFill>
        </w:rPr>
        <w:t>、</w:t>
      </w:r>
      <w:r>
        <w:rPr>
          <w:rFonts w:hint="eastAsia"/>
          <w:b/>
          <w:bCs/>
          <w:color w:val="000000" w:themeColor="text1"/>
          <w:spacing w:val="-2"/>
          <w:sz w:val="18"/>
          <w:szCs w:val="18"/>
          <w:lang w:val="en-US" w:eastAsia="zh-CN"/>
          <w14:textFill>
            <w14:solidFill>
              <w14:schemeClr w14:val="tx1"/>
            </w14:solidFill>
          </w14:textFill>
        </w:rPr>
        <w:t>汽油组分油密度按</w:t>
      </w:r>
      <w:r>
        <w:rPr>
          <w:color w:val="000000" w:themeColor="text1"/>
          <w:spacing w:val="-36"/>
          <w:sz w:val="18"/>
          <w:szCs w:val="18"/>
          <w14:textFill>
            <w14:solidFill>
              <w14:schemeClr w14:val="tx1"/>
            </w14:solidFill>
          </w14:textFill>
        </w:rPr>
        <w:t xml:space="preserve"> </w:t>
      </w:r>
      <w:r>
        <w:rPr>
          <w:rFonts w:ascii="Times New Roman" w:hAnsi="Times New Roman" w:eastAsia="Times New Roman" w:cs="Times New Roman"/>
          <w:b/>
          <w:bCs/>
          <w:color w:val="000000" w:themeColor="text1"/>
          <w:spacing w:val="-2"/>
          <w:sz w:val="18"/>
          <w:szCs w:val="18"/>
          <w14:textFill>
            <w14:solidFill>
              <w14:schemeClr w14:val="tx1"/>
            </w14:solidFill>
          </w14:textFill>
        </w:rPr>
        <w:t>0.</w:t>
      </w:r>
      <w:r>
        <w:rPr>
          <w:rFonts w:hint="eastAsia" w:ascii="Times New Roman" w:hAnsi="Times New Roman" w:eastAsia="宋体" w:cs="Times New Roman"/>
          <w:b/>
          <w:bCs/>
          <w:color w:val="000000" w:themeColor="text1"/>
          <w:spacing w:val="-2"/>
          <w:sz w:val="18"/>
          <w:szCs w:val="18"/>
          <w:lang w:val="en-US" w:eastAsia="zh-CN"/>
          <w14:textFill>
            <w14:solidFill>
              <w14:schemeClr w14:val="tx1"/>
            </w14:solidFill>
          </w14:textFill>
        </w:rPr>
        <w:t>75</w:t>
      </w:r>
      <w:r>
        <w:rPr>
          <w:rFonts w:ascii="Times New Roman" w:hAnsi="Times New Roman" w:eastAsia="Times New Roman" w:cs="Times New Roman"/>
          <w:b/>
          <w:bCs/>
          <w:color w:val="000000" w:themeColor="text1"/>
          <w:spacing w:val="-2"/>
          <w:sz w:val="18"/>
          <w:szCs w:val="18"/>
          <w14:textFill>
            <w14:solidFill>
              <w14:schemeClr w14:val="tx1"/>
            </w14:solidFill>
          </w14:textFill>
        </w:rPr>
        <w:t>t/</w:t>
      </w:r>
      <w:r>
        <w:rPr>
          <w:rFonts w:hint="eastAsia" w:ascii="Times New Roman" w:hAnsi="Times New Roman" w:eastAsia="宋体" w:cs="Times New Roman"/>
          <w:b/>
          <w:bCs/>
          <w:color w:val="000000" w:themeColor="text1"/>
          <w:spacing w:val="-2"/>
          <w:sz w:val="18"/>
          <w:szCs w:val="18"/>
          <w:lang w:val="en-US" w:eastAsia="zh-CN"/>
          <w14:textFill>
            <w14:solidFill>
              <w14:schemeClr w14:val="tx1"/>
            </w14:solidFill>
          </w14:textFill>
        </w:rPr>
        <w:t>m³计</w:t>
      </w:r>
      <w:r>
        <w:rPr>
          <w:b/>
          <w:bCs/>
          <w:color w:val="000000" w:themeColor="text1"/>
          <w:spacing w:val="-2"/>
          <w:sz w:val="18"/>
          <w:szCs w:val="18"/>
          <w14:textFill>
            <w14:solidFill>
              <w14:schemeClr w14:val="tx1"/>
            </w14:solidFill>
          </w14:textFill>
        </w:rPr>
        <w:t>；罐区储罐存储系数按</w:t>
      </w:r>
      <w:r>
        <w:rPr>
          <w:color w:val="000000" w:themeColor="text1"/>
          <w:spacing w:val="-38"/>
          <w:sz w:val="18"/>
          <w:szCs w:val="18"/>
          <w14:textFill>
            <w14:solidFill>
              <w14:schemeClr w14:val="tx1"/>
            </w14:solidFill>
          </w14:textFill>
        </w:rPr>
        <w:t xml:space="preserve"> </w:t>
      </w:r>
      <w:r>
        <w:rPr>
          <w:rFonts w:ascii="Times New Roman" w:hAnsi="Times New Roman" w:eastAsia="Times New Roman" w:cs="Times New Roman"/>
          <w:b/>
          <w:bCs/>
          <w:color w:val="000000" w:themeColor="text1"/>
          <w:spacing w:val="-2"/>
          <w:sz w:val="18"/>
          <w:szCs w:val="18"/>
          <w14:textFill>
            <w14:solidFill>
              <w14:schemeClr w14:val="tx1"/>
            </w14:solidFill>
          </w14:textFill>
        </w:rPr>
        <w:t>0.</w:t>
      </w:r>
      <w:r>
        <w:rPr>
          <w:rFonts w:hint="eastAsia" w:ascii="Times New Roman" w:hAnsi="Times New Roman" w:eastAsia="宋体" w:cs="Times New Roman"/>
          <w:b/>
          <w:bCs/>
          <w:color w:val="000000" w:themeColor="text1"/>
          <w:spacing w:val="-2"/>
          <w:sz w:val="18"/>
          <w:szCs w:val="18"/>
          <w:lang w:val="en-US" w:eastAsia="zh-CN"/>
          <w14:textFill>
            <w14:solidFill>
              <w14:schemeClr w14:val="tx1"/>
            </w14:solidFill>
          </w14:textFill>
        </w:rPr>
        <w:t>85</w:t>
      </w:r>
      <w:r>
        <w:rPr>
          <w:b/>
          <w:bCs/>
          <w:color w:val="000000" w:themeColor="text1"/>
          <w:spacing w:val="-2"/>
          <w:sz w:val="18"/>
          <w:szCs w:val="18"/>
          <w14:textFill>
            <w14:solidFill>
              <w14:schemeClr w14:val="tx1"/>
            </w14:solidFill>
          </w14:textFill>
        </w:rPr>
        <w:t>计</w:t>
      </w:r>
      <w:r>
        <w:rPr>
          <w:rFonts w:hint="eastAsia"/>
          <w:b/>
          <w:bCs/>
          <w:color w:val="000000" w:themeColor="text1"/>
          <w:spacing w:val="-2"/>
          <w:sz w:val="18"/>
          <w:szCs w:val="18"/>
          <w:lang w:eastAsia="zh-CN"/>
          <w14:textFill>
            <w14:solidFill>
              <w14:schemeClr w14:val="tx1"/>
            </w14:solidFill>
          </w14:textFill>
        </w:rPr>
        <w:t>。</w:t>
      </w:r>
    </w:p>
    <w:p>
      <w:pPr>
        <w:pStyle w:val="8"/>
        <w:spacing w:before="120" w:line="228" w:lineRule="auto"/>
        <w:ind w:left="19"/>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2.2 </w:t>
      </w:r>
      <w:r>
        <w:rPr>
          <w:b/>
          <w:bCs/>
          <w:color w:val="000000" w:themeColor="text1"/>
          <w:spacing w:val="6"/>
          <w:sz w:val="24"/>
          <w:szCs w:val="24"/>
          <w14:textFill>
            <w14:solidFill>
              <w14:schemeClr w14:val="tx1"/>
            </w14:solidFill>
          </w14:textFill>
        </w:rPr>
        <w:t>环境敏感目标调查</w:t>
      </w:r>
    </w:p>
    <w:p>
      <w:pPr>
        <w:pStyle w:val="8"/>
        <w:spacing w:before="222" w:line="227" w:lineRule="auto"/>
        <w:ind w:left="445"/>
        <w:rPr>
          <w:color w:val="000000" w:themeColor="text1"/>
          <w:sz w:val="20"/>
          <w:szCs w:val="20"/>
          <w14:textFill>
            <w14:solidFill>
              <w14:schemeClr w14:val="tx1"/>
            </w14:solidFill>
          </w14:textFill>
        </w:rPr>
      </w:pPr>
      <w:r>
        <w:rPr>
          <w:color w:val="000000" w:themeColor="text1"/>
          <w:spacing w:val="8"/>
          <w:sz w:val="24"/>
          <w:szCs w:val="24"/>
          <w14:textFill>
            <w14:solidFill>
              <w14:schemeClr w14:val="tx1"/>
            </w14:solidFill>
          </w14:textFill>
        </w:rPr>
        <w:t>项目环境敏感见下表，环境敏感目标位置图见附图</w:t>
      </w:r>
      <w:r>
        <w:rPr>
          <w:rFonts w:hint="eastAsia"/>
          <w:color w:val="000000" w:themeColor="text1"/>
          <w:spacing w:val="-28"/>
          <w:sz w:val="24"/>
          <w:szCs w:val="24"/>
          <w:lang w:val="en-US" w:eastAsia="zh-CN"/>
          <w14:textFill>
            <w14:solidFill>
              <w14:schemeClr w14:val="tx1"/>
            </w14:solidFill>
          </w14:textFill>
        </w:rPr>
        <w:t>9</w:t>
      </w:r>
      <w:r>
        <w:rPr>
          <w:color w:val="000000" w:themeColor="text1"/>
          <w:spacing w:val="8"/>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表</w:t>
      </w:r>
      <w:r>
        <w:rPr>
          <w:color w:val="000000" w:themeColor="text1"/>
          <w:spacing w:val="-40"/>
          <w:sz w:val="18"/>
          <w:szCs w:val="18"/>
          <w14:textFill>
            <w14:solidFill>
              <w14:schemeClr w14:val="tx1"/>
            </w14:solidFill>
          </w14:textFill>
        </w:rPr>
        <w:t xml:space="preserve"> </w:t>
      </w:r>
      <w:r>
        <w:rPr>
          <w:rFonts w:ascii="Times New Roman" w:hAnsi="Times New Roman" w:eastAsia="Times New Roman" w:cs="Times New Roman"/>
          <w:b/>
          <w:bCs/>
          <w:color w:val="000000" w:themeColor="text1"/>
          <w:sz w:val="18"/>
          <w:szCs w:val="18"/>
          <w14:textFill>
            <w14:solidFill>
              <w14:schemeClr w14:val="tx1"/>
            </w14:solidFill>
          </w14:textFill>
        </w:rPr>
        <w:t xml:space="preserve">2-2 </w:t>
      </w:r>
      <w:r>
        <w:rPr>
          <w:b/>
          <w:bCs/>
          <w:color w:val="000000" w:themeColor="text1"/>
          <w:spacing w:val="-1"/>
          <w:sz w:val="18"/>
          <w:szCs w:val="18"/>
          <w14:textFill>
            <w14:solidFill>
              <w14:schemeClr w14:val="tx1"/>
            </w14:solidFill>
          </w14:textFill>
        </w:rPr>
        <w:t>项目环境敏感特征表</w:t>
      </w:r>
    </w:p>
    <w:tbl>
      <w:tblPr>
        <w:tblStyle w:val="27"/>
        <w:tblW w:w="50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20"/>
        <w:gridCol w:w="795"/>
        <w:gridCol w:w="1669"/>
        <w:gridCol w:w="171"/>
        <w:gridCol w:w="1318"/>
        <w:gridCol w:w="85"/>
        <w:gridCol w:w="789"/>
        <w:gridCol w:w="457"/>
        <w:gridCol w:w="982"/>
        <w:gridCol w:w="357"/>
        <w:gridCol w:w="1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0" w:type="pct"/>
            <w:gridSpan w:val="11"/>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环境空气</w:t>
            </w:r>
          </w:p>
        </w:tc>
        <w:tc>
          <w:tcPr>
            <w:tcW w:w="4288" w:type="pct"/>
            <w:gridSpan w:val="10"/>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厂址周边5km范围内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991"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敏感目标名称</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相对方位</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距离/m</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属性</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人口</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pacing w:val="5"/>
                <w:sz w:val="21"/>
                <w:szCs w:val="21"/>
                <w14:textFill>
                  <w14:solidFill>
                    <w14:schemeClr w14:val="tx1"/>
                  </w14:solidFill>
                </w14:textFill>
              </w:rPr>
              <w:t>古城壕</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8"/>
                <w:sz w:val="21"/>
                <w:szCs w:val="21"/>
                <w14:textFill>
                  <w14:solidFill>
                    <w14:schemeClr w14:val="tx1"/>
                  </w14:solidFill>
                </w14:textFill>
              </w:rPr>
              <w:t>N</w:t>
            </w:r>
            <w:r>
              <w:rPr>
                <w:rFonts w:hint="eastAsia" w:ascii="Times New Roman" w:hAnsi="Times New Roman" w:eastAsia="宋体" w:cs="Times New Roman"/>
                <w:color w:val="000000" w:themeColor="text1"/>
                <w:spacing w:val="8"/>
                <w:sz w:val="21"/>
                <w:szCs w:val="21"/>
                <w:lang w:val="en-US" w:eastAsia="zh-CN"/>
                <w14:textFill>
                  <w14:solidFill>
                    <w14:schemeClr w14:val="tx1"/>
                  </w14:solidFill>
                </w14:textFill>
              </w:rPr>
              <w:t>W</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1032</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pacing w:val="5"/>
                <w:sz w:val="21"/>
                <w:szCs w:val="21"/>
                <w:lang w:val="en-US" w:eastAsia="zh-CN"/>
                <w14:textFill>
                  <w14:solidFill>
                    <w14:schemeClr w14:val="tx1"/>
                  </w14:solidFill>
                </w14:textFill>
              </w:rPr>
              <w:t>郝家渠岔</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SW</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49</w:t>
            </w:r>
            <w:r>
              <w:rPr>
                <w:rFonts w:ascii="Times New Roman" w:hAnsi="Times New Roman" w:eastAsia="Times New Roman" w:cs="Times New Roman"/>
                <w:color w:val="000000" w:themeColor="text1"/>
                <w:spacing w:val="-2"/>
                <w:sz w:val="21"/>
                <w:szCs w:val="21"/>
                <w14:textFill>
                  <w14:solidFill>
                    <w14:schemeClr w14:val="tx1"/>
                  </w14:solidFill>
                </w14:textFill>
              </w:rPr>
              <w:t>6</w:t>
            </w: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0</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pacing w:val="6"/>
                <w:sz w:val="21"/>
                <w:szCs w:val="21"/>
                <w14:textFill>
                  <w14:solidFill>
                    <w14:schemeClr w14:val="tx1"/>
                  </w14:solidFill>
                </w14:textFill>
              </w:rPr>
              <w:t>榆树湾</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NE</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20</w:t>
            </w:r>
            <w:r>
              <w:rPr>
                <w:rFonts w:ascii="Times New Roman" w:hAnsi="Times New Roman" w:eastAsia="Times New Roman" w:cs="Times New Roman"/>
                <w:color w:val="000000" w:themeColor="text1"/>
                <w:spacing w:val="-2"/>
                <w:sz w:val="21"/>
                <w:szCs w:val="21"/>
                <w14:textFill>
                  <w14:solidFill>
                    <w14:schemeClr w14:val="tx1"/>
                  </w14:solidFill>
                </w14:textFill>
              </w:rPr>
              <w:t>6</w:t>
            </w: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0</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pacing w:val="6"/>
                <w:sz w:val="21"/>
                <w:szCs w:val="21"/>
                <w14:textFill>
                  <w14:solidFill>
                    <w14:schemeClr w14:val="tx1"/>
                  </w14:solidFill>
                </w14:textFill>
              </w:rPr>
              <w:t>三界塔</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E</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195</w:t>
            </w: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0</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其根高勒村</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SW</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1952</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pacing w:val="6"/>
                <w:sz w:val="21"/>
                <w:szCs w:val="21"/>
                <w14:textFill>
                  <w14:solidFill>
                    <w14:schemeClr w14:val="tx1"/>
                  </w14:solidFill>
                </w14:textFill>
              </w:rPr>
              <w:t>贾家村</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SW</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1063</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pacing w:val="6"/>
                <w:sz w:val="21"/>
                <w:szCs w:val="21"/>
                <w:lang w:val="en-US" w:eastAsia="zh-CN"/>
                <w14:textFill>
                  <w14:solidFill>
                    <w14:schemeClr w14:val="tx1"/>
                  </w14:solidFill>
                </w14:textFill>
              </w:rPr>
              <w:t>窑渠</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S</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3</w:t>
            </w: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1</w:t>
            </w:r>
            <w:r>
              <w:rPr>
                <w:rFonts w:ascii="Times New Roman" w:hAnsi="Times New Roman" w:eastAsia="Times New Roman" w:cs="Times New Roman"/>
                <w:color w:val="000000" w:themeColor="text1"/>
                <w:spacing w:val="2"/>
                <w:sz w:val="21"/>
                <w:szCs w:val="21"/>
                <w14:textFill>
                  <w14:solidFill>
                    <w14:schemeClr w14:val="tx1"/>
                  </w14:solidFill>
                </w14:textFill>
              </w:rPr>
              <w:t>1</w:t>
            </w: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0</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pacing w:val="7"/>
                <w:sz w:val="21"/>
                <w:szCs w:val="21"/>
                <w14:textFill>
                  <w14:solidFill>
                    <w14:schemeClr w14:val="tx1"/>
                  </w14:solidFill>
                </w14:textFill>
              </w:rPr>
              <w:t>刘家梁</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SE</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4</w:t>
            </w: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4</w:t>
            </w:r>
            <w:r>
              <w:rPr>
                <w:rFonts w:ascii="Times New Roman" w:hAnsi="Times New Roman" w:eastAsia="Times New Roman" w:cs="Times New Roman"/>
                <w:color w:val="000000" w:themeColor="text1"/>
                <w:spacing w:val="-3"/>
                <w:sz w:val="21"/>
                <w:szCs w:val="21"/>
                <w14:textFill>
                  <w14:solidFill>
                    <w14:schemeClr w14:val="tx1"/>
                  </w14:solidFill>
                </w14:textFill>
              </w:rPr>
              <w:t>2</w:t>
            </w: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0</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pacing w:val="6"/>
                <w:sz w:val="21"/>
                <w:szCs w:val="21"/>
                <w14:textFill>
                  <w14:solidFill>
                    <w14:schemeClr w14:val="tx1"/>
                  </w14:solidFill>
                </w14:textFill>
              </w:rPr>
              <w:t>元壕村</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NE</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4</w:t>
            </w: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329</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缸房院</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SW</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938</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pacing w:val="7"/>
                <w:sz w:val="21"/>
                <w:szCs w:val="21"/>
                <w:lang w:val="en-US" w:eastAsia="zh-CN"/>
                <w14:textFill>
                  <w14:solidFill>
                    <w14:schemeClr w14:val="tx1"/>
                  </w14:solidFill>
                </w14:textFill>
              </w:rPr>
              <w:t>房店塔</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S</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4</w:t>
            </w: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0</w:t>
            </w:r>
            <w:r>
              <w:rPr>
                <w:rFonts w:ascii="Times New Roman" w:hAnsi="Times New Roman" w:eastAsia="Times New Roman" w:cs="Times New Roman"/>
                <w:color w:val="000000" w:themeColor="text1"/>
                <w:spacing w:val="3"/>
                <w:sz w:val="21"/>
                <w:szCs w:val="21"/>
                <w14:textFill>
                  <w14:solidFill>
                    <w14:schemeClr w14:val="tx1"/>
                  </w14:solidFill>
                </w14:textFill>
              </w:rPr>
              <w:t>1</w:t>
            </w: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0</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color w:val="000000" w:themeColor="text1"/>
                <w:spacing w:val="7"/>
                <w:sz w:val="21"/>
                <w:szCs w:val="21"/>
                <w14:textFill>
                  <w14:solidFill>
                    <w14:schemeClr w14:val="tx1"/>
                  </w14:solidFill>
                </w14:textFill>
              </w:rPr>
            </w:pPr>
            <w:r>
              <w:rPr>
                <w:rFonts w:hint="eastAsia"/>
                <w:color w:val="000000" w:themeColor="text1"/>
                <w:spacing w:val="7"/>
                <w:sz w:val="21"/>
                <w:szCs w:val="21"/>
                <w:lang w:val="en-US" w:eastAsia="zh-CN"/>
                <w14:textFill>
                  <w14:solidFill>
                    <w14:schemeClr w14:val="tx1"/>
                  </w14:solidFill>
                </w14:textFill>
              </w:rPr>
              <w:t>阴坡塔</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SW</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ascii="Times New Roman" w:hAnsi="Times New Roman" w:eastAsia="Times New Roman" w:cs="Times New Roman"/>
                <w:color w:val="000000" w:themeColor="text1"/>
                <w:spacing w:val="3"/>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3173</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color w:val="000000" w:themeColor="text1"/>
                <w:spacing w:val="7"/>
                <w:sz w:val="21"/>
                <w:szCs w:val="21"/>
                <w14:textFill>
                  <w14:solidFill>
                    <w14:schemeClr w14:val="tx1"/>
                  </w14:solidFill>
                </w14:textFill>
              </w:rPr>
            </w:pPr>
            <w:r>
              <w:rPr>
                <w:rFonts w:hint="eastAsia"/>
                <w:color w:val="000000" w:themeColor="text1"/>
                <w:spacing w:val="7"/>
                <w:sz w:val="21"/>
                <w:szCs w:val="21"/>
                <w:lang w:val="en-US" w:eastAsia="zh-CN"/>
                <w14:textFill>
                  <w14:solidFill>
                    <w14:schemeClr w14:val="tx1"/>
                  </w14:solidFill>
                </w14:textFill>
              </w:rPr>
              <w:t>活朱太沟岔</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SW</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ascii="Times New Roman" w:hAnsi="Times New Roman" w:eastAsia="Times New Roman" w:cs="Times New Roman"/>
                <w:color w:val="000000" w:themeColor="text1"/>
                <w:spacing w:val="3"/>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4501</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村庄</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w:t>
            </w:r>
          </w:p>
        </w:tc>
        <w:tc>
          <w:tcPr>
            <w:tcW w:w="991" w:type="pct"/>
            <w:gridSpan w:val="2"/>
            <w:noWrap w:val="0"/>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firstLine="0" w:firstLineChars="0"/>
              <w:jc w:val="center"/>
              <w:textAlignment w:val="auto"/>
              <w:rPr>
                <w:rFonts w:hint="default"/>
                <w:color w:val="000000" w:themeColor="text1"/>
                <w:spacing w:val="7"/>
                <w:sz w:val="21"/>
                <w:szCs w:val="21"/>
                <w:lang w:val="en-US" w:eastAsia="zh-CN"/>
                <w14:textFill>
                  <w14:solidFill>
                    <w14:schemeClr w14:val="tx1"/>
                  </w14:solidFill>
                </w14:textFill>
              </w:rPr>
            </w:pPr>
            <w:r>
              <w:rPr>
                <w:rFonts w:hint="eastAsia"/>
                <w:color w:val="000000" w:themeColor="text1"/>
                <w:spacing w:val="7"/>
                <w:sz w:val="21"/>
                <w:szCs w:val="21"/>
                <w:lang w:val="en-US" w:eastAsia="zh-CN"/>
                <w14:textFill>
                  <w14:solidFill>
                    <w14:schemeClr w14:val="tx1"/>
                  </w14:solidFill>
                </w14:textFill>
              </w:rPr>
              <w:t>企业职工</w:t>
            </w:r>
          </w:p>
        </w:tc>
        <w:tc>
          <w:tcPr>
            <w:tcW w:w="71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1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w:t>
            </w:r>
          </w:p>
        </w:tc>
        <w:tc>
          <w:tcPr>
            <w:tcW w:w="719"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3567" w:type="pct"/>
            <w:gridSpan w:val="9"/>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厂址周边500m范围内人口数小计</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3567" w:type="pct"/>
            <w:gridSpan w:val="9"/>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厂址周边5km范围内人口数小计</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3567" w:type="pct"/>
            <w:gridSpan w:val="9"/>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大气环境敏感程度E值</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11"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地表水</w:t>
            </w:r>
          </w:p>
        </w:tc>
        <w:tc>
          <w:tcPr>
            <w:tcW w:w="4288" w:type="pct"/>
            <w:gridSpan w:val="10"/>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受纳水体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8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受纳水体名称</w:t>
            </w:r>
          </w:p>
        </w:tc>
        <w:tc>
          <w:tcPr>
            <w:tcW w:w="1519"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排水点水域环境功能</w:t>
            </w:r>
          </w:p>
        </w:tc>
        <w:tc>
          <w:tcPr>
            <w:tcW w:w="1440"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24小时内流经范围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8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519" w:type="pct"/>
            <w:gridSpan w:val="5"/>
            <w:noWrap w:val="0"/>
            <w:vAlign w:val="center"/>
          </w:tcPr>
          <w:p>
            <w:pPr>
              <w:keepNext w:val="0"/>
              <w:keepLines w:val="0"/>
              <w:pageBreakBefore w:val="0"/>
              <w:widowControl w:val="0"/>
              <w:tabs>
                <w:tab w:val="left" w:pos="35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440"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8" w:type="pct"/>
            <w:gridSpan w:val="10"/>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内陆水体的排放点下游（顺水流向）10km范围内、近岸海域一个潮周期水质点可能达到的最大水平距离的两倍范围内敏感目标</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8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敏感目标名称</w:t>
            </w:r>
          </w:p>
        </w:tc>
        <w:tc>
          <w:tcPr>
            <w:tcW w:w="1519"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环境敏感特征</w:t>
            </w:r>
          </w:p>
        </w:tc>
        <w:tc>
          <w:tcPr>
            <w:tcW w:w="52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水质目标</w:t>
            </w:r>
          </w:p>
        </w:tc>
        <w:tc>
          <w:tcPr>
            <w:tcW w:w="912"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与排放点距离/m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8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519"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2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912"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3375" w:type="pct"/>
            <w:gridSpan w:val="8"/>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地表水环境敏感程度E值</w:t>
            </w:r>
          </w:p>
        </w:tc>
        <w:tc>
          <w:tcPr>
            <w:tcW w:w="912"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地下水</w:t>
            </w: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8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环境敏感区名称</w:t>
            </w:r>
          </w:p>
        </w:tc>
        <w:tc>
          <w:tcPr>
            <w:tcW w:w="848"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环境敏感特征</w:t>
            </w:r>
          </w:p>
        </w:tc>
        <w:tc>
          <w:tcPr>
            <w:tcW w:w="42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目标</w:t>
            </w:r>
          </w:p>
        </w:tc>
        <w:tc>
          <w:tcPr>
            <w:tcW w:w="965"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包气带</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防污性能</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与下游</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2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8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不涉及</w:t>
            </w:r>
            <w:r>
              <w:rPr>
                <w:rFonts w:hint="default" w:ascii="Times New Roman" w:hAnsi="Times New Roman" w:eastAsia="宋体" w:cs="Times New Roman"/>
                <w:color w:val="000000" w:themeColor="text1"/>
                <w:sz w:val="21"/>
                <w:szCs w:val="21"/>
                <w14:textFill>
                  <w14:solidFill>
                    <w14:schemeClr w14:val="tx1"/>
                  </w14:solidFill>
                </w14:textFill>
              </w:rPr>
              <w:t>集中式饮用水水源准保护区</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不涉及村庄饮用水井等</w:t>
            </w:r>
          </w:p>
        </w:tc>
        <w:tc>
          <w:tcPr>
            <w:tcW w:w="848" w:type="pct"/>
            <w:gridSpan w:val="3"/>
            <w:noWrap w:val="0"/>
            <w:vAlign w:val="center"/>
          </w:tcPr>
          <w:p>
            <w:pPr>
              <w:keepNext w:val="0"/>
              <w:keepLines w:val="0"/>
              <w:pageBreakBefore w:val="0"/>
              <w:widowControl w:val="0"/>
              <w:tabs>
                <w:tab w:val="left" w:pos="3580"/>
              </w:tabs>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w:t>
            </w:r>
            <w:r>
              <w:rPr>
                <w:rFonts w:hint="default" w:ascii="Times New Roman" w:hAnsi="Times New Roman" w:eastAsia="宋体" w:cs="Times New Roman"/>
                <w:color w:val="000000" w:themeColor="text1"/>
                <w:sz w:val="21"/>
                <w:szCs w:val="21"/>
                <w14:textFill>
                  <w14:solidFill>
                    <w14:schemeClr w14:val="tx1"/>
                  </w14:solidFill>
                </w14:textFill>
              </w:rPr>
              <w:t>敏感G</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425" w:type="pct"/>
            <w:noWrap w:val="0"/>
            <w:vAlign w:val="center"/>
          </w:tcPr>
          <w:p>
            <w:pPr>
              <w:keepNext w:val="0"/>
              <w:keepLines w:val="0"/>
              <w:pageBreakBefore w:val="0"/>
              <w:widowControl w:val="0"/>
              <w:tabs>
                <w:tab w:val="left" w:pos="358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Ⅲ类</w:t>
            </w:r>
          </w:p>
        </w:tc>
        <w:tc>
          <w:tcPr>
            <w:tcW w:w="965"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考虑项目厂区防渗，</w:t>
            </w:r>
            <w:r>
              <w:rPr>
                <w:rFonts w:hint="default" w:ascii="Times New Roman" w:hAnsi="Times New Roman" w:eastAsia="宋体" w:cs="Times New Roman"/>
                <w:color w:val="000000" w:themeColor="text1"/>
                <w:sz w:val="21"/>
                <w:szCs w:val="21"/>
                <w14:textFill>
                  <w14:solidFill>
                    <w14:schemeClr w14:val="tx1"/>
                  </w14:solidFill>
                </w14:textFill>
              </w:rPr>
              <w:t>厂区包气带</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综合</w:t>
            </w:r>
            <w:r>
              <w:rPr>
                <w:rFonts w:hint="default" w:ascii="Times New Roman" w:hAnsi="Times New Roman" w:eastAsia="宋体" w:cs="Times New Roman"/>
                <w:color w:val="000000" w:themeColor="text1"/>
                <w:sz w:val="21"/>
                <w:szCs w:val="21"/>
                <w14:textFill>
                  <w14:solidFill>
                    <w14:schemeClr w14:val="tx1"/>
                  </w14:solidFill>
                </w14:textFill>
              </w:rPr>
              <w:t>渗透系数</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低于1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14:textFill>
                  <w14:solidFill>
                    <w14:schemeClr w14:val="tx1"/>
                  </w14:solidFill>
                </w14:textFill>
              </w:rPr>
              <w:t>E-0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，包气带厚度约</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r>
              <w:rPr>
                <w:rFonts w:hint="default" w:ascii="Times New Roman" w:hAnsi="Times New Roman" w:eastAsia="宋体" w:cs="Times New Roman"/>
                <w:color w:val="000000" w:themeColor="text1"/>
                <w:sz w:val="21"/>
                <w:szCs w:val="21"/>
                <w14:textFill>
                  <w14:solidFill>
                    <w14:schemeClr w14:val="tx1"/>
                  </w14:solidFill>
                </w14:textFill>
              </w:rPr>
              <w:t>m</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3567" w:type="pct"/>
            <w:gridSpan w:val="9"/>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地下水环境敏感程度E值</w:t>
            </w:r>
          </w:p>
        </w:tc>
        <w:tc>
          <w:tcPr>
            <w:tcW w:w="7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E2</w:t>
            </w:r>
          </w:p>
        </w:tc>
      </w:tr>
    </w:tbl>
    <w:p>
      <w:pPr>
        <w:pStyle w:val="8"/>
        <w:spacing w:before="117" w:line="219" w:lineRule="auto"/>
        <w:ind w:left="0" w:leftChars="0" w:firstLine="0" w:firstLineChars="0"/>
        <w:outlineLvl w:val="0"/>
        <w:rPr>
          <w:rFonts w:ascii="Times New Roman" w:hAnsi="Times New Roman" w:eastAsia="Times New Roman" w:cs="Times New Roman"/>
          <w:b/>
          <w:bCs/>
          <w:color w:val="000000" w:themeColor="text1"/>
          <w:spacing w:val="-2"/>
          <w:sz w:val="28"/>
          <w:szCs w:val="28"/>
          <w14:textFill>
            <w14:solidFill>
              <w14:schemeClr w14:val="tx1"/>
            </w14:solidFill>
          </w14:textFill>
        </w:rPr>
        <w:sectPr>
          <w:headerReference r:id="rId16" w:type="default"/>
          <w:footerReference r:id="rId17" w:type="default"/>
          <w:pgSz w:w="11906" w:h="16838"/>
          <w:pgMar w:top="1134" w:right="1134" w:bottom="1134"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pPr>
        <w:pStyle w:val="8"/>
        <w:spacing w:before="117" w:line="219" w:lineRule="auto"/>
        <w:ind w:left="0" w:leftChars="0" w:firstLine="0" w:firstLineChars="0"/>
        <w:jc w:val="center"/>
        <w:outlineLvl w:val="9"/>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9131300" cy="5511165"/>
            <wp:effectExtent l="0" t="0" r="12700" b="13335"/>
            <wp:docPr id="163"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3" name="图片 9"/>
                    <pic:cNvPicPr>
                      <a:picLocks noChangeAspect="true"/>
                    </pic:cNvPicPr>
                  </pic:nvPicPr>
                  <pic:blipFill>
                    <a:blip r:embed="rId149"/>
                    <a:stretch>
                      <a:fillRect/>
                    </a:stretch>
                  </pic:blipFill>
                  <pic:spPr>
                    <a:xfrm>
                      <a:off x="0" y="0"/>
                      <a:ext cx="9131300" cy="5511165"/>
                    </a:xfrm>
                    <a:prstGeom prst="rect">
                      <a:avLst/>
                    </a:prstGeom>
                    <a:noFill/>
                    <a:ln>
                      <a:noFill/>
                    </a:ln>
                  </pic:spPr>
                </pic:pic>
              </a:graphicData>
            </a:graphic>
          </wp:inline>
        </w:drawing>
      </w:r>
    </w:p>
    <w:p>
      <w:pPr>
        <w:pStyle w:val="8"/>
        <w:spacing w:before="117" w:line="219" w:lineRule="auto"/>
        <w:ind w:left="0" w:leftChars="0" w:firstLine="0" w:firstLineChars="0"/>
        <w:jc w:val="center"/>
        <w:outlineLvl w:val="9"/>
        <w:rPr>
          <w:rFonts w:hint="default" w:eastAsia="宋体"/>
          <w:color w:val="000000" w:themeColor="text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附图9 项目周边5km及500m范围敏感目标分布图</w:t>
      </w:r>
    </w:p>
    <w:p>
      <w:pPr>
        <w:pStyle w:val="8"/>
        <w:spacing w:before="117" w:line="219" w:lineRule="auto"/>
        <w:ind w:left="0" w:leftChars="0" w:firstLine="0" w:firstLineChars="0"/>
        <w:outlineLvl w:val="0"/>
        <w:rPr>
          <w:color w:val="000000" w:themeColor="text1"/>
          <w14:textFill>
            <w14:solidFill>
              <w14:schemeClr w14:val="tx1"/>
            </w14:solidFill>
          </w14:textFill>
        </w:rPr>
        <w:sectPr>
          <w:pgSz w:w="16838" w:h="11906" w:orient="landscape"/>
          <w:pgMar w:top="1531" w:right="1134" w:bottom="1134" w:left="1134" w:header="851" w:footer="851" w:gutter="0"/>
          <w:pgBorders>
            <w:top w:val="none" w:sz="0" w:space="0"/>
            <w:left w:val="none" w:sz="0" w:space="0"/>
            <w:bottom w:val="none" w:sz="0" w:space="0"/>
            <w:right w:val="none" w:sz="0" w:space="0"/>
          </w:pgBorders>
          <w:pgNumType w:fmt="decimal" w:start="1"/>
          <w:cols w:space="720" w:num="1"/>
          <w:docGrid w:linePitch="312" w:charSpace="0"/>
        </w:sectPr>
      </w:pPr>
    </w:p>
    <w:p>
      <w:pPr>
        <w:pStyle w:val="8"/>
        <w:spacing w:before="117" w:line="219" w:lineRule="auto"/>
        <w:ind w:left="0" w:leftChars="0" w:firstLine="0" w:firstLineChars="0"/>
        <w:outlineLvl w:val="0"/>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2"/>
          <w:sz w:val="28"/>
          <w:szCs w:val="28"/>
          <w14:textFill>
            <w14:solidFill>
              <w14:schemeClr w14:val="tx1"/>
            </w14:solidFill>
          </w14:textFill>
        </w:rPr>
        <w:t xml:space="preserve">3 </w:t>
      </w:r>
      <w:r>
        <w:rPr>
          <w:b/>
          <w:bCs/>
          <w:color w:val="000000" w:themeColor="text1"/>
          <w:spacing w:val="-2"/>
          <w:sz w:val="28"/>
          <w:szCs w:val="28"/>
          <w14:textFill>
            <w14:solidFill>
              <w14:schemeClr w14:val="tx1"/>
            </w14:solidFill>
          </w14:textFill>
        </w:rPr>
        <w:t>环境风险潜势初判</w:t>
      </w:r>
    </w:p>
    <w:p>
      <w:pPr>
        <w:pStyle w:val="8"/>
        <w:spacing w:before="197" w:line="228" w:lineRule="auto"/>
        <w:ind w:left="111"/>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4"/>
          <w:szCs w:val="24"/>
          <w14:textFill>
            <w14:solidFill>
              <w14:schemeClr w14:val="tx1"/>
            </w14:solidFill>
          </w14:textFill>
        </w:rPr>
        <w:t xml:space="preserve">3.1 </w:t>
      </w:r>
      <w:r>
        <w:rPr>
          <w:b/>
          <w:bCs/>
          <w:color w:val="000000" w:themeColor="text1"/>
          <w:spacing w:val="5"/>
          <w:sz w:val="24"/>
          <w:szCs w:val="24"/>
          <w14:textFill>
            <w14:solidFill>
              <w14:schemeClr w14:val="tx1"/>
            </w14:solidFill>
          </w14:textFill>
        </w:rPr>
        <w:t>危险物质及工艺危险性</w:t>
      </w:r>
      <w:r>
        <w:rPr>
          <w:rFonts w:ascii="Times New Roman" w:hAnsi="Times New Roman" w:eastAsia="Times New Roman" w:cs="Times New Roman"/>
          <w:b/>
          <w:bCs/>
          <w:color w:val="000000" w:themeColor="text1"/>
          <w:spacing w:val="5"/>
          <w:sz w:val="24"/>
          <w:szCs w:val="24"/>
          <w14:textFill>
            <w14:solidFill>
              <w14:schemeClr w14:val="tx1"/>
            </w14:solidFill>
          </w14:textFill>
        </w:rPr>
        <w:t>P</w:t>
      </w:r>
      <w:r>
        <w:rPr>
          <w:b/>
          <w:bCs/>
          <w:color w:val="000000" w:themeColor="text1"/>
          <w:spacing w:val="5"/>
          <w:sz w:val="24"/>
          <w:szCs w:val="24"/>
          <w14:textFill>
            <w14:solidFill>
              <w14:schemeClr w14:val="tx1"/>
            </w14:solidFill>
          </w14:textFill>
        </w:rPr>
        <w:t>的分级确定</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512" w:firstLineChars="200"/>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w:t>
      </w:r>
      <w:r>
        <w:rPr>
          <w:rFonts w:ascii="Times New Roman" w:hAnsi="Times New Roman" w:eastAsia="Times New Roman" w:cs="Times New Roman"/>
          <w:color w:val="000000" w:themeColor="text1"/>
          <w:spacing w:val="8"/>
          <w:sz w:val="24"/>
          <w:szCs w:val="24"/>
          <w14:textFill>
            <w14:solidFill>
              <w14:schemeClr w14:val="tx1"/>
            </w14:solidFill>
          </w14:textFill>
        </w:rPr>
        <w:t>1</w:t>
      </w:r>
      <w:r>
        <w:rPr>
          <w:color w:val="000000" w:themeColor="text1"/>
          <w:spacing w:val="8"/>
          <w:sz w:val="24"/>
          <w:szCs w:val="24"/>
          <w14:textFill>
            <w14:solidFill>
              <w14:schemeClr w14:val="tx1"/>
            </w14:solidFill>
          </w14:textFill>
        </w:rPr>
        <w:t>）危险物质数量与临界量的比值（</w:t>
      </w:r>
      <w:r>
        <w:rPr>
          <w:rFonts w:ascii="Times New Roman" w:hAnsi="Times New Roman" w:eastAsia="Times New Roman" w:cs="Times New Roman"/>
          <w:color w:val="000000" w:themeColor="text1"/>
          <w:spacing w:val="8"/>
          <w:sz w:val="24"/>
          <w:szCs w:val="24"/>
          <w14:textFill>
            <w14:solidFill>
              <w14:schemeClr w14:val="tx1"/>
            </w14:solidFill>
          </w14:textFill>
        </w:rPr>
        <w:t>Q</w:t>
      </w:r>
      <w:r>
        <w:rPr>
          <w:color w:val="000000" w:themeColor="text1"/>
          <w:spacing w:val="8"/>
          <w:sz w:val="24"/>
          <w:szCs w:val="24"/>
          <w14:textFill>
            <w14:solidFill>
              <w14:schemeClr w14:val="tx1"/>
            </w14:solidFill>
          </w14:textFill>
        </w:rPr>
        <w:t>）的确定</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508" w:firstLineChars="200"/>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计算所涉及的每种危险物质在厂界内的最大存在总量与其在</w:t>
      </w:r>
      <w:r>
        <w:rPr>
          <w:rFonts w:ascii="Times New Roman" w:hAnsi="Times New Roman" w:eastAsia="Times New Roman" w:cs="Times New Roman"/>
          <w:color w:val="000000" w:themeColor="text1"/>
          <w:sz w:val="24"/>
          <w:szCs w:val="24"/>
          <w14:textFill>
            <w14:solidFill>
              <w14:schemeClr w14:val="tx1"/>
            </w14:solidFill>
          </w14:textFill>
        </w:rPr>
        <w:t>HJ</w:t>
      </w:r>
      <w:r>
        <w:rPr>
          <w:rFonts w:ascii="Times New Roman" w:hAnsi="Times New Roman" w:eastAsia="Times New Roman" w:cs="Times New Roman"/>
          <w:color w:val="000000" w:themeColor="text1"/>
          <w:spacing w:val="7"/>
          <w:sz w:val="24"/>
          <w:szCs w:val="24"/>
          <w14:textFill>
            <w14:solidFill>
              <w14:schemeClr w14:val="tx1"/>
            </w14:solidFill>
          </w14:textFill>
        </w:rPr>
        <w:t>169-2018</w:t>
      </w:r>
      <w:r>
        <w:rPr>
          <w:color w:val="000000" w:themeColor="text1"/>
          <w:spacing w:val="7"/>
          <w:sz w:val="24"/>
          <w:szCs w:val="24"/>
          <w14:textFill>
            <w14:solidFill>
              <w14:schemeClr w14:val="tx1"/>
            </w14:solidFill>
          </w14:textFill>
        </w:rPr>
        <w:t>附录</w:t>
      </w:r>
      <w:r>
        <w:rPr>
          <w:rFonts w:ascii="Times New Roman" w:hAnsi="Times New Roman" w:eastAsia="Times New Roman" w:cs="Times New Roman"/>
          <w:color w:val="000000" w:themeColor="text1"/>
          <w:spacing w:val="7"/>
          <w:sz w:val="24"/>
          <w:szCs w:val="24"/>
          <w14:textFill>
            <w14:solidFill>
              <w14:schemeClr w14:val="tx1"/>
            </w14:solidFill>
          </w14:textFill>
        </w:rPr>
        <w:t>B</w:t>
      </w:r>
      <w:r>
        <w:rPr>
          <w:color w:val="000000" w:themeColor="text1"/>
          <w:spacing w:val="7"/>
          <w:sz w:val="24"/>
          <w:szCs w:val="24"/>
          <w14:textFill>
            <w14:solidFill>
              <w14:schemeClr w14:val="tx1"/>
            </w14:solidFill>
          </w14:textFill>
        </w:rPr>
        <w:t>中对应</w:t>
      </w:r>
      <w:r>
        <w:rPr>
          <w:color w:val="000000" w:themeColor="text1"/>
          <w:spacing w:val="4"/>
          <w:sz w:val="24"/>
          <w:szCs w:val="24"/>
          <w14:textFill>
            <w14:solidFill>
              <w14:schemeClr w14:val="tx1"/>
            </w14:solidFill>
          </w14:textFill>
        </w:rPr>
        <w:t>临界量的比值</w:t>
      </w:r>
      <w:r>
        <w:rPr>
          <w:rFonts w:ascii="Times New Roman" w:hAnsi="Times New Roman" w:eastAsia="Times New Roman" w:cs="Times New Roman"/>
          <w:color w:val="000000" w:themeColor="text1"/>
          <w:spacing w:val="4"/>
          <w:sz w:val="24"/>
          <w:szCs w:val="24"/>
          <w14:textFill>
            <w14:solidFill>
              <w14:schemeClr w14:val="tx1"/>
            </w14:solidFill>
          </w14:textFill>
        </w:rPr>
        <w:t>Q</w:t>
      </w:r>
      <w:r>
        <w:rPr>
          <w:color w:val="000000" w:themeColor="text1"/>
          <w:spacing w:val="4"/>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按下式计算物质总量与其临界量比值</w:t>
      </w:r>
      <w:r>
        <w:rPr>
          <w:rFonts w:ascii="Times New Roman" w:hAnsi="Times New Roman" w:eastAsia="Times New Roman" w:cs="Times New Roman"/>
          <w:color w:val="000000" w:themeColor="text1"/>
          <w:spacing w:val="8"/>
          <w:sz w:val="24"/>
          <w:szCs w:val="24"/>
          <w14:textFill>
            <w14:solidFill>
              <w14:schemeClr w14:val="tx1"/>
            </w14:solidFill>
          </w14:textFill>
        </w:rPr>
        <w:t>Q</w:t>
      </w:r>
      <w:r>
        <w:rPr>
          <w:color w:val="000000" w:themeColor="text1"/>
          <w:spacing w:val="8"/>
          <w:sz w:val="24"/>
          <w:szCs w:val="24"/>
          <w14:textFill>
            <w14:solidFill>
              <w14:schemeClr w14:val="tx1"/>
            </w14:solidFill>
          </w14:textFill>
        </w:rPr>
        <w:t>：</w:t>
      </w:r>
    </w:p>
    <w:p>
      <w:pPr>
        <w:spacing w:before="224" w:line="462" w:lineRule="exact"/>
        <w:ind w:left="3010"/>
        <w:rPr>
          <w:color w:val="000000" w:themeColor="text1"/>
          <w:sz w:val="24"/>
          <w:szCs w:val="24"/>
          <w14:textFill>
            <w14:solidFill>
              <w14:schemeClr w14:val="tx1"/>
            </w14:solidFill>
          </w14:textFill>
        </w:rPr>
      </w:pPr>
      <w:r>
        <w:rPr>
          <w:color w:val="000000" w:themeColor="text1"/>
          <w:position w:val="-9"/>
          <w:sz w:val="24"/>
          <w:szCs w:val="24"/>
          <w14:textFill>
            <w14:solidFill>
              <w14:schemeClr w14:val="tx1"/>
            </w14:solidFill>
          </w14:textFill>
        </w:rPr>
        <w:drawing>
          <wp:inline distT="0" distB="0" distL="0" distR="0">
            <wp:extent cx="1590040" cy="292735"/>
            <wp:effectExtent l="0" t="0" r="0" b="0"/>
            <wp:docPr id="65" name="IM 62"/>
            <wp:cNvGraphicFramePr/>
            <a:graphic xmlns:a="http://schemas.openxmlformats.org/drawingml/2006/main">
              <a:graphicData uri="http://schemas.openxmlformats.org/drawingml/2006/picture">
                <pic:pic xmlns:pic="http://schemas.openxmlformats.org/drawingml/2006/picture">
                  <pic:nvPicPr>
                    <pic:cNvPr id="65" name="IM 62"/>
                    <pic:cNvPicPr/>
                  </pic:nvPicPr>
                  <pic:blipFill>
                    <a:blip r:embed="rId150"/>
                    <a:stretch>
                      <a:fillRect/>
                    </a:stretch>
                  </pic:blipFill>
                  <pic:spPr>
                    <a:xfrm>
                      <a:off x="0" y="0"/>
                      <a:ext cx="1590248" cy="293223"/>
                    </a:xfrm>
                    <a:prstGeom prst="rect">
                      <a:avLst/>
                    </a:prstGeom>
                  </pic:spPr>
                </pic:pic>
              </a:graphicData>
            </a:graphic>
          </wp:inline>
        </w:drawing>
      </w:r>
    </w:p>
    <w:p>
      <w:pPr>
        <w:pStyle w:val="8"/>
        <w:spacing w:before="166" w:line="221" w:lineRule="auto"/>
        <w:ind w:left="549"/>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当</w:t>
      </w:r>
      <w:r>
        <w:rPr>
          <w:rFonts w:ascii="Times New Roman" w:hAnsi="Times New Roman" w:eastAsia="Times New Roman" w:cs="Times New Roman"/>
          <w:color w:val="000000" w:themeColor="text1"/>
          <w:spacing w:val="8"/>
          <w:sz w:val="24"/>
          <w:szCs w:val="24"/>
          <w14:textFill>
            <w14:solidFill>
              <w14:schemeClr w14:val="tx1"/>
            </w14:solidFill>
          </w14:textFill>
        </w:rPr>
        <w:t>Q</w:t>
      </w:r>
      <w:r>
        <w:rPr>
          <w:color w:val="000000" w:themeColor="text1"/>
          <w:spacing w:val="8"/>
          <w:sz w:val="24"/>
          <w:szCs w:val="24"/>
          <w14:textFill>
            <w14:solidFill>
              <w14:schemeClr w14:val="tx1"/>
            </w14:solidFill>
          </w14:textFill>
        </w:rPr>
        <w:t>＜</w:t>
      </w:r>
      <w:r>
        <w:rPr>
          <w:rFonts w:ascii="Times New Roman" w:hAnsi="Times New Roman" w:eastAsia="Times New Roman" w:cs="Times New Roman"/>
          <w:color w:val="000000" w:themeColor="text1"/>
          <w:spacing w:val="8"/>
          <w:sz w:val="24"/>
          <w:szCs w:val="24"/>
          <w14:textFill>
            <w14:solidFill>
              <w14:schemeClr w14:val="tx1"/>
            </w14:solidFill>
          </w14:textFill>
        </w:rPr>
        <w:t>1</w:t>
      </w:r>
      <w:r>
        <w:rPr>
          <w:color w:val="000000" w:themeColor="text1"/>
          <w:spacing w:val="8"/>
          <w:sz w:val="24"/>
          <w:szCs w:val="24"/>
          <w14:textFill>
            <w14:solidFill>
              <w14:schemeClr w14:val="tx1"/>
            </w14:solidFill>
          </w14:textFill>
        </w:rPr>
        <w:t>时，该项目环境风险潜势为</w:t>
      </w:r>
      <w:r>
        <w:rPr>
          <w:rFonts w:ascii="Times New Roman" w:hAnsi="Times New Roman" w:eastAsia="Times New Roman" w:cs="Times New Roman"/>
          <w:color w:val="000000" w:themeColor="text1"/>
          <w:spacing w:val="8"/>
          <w:sz w:val="24"/>
          <w:szCs w:val="24"/>
          <w14:textFill>
            <w14:solidFill>
              <w14:schemeClr w14:val="tx1"/>
            </w14:solidFill>
          </w14:textFill>
        </w:rPr>
        <w:t>I</w:t>
      </w:r>
      <w:r>
        <w:rPr>
          <w:color w:val="000000" w:themeColor="text1"/>
          <w:spacing w:val="8"/>
          <w:sz w:val="24"/>
          <w:szCs w:val="24"/>
          <w14:textFill>
            <w14:solidFill>
              <w14:schemeClr w14:val="tx1"/>
            </w14:solidFill>
          </w14:textFill>
        </w:rPr>
        <w:t>；</w:t>
      </w:r>
    </w:p>
    <w:p>
      <w:pPr>
        <w:pStyle w:val="8"/>
        <w:spacing w:before="229" w:line="221" w:lineRule="auto"/>
        <w:ind w:left="549"/>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当</w:t>
      </w:r>
      <w:r>
        <w:rPr>
          <w:rFonts w:ascii="Times New Roman" w:hAnsi="Times New Roman" w:eastAsia="Times New Roman" w:cs="Times New Roman"/>
          <w:color w:val="000000" w:themeColor="text1"/>
          <w:spacing w:val="8"/>
          <w:sz w:val="24"/>
          <w:szCs w:val="24"/>
          <w14:textFill>
            <w14:solidFill>
              <w14:schemeClr w14:val="tx1"/>
            </w14:solidFill>
          </w14:textFill>
        </w:rPr>
        <w:t>Q≥1</w:t>
      </w:r>
      <w:r>
        <w:rPr>
          <w:color w:val="000000" w:themeColor="text1"/>
          <w:spacing w:val="8"/>
          <w:sz w:val="24"/>
          <w:szCs w:val="24"/>
          <w14:textFill>
            <w14:solidFill>
              <w14:schemeClr w14:val="tx1"/>
            </w14:solidFill>
          </w14:textFill>
        </w:rPr>
        <w:t>时，将</w:t>
      </w:r>
      <w:r>
        <w:rPr>
          <w:rFonts w:ascii="Times New Roman" w:hAnsi="Times New Roman" w:eastAsia="Times New Roman" w:cs="Times New Roman"/>
          <w:color w:val="000000" w:themeColor="text1"/>
          <w:spacing w:val="8"/>
          <w:sz w:val="24"/>
          <w:szCs w:val="24"/>
          <w14:textFill>
            <w14:solidFill>
              <w14:schemeClr w14:val="tx1"/>
            </w14:solidFill>
          </w14:textFill>
        </w:rPr>
        <w:t>Q</w:t>
      </w:r>
      <w:r>
        <w:rPr>
          <w:color w:val="000000" w:themeColor="text1"/>
          <w:spacing w:val="8"/>
          <w:sz w:val="24"/>
          <w:szCs w:val="24"/>
          <w14:textFill>
            <w14:solidFill>
              <w14:schemeClr w14:val="tx1"/>
            </w14:solidFill>
          </w14:textFill>
        </w:rPr>
        <w:t>值划</w:t>
      </w:r>
      <w:r>
        <w:rPr>
          <w:rFonts w:hint="default" w:ascii="Times New Roman" w:hAnsi="Times New Roman" w:eastAsia="宋体" w:cs="Times New Roman"/>
          <w:color w:val="000000" w:themeColor="text1"/>
          <w:spacing w:val="-25"/>
          <w:sz w:val="24"/>
          <w:szCs w:val="24"/>
          <w14:textFill>
            <w14:solidFill>
              <w14:schemeClr w14:val="tx1"/>
            </w14:solidFill>
          </w14:textFill>
        </w:rPr>
        <w:t>分为</w:t>
      </w:r>
      <w:r>
        <w:rPr>
          <w:rFonts w:hint="default" w:ascii="Times New Roman" w:hAnsi="Times New Roman" w:eastAsia="Times New Roman" w:cs="Times New Roman"/>
          <w:color w:val="000000" w:themeColor="text1"/>
          <w:spacing w:val="8"/>
          <w:sz w:val="24"/>
          <w:szCs w:val="24"/>
          <w14:textFill>
            <w14:solidFill>
              <w14:schemeClr w14:val="tx1"/>
            </w14:solidFill>
          </w14:textFill>
        </w:rPr>
        <w:t>：（1）1≤Q＜10；（2）10≤Q＜100；（3）Q≥100</w:t>
      </w:r>
      <w:r>
        <w:rPr>
          <w:rFonts w:ascii="Times New Roman" w:hAnsi="Times New Roman" w:eastAsia="Times New Roman" w:cs="Times New Roman"/>
          <w:color w:val="000000" w:themeColor="text1"/>
          <w:spacing w:val="8"/>
          <w:sz w:val="24"/>
          <w:szCs w:val="24"/>
          <w14:textFill>
            <w14:solidFill>
              <w14:schemeClr w14:val="tx1"/>
            </w14:solidFill>
          </w14:textFill>
        </w:rPr>
        <w:t>。</w:t>
      </w:r>
    </w:p>
    <w:p>
      <w:pPr>
        <w:pStyle w:val="8"/>
        <w:spacing w:before="228" w:line="228" w:lineRule="auto"/>
        <w:ind w:left="540"/>
        <w:rPr>
          <w:color w:val="000000" w:themeColor="text1"/>
          <w:sz w:val="20"/>
          <w:szCs w:val="20"/>
          <w14:textFill>
            <w14:solidFill>
              <w14:schemeClr w14:val="tx1"/>
            </w14:solidFill>
          </w14:textFill>
        </w:rPr>
      </w:pPr>
      <w:r>
        <w:rPr>
          <w:color w:val="000000" w:themeColor="text1"/>
          <w:spacing w:val="6"/>
          <w:sz w:val="24"/>
          <w:szCs w:val="24"/>
          <w14:textFill>
            <w14:solidFill>
              <w14:schemeClr w14:val="tx1"/>
            </w14:solidFill>
          </w14:textFill>
        </w:rPr>
        <w:t>具体见下表：</w:t>
      </w:r>
    </w:p>
    <w:p>
      <w:pPr>
        <w:pStyle w:val="8"/>
        <w:spacing w:before="158" w:line="212" w:lineRule="auto"/>
        <w:ind w:left="114"/>
        <w:jc w:val="center"/>
        <w:rPr>
          <w:color w:val="000000" w:themeColor="text1"/>
          <w:sz w:val="18"/>
          <w:szCs w:val="18"/>
          <w14:textFill>
            <w14:solidFill>
              <w14:schemeClr w14:val="tx1"/>
            </w14:solidFill>
          </w14:textFill>
        </w:rPr>
      </w:pPr>
      <w:r>
        <w:rPr>
          <w:b/>
          <w:bCs/>
          <w:color w:val="000000" w:themeColor="text1"/>
          <w:spacing w:val="-1"/>
          <w:sz w:val="21"/>
          <w:szCs w:val="21"/>
          <w14:textFill>
            <w14:solidFill>
              <w14:schemeClr w14:val="tx1"/>
            </w14:solidFill>
          </w14:textFill>
        </w:rPr>
        <w:t>表</w:t>
      </w:r>
      <w:r>
        <w:rPr>
          <w:color w:val="000000" w:themeColor="text1"/>
          <w:spacing w:val="-37"/>
          <w:sz w:val="21"/>
          <w:szCs w:val="21"/>
          <w14:textFill>
            <w14:solidFill>
              <w14:schemeClr w14:val="tx1"/>
            </w14:solidFill>
          </w14:textFill>
        </w:rPr>
        <w:t xml:space="preserve">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3-1  </w:t>
      </w:r>
      <w:r>
        <w:rPr>
          <w:b/>
          <w:bCs/>
          <w:color w:val="000000" w:themeColor="text1"/>
          <w:spacing w:val="-1"/>
          <w:sz w:val="21"/>
          <w:szCs w:val="21"/>
          <w14:textFill>
            <w14:solidFill>
              <w14:schemeClr w14:val="tx1"/>
            </w14:solidFill>
          </w14:textFill>
        </w:rPr>
        <w:t>项目</w:t>
      </w:r>
      <w:r>
        <w:rPr>
          <w:color w:val="000000" w:themeColor="text1"/>
          <w:spacing w:val="-35"/>
          <w:sz w:val="21"/>
          <w:szCs w:val="21"/>
          <w14:textFill>
            <w14:solidFill>
              <w14:schemeClr w14:val="tx1"/>
            </w14:solidFill>
          </w14:textFill>
        </w:rPr>
        <w:t xml:space="preserve">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Q </w:t>
      </w:r>
      <w:r>
        <w:rPr>
          <w:b/>
          <w:bCs/>
          <w:color w:val="000000" w:themeColor="text1"/>
          <w:spacing w:val="-1"/>
          <w:sz w:val="21"/>
          <w:szCs w:val="21"/>
          <w14:textFill>
            <w14:solidFill>
              <w14:schemeClr w14:val="tx1"/>
            </w14:solidFill>
          </w14:textFill>
        </w:rPr>
        <w:t>值确定表</w:t>
      </w:r>
    </w:p>
    <w:tbl>
      <w:tblPr>
        <w:tblStyle w:val="99"/>
        <w:tblW w:w="852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16"/>
        <w:gridCol w:w="2355"/>
        <w:gridCol w:w="1982"/>
        <w:gridCol w:w="1466"/>
        <w:gridCol w:w="170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jc w:val="center"/>
        </w:trPr>
        <w:tc>
          <w:tcPr>
            <w:tcW w:w="1016"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序号</w:t>
            </w:r>
          </w:p>
        </w:tc>
        <w:tc>
          <w:tcPr>
            <w:tcW w:w="2355"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危险物质名称</w:t>
            </w:r>
          </w:p>
        </w:tc>
        <w:tc>
          <w:tcPr>
            <w:tcW w:w="1982"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最大存在总量</w:t>
            </w:r>
            <w:r>
              <w:rPr>
                <w:color w:val="000000" w:themeColor="text1"/>
                <w:spacing w:val="-31"/>
                <w:sz w:val="21"/>
                <w:szCs w:val="21"/>
                <w14:textFill>
                  <w14:solidFill>
                    <w14:schemeClr w14:val="tx1"/>
                  </w14:solidFill>
                </w14:textFill>
              </w:rPr>
              <w:t xml:space="preserve"> </w:t>
            </w:r>
            <w:r>
              <w:rPr>
                <w:rFonts w:ascii="Times New Roman" w:hAnsi="Times New Roman" w:eastAsia="Times New Roman" w:cs="Times New Roman"/>
                <w:color w:val="000000" w:themeColor="text1"/>
                <w:spacing w:val="-2"/>
                <w:sz w:val="21"/>
                <w:szCs w:val="21"/>
                <w14:textFill>
                  <w14:solidFill>
                    <w14:schemeClr w14:val="tx1"/>
                  </w14:solidFill>
                </w14:textFill>
              </w:rPr>
              <w:t>qn/t</w:t>
            </w:r>
          </w:p>
        </w:tc>
        <w:tc>
          <w:tcPr>
            <w:tcW w:w="1466"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临界量</w:t>
            </w:r>
            <w:r>
              <w:rPr>
                <w:color w:val="000000" w:themeColor="text1"/>
                <w:spacing w:val="-41"/>
                <w:sz w:val="21"/>
                <w:szCs w:val="21"/>
                <w14:textFill>
                  <w14:solidFill>
                    <w14:schemeClr w14:val="tx1"/>
                  </w14:solidFill>
                </w14:textFill>
              </w:rPr>
              <w:t xml:space="preserve"> </w:t>
            </w:r>
            <w:r>
              <w:rPr>
                <w:rFonts w:ascii="Times New Roman" w:hAnsi="Times New Roman" w:eastAsia="Times New Roman" w:cs="Times New Roman"/>
                <w:color w:val="000000" w:themeColor="text1"/>
                <w:spacing w:val="-3"/>
                <w:sz w:val="21"/>
                <w:szCs w:val="21"/>
                <w14:textFill>
                  <w14:solidFill>
                    <w14:schemeClr w14:val="tx1"/>
                  </w14:solidFill>
                </w14:textFill>
              </w:rPr>
              <w:t>Qn/t</w:t>
            </w:r>
          </w:p>
        </w:tc>
        <w:tc>
          <w:tcPr>
            <w:tcW w:w="1703" w:type="dxa"/>
            <w:tcBorders>
              <w:top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危险物质Q 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4" w:hRule="atLeast"/>
          <w:jc w:val="center"/>
        </w:trPr>
        <w:tc>
          <w:tcPr>
            <w:tcW w:w="1016" w:type="dxa"/>
            <w:tcBorders>
              <w:lef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1</w:t>
            </w:r>
          </w:p>
        </w:tc>
        <w:tc>
          <w:tcPr>
            <w:tcW w:w="2355"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油类物质（</w:t>
            </w:r>
            <w:r>
              <w:rPr>
                <w:rFonts w:hint="eastAsia"/>
                <w:color w:val="000000" w:themeColor="text1"/>
                <w:spacing w:val="-3"/>
                <w:sz w:val="21"/>
                <w:szCs w:val="21"/>
                <w:lang w:val="en-US" w:eastAsia="zh-CN"/>
                <w14:textFill>
                  <w14:solidFill>
                    <w14:schemeClr w14:val="tx1"/>
                  </w14:solidFill>
                </w14:textFill>
              </w:rPr>
              <w:t>汽油组分油</w:t>
            </w:r>
            <w:r>
              <w:rPr>
                <w:color w:val="000000" w:themeColor="text1"/>
                <w:spacing w:val="-2"/>
                <w:sz w:val="21"/>
                <w:szCs w:val="21"/>
                <w14:textFill>
                  <w14:solidFill>
                    <w14:schemeClr w14:val="tx1"/>
                  </w14:solidFill>
                </w14:textFill>
              </w:rPr>
              <w:t>）</w:t>
            </w:r>
          </w:p>
        </w:tc>
        <w:tc>
          <w:tcPr>
            <w:tcW w:w="1982"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318.</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75</w:t>
            </w:r>
          </w:p>
        </w:tc>
        <w:tc>
          <w:tcPr>
            <w:tcW w:w="1466"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2500</w:t>
            </w:r>
          </w:p>
        </w:tc>
        <w:tc>
          <w:tcPr>
            <w:tcW w:w="1703"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1275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1016" w:type="dxa"/>
            <w:tcBorders>
              <w:lef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2</w:t>
            </w:r>
          </w:p>
        </w:tc>
        <w:tc>
          <w:tcPr>
            <w:tcW w:w="2355"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hint="eastAsia" w:eastAsia="宋体"/>
                <w:color w:val="000000" w:themeColor="text1"/>
                <w:sz w:val="21"/>
                <w:szCs w:val="21"/>
                <w:lang w:eastAsia="zh-CN"/>
                <w14:textFill>
                  <w14:solidFill>
                    <w14:schemeClr w14:val="tx1"/>
                  </w14:solidFill>
                </w14:textFill>
              </w:rPr>
            </w:pPr>
            <w:r>
              <w:rPr>
                <w:color w:val="000000" w:themeColor="text1"/>
                <w:spacing w:val="-3"/>
                <w:sz w:val="21"/>
                <w:szCs w:val="21"/>
                <w14:textFill>
                  <w14:solidFill>
                    <w14:schemeClr w14:val="tx1"/>
                  </w14:solidFill>
                </w14:textFill>
              </w:rPr>
              <w:t>油类物质（</w:t>
            </w:r>
            <w:r>
              <w:rPr>
                <w:color w:val="000000" w:themeColor="text1"/>
                <w:spacing w:val="-4"/>
                <w:sz w:val="21"/>
                <w:szCs w:val="21"/>
                <w14:textFill>
                  <w14:solidFill>
                    <w14:schemeClr w14:val="tx1"/>
                  </w14:solidFill>
                </w14:textFill>
              </w:rPr>
              <w:t>柴油</w:t>
            </w:r>
            <w:r>
              <w:rPr>
                <w:rFonts w:hint="eastAsia"/>
                <w:color w:val="000000" w:themeColor="text1"/>
                <w:spacing w:val="-4"/>
                <w:sz w:val="21"/>
                <w:szCs w:val="21"/>
                <w:lang w:eastAsia="zh-CN"/>
                <w14:textFill>
                  <w14:solidFill>
                    <w14:schemeClr w14:val="tx1"/>
                  </w14:solidFill>
                </w14:textFill>
              </w:rPr>
              <w:t>）</w:t>
            </w:r>
          </w:p>
        </w:tc>
        <w:tc>
          <w:tcPr>
            <w:tcW w:w="1982"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14637</w:t>
            </w:r>
          </w:p>
        </w:tc>
        <w:tc>
          <w:tcPr>
            <w:tcW w:w="1466"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2500</w:t>
            </w:r>
          </w:p>
        </w:tc>
        <w:tc>
          <w:tcPr>
            <w:tcW w:w="1703"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5.5692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6819" w:type="dxa"/>
            <w:gridSpan w:val="4"/>
            <w:tcBorders>
              <w:lef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eastAsia" w:ascii="Times New Roman" w:hAnsi="Times New Roman" w:eastAsia="宋体" w:cs="Times New Roman"/>
                <w:color w:val="000000" w:themeColor="text1"/>
                <w:spacing w:val="-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pacing w:val="-1"/>
                <w:sz w:val="21"/>
                <w:szCs w:val="21"/>
                <w:lang w:val="en-US" w:eastAsia="zh-CN"/>
                <w14:textFill>
                  <w14:solidFill>
                    <w14:schemeClr w14:val="tx1"/>
                  </w14:solidFill>
                </w14:textFill>
              </w:rPr>
              <w:t>合计</w:t>
            </w:r>
          </w:p>
        </w:tc>
        <w:tc>
          <w:tcPr>
            <w:tcW w:w="1703"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5.9823</w:t>
            </w:r>
          </w:p>
        </w:tc>
      </w:tr>
    </w:tbl>
    <w:p>
      <w:pPr>
        <w:pStyle w:val="8"/>
        <w:spacing w:before="284" w:line="221" w:lineRule="auto"/>
        <w:ind w:left="561"/>
        <w:rPr>
          <w:color w:val="000000" w:themeColor="text1"/>
          <w:sz w:val="24"/>
          <w:szCs w:val="24"/>
          <w14:textFill>
            <w14:solidFill>
              <w14:schemeClr w14:val="tx1"/>
            </w14:solidFill>
          </w14:textFill>
        </w:rPr>
      </w:pPr>
      <w:r>
        <w:rPr>
          <w:color w:val="000000" w:themeColor="text1"/>
          <w:spacing w:val="3"/>
          <w:sz w:val="24"/>
          <w:szCs w:val="24"/>
          <w14:textFill>
            <w14:solidFill>
              <w14:schemeClr w14:val="tx1"/>
            </w14:solidFill>
          </w14:textFill>
        </w:rPr>
        <w:t>由表可知，项目</w:t>
      </w:r>
      <w:r>
        <w:rPr>
          <w:rFonts w:ascii="Times New Roman" w:hAnsi="Times New Roman" w:eastAsia="Times New Roman" w:cs="Times New Roman"/>
          <w:color w:val="000000" w:themeColor="text1"/>
          <w:spacing w:val="3"/>
          <w:sz w:val="24"/>
          <w:szCs w:val="24"/>
          <w14:textFill>
            <w14:solidFill>
              <w14:schemeClr w14:val="tx1"/>
            </w14:solidFill>
          </w14:textFill>
        </w:rPr>
        <w:t>Q</w:t>
      </w:r>
      <w:r>
        <w:rPr>
          <w:color w:val="000000" w:themeColor="text1"/>
          <w:spacing w:val="3"/>
          <w:sz w:val="24"/>
          <w:szCs w:val="24"/>
          <w14:textFill>
            <w14:solidFill>
              <w14:schemeClr w14:val="tx1"/>
            </w14:solidFill>
          </w14:textFill>
        </w:rPr>
        <w:t>值合计为</w:t>
      </w:r>
      <w:r>
        <w:rPr>
          <w:rFonts w:hint="eastAsia" w:eastAsia="Times New Roman" w:cs="Times New Roman"/>
          <w:color w:val="000000" w:themeColor="text1"/>
          <w:spacing w:val="3"/>
          <w:sz w:val="24"/>
          <w:szCs w:val="24"/>
          <w:lang w:val="en-US" w:eastAsia="zh-CN"/>
          <w14:textFill>
            <w14:solidFill>
              <w14:schemeClr w14:val="tx1"/>
            </w14:solidFill>
          </w14:textFill>
        </w:rPr>
        <w:t>5.9823</w:t>
      </w:r>
      <w:r>
        <w:rPr>
          <w:rFonts w:ascii="Times New Roman" w:hAnsi="Times New Roman" w:eastAsia="Times New Roman" w:cs="Times New Roman"/>
          <w:color w:val="000000" w:themeColor="text1"/>
          <w:spacing w:val="3"/>
          <w:sz w:val="24"/>
          <w:szCs w:val="24"/>
          <w14:textFill>
            <w14:solidFill>
              <w14:schemeClr w14:val="tx1"/>
            </w14:solidFill>
          </w14:textFill>
        </w:rPr>
        <w:t>，</w:t>
      </w:r>
      <w:r>
        <w:rPr>
          <w:color w:val="000000" w:themeColor="text1"/>
          <w:spacing w:val="3"/>
          <w:sz w:val="24"/>
          <w:szCs w:val="24"/>
          <w14:textFill>
            <w14:solidFill>
              <w14:schemeClr w14:val="tx1"/>
            </w14:solidFill>
          </w14:textFill>
        </w:rPr>
        <w:t>属于</w:t>
      </w:r>
      <w:r>
        <w:rPr>
          <w:color w:val="000000" w:themeColor="text1"/>
          <w:spacing w:val="-20"/>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3"/>
          <w:sz w:val="24"/>
          <w:szCs w:val="24"/>
          <w14:textFill>
            <w14:solidFill>
              <w14:schemeClr w14:val="tx1"/>
            </w14:solidFill>
          </w14:textFill>
        </w:rPr>
        <w:t>1≤Q</w:t>
      </w:r>
      <w:r>
        <w:rPr>
          <w:color w:val="000000" w:themeColor="text1"/>
          <w:spacing w:val="3"/>
          <w:sz w:val="24"/>
          <w:szCs w:val="24"/>
          <w14:textFill>
            <w14:solidFill>
              <w14:schemeClr w14:val="tx1"/>
            </w14:solidFill>
          </w14:textFill>
        </w:rPr>
        <w:t>＜</w:t>
      </w:r>
      <w:r>
        <w:rPr>
          <w:rFonts w:ascii="Times New Roman" w:hAnsi="Times New Roman" w:eastAsia="Times New Roman" w:cs="Times New Roman"/>
          <w:color w:val="000000" w:themeColor="text1"/>
          <w:spacing w:val="3"/>
          <w:sz w:val="24"/>
          <w:szCs w:val="24"/>
          <w14:textFill>
            <w14:solidFill>
              <w14:schemeClr w14:val="tx1"/>
            </w14:solidFill>
          </w14:textFill>
        </w:rPr>
        <w:t>10</w:t>
      </w:r>
      <w:r>
        <w:rPr>
          <w:color w:val="000000" w:themeColor="text1"/>
          <w:spacing w:val="3"/>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512" w:firstLineChars="200"/>
        <w:textAlignment w:val="auto"/>
        <w:rPr>
          <w:rFonts w:hint="eastAsia" w:ascii="Times New Roman" w:hAnsi="Times New Roman" w:eastAsia="宋体" w:cs="Times New Roman"/>
          <w:color w:val="000000" w:themeColor="text1"/>
          <w:spacing w:val="8"/>
          <w:sz w:val="24"/>
          <w:szCs w:val="24"/>
          <w:lang w:val="en-US" w:eastAsia="zh-CN"/>
          <w14:textFill>
            <w14:solidFill>
              <w14:schemeClr w14:val="tx1"/>
            </w14:solidFill>
          </w14:textFill>
        </w:rPr>
      </w:pPr>
      <w:r>
        <w:rPr>
          <w:rFonts w:ascii="Times New Roman" w:hAnsi="Times New Roman" w:eastAsia="宋体" w:cs="Times New Roman"/>
          <w:color w:val="000000" w:themeColor="text1"/>
          <w:spacing w:val="8"/>
          <w:sz w:val="24"/>
          <w:szCs w:val="24"/>
          <w14:textFill>
            <w14:solidFill>
              <w14:schemeClr w14:val="tx1"/>
            </w14:solidFill>
          </w14:textFill>
        </w:rPr>
        <w:t>（2）行</w:t>
      </w:r>
      <w:r>
        <w:rPr>
          <w:rFonts w:hint="eastAsia" w:ascii="Times New Roman" w:hAnsi="Times New Roman" w:eastAsia="宋体" w:cs="Times New Roman"/>
          <w:color w:val="000000" w:themeColor="text1"/>
          <w:spacing w:val="8"/>
          <w:sz w:val="24"/>
          <w:szCs w:val="24"/>
          <w:lang w:val="en-US" w:eastAsia="zh-CN"/>
          <w14:textFill>
            <w14:solidFill>
              <w14:schemeClr w14:val="tx1"/>
            </w14:solidFill>
          </w14:textFill>
        </w:rPr>
        <w:t>业及生产工艺（M）的确定</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512" w:firstLineChars="200"/>
        <w:textAlignment w:val="auto"/>
        <w:rPr>
          <w:color w:val="000000" w:themeColor="text1"/>
          <w:sz w:val="20"/>
          <w:szCs w:val="20"/>
          <w14:textFill>
            <w14:solidFill>
              <w14:schemeClr w14:val="tx1"/>
            </w14:solidFill>
          </w14:textFill>
        </w:rPr>
      </w:pPr>
      <w:r>
        <w:rPr>
          <w:rFonts w:hint="eastAsia" w:ascii="Times New Roman" w:hAnsi="Times New Roman" w:eastAsia="宋体" w:cs="Times New Roman"/>
          <w:color w:val="000000" w:themeColor="text1"/>
          <w:spacing w:val="8"/>
          <w:sz w:val="24"/>
          <w:szCs w:val="24"/>
          <w:lang w:val="en-US" w:eastAsia="zh-CN"/>
          <w14:textFill>
            <w14:solidFill>
              <w14:schemeClr w14:val="tx1"/>
            </w14:solidFill>
          </w14:textFill>
        </w:rPr>
        <w:t>按照HJ169-2018附表C.1评估生产工艺情况。将M划分为（1）M＞20；（2）10＜M≤20；（3）5＜M≤10；（4）M=5，分别以M1、M2、M3和M4表示。</w:t>
      </w:r>
    </w:p>
    <w:p>
      <w:pPr>
        <w:pStyle w:val="8"/>
        <w:spacing w:before="163" w:line="219" w:lineRule="auto"/>
        <w:ind w:left="114"/>
        <w:jc w:val="center"/>
        <w:rPr>
          <w:color w:val="000000" w:themeColor="text1"/>
          <w:sz w:val="18"/>
          <w:szCs w:val="18"/>
          <w14:textFill>
            <w14:solidFill>
              <w14:schemeClr w14:val="tx1"/>
            </w14:solidFill>
          </w14:textFill>
        </w:rPr>
      </w:pPr>
      <w:r>
        <w:rPr>
          <w:b/>
          <w:bCs/>
          <w:color w:val="000000" w:themeColor="text1"/>
          <w:spacing w:val="-1"/>
          <w:sz w:val="21"/>
          <w:szCs w:val="21"/>
          <w14:textFill>
            <w14:solidFill>
              <w14:schemeClr w14:val="tx1"/>
            </w14:solidFill>
          </w14:textFill>
        </w:rPr>
        <w:t>表</w:t>
      </w:r>
      <w:r>
        <w:rPr>
          <w:color w:val="000000" w:themeColor="text1"/>
          <w:spacing w:val="-26"/>
          <w:sz w:val="21"/>
          <w:szCs w:val="21"/>
          <w14:textFill>
            <w14:solidFill>
              <w14:schemeClr w14:val="tx1"/>
            </w14:solidFill>
          </w14:textFill>
        </w:rPr>
        <w:t xml:space="preserve">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3-2   </w:t>
      </w:r>
      <w:r>
        <w:rPr>
          <w:b/>
          <w:bCs/>
          <w:color w:val="000000" w:themeColor="text1"/>
          <w:spacing w:val="-1"/>
          <w:sz w:val="21"/>
          <w:szCs w:val="21"/>
          <w14:textFill>
            <w14:solidFill>
              <w14:schemeClr w14:val="tx1"/>
            </w14:solidFill>
          </w14:textFill>
        </w:rPr>
        <w:t>行业及生产工艺（</w:t>
      </w:r>
      <w:r>
        <w:rPr>
          <w:rFonts w:ascii="Times New Roman" w:hAnsi="Times New Roman" w:eastAsia="Times New Roman" w:cs="Times New Roman"/>
          <w:b/>
          <w:bCs/>
          <w:color w:val="000000" w:themeColor="text1"/>
          <w:spacing w:val="-1"/>
          <w:sz w:val="21"/>
          <w:szCs w:val="21"/>
          <w14:textFill>
            <w14:solidFill>
              <w14:schemeClr w14:val="tx1"/>
            </w14:solidFill>
          </w14:textFill>
        </w:rPr>
        <w:t>M</w:t>
      </w:r>
      <w:r>
        <w:rPr>
          <w:b/>
          <w:bCs/>
          <w:color w:val="000000" w:themeColor="text1"/>
          <w:spacing w:val="-1"/>
          <w:sz w:val="21"/>
          <w:szCs w:val="21"/>
          <w14:textFill>
            <w14:solidFill>
              <w14:schemeClr w14:val="tx1"/>
            </w14:solidFill>
          </w14:textFill>
        </w:rPr>
        <w:t>）确定依据（附表</w:t>
      </w:r>
      <w:r>
        <w:rPr>
          <w:color w:val="000000" w:themeColor="text1"/>
          <w:spacing w:val="-37"/>
          <w:sz w:val="21"/>
          <w:szCs w:val="21"/>
          <w14:textFill>
            <w14:solidFill>
              <w14:schemeClr w14:val="tx1"/>
            </w14:solidFill>
          </w14:textFill>
        </w:rPr>
        <w:t xml:space="preserve"> </w:t>
      </w:r>
      <w:r>
        <w:rPr>
          <w:rFonts w:ascii="Times New Roman" w:hAnsi="Times New Roman" w:eastAsia="Times New Roman" w:cs="Times New Roman"/>
          <w:b/>
          <w:bCs/>
          <w:color w:val="000000" w:themeColor="text1"/>
          <w:spacing w:val="-1"/>
          <w:sz w:val="21"/>
          <w:szCs w:val="21"/>
          <w14:textFill>
            <w14:solidFill>
              <w14:schemeClr w14:val="tx1"/>
            </w14:solidFill>
          </w14:textFill>
        </w:rPr>
        <w:t>C.1</w:t>
      </w:r>
      <w:r>
        <w:rPr>
          <w:b/>
          <w:bCs/>
          <w:color w:val="000000" w:themeColor="text1"/>
          <w:spacing w:val="-1"/>
          <w:sz w:val="21"/>
          <w:szCs w:val="21"/>
          <w14:textFill>
            <w14:solidFill>
              <w14:schemeClr w14:val="tx1"/>
            </w14:solidFill>
          </w14:textFill>
        </w:rPr>
        <w:t>）</w:t>
      </w:r>
    </w:p>
    <w:p>
      <w:pPr>
        <w:spacing w:line="32" w:lineRule="exact"/>
        <w:rPr>
          <w:color w:val="000000" w:themeColor="text1"/>
          <w14:textFill>
            <w14:solidFill>
              <w14:schemeClr w14:val="tx1"/>
            </w14:solidFill>
          </w14:textFill>
        </w:rPr>
      </w:pPr>
    </w:p>
    <w:tbl>
      <w:tblPr>
        <w:tblStyle w:val="99"/>
        <w:tblW w:w="847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68"/>
        <w:gridCol w:w="5528"/>
        <w:gridCol w:w="127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jc w:val="center"/>
        </w:trPr>
        <w:tc>
          <w:tcPr>
            <w:tcW w:w="1668"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行业</w:t>
            </w:r>
          </w:p>
        </w:tc>
        <w:tc>
          <w:tcPr>
            <w:tcW w:w="5528"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评估依据</w:t>
            </w:r>
          </w:p>
        </w:tc>
        <w:tc>
          <w:tcPr>
            <w:tcW w:w="1276" w:type="dxa"/>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分值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4" w:hRule="atLeast"/>
          <w:jc w:val="center"/>
        </w:trPr>
        <w:tc>
          <w:tcPr>
            <w:tcW w:w="1668" w:type="dxa"/>
            <w:vMerge w:val="restart"/>
            <w:tcBorders>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pacing w:val="-10"/>
                <w:sz w:val="18"/>
                <w:szCs w:val="18"/>
                <w14:textFill>
                  <w14:solidFill>
                    <w14:schemeClr w14:val="tx1"/>
                  </w14:solidFill>
                </w14:textFill>
              </w:rPr>
            </w:pPr>
            <w:r>
              <w:rPr>
                <w:color w:val="000000" w:themeColor="text1"/>
                <w:spacing w:val="-10"/>
                <w:sz w:val="18"/>
                <w:szCs w:val="18"/>
                <w14:textFill>
                  <w14:solidFill>
                    <w14:schemeClr w14:val="tx1"/>
                  </w14:solidFill>
                </w14:textFill>
              </w:rPr>
              <w:t>石化、化工、医药、</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轻工、化纤、有色</w:t>
            </w:r>
            <w:r>
              <w:rPr>
                <w:color w:val="000000" w:themeColor="text1"/>
                <w:spacing w:val="-4"/>
                <w:sz w:val="18"/>
                <w:szCs w:val="18"/>
                <w14:textFill>
                  <w14:solidFill>
                    <w14:schemeClr w14:val="tx1"/>
                  </w14:solidFill>
                </w14:textFill>
              </w:rPr>
              <w:t>冶炼等</w:t>
            </w:r>
          </w:p>
        </w:tc>
        <w:tc>
          <w:tcPr>
            <w:tcW w:w="5528"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pacing w:val="-3"/>
                <w:sz w:val="18"/>
                <w:szCs w:val="18"/>
                <w14:textFill>
                  <w14:solidFill>
                    <w14:schemeClr w14:val="tx1"/>
                  </w14:solidFill>
                </w14:textFill>
              </w:rPr>
            </w:pPr>
            <w:r>
              <w:rPr>
                <w:color w:val="000000" w:themeColor="text1"/>
                <w:spacing w:val="-3"/>
                <w:sz w:val="18"/>
                <w:szCs w:val="18"/>
                <w14:textFill>
                  <w14:solidFill>
                    <w14:schemeClr w14:val="tx1"/>
                  </w14:solidFill>
                </w14:textFill>
              </w:rPr>
              <w:t>涉及光气及光气化工艺、电解工艺（氯碱）、氯</w:t>
            </w:r>
            <w:r>
              <w:rPr>
                <w:color w:val="000000" w:themeColor="text1"/>
                <w:spacing w:val="-4"/>
                <w:sz w:val="18"/>
                <w:szCs w:val="18"/>
                <w14:textFill>
                  <w14:solidFill>
                    <w14:schemeClr w14:val="tx1"/>
                  </w14:solidFill>
                </w14:textFill>
              </w:rPr>
              <w:t>化工艺、硝化工艺、</w:t>
            </w:r>
            <w:r>
              <w:rPr>
                <w:color w:val="000000" w:themeColor="text1"/>
                <w:sz w:val="18"/>
                <w:szCs w:val="18"/>
                <w14:textFill>
                  <w14:solidFill>
                    <w14:schemeClr w14:val="tx1"/>
                  </w14:solidFill>
                </w14:textFill>
              </w:rPr>
              <w:t xml:space="preserve"> </w:t>
            </w:r>
            <w:r>
              <w:rPr>
                <w:color w:val="000000" w:themeColor="text1"/>
                <w:spacing w:val="-3"/>
                <w:sz w:val="18"/>
                <w:szCs w:val="18"/>
                <w14:textFill>
                  <w14:solidFill>
                    <w14:schemeClr w14:val="tx1"/>
                  </w14:solidFill>
                </w14:textFill>
              </w:rPr>
              <w:t>合成硫酸工艺、裂解（裂化）工艺、氟化工艺、加</w:t>
            </w:r>
            <w:r>
              <w:rPr>
                <w:color w:val="000000" w:themeColor="text1"/>
                <w:spacing w:val="-4"/>
                <w:sz w:val="18"/>
                <w:szCs w:val="18"/>
                <w14:textFill>
                  <w14:solidFill>
                    <w14:schemeClr w14:val="tx1"/>
                  </w14:solidFill>
                </w14:textFill>
              </w:rPr>
              <w:t>氢工艺、重氮化工</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艺、氧化工艺、过氧化工艺、胺基化工艺、磺化工艺、聚合工艺、烷</w:t>
            </w:r>
            <w:r>
              <w:rPr>
                <w:color w:val="000000" w:themeColor="text1"/>
                <w:spacing w:val="18"/>
                <w:sz w:val="18"/>
                <w:szCs w:val="18"/>
                <w14:textFill>
                  <w14:solidFill>
                    <w14:schemeClr w14:val="tx1"/>
                  </w14:solidFill>
                </w14:textFill>
              </w:rPr>
              <w:t xml:space="preserve"> </w:t>
            </w:r>
            <w:r>
              <w:rPr>
                <w:color w:val="000000" w:themeColor="text1"/>
                <w:spacing w:val="-1"/>
                <w:sz w:val="18"/>
                <w:szCs w:val="18"/>
                <w14:textFill>
                  <w14:solidFill>
                    <w14:schemeClr w14:val="tx1"/>
                  </w14:solidFill>
                </w14:textFill>
              </w:rPr>
              <w:t>基化工艺、新型煤化工工艺、电石生产工艺、偶氮化工艺</w:t>
            </w:r>
          </w:p>
        </w:tc>
        <w:tc>
          <w:tcPr>
            <w:tcW w:w="1276"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6"/>
                <w:sz w:val="18"/>
                <w:szCs w:val="18"/>
                <w14:textFill>
                  <w14:solidFill>
                    <w14:schemeClr w14:val="tx1"/>
                  </w14:solidFill>
                </w14:textFill>
              </w:rPr>
              <w:t>10/</w:t>
            </w:r>
            <w:r>
              <w:rPr>
                <w:color w:val="000000" w:themeColor="text1"/>
                <w:spacing w:val="-6"/>
                <w:sz w:val="18"/>
                <w:szCs w:val="18"/>
                <w14:textFill>
                  <w14:solidFill>
                    <w14:schemeClr w14:val="tx1"/>
                  </w14:solidFill>
                </w14:textFill>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jc w:val="center"/>
        </w:trPr>
        <w:tc>
          <w:tcPr>
            <w:tcW w:w="1668" w:type="dxa"/>
            <w:vMerge w:val="continue"/>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5528"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无机酸制酸工艺、焦化工艺</w:t>
            </w:r>
          </w:p>
        </w:tc>
        <w:tc>
          <w:tcPr>
            <w:tcW w:w="1276"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3"/>
                <w:sz w:val="18"/>
                <w:szCs w:val="18"/>
                <w14:textFill>
                  <w14:solidFill>
                    <w14:schemeClr w14:val="tx1"/>
                  </w14:solidFill>
                </w14:textFill>
              </w:rPr>
              <w:t>5/</w:t>
            </w:r>
            <w:r>
              <w:rPr>
                <w:color w:val="000000" w:themeColor="text1"/>
                <w:spacing w:val="-3"/>
                <w:sz w:val="18"/>
                <w:szCs w:val="18"/>
                <w14:textFill>
                  <w14:solidFill>
                    <w14:schemeClr w14:val="tx1"/>
                  </w14:solidFill>
                </w14:textFill>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jc w:val="center"/>
        </w:trPr>
        <w:tc>
          <w:tcPr>
            <w:tcW w:w="1668" w:type="dxa"/>
            <w:vMerge w:val="continue"/>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5528"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其他高温或高压，且涉及危险物质的工艺过程</w:t>
            </w:r>
            <w:r>
              <w:rPr>
                <w:color w:val="000000" w:themeColor="text1"/>
                <w:spacing w:val="-28"/>
                <w:sz w:val="18"/>
                <w:szCs w:val="18"/>
                <w14:textFill>
                  <w14:solidFill>
                    <w14:schemeClr w14:val="tx1"/>
                  </w14:solidFill>
                </w14:textFill>
              </w:rPr>
              <w:t xml:space="preserve"> </w:t>
            </w:r>
            <w:r>
              <w:rPr>
                <w:rFonts w:ascii="Times New Roman" w:hAnsi="Times New Roman" w:eastAsia="Times New Roman" w:cs="Times New Roman"/>
                <w:color w:val="000000" w:themeColor="text1"/>
                <w:spacing w:val="-2"/>
                <w:sz w:val="18"/>
                <w:szCs w:val="18"/>
                <w14:textFill>
                  <w14:solidFill>
                    <w14:schemeClr w14:val="tx1"/>
                  </w14:solidFill>
                </w14:textFill>
              </w:rPr>
              <w:t>a</w:t>
            </w:r>
            <w:r>
              <w:rPr>
                <w:color w:val="000000" w:themeColor="text1"/>
                <w:spacing w:val="-2"/>
                <w:sz w:val="18"/>
                <w:szCs w:val="18"/>
                <w14:textFill>
                  <w14:solidFill>
                    <w14:schemeClr w14:val="tx1"/>
                  </w14:solidFill>
                </w14:textFill>
              </w:rPr>
              <w:t>、危险物质贮存罐区</w:t>
            </w:r>
          </w:p>
        </w:tc>
        <w:tc>
          <w:tcPr>
            <w:tcW w:w="1276"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5/</w:t>
            </w:r>
            <w:r>
              <w:rPr>
                <w:color w:val="000000" w:themeColor="text1"/>
                <w:spacing w:val="-2"/>
                <w:sz w:val="18"/>
                <w:szCs w:val="18"/>
                <w14:textFill>
                  <w14:solidFill>
                    <w14:schemeClr w14:val="tx1"/>
                  </w14:solidFill>
                </w14:textFill>
              </w:rPr>
              <w:t>套（罐区）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1668" w:type="dxa"/>
            <w:tcBorders>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6"/>
                <w:sz w:val="18"/>
                <w:szCs w:val="18"/>
                <w14:textFill>
                  <w14:solidFill>
                    <w14:schemeClr w14:val="tx1"/>
                  </w14:solidFill>
                </w14:textFill>
              </w:rPr>
              <w:t>管道、港口</w:t>
            </w:r>
            <w:r>
              <w:rPr>
                <w:rFonts w:ascii="Times New Roman" w:hAnsi="Times New Roman" w:eastAsia="Times New Roman" w:cs="Times New Roman"/>
                <w:color w:val="000000" w:themeColor="text1"/>
                <w:spacing w:val="-6"/>
                <w:sz w:val="18"/>
                <w:szCs w:val="18"/>
                <w14:textFill>
                  <w14:solidFill>
                    <w14:schemeClr w14:val="tx1"/>
                  </w14:solidFill>
                </w14:textFill>
              </w:rPr>
              <w:t>/</w:t>
            </w:r>
            <w:r>
              <w:rPr>
                <w:color w:val="000000" w:themeColor="text1"/>
                <w:spacing w:val="-6"/>
                <w:sz w:val="18"/>
                <w:szCs w:val="18"/>
                <w14:textFill>
                  <w14:solidFill>
                    <w14:schemeClr w14:val="tx1"/>
                  </w14:solidFill>
                </w14:textFill>
              </w:rPr>
              <w:t>码头等</w:t>
            </w:r>
          </w:p>
        </w:tc>
        <w:tc>
          <w:tcPr>
            <w:tcW w:w="5528"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涉及危险物质管道运输项目、港口</w:t>
            </w:r>
            <w:r>
              <w:rPr>
                <w:rFonts w:ascii="Times New Roman" w:hAnsi="Times New Roman" w:eastAsia="Times New Roman" w:cs="Times New Roman"/>
                <w:color w:val="000000" w:themeColor="text1"/>
                <w:spacing w:val="-1"/>
                <w:sz w:val="18"/>
                <w:szCs w:val="18"/>
                <w14:textFill>
                  <w14:solidFill>
                    <w14:schemeClr w14:val="tx1"/>
                  </w14:solidFill>
                </w14:textFill>
              </w:rPr>
              <w:t>/</w:t>
            </w:r>
            <w:r>
              <w:rPr>
                <w:color w:val="000000" w:themeColor="text1"/>
                <w:spacing w:val="-1"/>
                <w:sz w:val="18"/>
                <w:szCs w:val="18"/>
                <w14:textFill>
                  <w14:solidFill>
                    <w14:schemeClr w14:val="tx1"/>
                  </w14:solidFill>
                </w14:textFill>
              </w:rPr>
              <w:t>码头等</w:t>
            </w:r>
          </w:p>
        </w:tc>
        <w:tc>
          <w:tcPr>
            <w:tcW w:w="1276" w:type="dxa"/>
            <w:tcBorders>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0"/>
                <w:sz w:val="18"/>
                <w:szCs w:val="18"/>
                <w14:textFill>
                  <w14:solidFill>
                    <w14:schemeClr w14:val="tx1"/>
                  </w14:solidFill>
                </w14:textFill>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1" w:hRule="atLeast"/>
          <w:jc w:val="center"/>
        </w:trPr>
        <w:tc>
          <w:tcPr>
            <w:tcW w:w="1668" w:type="dxa"/>
            <w:tcBorders>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石油天然气</w:t>
            </w:r>
          </w:p>
        </w:tc>
        <w:tc>
          <w:tcPr>
            <w:tcW w:w="5528"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石油、天然气、页岩气开采（含净化</w:t>
            </w:r>
            <w:r>
              <w:rPr>
                <w:color w:val="000000" w:themeColor="text1"/>
                <w:spacing w:val="-46"/>
                <w:w w:val="96"/>
                <w:sz w:val="18"/>
                <w:szCs w:val="18"/>
                <w14:textFill>
                  <w14:solidFill>
                    <w14:schemeClr w14:val="tx1"/>
                  </w14:solidFill>
                </w14:textFill>
              </w:rPr>
              <w:t>），</w:t>
            </w:r>
            <w:r>
              <w:rPr>
                <w:color w:val="000000" w:themeColor="text1"/>
                <w:spacing w:val="-1"/>
                <w:sz w:val="18"/>
                <w:szCs w:val="18"/>
                <w14:textFill>
                  <w14:solidFill>
                    <w14:schemeClr w14:val="tx1"/>
                  </w14:solidFill>
                </w14:textFill>
              </w:rPr>
              <w:t>气库（不含加气站的气库</w:t>
            </w:r>
            <w:r>
              <w:rPr>
                <w:color w:val="000000" w:themeColor="text1"/>
                <w:spacing w:val="-46"/>
                <w:w w:val="96"/>
                <w:sz w:val="18"/>
                <w:szCs w:val="18"/>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油库（不含加气站的油库）、油气管线</w:t>
            </w:r>
            <w:r>
              <w:rPr>
                <w:color w:val="000000" w:themeColor="text1"/>
                <w:spacing w:val="-30"/>
                <w:sz w:val="18"/>
                <w:szCs w:val="18"/>
                <w14:textFill>
                  <w14:solidFill>
                    <w14:schemeClr w14:val="tx1"/>
                  </w14:solidFill>
                </w14:textFill>
              </w:rPr>
              <w:t xml:space="preserve"> </w:t>
            </w:r>
            <w:r>
              <w:rPr>
                <w:rFonts w:ascii="Times New Roman" w:hAnsi="Times New Roman" w:eastAsia="Times New Roman" w:cs="Times New Roman"/>
                <w:color w:val="000000" w:themeColor="text1"/>
                <w:spacing w:val="-4"/>
                <w:position w:val="6"/>
                <w:sz w:val="11"/>
                <w:szCs w:val="11"/>
                <w14:textFill>
                  <w14:solidFill>
                    <w14:schemeClr w14:val="tx1"/>
                  </w14:solidFill>
                </w14:textFill>
              </w:rPr>
              <w:t>b</w:t>
            </w:r>
            <w:r>
              <w:rPr>
                <w:color w:val="000000" w:themeColor="text1"/>
                <w:spacing w:val="-4"/>
                <w:sz w:val="18"/>
                <w:szCs w:val="18"/>
                <w14:textFill>
                  <w14:solidFill>
                    <w14:schemeClr w14:val="tx1"/>
                  </w14:solidFill>
                </w14:textFill>
              </w:rPr>
              <w:t>（不含城镇燃气管线）</w:t>
            </w:r>
          </w:p>
        </w:tc>
        <w:tc>
          <w:tcPr>
            <w:tcW w:w="1276" w:type="dxa"/>
            <w:tcBorders>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Arial"/>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0"/>
                <w:sz w:val="18"/>
                <w:szCs w:val="18"/>
                <w14:textFill>
                  <w14:solidFill>
                    <w14:schemeClr w14:val="tx1"/>
                  </w14:solidFill>
                </w14:textFill>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8" w:hRule="atLeast"/>
          <w:jc w:val="center"/>
        </w:trPr>
        <w:tc>
          <w:tcPr>
            <w:tcW w:w="1668" w:type="dxa"/>
            <w:tcBorders>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其他</w:t>
            </w:r>
          </w:p>
        </w:tc>
        <w:tc>
          <w:tcPr>
            <w:tcW w:w="5528"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涉及危险物质使用、贮存的项目</w:t>
            </w:r>
          </w:p>
        </w:tc>
        <w:tc>
          <w:tcPr>
            <w:tcW w:w="1276" w:type="dxa"/>
            <w:tcBorders>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5</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345" w:firstLineChars="200"/>
        <w:textAlignment w:val="auto"/>
        <w:rPr>
          <w:b/>
          <w:bCs/>
          <w:color w:val="000000" w:themeColor="text1"/>
          <w:sz w:val="18"/>
          <w:szCs w:val="18"/>
          <w14:textFill>
            <w14:solidFill>
              <w14:schemeClr w14:val="tx1"/>
            </w14:solidFill>
          </w14:textFill>
        </w:rPr>
      </w:pPr>
      <w:r>
        <w:rPr>
          <w:rFonts w:hint="eastAsia" w:ascii="Times New Roman" w:hAnsi="Times New Roman" w:eastAsia="宋体" w:cs="Times New Roman"/>
          <w:b/>
          <w:bCs/>
          <w:color w:val="000000" w:themeColor="text1"/>
          <w:spacing w:val="-4"/>
          <w:sz w:val="18"/>
          <w:szCs w:val="18"/>
          <w:lang w:val="en-US" w:eastAsia="zh-CN"/>
          <w14:textFill>
            <w14:solidFill>
              <w14:schemeClr w14:val="tx1"/>
            </w14:solidFill>
          </w14:textFill>
        </w:rPr>
        <w:t>注：</w:t>
      </w:r>
      <w:r>
        <w:rPr>
          <w:rFonts w:ascii="Times New Roman" w:hAnsi="Times New Roman" w:eastAsia="Times New Roman" w:cs="Times New Roman"/>
          <w:b/>
          <w:bCs/>
          <w:color w:val="000000" w:themeColor="text1"/>
          <w:spacing w:val="-4"/>
          <w:sz w:val="18"/>
          <w:szCs w:val="18"/>
          <w14:textFill>
            <w14:solidFill>
              <w14:schemeClr w14:val="tx1"/>
            </w14:solidFill>
          </w14:textFill>
        </w:rPr>
        <w:t>a</w:t>
      </w:r>
      <w:r>
        <w:rPr>
          <w:rFonts w:ascii="Times New Roman" w:hAnsi="Times New Roman" w:eastAsia="Times New Roman" w:cs="Times New Roman"/>
          <w:b/>
          <w:bCs/>
          <w:color w:val="000000" w:themeColor="text1"/>
          <w:spacing w:val="12"/>
          <w:w w:val="101"/>
          <w:sz w:val="18"/>
          <w:szCs w:val="18"/>
          <w14:textFill>
            <w14:solidFill>
              <w14:schemeClr w14:val="tx1"/>
            </w14:solidFill>
          </w14:textFill>
        </w:rPr>
        <w:t xml:space="preserve"> </w:t>
      </w:r>
      <w:r>
        <w:rPr>
          <w:b/>
          <w:bCs/>
          <w:color w:val="000000" w:themeColor="text1"/>
          <w:spacing w:val="-4"/>
          <w:sz w:val="18"/>
          <w:szCs w:val="18"/>
          <w14:textFill>
            <w14:solidFill>
              <w14:schemeClr w14:val="tx1"/>
            </w14:solidFill>
          </w14:textFill>
        </w:rPr>
        <w:t>高温指工艺温度≥</w:t>
      </w:r>
      <w:r>
        <w:rPr>
          <w:rFonts w:ascii="Times New Roman" w:hAnsi="Times New Roman" w:eastAsia="Times New Roman" w:cs="Times New Roman"/>
          <w:b/>
          <w:bCs/>
          <w:color w:val="000000" w:themeColor="text1"/>
          <w:spacing w:val="-4"/>
          <w:sz w:val="18"/>
          <w:szCs w:val="18"/>
          <w14:textFill>
            <w14:solidFill>
              <w14:schemeClr w14:val="tx1"/>
            </w14:solidFill>
          </w14:textFill>
        </w:rPr>
        <w:t>300</w:t>
      </w:r>
      <w:r>
        <w:rPr>
          <w:b/>
          <w:bCs/>
          <w:color w:val="000000" w:themeColor="text1"/>
          <w:spacing w:val="-4"/>
          <w:sz w:val="18"/>
          <w:szCs w:val="18"/>
          <w14:textFill>
            <w14:solidFill>
              <w14:schemeClr w14:val="tx1"/>
            </w14:solidFill>
          </w14:textFill>
        </w:rPr>
        <w:t>℃</w:t>
      </w:r>
      <w:r>
        <w:rPr>
          <w:b/>
          <w:bCs/>
          <w:color w:val="000000" w:themeColor="text1"/>
          <w:spacing w:val="-68"/>
          <w:sz w:val="18"/>
          <w:szCs w:val="18"/>
          <w14:textFill>
            <w14:solidFill>
              <w14:schemeClr w14:val="tx1"/>
            </w14:solidFill>
          </w14:textFill>
        </w:rPr>
        <w:t xml:space="preserve"> </w:t>
      </w:r>
      <w:r>
        <w:rPr>
          <w:b/>
          <w:bCs/>
          <w:color w:val="000000" w:themeColor="text1"/>
          <w:spacing w:val="-4"/>
          <w:sz w:val="18"/>
          <w:szCs w:val="18"/>
          <w14:textFill>
            <w14:solidFill>
              <w14:schemeClr w14:val="tx1"/>
            </w14:solidFill>
          </w14:textFill>
        </w:rPr>
        <w:t>,</w:t>
      </w:r>
      <w:r>
        <w:rPr>
          <w:b/>
          <w:bCs/>
          <w:color w:val="000000" w:themeColor="text1"/>
          <w:spacing w:val="52"/>
          <w:sz w:val="18"/>
          <w:szCs w:val="18"/>
          <w14:textFill>
            <w14:solidFill>
              <w14:schemeClr w14:val="tx1"/>
            </w14:solidFill>
          </w14:textFill>
        </w:rPr>
        <w:t xml:space="preserve"> </w:t>
      </w:r>
      <w:r>
        <w:rPr>
          <w:b/>
          <w:bCs/>
          <w:color w:val="000000" w:themeColor="text1"/>
          <w:spacing w:val="-4"/>
          <w:sz w:val="18"/>
          <w:szCs w:val="18"/>
          <w14:textFill>
            <w14:solidFill>
              <w14:schemeClr w14:val="tx1"/>
            </w14:solidFill>
          </w14:textFill>
        </w:rPr>
        <w:t>高压指压力容器的设</w:t>
      </w:r>
      <w:r>
        <w:rPr>
          <w:b/>
          <w:bCs/>
          <w:color w:val="000000" w:themeColor="text1"/>
          <w:spacing w:val="-5"/>
          <w:sz w:val="18"/>
          <w:szCs w:val="18"/>
          <w14:textFill>
            <w14:solidFill>
              <w14:schemeClr w14:val="tx1"/>
            </w14:solidFill>
          </w14:textFill>
        </w:rPr>
        <w:t>计压力（</w:t>
      </w:r>
      <w:r>
        <w:rPr>
          <w:rFonts w:ascii="Times New Roman" w:hAnsi="Times New Roman" w:eastAsia="Times New Roman" w:cs="Times New Roman"/>
          <w:b/>
          <w:bCs/>
          <w:color w:val="000000" w:themeColor="text1"/>
          <w:spacing w:val="-5"/>
          <w:sz w:val="18"/>
          <w:szCs w:val="18"/>
          <w14:textFill>
            <w14:solidFill>
              <w14:schemeClr w14:val="tx1"/>
            </w14:solidFill>
          </w14:textFill>
        </w:rPr>
        <w:t>P</w:t>
      </w:r>
      <w:r>
        <w:rPr>
          <w:b/>
          <w:bCs/>
          <w:color w:val="000000" w:themeColor="text1"/>
          <w:spacing w:val="-5"/>
          <w:sz w:val="18"/>
          <w:szCs w:val="18"/>
          <w14:textFill>
            <w14:solidFill>
              <w14:schemeClr w14:val="tx1"/>
            </w14:solidFill>
          </w14:textFill>
        </w:rPr>
        <w:t>）</w:t>
      </w:r>
      <w:r>
        <w:rPr>
          <w:b/>
          <w:bCs/>
          <w:color w:val="000000" w:themeColor="text1"/>
          <w:spacing w:val="-65"/>
          <w:sz w:val="18"/>
          <w:szCs w:val="18"/>
          <w14:textFill>
            <w14:solidFill>
              <w14:schemeClr w14:val="tx1"/>
            </w14:solidFill>
          </w14:textFill>
        </w:rPr>
        <w:t xml:space="preserve"> </w:t>
      </w:r>
      <w:r>
        <w:rPr>
          <w:b/>
          <w:bCs/>
          <w:color w:val="000000" w:themeColor="text1"/>
          <w:spacing w:val="-5"/>
          <w:sz w:val="18"/>
          <w:szCs w:val="18"/>
          <w14:textFill>
            <w14:solidFill>
              <w14:schemeClr w14:val="tx1"/>
            </w14:solidFill>
          </w14:textFill>
        </w:rPr>
        <w:t>≥</w:t>
      </w:r>
      <w:r>
        <w:rPr>
          <w:rFonts w:ascii="Times New Roman" w:hAnsi="Times New Roman" w:eastAsia="Times New Roman" w:cs="Times New Roman"/>
          <w:b/>
          <w:bCs/>
          <w:color w:val="000000" w:themeColor="text1"/>
          <w:spacing w:val="-5"/>
          <w:sz w:val="18"/>
          <w:szCs w:val="18"/>
          <w14:textFill>
            <w14:solidFill>
              <w14:schemeClr w14:val="tx1"/>
            </w14:solidFill>
          </w14:textFill>
        </w:rPr>
        <w:t>10.0MPa</w:t>
      </w:r>
      <w:r>
        <w:rPr>
          <w:b/>
          <w:bCs/>
          <w:color w:val="000000" w:themeColor="text1"/>
          <w:spacing w:val="-5"/>
          <w:sz w:val="18"/>
          <w:szCs w:val="18"/>
          <w14:textFill>
            <w14:solidFill>
              <w14:schemeClr w14:val="tx1"/>
            </w14:solidFill>
          </w14:textFill>
        </w:rPr>
        <w:t>；</w:t>
      </w:r>
      <w:r>
        <w:rPr>
          <w:b/>
          <w:bCs/>
          <w:color w:val="000000" w:themeColor="text1"/>
          <w:sz w:val="18"/>
          <w:szCs w:val="18"/>
          <w14:textFill>
            <w14:solidFill>
              <w14:schemeClr w14:val="tx1"/>
            </w14:solidFill>
          </w14:textFill>
        </w:rPr>
        <w:t xml:space="preserve"> </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720" w:firstLineChars="400"/>
        <w:textAlignment w:val="auto"/>
        <w:rPr>
          <w:color w:val="000000" w:themeColor="text1"/>
          <w:sz w:val="18"/>
          <w:szCs w:val="18"/>
          <w14:textFill>
            <w14:solidFill>
              <w14:schemeClr w14:val="tx1"/>
            </w14:solidFill>
          </w14:textFill>
        </w:rPr>
      </w:pPr>
      <w:r>
        <w:rPr>
          <w:rFonts w:ascii="Times New Roman" w:hAnsi="Times New Roman" w:eastAsia="Times New Roman" w:cs="Times New Roman"/>
          <w:b/>
          <w:bCs/>
          <w:color w:val="000000" w:themeColor="text1"/>
          <w:sz w:val="18"/>
          <w:szCs w:val="18"/>
          <w14:textFill>
            <w14:solidFill>
              <w14:schemeClr w14:val="tx1"/>
            </w14:solidFill>
          </w14:textFill>
        </w:rPr>
        <w:t xml:space="preserve">b </w:t>
      </w:r>
      <w:r>
        <w:rPr>
          <w:b/>
          <w:bCs/>
          <w:color w:val="000000" w:themeColor="text1"/>
          <w:sz w:val="18"/>
          <w:szCs w:val="18"/>
          <w14:textFill>
            <w14:solidFill>
              <w14:schemeClr w14:val="tx1"/>
            </w14:solidFill>
          </w14:textFill>
        </w:rPr>
        <w:t>长输管道运输项目应按站场、管线分段进行评</w:t>
      </w:r>
      <w:r>
        <w:rPr>
          <w:b/>
          <w:bCs/>
          <w:color w:val="000000" w:themeColor="text1"/>
          <w:spacing w:val="-1"/>
          <w:sz w:val="18"/>
          <w:szCs w:val="18"/>
          <w14:textFill>
            <w14:solidFill>
              <w14:schemeClr w14:val="tx1"/>
            </w14:solidFill>
          </w14:textFill>
        </w:rPr>
        <w:t>价。</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1024" w:firstLineChars="400"/>
        <w:textAlignment w:val="auto"/>
        <w:rPr>
          <w:color w:val="000000" w:themeColor="text1"/>
          <w:sz w:val="20"/>
          <w:szCs w:val="20"/>
          <w14:textFill>
            <w14:solidFill>
              <w14:schemeClr w14:val="tx1"/>
            </w14:solidFill>
          </w14:textFill>
        </w:rPr>
      </w:pPr>
      <w:r>
        <w:rPr>
          <w:color w:val="000000" w:themeColor="text1"/>
          <w:spacing w:val="8"/>
          <w:sz w:val="24"/>
          <w:szCs w:val="24"/>
          <w14:textFill>
            <w14:solidFill>
              <w14:schemeClr w14:val="tx1"/>
            </w14:solidFill>
          </w14:textFill>
        </w:rPr>
        <w:t>项目所属行业为石化行业，其</w:t>
      </w:r>
      <w:r>
        <w:rPr>
          <w:rFonts w:ascii="Times New Roman" w:hAnsi="Times New Roman" w:eastAsia="Times New Roman" w:cs="Times New Roman"/>
          <w:color w:val="000000" w:themeColor="text1"/>
          <w:spacing w:val="8"/>
          <w:sz w:val="24"/>
          <w:szCs w:val="24"/>
          <w14:textFill>
            <w14:solidFill>
              <w14:schemeClr w14:val="tx1"/>
            </w14:solidFill>
          </w14:textFill>
        </w:rPr>
        <w:t>M</w:t>
      </w:r>
      <w:r>
        <w:rPr>
          <w:color w:val="000000" w:themeColor="text1"/>
          <w:spacing w:val="8"/>
          <w:sz w:val="24"/>
          <w:szCs w:val="24"/>
          <w14:textFill>
            <w14:solidFill>
              <w14:schemeClr w14:val="tx1"/>
            </w14:solidFill>
          </w14:textFill>
        </w:rPr>
        <w:t>值计算结果见下表：</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pacing w:val="1"/>
          <w:sz w:val="21"/>
          <w:szCs w:val="21"/>
          <w14:textFill>
            <w14:solidFill>
              <w14:schemeClr w14:val="tx1"/>
            </w14:solidFill>
          </w14:textFill>
        </w:rPr>
        <w:t>表</w:t>
      </w:r>
      <w:r>
        <w:rPr>
          <w:color w:val="000000" w:themeColor="text1"/>
          <w:spacing w:val="-33"/>
          <w:sz w:val="21"/>
          <w:szCs w:val="21"/>
          <w14:textFill>
            <w14:solidFill>
              <w14:schemeClr w14:val="tx1"/>
            </w14:solidFill>
          </w14:textFill>
        </w:rPr>
        <w:t xml:space="preserve">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3-3  </w:t>
      </w:r>
      <w:r>
        <w:rPr>
          <w:b/>
          <w:bCs/>
          <w:color w:val="000000" w:themeColor="text1"/>
          <w:spacing w:val="1"/>
          <w:sz w:val="21"/>
          <w:szCs w:val="21"/>
          <w14:textFill>
            <w14:solidFill>
              <w14:schemeClr w14:val="tx1"/>
            </w14:solidFill>
          </w14:textFill>
        </w:rPr>
        <w:t>项目</w:t>
      </w:r>
      <w:r>
        <w:rPr>
          <w:rFonts w:ascii="Times New Roman" w:hAnsi="Times New Roman" w:eastAsia="Times New Roman" w:cs="Times New Roman"/>
          <w:b/>
          <w:bCs/>
          <w:color w:val="000000" w:themeColor="text1"/>
          <w:spacing w:val="1"/>
          <w:sz w:val="21"/>
          <w:szCs w:val="21"/>
          <w14:textFill>
            <w14:solidFill>
              <w14:schemeClr w14:val="tx1"/>
            </w14:solidFill>
          </w14:textFill>
        </w:rPr>
        <w:t>M</w:t>
      </w:r>
      <w:r>
        <w:rPr>
          <w:b/>
          <w:bCs/>
          <w:color w:val="000000" w:themeColor="text1"/>
          <w:spacing w:val="1"/>
          <w:sz w:val="21"/>
          <w:szCs w:val="21"/>
          <w14:textFill>
            <w14:solidFill>
              <w14:schemeClr w14:val="tx1"/>
            </w14:solidFill>
          </w14:textFill>
        </w:rPr>
        <w:t>值确定表</w:t>
      </w:r>
    </w:p>
    <w:p>
      <w:pPr>
        <w:spacing w:line="31" w:lineRule="exact"/>
        <w:rPr>
          <w:color w:val="000000" w:themeColor="text1"/>
          <w14:textFill>
            <w14:solidFill>
              <w14:schemeClr w14:val="tx1"/>
            </w14:solidFill>
          </w14:textFill>
        </w:rPr>
      </w:pPr>
    </w:p>
    <w:tbl>
      <w:tblPr>
        <w:tblStyle w:val="99"/>
        <w:tblW w:w="852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6"/>
        <w:gridCol w:w="2269"/>
        <w:gridCol w:w="2125"/>
        <w:gridCol w:w="1418"/>
        <w:gridCol w:w="189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816"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spacing w:before="94" w:line="221" w:lineRule="auto"/>
              <w:ind w:left="0" w:firstLine="0" w:firstLineChars="0"/>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序号</w:t>
            </w:r>
          </w:p>
        </w:tc>
        <w:tc>
          <w:tcPr>
            <w:tcW w:w="2269"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95" w:line="220"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工艺单元名称</w:t>
            </w:r>
          </w:p>
        </w:tc>
        <w:tc>
          <w:tcPr>
            <w:tcW w:w="2125"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95"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生产工艺</w:t>
            </w:r>
          </w:p>
        </w:tc>
        <w:tc>
          <w:tcPr>
            <w:tcW w:w="1418"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95"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数量</w:t>
            </w:r>
            <w:r>
              <w:rPr>
                <w:rFonts w:ascii="Times New Roman" w:hAnsi="Times New Roman" w:eastAsia="Times New Roman" w:cs="Times New Roman"/>
                <w:color w:val="000000" w:themeColor="text1"/>
                <w:spacing w:val="-3"/>
                <w:sz w:val="18"/>
                <w:szCs w:val="18"/>
                <w14:textFill>
                  <w14:solidFill>
                    <w14:schemeClr w14:val="tx1"/>
                  </w14:solidFill>
                </w14:textFill>
              </w:rPr>
              <w:t>/</w:t>
            </w:r>
            <w:r>
              <w:rPr>
                <w:color w:val="000000" w:themeColor="text1"/>
                <w:spacing w:val="-3"/>
                <w:sz w:val="18"/>
                <w:szCs w:val="18"/>
                <w14:textFill>
                  <w14:solidFill>
                    <w14:schemeClr w14:val="tx1"/>
                  </w14:solidFill>
                </w14:textFill>
              </w:rPr>
              <w:t>套</w:t>
            </w:r>
          </w:p>
        </w:tc>
        <w:tc>
          <w:tcPr>
            <w:tcW w:w="1894" w:type="dxa"/>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95" w:line="219" w:lineRule="auto"/>
              <w:ind w:lef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5"/>
                <w:sz w:val="18"/>
                <w:szCs w:val="18"/>
                <w14:textFill>
                  <w14:solidFill>
                    <w14:schemeClr w14:val="tx1"/>
                  </w14:solidFill>
                </w14:textFill>
              </w:rPr>
              <w:t>M</w:t>
            </w:r>
            <w:r>
              <w:rPr>
                <w:rFonts w:ascii="Times New Roman" w:hAnsi="Times New Roman" w:eastAsia="Times New Roman" w:cs="Times New Roman"/>
                <w:color w:val="000000" w:themeColor="text1"/>
                <w:spacing w:val="12"/>
                <w:sz w:val="18"/>
                <w:szCs w:val="18"/>
                <w14:textFill>
                  <w14:solidFill>
                    <w14:schemeClr w14:val="tx1"/>
                  </w14:solidFill>
                </w14:textFill>
              </w:rPr>
              <w:t xml:space="preserve"> </w:t>
            </w:r>
            <w:r>
              <w:rPr>
                <w:color w:val="000000" w:themeColor="text1"/>
                <w:spacing w:val="-5"/>
                <w:sz w:val="18"/>
                <w:szCs w:val="18"/>
                <w14:textFill>
                  <w14:solidFill>
                    <w14:schemeClr w14:val="tx1"/>
                  </w14:solidFill>
                </w14:textFill>
              </w:rPr>
              <w:t>分值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816" w:type="dxa"/>
            <w:tcBorders>
              <w:left w:val="nil"/>
            </w:tcBorders>
            <w:vAlign w:val="center"/>
          </w:tcPr>
          <w:p>
            <w:pPr>
              <w:keepNext w:val="0"/>
              <w:keepLines w:val="0"/>
              <w:pageBreakBefore w:val="0"/>
              <w:widowControl w:val="0"/>
              <w:kinsoku/>
              <w:wordWrap/>
              <w:overflowPunct/>
              <w:topLinePunct w:val="0"/>
              <w:autoSpaceDE/>
              <w:autoSpaceDN/>
              <w:bidi w:val="0"/>
              <w:spacing w:before="126"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1</w:t>
            </w:r>
          </w:p>
        </w:tc>
        <w:tc>
          <w:tcPr>
            <w:tcW w:w="2269" w:type="dxa"/>
            <w:vAlign w:val="center"/>
          </w:tcPr>
          <w:p>
            <w:pPr>
              <w:pStyle w:val="96"/>
              <w:keepNext w:val="0"/>
              <w:keepLines w:val="0"/>
              <w:pageBreakBefore w:val="0"/>
              <w:widowControl w:val="0"/>
              <w:kinsoku/>
              <w:wordWrap/>
              <w:overflowPunct/>
              <w:topLinePunct w:val="0"/>
              <w:autoSpaceDE/>
              <w:autoSpaceDN/>
              <w:bidi w:val="0"/>
              <w:spacing w:before="98"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罐区</w:t>
            </w:r>
          </w:p>
        </w:tc>
        <w:tc>
          <w:tcPr>
            <w:tcW w:w="2125" w:type="dxa"/>
            <w:vAlign w:val="center"/>
          </w:tcPr>
          <w:p>
            <w:pPr>
              <w:pStyle w:val="96"/>
              <w:keepNext w:val="0"/>
              <w:keepLines w:val="0"/>
              <w:pageBreakBefore w:val="0"/>
              <w:widowControl w:val="0"/>
              <w:kinsoku/>
              <w:wordWrap/>
              <w:overflowPunct/>
              <w:topLinePunct w:val="0"/>
              <w:autoSpaceDE/>
              <w:autoSpaceDN/>
              <w:bidi w:val="0"/>
              <w:spacing w:before="98"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贮存</w:t>
            </w:r>
          </w:p>
        </w:tc>
        <w:tc>
          <w:tcPr>
            <w:tcW w:w="1418" w:type="dxa"/>
            <w:vAlign w:val="center"/>
          </w:tcPr>
          <w:p>
            <w:pPr>
              <w:keepNext w:val="0"/>
              <w:keepLines w:val="0"/>
              <w:pageBreakBefore w:val="0"/>
              <w:widowControl w:val="0"/>
              <w:kinsoku/>
              <w:wordWrap/>
              <w:overflowPunct/>
              <w:topLinePunct w:val="0"/>
              <w:autoSpaceDE/>
              <w:autoSpaceDN/>
              <w:bidi w:val="0"/>
              <w:spacing w:before="126" w:line="188" w:lineRule="auto"/>
              <w:ind w:left="0" w:firstLine="0" w:firstLineChars="0"/>
              <w:jc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w:t>
            </w:r>
          </w:p>
        </w:tc>
        <w:tc>
          <w:tcPr>
            <w:tcW w:w="1894" w:type="dxa"/>
            <w:tcBorders>
              <w:right w:val="nil"/>
            </w:tcBorders>
            <w:vAlign w:val="center"/>
          </w:tcPr>
          <w:p>
            <w:pPr>
              <w:keepNext w:val="0"/>
              <w:keepLines w:val="0"/>
              <w:pageBreakBefore w:val="0"/>
              <w:widowControl w:val="0"/>
              <w:kinsoku/>
              <w:wordWrap/>
              <w:overflowPunct/>
              <w:topLinePunct w:val="0"/>
              <w:autoSpaceDE/>
              <w:autoSpaceDN/>
              <w:bidi w:val="0"/>
              <w:spacing w:before="129" w:line="185" w:lineRule="auto"/>
              <w:ind w:left="0"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jc w:val="center"/>
        </w:trPr>
        <w:tc>
          <w:tcPr>
            <w:tcW w:w="6628" w:type="dxa"/>
            <w:gridSpan w:val="4"/>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108"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项目</w:t>
            </w:r>
            <w:r>
              <w:rPr>
                <w:rFonts w:ascii="Times New Roman" w:hAnsi="Times New Roman" w:eastAsia="Times New Roman" w:cs="Times New Roman"/>
                <w:color w:val="000000" w:themeColor="text1"/>
                <w:spacing w:val="5"/>
                <w:sz w:val="18"/>
                <w:szCs w:val="18"/>
                <w14:textFill>
                  <w14:solidFill>
                    <w14:schemeClr w14:val="tx1"/>
                  </w14:solidFill>
                </w14:textFill>
              </w:rPr>
              <w:t xml:space="preserve">M </w:t>
            </w:r>
            <w:r>
              <w:rPr>
                <w:color w:val="000000" w:themeColor="text1"/>
                <w:spacing w:val="5"/>
                <w:sz w:val="18"/>
                <w:szCs w:val="18"/>
                <w14:textFill>
                  <w14:solidFill>
                    <w14:schemeClr w14:val="tx1"/>
                  </w14:solidFill>
                </w14:textFill>
              </w:rPr>
              <w:t>值∑</w:t>
            </w:r>
          </w:p>
        </w:tc>
        <w:tc>
          <w:tcPr>
            <w:tcW w:w="1894"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before="137"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0"/>
                <w:sz w:val="18"/>
                <w:szCs w:val="18"/>
                <w14:textFill>
                  <w14:solidFill>
                    <w14:schemeClr w14:val="tx1"/>
                  </w14:solidFill>
                </w14:textFill>
              </w:rPr>
              <w:t>10</w:t>
            </w:r>
          </w:p>
        </w:tc>
      </w:tr>
    </w:tbl>
    <w:p>
      <w:pPr>
        <w:pStyle w:val="8"/>
        <w:spacing w:before="286" w:line="228" w:lineRule="auto"/>
        <w:ind w:left="0" w:leftChars="0" w:firstLine="504" w:firstLineChars="200"/>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项目</w:t>
      </w:r>
      <w:r>
        <w:rPr>
          <w:rFonts w:ascii="Times New Roman" w:hAnsi="Times New Roman" w:eastAsia="Times New Roman" w:cs="Times New Roman"/>
          <w:color w:val="000000" w:themeColor="text1"/>
          <w:spacing w:val="6"/>
          <w:sz w:val="24"/>
          <w:szCs w:val="24"/>
          <w14:textFill>
            <w14:solidFill>
              <w14:schemeClr w14:val="tx1"/>
            </w14:solidFill>
          </w14:textFill>
        </w:rPr>
        <w:t>M</w:t>
      </w:r>
      <w:r>
        <w:rPr>
          <w:color w:val="000000" w:themeColor="text1"/>
          <w:spacing w:val="6"/>
          <w:sz w:val="24"/>
          <w:szCs w:val="24"/>
          <w14:textFill>
            <w14:solidFill>
              <w14:schemeClr w14:val="tx1"/>
            </w14:solidFill>
          </w14:textFill>
        </w:rPr>
        <w:t>分值为</w:t>
      </w:r>
      <w:r>
        <w:rPr>
          <w:rFonts w:ascii="Times New Roman" w:hAnsi="Times New Roman" w:eastAsia="Times New Roman" w:cs="Times New Roman"/>
          <w:color w:val="000000" w:themeColor="text1"/>
          <w:spacing w:val="6"/>
          <w:sz w:val="24"/>
          <w:szCs w:val="24"/>
          <w14:textFill>
            <w14:solidFill>
              <w14:schemeClr w14:val="tx1"/>
            </w14:solidFill>
          </w14:textFill>
        </w:rPr>
        <w:t>10</w:t>
      </w:r>
      <w:r>
        <w:rPr>
          <w:color w:val="000000" w:themeColor="text1"/>
          <w:spacing w:val="6"/>
          <w:sz w:val="24"/>
          <w:szCs w:val="24"/>
          <w14:textFill>
            <w14:solidFill>
              <w14:schemeClr w14:val="tx1"/>
            </w14:solidFill>
          </w14:textFill>
        </w:rPr>
        <w:t>，以</w:t>
      </w:r>
      <w:r>
        <w:rPr>
          <w:rFonts w:ascii="Times New Roman" w:hAnsi="Times New Roman" w:eastAsia="Times New Roman" w:cs="Times New Roman"/>
          <w:color w:val="000000" w:themeColor="text1"/>
          <w:spacing w:val="6"/>
          <w:sz w:val="24"/>
          <w:szCs w:val="24"/>
          <w14:textFill>
            <w14:solidFill>
              <w14:schemeClr w14:val="tx1"/>
            </w14:solidFill>
          </w14:textFill>
        </w:rPr>
        <w:t>M3</w:t>
      </w:r>
      <w:r>
        <w:rPr>
          <w:color w:val="000000" w:themeColor="text1"/>
          <w:spacing w:val="6"/>
          <w:sz w:val="24"/>
          <w:szCs w:val="24"/>
          <w14:textFill>
            <w14:solidFill>
              <w14:schemeClr w14:val="tx1"/>
            </w14:solidFill>
          </w14:textFill>
        </w:rPr>
        <w:t>表示。</w:t>
      </w:r>
    </w:p>
    <w:p>
      <w:pPr>
        <w:pStyle w:val="8"/>
        <w:spacing w:before="221" w:line="228" w:lineRule="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w:t>
      </w:r>
      <w:r>
        <w:rPr>
          <w:rFonts w:ascii="Times New Roman" w:hAnsi="Times New Roman" w:eastAsia="Times New Roman" w:cs="Times New Roman"/>
          <w:color w:val="000000" w:themeColor="text1"/>
          <w:spacing w:val="8"/>
          <w:sz w:val="24"/>
          <w:szCs w:val="24"/>
          <w14:textFill>
            <w14:solidFill>
              <w14:schemeClr w14:val="tx1"/>
            </w14:solidFill>
          </w14:textFill>
        </w:rPr>
        <w:t>3</w:t>
      </w:r>
      <w:r>
        <w:rPr>
          <w:color w:val="000000" w:themeColor="text1"/>
          <w:spacing w:val="8"/>
          <w:sz w:val="24"/>
          <w:szCs w:val="24"/>
          <w14:textFill>
            <w14:solidFill>
              <w14:schemeClr w14:val="tx1"/>
            </w14:solidFill>
          </w14:textFill>
        </w:rPr>
        <w:t>）危险物质及工艺系统危险性等级（</w:t>
      </w:r>
      <w:r>
        <w:rPr>
          <w:rFonts w:ascii="Times New Roman" w:hAnsi="Times New Roman" w:eastAsia="Times New Roman" w:cs="Times New Roman"/>
          <w:color w:val="000000" w:themeColor="text1"/>
          <w:spacing w:val="8"/>
          <w:sz w:val="24"/>
          <w:szCs w:val="24"/>
          <w14:textFill>
            <w14:solidFill>
              <w14:schemeClr w14:val="tx1"/>
            </w14:solidFill>
          </w14:textFill>
        </w:rPr>
        <w:t>P</w:t>
      </w:r>
      <w:r>
        <w:rPr>
          <w:color w:val="000000" w:themeColor="text1"/>
          <w:spacing w:val="8"/>
          <w:sz w:val="24"/>
          <w:szCs w:val="24"/>
          <w14:textFill>
            <w14:solidFill>
              <w14:schemeClr w14:val="tx1"/>
            </w14:solidFill>
          </w14:textFill>
        </w:rPr>
        <w:t>）确定</w:t>
      </w:r>
    </w:p>
    <w:p>
      <w:pPr>
        <w:pStyle w:val="8"/>
        <w:spacing w:before="220" w:line="403" w:lineRule="auto"/>
        <w:ind w:left="111" w:right="86" w:firstLine="426"/>
        <w:rPr>
          <w:color w:val="000000" w:themeColor="text1"/>
          <w:sz w:val="20"/>
          <w:szCs w:val="20"/>
          <w14:textFill>
            <w14:solidFill>
              <w14:schemeClr w14:val="tx1"/>
            </w14:solidFill>
          </w14:textFill>
        </w:rPr>
      </w:pPr>
      <w:r>
        <w:rPr>
          <w:color w:val="000000" w:themeColor="text1"/>
          <w:spacing w:val="4"/>
          <w:sz w:val="24"/>
          <w:szCs w:val="24"/>
          <w14:textFill>
            <w14:solidFill>
              <w14:schemeClr w14:val="tx1"/>
            </w14:solidFill>
          </w14:textFill>
        </w:rPr>
        <w:t>按照</w:t>
      </w:r>
      <w:r>
        <w:rPr>
          <w:rFonts w:ascii="Times New Roman" w:hAnsi="Times New Roman" w:eastAsia="Times New Roman" w:cs="Times New Roman"/>
          <w:color w:val="000000" w:themeColor="text1"/>
          <w:sz w:val="24"/>
          <w:szCs w:val="24"/>
          <w14:textFill>
            <w14:solidFill>
              <w14:schemeClr w14:val="tx1"/>
            </w14:solidFill>
          </w14:textFill>
        </w:rPr>
        <w:t>HJ</w:t>
      </w:r>
      <w:r>
        <w:rPr>
          <w:rFonts w:ascii="Times New Roman" w:hAnsi="Times New Roman" w:eastAsia="Times New Roman" w:cs="Times New Roman"/>
          <w:color w:val="000000" w:themeColor="text1"/>
          <w:spacing w:val="4"/>
          <w:sz w:val="24"/>
          <w:szCs w:val="24"/>
          <w14:textFill>
            <w14:solidFill>
              <w14:schemeClr w14:val="tx1"/>
            </w14:solidFill>
          </w14:textFill>
        </w:rPr>
        <w:t>169-2018</w:t>
      </w:r>
      <w:r>
        <w:rPr>
          <w:color w:val="000000" w:themeColor="text1"/>
          <w:spacing w:val="4"/>
          <w:sz w:val="24"/>
          <w:szCs w:val="24"/>
          <w14:textFill>
            <w14:solidFill>
              <w14:schemeClr w14:val="tx1"/>
            </w14:solidFill>
          </w14:textFill>
        </w:rPr>
        <w:t>附表</w:t>
      </w:r>
      <w:r>
        <w:rPr>
          <w:rFonts w:ascii="Times New Roman" w:hAnsi="Times New Roman" w:eastAsia="Times New Roman" w:cs="Times New Roman"/>
          <w:color w:val="000000" w:themeColor="text1"/>
          <w:spacing w:val="4"/>
          <w:sz w:val="24"/>
          <w:szCs w:val="24"/>
          <w14:textFill>
            <w14:solidFill>
              <w14:schemeClr w14:val="tx1"/>
            </w14:solidFill>
          </w14:textFill>
        </w:rPr>
        <w:t>C.2</w:t>
      </w:r>
      <w:r>
        <w:rPr>
          <w:color w:val="000000" w:themeColor="text1"/>
          <w:spacing w:val="4"/>
          <w:sz w:val="24"/>
          <w:szCs w:val="24"/>
          <w14:textFill>
            <w14:solidFill>
              <w14:schemeClr w14:val="tx1"/>
            </w14:solidFill>
          </w14:textFill>
        </w:rPr>
        <w:t>，确定危险物质及工艺系统危险性等级（</w:t>
      </w:r>
      <w:r>
        <w:rPr>
          <w:rFonts w:ascii="Times New Roman" w:hAnsi="Times New Roman" w:eastAsia="Times New Roman" w:cs="Times New Roman"/>
          <w:color w:val="000000" w:themeColor="text1"/>
          <w:spacing w:val="4"/>
          <w:sz w:val="24"/>
          <w:szCs w:val="24"/>
          <w14:textFill>
            <w14:solidFill>
              <w14:schemeClr w14:val="tx1"/>
            </w14:solidFill>
          </w14:textFill>
        </w:rPr>
        <w:t>P</w:t>
      </w:r>
      <w:r>
        <w:rPr>
          <w:color w:val="000000" w:themeColor="text1"/>
          <w:spacing w:val="-45"/>
          <w:sz w:val="24"/>
          <w:szCs w:val="24"/>
          <w14:textFill>
            <w14:solidFill>
              <w14:schemeClr w14:val="tx1"/>
            </w14:solidFill>
          </w14:textFill>
        </w:rPr>
        <w:t>），</w:t>
      </w:r>
      <w:r>
        <w:rPr>
          <w:color w:val="000000" w:themeColor="text1"/>
          <w:spacing w:val="4"/>
          <w:sz w:val="24"/>
          <w:szCs w:val="24"/>
          <w14:textFill>
            <w14:solidFill>
              <w14:schemeClr w14:val="tx1"/>
            </w14:solidFill>
          </w14:textFill>
        </w:rPr>
        <w:t>分别以</w:t>
      </w:r>
      <w:r>
        <w:rPr>
          <w:rFonts w:ascii="Times New Roman" w:hAnsi="Times New Roman" w:eastAsia="Times New Roman" w:cs="Times New Roman"/>
          <w:color w:val="000000" w:themeColor="text1"/>
          <w:spacing w:val="4"/>
          <w:sz w:val="24"/>
          <w:szCs w:val="24"/>
          <w14:textFill>
            <w14:solidFill>
              <w14:schemeClr w14:val="tx1"/>
            </w14:solidFill>
          </w14:textFill>
        </w:rPr>
        <w:t>P1</w:t>
      </w:r>
      <w:r>
        <w:rPr>
          <w:color w:val="000000" w:themeColor="text1"/>
          <w:spacing w:val="4"/>
          <w:sz w:val="24"/>
          <w:szCs w:val="24"/>
          <w14:textFill>
            <w14:solidFill>
              <w14:schemeClr w14:val="tx1"/>
            </w14:solidFill>
          </w14:textFill>
        </w:rPr>
        <w:t>、</w:t>
      </w:r>
      <w:r>
        <w:rPr>
          <w:rFonts w:ascii="Times New Roman" w:hAnsi="Times New Roman" w:eastAsia="Times New Roman" w:cs="Times New Roman"/>
          <w:color w:val="000000" w:themeColor="text1"/>
          <w:spacing w:val="4"/>
          <w:sz w:val="24"/>
          <w:szCs w:val="24"/>
          <w14:textFill>
            <w14:solidFill>
              <w14:schemeClr w14:val="tx1"/>
            </w14:solidFill>
          </w14:textFill>
        </w:rPr>
        <w:t>P2</w:t>
      </w:r>
      <w:r>
        <w:rPr>
          <w:color w:val="000000" w:themeColor="text1"/>
          <w:spacing w:val="4"/>
          <w:sz w:val="24"/>
          <w:szCs w:val="24"/>
          <w14:textFill>
            <w14:solidFill>
              <w14:schemeClr w14:val="tx1"/>
            </w14:solidFill>
          </w14:textFill>
        </w:rPr>
        <w:t>、</w:t>
      </w:r>
      <w:r>
        <w:rPr>
          <w:rFonts w:ascii="Times New Roman" w:hAnsi="Times New Roman" w:eastAsia="Times New Roman" w:cs="Times New Roman"/>
          <w:color w:val="000000" w:themeColor="text1"/>
          <w:spacing w:val="6"/>
          <w:sz w:val="24"/>
          <w:szCs w:val="24"/>
          <w14:textFill>
            <w14:solidFill>
              <w14:schemeClr w14:val="tx1"/>
            </w14:solidFill>
          </w14:textFill>
        </w:rPr>
        <w:t>P3</w:t>
      </w: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pacing w:val="6"/>
          <w:sz w:val="24"/>
          <w:szCs w:val="24"/>
          <w14:textFill>
            <w14:solidFill>
              <w14:schemeClr w14:val="tx1"/>
            </w14:solidFill>
          </w14:textFill>
        </w:rPr>
        <w:t>P4</w:t>
      </w:r>
      <w:r>
        <w:rPr>
          <w:color w:val="000000" w:themeColor="text1"/>
          <w:spacing w:val="6"/>
          <w:sz w:val="24"/>
          <w:szCs w:val="24"/>
          <w14:textFill>
            <w14:solidFill>
              <w14:schemeClr w14:val="tx1"/>
            </w14:solidFill>
          </w14:textFill>
        </w:rPr>
        <w:t>表示。确定过程见下表：</w:t>
      </w:r>
    </w:p>
    <w:p>
      <w:pPr>
        <w:pStyle w:val="8"/>
        <w:spacing w:line="219" w:lineRule="auto"/>
        <w:ind w:left="114"/>
        <w:jc w:val="center"/>
        <w:rPr>
          <w:color w:val="000000" w:themeColor="text1"/>
          <w:sz w:val="18"/>
          <w:szCs w:val="18"/>
          <w14:textFill>
            <w14:solidFill>
              <w14:schemeClr w14:val="tx1"/>
            </w14:solidFill>
          </w14:textFill>
        </w:rPr>
      </w:pPr>
      <w:r>
        <w:rPr>
          <w:rFonts w:ascii="Times New Roman" w:hAnsi="Times New Roman" w:eastAsia="宋体" w:cs="Times New Roman"/>
          <w:b/>
          <w:bCs/>
          <w:color w:val="000000" w:themeColor="text1"/>
          <w:spacing w:val="1"/>
          <w:sz w:val="21"/>
          <w:szCs w:val="21"/>
          <w14:textFill>
            <w14:solidFill>
              <w14:schemeClr w14:val="tx1"/>
            </w14:solidFill>
          </w14:textFill>
        </w:rPr>
        <w:t>表 3-4  危险物质及工艺系统危险性等级判断（P）</w:t>
      </w:r>
    </w:p>
    <w:p>
      <w:pPr>
        <w:spacing w:line="33" w:lineRule="exact"/>
        <w:rPr>
          <w:color w:val="000000" w:themeColor="text1"/>
          <w14:textFill>
            <w14:solidFill>
              <w14:schemeClr w14:val="tx1"/>
            </w14:solidFill>
          </w14:textFill>
        </w:rPr>
      </w:pPr>
    </w:p>
    <w:tbl>
      <w:tblPr>
        <w:tblStyle w:val="99"/>
        <w:tblW w:w="850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Layout w:type="fixed"/>
        <w:tblCellMar>
          <w:top w:w="0" w:type="dxa"/>
          <w:left w:w="0" w:type="dxa"/>
          <w:bottom w:w="0" w:type="dxa"/>
          <w:right w:w="0" w:type="dxa"/>
        </w:tblCellMar>
      </w:tblPr>
      <w:tblGrid>
        <w:gridCol w:w="1985"/>
        <w:gridCol w:w="1701"/>
        <w:gridCol w:w="1701"/>
        <w:gridCol w:w="1701"/>
        <w:gridCol w:w="141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1985" w:type="dxa"/>
            <w:vMerge w:val="restart"/>
            <w:tcBorders>
              <w:top w:val="single" w:color="000000" w:sz="10" w:space="0"/>
              <w:left w:val="nil"/>
              <w:bottom w:val="nil"/>
            </w:tcBorders>
            <w:shd w:val="clear" w:color="auto" w:fill="auto"/>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危险物质数量与临界</w:t>
            </w:r>
          </w:p>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量比值（</w:t>
            </w:r>
            <w:r>
              <w:rPr>
                <w:rFonts w:ascii="Times New Roman" w:hAnsi="Times New Roman" w:eastAsia="Times New Roman" w:cs="Times New Roman"/>
                <w:color w:val="000000" w:themeColor="text1"/>
                <w:spacing w:val="-2"/>
                <w:sz w:val="18"/>
                <w:szCs w:val="18"/>
                <w14:textFill>
                  <w14:solidFill>
                    <w14:schemeClr w14:val="tx1"/>
                  </w14:solidFill>
                </w14:textFill>
              </w:rPr>
              <w:t>Q</w:t>
            </w:r>
            <w:r>
              <w:rPr>
                <w:color w:val="000000" w:themeColor="text1"/>
                <w:spacing w:val="-2"/>
                <w:sz w:val="18"/>
                <w:szCs w:val="18"/>
                <w14:textFill>
                  <w14:solidFill>
                    <w14:schemeClr w14:val="tx1"/>
                  </w14:solidFill>
                </w14:textFill>
              </w:rPr>
              <w:t>）</w:t>
            </w:r>
          </w:p>
        </w:tc>
        <w:tc>
          <w:tcPr>
            <w:tcW w:w="6519" w:type="dxa"/>
            <w:gridSpan w:val="4"/>
            <w:tcBorders>
              <w:top w:val="single" w:color="000000" w:sz="10" w:space="0"/>
              <w:right w:val="nil"/>
            </w:tcBorders>
            <w:shd w:val="clear" w:color="auto" w:fill="auto"/>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行业及生产工艺（</w:t>
            </w:r>
            <w:r>
              <w:rPr>
                <w:rFonts w:ascii="Times New Roman" w:hAnsi="Times New Roman" w:eastAsia="Times New Roman" w:cs="Times New Roman"/>
                <w:color w:val="000000" w:themeColor="text1"/>
                <w:spacing w:val="-1"/>
                <w:sz w:val="18"/>
                <w:szCs w:val="18"/>
                <w14:textFill>
                  <w14:solidFill>
                    <w14:schemeClr w14:val="tx1"/>
                  </w14:solidFill>
                </w14:textFill>
              </w:rPr>
              <w:t>M</w:t>
            </w:r>
            <w:r>
              <w:rPr>
                <w:color w:val="000000" w:themeColor="text1"/>
                <w:spacing w:val="-1"/>
                <w:sz w:val="18"/>
                <w:szCs w:val="18"/>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59" w:hRule="atLeast"/>
          <w:jc w:val="center"/>
        </w:trPr>
        <w:tc>
          <w:tcPr>
            <w:tcW w:w="1985" w:type="dxa"/>
            <w:vMerge w:val="continue"/>
            <w:tcBorders>
              <w:top w:val="nil"/>
              <w:left w:val="nil"/>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Arial"/>
                <w:color w:val="000000" w:themeColor="text1"/>
                <w:sz w:val="21"/>
                <w14:textFill>
                  <w14:solidFill>
                    <w14:schemeClr w14:val="tx1"/>
                  </w14:solidFill>
                </w14:textFill>
              </w:rPr>
            </w:pPr>
          </w:p>
        </w:tc>
        <w:tc>
          <w:tcPr>
            <w:tcW w:w="1701"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M1</w:t>
            </w:r>
          </w:p>
        </w:tc>
        <w:tc>
          <w:tcPr>
            <w:tcW w:w="1701"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M2</w:t>
            </w:r>
          </w:p>
        </w:tc>
        <w:tc>
          <w:tcPr>
            <w:tcW w:w="1701" w:type="dxa"/>
            <w:shd w:val="clear" w:color="auto" w:fill="FFFF00"/>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M3</w:t>
            </w:r>
          </w:p>
        </w:tc>
        <w:tc>
          <w:tcPr>
            <w:tcW w:w="1416" w:type="dxa"/>
            <w:tcBorders>
              <w:right w:val="nil"/>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M4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59" w:hRule="atLeast"/>
          <w:jc w:val="center"/>
        </w:trPr>
        <w:tc>
          <w:tcPr>
            <w:tcW w:w="1985" w:type="dxa"/>
            <w:tcBorders>
              <w:left w:val="nil"/>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Q≥100</w:t>
            </w:r>
          </w:p>
        </w:tc>
        <w:tc>
          <w:tcPr>
            <w:tcW w:w="1701"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P1</w:t>
            </w:r>
          </w:p>
        </w:tc>
        <w:tc>
          <w:tcPr>
            <w:tcW w:w="1701"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P1</w:t>
            </w:r>
          </w:p>
        </w:tc>
        <w:tc>
          <w:tcPr>
            <w:tcW w:w="1701"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P2</w:t>
            </w:r>
          </w:p>
        </w:tc>
        <w:tc>
          <w:tcPr>
            <w:tcW w:w="1416" w:type="dxa"/>
            <w:tcBorders>
              <w:right w:val="nil"/>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59" w:hRule="atLeast"/>
          <w:jc w:val="center"/>
        </w:trPr>
        <w:tc>
          <w:tcPr>
            <w:tcW w:w="1985" w:type="dxa"/>
            <w:tcBorders>
              <w:left w:val="nil"/>
            </w:tcBorders>
            <w:shd w:val="clear" w:color="auto" w:fill="auto"/>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3"/>
                <w:sz w:val="18"/>
                <w:szCs w:val="18"/>
                <w14:textFill>
                  <w14:solidFill>
                    <w14:schemeClr w14:val="tx1"/>
                  </w14:solidFill>
                </w14:textFill>
              </w:rPr>
              <w:t>10≤Q</w:t>
            </w:r>
            <w:r>
              <w:rPr>
                <w:color w:val="000000" w:themeColor="text1"/>
                <w:spacing w:val="-3"/>
                <w:sz w:val="18"/>
                <w:szCs w:val="18"/>
                <w14:textFill>
                  <w14:solidFill>
                    <w14:schemeClr w14:val="tx1"/>
                  </w14:solidFill>
                </w14:textFill>
              </w:rPr>
              <w:t>＜</w:t>
            </w:r>
            <w:r>
              <w:rPr>
                <w:rFonts w:ascii="Times New Roman" w:hAnsi="Times New Roman" w:eastAsia="Times New Roman" w:cs="Times New Roman"/>
                <w:color w:val="000000" w:themeColor="text1"/>
                <w:spacing w:val="-3"/>
                <w:sz w:val="18"/>
                <w:szCs w:val="18"/>
                <w14:textFill>
                  <w14:solidFill>
                    <w14:schemeClr w14:val="tx1"/>
                  </w14:solidFill>
                </w14:textFill>
              </w:rPr>
              <w:t>100</w:t>
            </w:r>
          </w:p>
        </w:tc>
        <w:tc>
          <w:tcPr>
            <w:tcW w:w="1701"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P1</w:t>
            </w:r>
          </w:p>
        </w:tc>
        <w:tc>
          <w:tcPr>
            <w:tcW w:w="1701"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P2</w:t>
            </w:r>
          </w:p>
        </w:tc>
        <w:tc>
          <w:tcPr>
            <w:tcW w:w="1701"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P3</w:t>
            </w:r>
          </w:p>
        </w:tc>
        <w:tc>
          <w:tcPr>
            <w:tcW w:w="1416" w:type="dxa"/>
            <w:tcBorders>
              <w:right w:val="nil"/>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83" w:hRule="atLeast"/>
          <w:jc w:val="center"/>
        </w:trPr>
        <w:tc>
          <w:tcPr>
            <w:tcW w:w="1985" w:type="dxa"/>
            <w:tcBorders>
              <w:left w:val="nil"/>
              <w:bottom w:val="single" w:color="000000" w:sz="10" w:space="0"/>
            </w:tcBorders>
            <w:shd w:val="clear" w:color="auto" w:fill="FFFF00"/>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3"/>
                <w:sz w:val="18"/>
                <w:szCs w:val="18"/>
                <w14:textFill>
                  <w14:solidFill>
                    <w14:schemeClr w14:val="tx1"/>
                  </w14:solidFill>
                </w14:textFill>
              </w:rPr>
              <w:t>1≤Q＜10</w:t>
            </w:r>
          </w:p>
        </w:tc>
        <w:tc>
          <w:tcPr>
            <w:tcW w:w="1701" w:type="dxa"/>
            <w:tcBorders>
              <w:bottom w:val="single" w:color="000000" w:sz="10" w:space="0"/>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P2</w:t>
            </w:r>
          </w:p>
        </w:tc>
        <w:tc>
          <w:tcPr>
            <w:tcW w:w="1701" w:type="dxa"/>
            <w:tcBorders>
              <w:bottom w:val="single" w:color="000000" w:sz="10" w:space="0"/>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P3</w:t>
            </w:r>
          </w:p>
        </w:tc>
        <w:tc>
          <w:tcPr>
            <w:tcW w:w="1701" w:type="dxa"/>
            <w:tcBorders>
              <w:bottom w:val="single" w:color="000000" w:sz="10" w:space="0"/>
            </w:tcBorders>
            <w:shd w:val="clear" w:color="auto" w:fill="FFFF00"/>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P4</w:t>
            </w:r>
          </w:p>
        </w:tc>
        <w:tc>
          <w:tcPr>
            <w:tcW w:w="1416" w:type="dxa"/>
            <w:tcBorders>
              <w:bottom w:val="single" w:color="000000" w:sz="10" w:space="0"/>
              <w:right w:val="nil"/>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P4</w:t>
            </w:r>
          </w:p>
        </w:tc>
      </w:tr>
    </w:tbl>
    <w:p>
      <w:pPr>
        <w:pStyle w:val="8"/>
        <w:spacing w:before="286" w:line="221" w:lineRule="auto"/>
        <w:ind w:left="539"/>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项目</w:t>
      </w:r>
      <w:r>
        <w:rPr>
          <w:rFonts w:ascii="Times New Roman" w:hAnsi="Times New Roman" w:eastAsia="Times New Roman" w:cs="Times New Roman"/>
          <w:color w:val="000000" w:themeColor="text1"/>
          <w:spacing w:val="4"/>
          <w:sz w:val="24"/>
          <w:szCs w:val="24"/>
          <w14:textFill>
            <w14:solidFill>
              <w14:schemeClr w14:val="tx1"/>
            </w14:solidFill>
          </w14:textFill>
        </w:rPr>
        <w:t>Q</w:t>
      </w:r>
      <w:r>
        <w:rPr>
          <w:color w:val="000000" w:themeColor="text1"/>
          <w:spacing w:val="4"/>
          <w:sz w:val="24"/>
          <w:szCs w:val="24"/>
          <w14:textFill>
            <w14:solidFill>
              <w14:schemeClr w14:val="tx1"/>
            </w14:solidFill>
          </w14:textFill>
        </w:rPr>
        <w:t>值为</w:t>
      </w:r>
      <w:r>
        <w:rPr>
          <w:rFonts w:ascii="Times New Roman" w:hAnsi="Times New Roman" w:eastAsia="Times New Roman" w:cs="Times New Roman"/>
          <w:color w:val="000000" w:themeColor="text1"/>
          <w:spacing w:val="4"/>
          <w:sz w:val="24"/>
          <w:szCs w:val="24"/>
          <w14:textFill>
            <w14:solidFill>
              <w14:schemeClr w14:val="tx1"/>
            </w14:solidFill>
          </w14:textFill>
        </w:rPr>
        <w:t>1≤Q</w:t>
      </w:r>
      <w:r>
        <w:rPr>
          <w:color w:val="000000" w:themeColor="text1"/>
          <w:spacing w:val="4"/>
          <w:sz w:val="24"/>
          <w:szCs w:val="24"/>
          <w14:textFill>
            <w14:solidFill>
              <w14:schemeClr w14:val="tx1"/>
            </w14:solidFill>
          </w14:textFill>
        </w:rPr>
        <w:t>＜</w:t>
      </w:r>
      <w:r>
        <w:rPr>
          <w:rFonts w:ascii="Times New Roman" w:hAnsi="Times New Roman" w:eastAsia="Times New Roman" w:cs="Times New Roman"/>
          <w:color w:val="000000" w:themeColor="text1"/>
          <w:spacing w:val="4"/>
          <w:sz w:val="24"/>
          <w:szCs w:val="24"/>
          <w14:textFill>
            <w14:solidFill>
              <w14:schemeClr w14:val="tx1"/>
            </w14:solidFill>
          </w14:textFill>
        </w:rPr>
        <w:t>10</w:t>
      </w:r>
      <w:r>
        <w:rPr>
          <w:color w:val="000000" w:themeColor="text1"/>
          <w:spacing w:val="4"/>
          <w:sz w:val="24"/>
          <w:szCs w:val="24"/>
          <w14:textFill>
            <w14:solidFill>
              <w14:schemeClr w14:val="tx1"/>
            </w14:solidFill>
          </w14:textFill>
        </w:rPr>
        <w:t>，</w:t>
      </w:r>
      <w:r>
        <w:rPr>
          <w:rFonts w:ascii="Times New Roman" w:hAnsi="Times New Roman" w:eastAsia="Times New Roman" w:cs="Times New Roman"/>
          <w:color w:val="000000" w:themeColor="text1"/>
          <w:spacing w:val="4"/>
          <w:sz w:val="24"/>
          <w:szCs w:val="24"/>
          <w14:textFill>
            <w14:solidFill>
              <w14:schemeClr w14:val="tx1"/>
            </w14:solidFill>
          </w14:textFill>
        </w:rPr>
        <w:t>M</w:t>
      </w:r>
      <w:r>
        <w:rPr>
          <w:color w:val="000000" w:themeColor="text1"/>
          <w:spacing w:val="4"/>
          <w:sz w:val="24"/>
          <w:szCs w:val="24"/>
          <w14:textFill>
            <w14:solidFill>
              <w14:schemeClr w14:val="tx1"/>
            </w14:solidFill>
          </w14:textFill>
        </w:rPr>
        <w:t>值为</w:t>
      </w:r>
      <w:r>
        <w:rPr>
          <w:rFonts w:ascii="Times New Roman" w:hAnsi="Times New Roman" w:eastAsia="Times New Roman" w:cs="Times New Roman"/>
          <w:color w:val="000000" w:themeColor="text1"/>
          <w:spacing w:val="4"/>
          <w:sz w:val="24"/>
          <w:szCs w:val="24"/>
          <w14:textFill>
            <w14:solidFill>
              <w14:schemeClr w14:val="tx1"/>
            </w14:solidFill>
          </w14:textFill>
        </w:rPr>
        <w:t>M3</w:t>
      </w:r>
      <w:r>
        <w:rPr>
          <w:color w:val="000000" w:themeColor="text1"/>
          <w:spacing w:val="4"/>
          <w:sz w:val="24"/>
          <w:szCs w:val="24"/>
          <w14:textFill>
            <w14:solidFill>
              <w14:schemeClr w14:val="tx1"/>
            </w14:solidFill>
          </w14:textFill>
        </w:rPr>
        <w:t>，对照表确定项目</w:t>
      </w:r>
      <w:r>
        <w:rPr>
          <w:rFonts w:ascii="Times New Roman" w:hAnsi="Times New Roman" w:eastAsia="Times New Roman" w:cs="Times New Roman"/>
          <w:color w:val="000000" w:themeColor="text1"/>
          <w:spacing w:val="4"/>
          <w:sz w:val="24"/>
          <w:szCs w:val="24"/>
          <w14:textFill>
            <w14:solidFill>
              <w14:schemeClr w14:val="tx1"/>
            </w14:solidFill>
          </w14:textFill>
        </w:rPr>
        <w:t>P</w:t>
      </w:r>
      <w:r>
        <w:rPr>
          <w:color w:val="000000" w:themeColor="text1"/>
          <w:spacing w:val="4"/>
          <w:sz w:val="24"/>
          <w:szCs w:val="24"/>
          <w14:textFill>
            <w14:solidFill>
              <w14:schemeClr w14:val="tx1"/>
            </w14:solidFill>
          </w14:textFill>
        </w:rPr>
        <w:t>值为</w:t>
      </w:r>
      <w:r>
        <w:rPr>
          <w:rFonts w:ascii="Times New Roman" w:hAnsi="Times New Roman" w:eastAsia="Times New Roman" w:cs="Times New Roman"/>
          <w:color w:val="000000" w:themeColor="text1"/>
          <w:spacing w:val="4"/>
          <w:sz w:val="24"/>
          <w:szCs w:val="24"/>
          <w14:textFill>
            <w14:solidFill>
              <w14:schemeClr w14:val="tx1"/>
            </w14:solidFill>
          </w14:textFill>
        </w:rPr>
        <w:t>P</w:t>
      </w:r>
      <w:r>
        <w:rPr>
          <w:rFonts w:hint="eastAsia" w:ascii="Times New Roman" w:hAnsi="Times New Roman" w:eastAsia="宋体" w:cs="Times New Roman"/>
          <w:color w:val="000000" w:themeColor="text1"/>
          <w:spacing w:val="4"/>
          <w:sz w:val="24"/>
          <w:szCs w:val="24"/>
          <w:lang w:val="en-US" w:eastAsia="zh-CN"/>
          <w14:textFill>
            <w14:solidFill>
              <w14:schemeClr w14:val="tx1"/>
            </w14:solidFill>
          </w14:textFill>
        </w:rPr>
        <w:t>4</w:t>
      </w:r>
      <w:r>
        <w:rPr>
          <w:color w:val="000000" w:themeColor="text1"/>
          <w:spacing w:val="4"/>
          <w:sz w:val="24"/>
          <w:szCs w:val="24"/>
          <w14:textFill>
            <w14:solidFill>
              <w14:schemeClr w14:val="tx1"/>
            </w14:solidFill>
          </w14:textFill>
        </w:rPr>
        <w:t>。</w:t>
      </w:r>
    </w:p>
    <w:p>
      <w:pPr>
        <w:pStyle w:val="8"/>
        <w:spacing w:before="228" w:line="228" w:lineRule="auto"/>
        <w:ind w:left="111"/>
        <w:outlineLvl w:val="1"/>
        <w:rPr>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4"/>
          <w:sz w:val="24"/>
          <w:szCs w:val="24"/>
          <w14:textFill>
            <w14:solidFill>
              <w14:schemeClr w14:val="tx1"/>
            </w14:solidFill>
          </w14:textFill>
        </w:rPr>
        <w:t>3.2</w:t>
      </w:r>
      <w:r>
        <w:rPr>
          <w:rFonts w:hint="eastAsia" w:ascii="Times New Roman" w:hAnsi="Times New Roman" w:eastAsia="宋体" w:cs="Times New Roman"/>
          <w:b/>
          <w:bCs/>
          <w:color w:val="000000" w:themeColor="text1"/>
          <w:spacing w:val="4"/>
          <w:sz w:val="24"/>
          <w:szCs w:val="24"/>
          <w:lang w:val="en-US" w:eastAsia="zh-CN"/>
          <w14:textFill>
            <w14:solidFill>
              <w14:schemeClr w14:val="tx1"/>
            </w14:solidFill>
          </w14:textFill>
        </w:rPr>
        <w:t xml:space="preserve"> </w:t>
      </w:r>
      <w:r>
        <w:rPr>
          <w:b/>
          <w:bCs/>
          <w:color w:val="000000" w:themeColor="text1"/>
          <w:spacing w:val="4"/>
          <w:sz w:val="24"/>
          <w:szCs w:val="24"/>
          <w14:textFill>
            <w14:solidFill>
              <w14:schemeClr w14:val="tx1"/>
            </w14:solidFill>
          </w14:textFill>
        </w:rPr>
        <w:t>环境敏感程度</w:t>
      </w:r>
      <w:r>
        <w:rPr>
          <w:rFonts w:ascii="Times New Roman" w:hAnsi="Times New Roman" w:eastAsia="Times New Roman" w:cs="Times New Roman"/>
          <w:b/>
          <w:bCs/>
          <w:color w:val="000000" w:themeColor="text1"/>
          <w:spacing w:val="4"/>
          <w:sz w:val="24"/>
          <w:szCs w:val="24"/>
          <w14:textFill>
            <w14:solidFill>
              <w14:schemeClr w14:val="tx1"/>
            </w14:solidFill>
          </w14:textFill>
        </w:rPr>
        <w:t>E</w:t>
      </w:r>
      <w:r>
        <w:rPr>
          <w:b/>
          <w:bCs/>
          <w:color w:val="000000" w:themeColor="text1"/>
          <w:spacing w:val="4"/>
          <w:sz w:val="24"/>
          <w:szCs w:val="24"/>
          <w14:textFill>
            <w14:solidFill>
              <w14:schemeClr w14:val="tx1"/>
            </w14:solidFill>
          </w14:textFill>
        </w:rPr>
        <w:t>的分级确定</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pacing w:val="6"/>
          <w:sz w:val="24"/>
          <w:szCs w:val="24"/>
          <w14:textFill>
            <w14:solidFill>
              <w14:schemeClr w14:val="tx1"/>
            </w14:solidFill>
          </w14:textFill>
        </w:rPr>
        <w:t>1</w:t>
      </w:r>
      <w:r>
        <w:rPr>
          <w:color w:val="000000" w:themeColor="text1"/>
          <w:spacing w:val="6"/>
          <w:sz w:val="24"/>
          <w:szCs w:val="24"/>
          <w14:textFill>
            <w14:solidFill>
              <w14:schemeClr w14:val="tx1"/>
            </w14:solidFill>
          </w14:textFill>
        </w:rPr>
        <w:t>）大气环境</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5"/>
        <w:jc w:val="both"/>
        <w:textAlignment w:val="auto"/>
        <w:rPr>
          <w:color w:val="000000" w:themeColor="text1"/>
          <w:sz w:val="20"/>
          <w:szCs w:val="20"/>
          <w14:textFill>
            <w14:solidFill>
              <w14:schemeClr w14:val="tx1"/>
            </w14:solidFill>
          </w14:textFill>
        </w:rPr>
      </w:pPr>
      <w:r>
        <w:rPr>
          <w:color w:val="000000" w:themeColor="text1"/>
          <w:spacing w:val="6"/>
          <w:sz w:val="24"/>
          <w:szCs w:val="24"/>
          <w14:textFill>
            <w14:solidFill>
              <w14:schemeClr w14:val="tx1"/>
            </w14:solidFill>
          </w14:textFill>
        </w:rPr>
        <w:t>依据环境敏感目标环境敏感性及人口密度划分环境风险受体的敏感性，共分为三种</w:t>
      </w:r>
      <w:r>
        <w:rPr>
          <w:color w:val="000000" w:themeColor="text1"/>
          <w:spacing w:val="5"/>
          <w:sz w:val="24"/>
          <w:szCs w:val="24"/>
          <w14:textFill>
            <w14:solidFill>
              <w14:schemeClr w14:val="tx1"/>
            </w14:solidFill>
          </w14:textFill>
        </w:rPr>
        <w:t>类型，</w:t>
      </w:r>
      <w:r>
        <w:rPr>
          <w:rFonts w:ascii="Times New Roman" w:hAnsi="Times New Roman" w:eastAsia="Times New Roman" w:cs="Times New Roman"/>
          <w:color w:val="000000" w:themeColor="text1"/>
          <w:spacing w:val="9"/>
          <w:sz w:val="24"/>
          <w:szCs w:val="24"/>
          <w14:textFill>
            <w14:solidFill>
              <w14:schemeClr w14:val="tx1"/>
            </w14:solidFill>
          </w14:textFill>
        </w:rPr>
        <w:t>E1</w:t>
      </w:r>
      <w:r>
        <w:rPr>
          <w:color w:val="000000" w:themeColor="text1"/>
          <w:spacing w:val="9"/>
          <w:sz w:val="24"/>
          <w:szCs w:val="24"/>
          <w14:textFill>
            <w14:solidFill>
              <w14:schemeClr w14:val="tx1"/>
            </w14:solidFill>
          </w14:textFill>
        </w:rPr>
        <w:t>为环境高度敏感区，</w:t>
      </w:r>
      <w:r>
        <w:rPr>
          <w:rFonts w:ascii="Times New Roman" w:hAnsi="Times New Roman" w:eastAsia="Times New Roman" w:cs="Times New Roman"/>
          <w:color w:val="000000" w:themeColor="text1"/>
          <w:spacing w:val="9"/>
          <w:sz w:val="24"/>
          <w:szCs w:val="24"/>
          <w14:textFill>
            <w14:solidFill>
              <w14:schemeClr w14:val="tx1"/>
            </w14:solidFill>
          </w14:textFill>
        </w:rPr>
        <w:t>E2</w:t>
      </w:r>
      <w:r>
        <w:rPr>
          <w:color w:val="000000" w:themeColor="text1"/>
          <w:spacing w:val="9"/>
          <w:sz w:val="24"/>
          <w:szCs w:val="24"/>
          <w14:textFill>
            <w14:solidFill>
              <w14:schemeClr w14:val="tx1"/>
            </w14:solidFill>
          </w14:textFill>
        </w:rPr>
        <w:t>为环境中度</w:t>
      </w:r>
      <w:r>
        <w:rPr>
          <w:color w:val="000000" w:themeColor="text1"/>
          <w:spacing w:val="8"/>
          <w:sz w:val="24"/>
          <w:szCs w:val="24"/>
          <w14:textFill>
            <w14:solidFill>
              <w14:schemeClr w14:val="tx1"/>
            </w14:solidFill>
          </w14:textFill>
        </w:rPr>
        <w:t>敏感区，</w:t>
      </w:r>
      <w:r>
        <w:rPr>
          <w:rFonts w:ascii="Times New Roman" w:hAnsi="Times New Roman" w:eastAsia="Times New Roman" w:cs="Times New Roman"/>
          <w:color w:val="000000" w:themeColor="text1"/>
          <w:spacing w:val="8"/>
          <w:sz w:val="24"/>
          <w:szCs w:val="24"/>
          <w14:textFill>
            <w14:solidFill>
              <w14:schemeClr w14:val="tx1"/>
            </w14:solidFill>
          </w14:textFill>
        </w:rPr>
        <w:t>E3</w:t>
      </w:r>
      <w:r>
        <w:rPr>
          <w:color w:val="000000" w:themeColor="text1"/>
          <w:spacing w:val="8"/>
          <w:sz w:val="24"/>
          <w:szCs w:val="24"/>
          <w14:textFill>
            <w14:solidFill>
              <w14:schemeClr w14:val="tx1"/>
            </w14:solidFill>
          </w14:textFill>
        </w:rPr>
        <w:t>为环境低度敏感区，分级原则见下表：</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2"/>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3-5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大气环境敏感程度分级</w:t>
      </w:r>
    </w:p>
    <w:p>
      <w:pPr>
        <w:spacing w:line="33" w:lineRule="exact"/>
        <w:rPr>
          <w:color w:val="000000" w:themeColor="text1"/>
          <w14:textFill>
            <w14:solidFill>
              <w14:schemeClr w14:val="tx1"/>
            </w14:solidFill>
          </w14:textFill>
        </w:rPr>
      </w:pP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62"/>
        <w:gridCol w:w="5745"/>
        <w:gridCol w:w="1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6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分级</w:t>
            </w:r>
          </w:p>
        </w:tc>
        <w:tc>
          <w:tcPr>
            <w:tcW w:w="574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大气环境敏感性判据</w:t>
            </w:r>
          </w:p>
        </w:tc>
        <w:tc>
          <w:tcPr>
            <w:tcW w:w="1955" w:type="dxa"/>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6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E1</w:t>
            </w:r>
          </w:p>
        </w:tc>
        <w:tc>
          <w:tcPr>
            <w:tcW w:w="574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c>
          <w:tcPr>
            <w:tcW w:w="195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项目周边5km范围内居住区、科研、行政办公等机构人口总数为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1438</w:t>
            </w:r>
            <w:r>
              <w:rPr>
                <w:rFonts w:hint="default" w:ascii="Times New Roman" w:hAnsi="Times New Roman" w:eastAsia="宋体" w:cs="Times New Roman"/>
                <w:color w:val="000000" w:themeColor="text1"/>
                <w:sz w:val="21"/>
                <w:szCs w:val="21"/>
                <w14:textFill>
                  <w14:solidFill>
                    <w14:schemeClr w14:val="tx1"/>
                  </w14:solidFill>
                </w14:textFill>
              </w:rPr>
              <w:t>人，周边 500m范围内人口总</w:t>
            </w:r>
            <w:r>
              <w:rPr>
                <w:rFonts w:hint="default" w:ascii="Times New Roman" w:hAnsi="Times New Roman" w:eastAsia="宋体" w:cs="Times New Roman"/>
                <w:color w:val="000000" w:themeColor="text1"/>
                <w:sz w:val="21"/>
                <w:szCs w:val="21"/>
                <w:highlight w:val="none"/>
                <w14:textFill>
                  <w14:solidFill>
                    <w14:schemeClr w14:val="tx1"/>
                  </w14:solidFill>
                </w14:textFill>
              </w:rPr>
              <w:t>数为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504</w:t>
            </w:r>
            <w:r>
              <w:rPr>
                <w:rFonts w:hint="default" w:ascii="Times New Roman" w:hAnsi="Times New Roman" w:eastAsia="宋体" w:cs="Times New Roman"/>
                <w:color w:val="000000" w:themeColor="text1"/>
                <w:sz w:val="21"/>
                <w:szCs w:val="21"/>
                <w:highlight w:val="none"/>
                <w14:textFill>
                  <w14:solidFill>
                    <w14:schemeClr w14:val="tx1"/>
                  </w14:solidFill>
                </w14:textFill>
              </w:rPr>
              <w:t>人</w:t>
            </w:r>
            <w:r>
              <w:rPr>
                <w:rFonts w:hint="default" w:ascii="Times New Roman" w:hAnsi="Times New Roman" w:eastAsia="宋体" w:cs="Times New Roman"/>
                <w:color w:val="000000" w:themeColor="text1"/>
                <w:sz w:val="21"/>
                <w:szCs w:val="21"/>
                <w14:textFill>
                  <w14:solidFill>
                    <w14:schemeClr w14:val="tx1"/>
                  </w14:solidFill>
                </w14:textFill>
              </w:rPr>
              <w:t>，不涉及其他需要特殊保护区域。</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判定本项目大气环境敏感分级为E2级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6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E2</w:t>
            </w:r>
          </w:p>
        </w:tc>
        <w:tc>
          <w:tcPr>
            <w:tcW w:w="574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c>
          <w:tcPr>
            <w:tcW w:w="1955"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6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E3</w:t>
            </w:r>
          </w:p>
        </w:tc>
        <w:tc>
          <w:tcPr>
            <w:tcW w:w="5745"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周边5km范围内居住区、医疗卫生、文化教育、科研、行政办公等机构人口总数小于1万人；或周边500m范围内人口总数小于500人；油气、化学品输送管线管段周边200m范围内，每千米管段人口数小于100人</w:t>
            </w:r>
          </w:p>
        </w:tc>
        <w:tc>
          <w:tcPr>
            <w:tcW w:w="1955"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1"/>
        <w:jc w:val="both"/>
        <w:textAlignment w:val="auto"/>
        <w:rPr>
          <w:color w:val="000000" w:themeColor="text1"/>
          <w:sz w:val="24"/>
          <w:szCs w:val="24"/>
          <w14:textFill>
            <w14:solidFill>
              <w14:schemeClr w14:val="tx1"/>
            </w14:solidFill>
          </w14:textFill>
        </w:rPr>
      </w:pPr>
      <w:r>
        <w:rPr>
          <w:color w:val="000000" w:themeColor="text1"/>
          <w:spacing w:val="11"/>
          <w:sz w:val="24"/>
          <w:szCs w:val="24"/>
          <w14:textFill>
            <w14:solidFill>
              <w14:schemeClr w14:val="tx1"/>
            </w14:solidFill>
          </w14:textFill>
        </w:rPr>
        <w:t>项目周边</w:t>
      </w:r>
      <w:r>
        <w:rPr>
          <w:rFonts w:ascii="Times New Roman" w:hAnsi="Times New Roman" w:eastAsia="Times New Roman" w:cs="Times New Roman"/>
          <w:color w:val="000000" w:themeColor="text1"/>
          <w:spacing w:val="11"/>
          <w:sz w:val="24"/>
          <w:szCs w:val="24"/>
          <w14:textFill>
            <w14:solidFill>
              <w14:schemeClr w14:val="tx1"/>
            </w14:solidFill>
          </w14:textFill>
        </w:rPr>
        <w:t>5</w:t>
      </w:r>
      <w:r>
        <w:rPr>
          <w:rFonts w:ascii="Times New Roman" w:hAnsi="Times New Roman" w:eastAsia="Times New Roman" w:cs="Times New Roman"/>
          <w:color w:val="000000" w:themeColor="text1"/>
          <w:sz w:val="24"/>
          <w:szCs w:val="24"/>
          <w14:textFill>
            <w14:solidFill>
              <w14:schemeClr w14:val="tx1"/>
            </w14:solidFill>
          </w14:textFill>
        </w:rPr>
        <w:t>km</w:t>
      </w:r>
      <w:r>
        <w:rPr>
          <w:color w:val="000000" w:themeColor="text1"/>
          <w:spacing w:val="11"/>
          <w:sz w:val="24"/>
          <w:szCs w:val="24"/>
          <w14:textFill>
            <w14:solidFill>
              <w14:schemeClr w14:val="tx1"/>
            </w14:solidFill>
          </w14:textFill>
        </w:rPr>
        <w:t>范围内居住区、医疗卫生、文化教育、科</w:t>
      </w:r>
      <w:r>
        <w:rPr>
          <w:color w:val="000000" w:themeColor="text1"/>
          <w:spacing w:val="10"/>
          <w:sz w:val="24"/>
          <w:szCs w:val="24"/>
          <w14:textFill>
            <w14:solidFill>
              <w14:schemeClr w14:val="tx1"/>
            </w14:solidFill>
          </w14:textFill>
        </w:rPr>
        <w:t>研、行政办公等机构人口总数</w:t>
      </w:r>
      <w:r>
        <w:rPr>
          <w:color w:val="000000" w:themeColor="text1"/>
          <w:spacing w:val="6"/>
          <w:sz w:val="24"/>
          <w:szCs w:val="24"/>
          <w14:textFill>
            <w14:solidFill>
              <w14:schemeClr w14:val="tx1"/>
            </w14:solidFill>
          </w14:textFill>
        </w:rPr>
        <w:t>小于</w:t>
      </w:r>
      <w:r>
        <w:rPr>
          <w:rFonts w:ascii="Times New Roman" w:hAnsi="Times New Roman" w:eastAsia="Times New Roman" w:cs="Times New Roman"/>
          <w:color w:val="000000" w:themeColor="text1"/>
          <w:spacing w:val="6"/>
          <w:sz w:val="24"/>
          <w:szCs w:val="24"/>
          <w14:textFill>
            <w14:solidFill>
              <w14:schemeClr w14:val="tx1"/>
            </w14:solidFill>
          </w14:textFill>
        </w:rPr>
        <w:t>1</w:t>
      </w:r>
      <w:r>
        <w:rPr>
          <w:color w:val="000000" w:themeColor="text1"/>
          <w:spacing w:val="6"/>
          <w:sz w:val="24"/>
          <w:szCs w:val="24"/>
          <w14:textFill>
            <w14:solidFill>
              <w14:schemeClr w14:val="tx1"/>
            </w14:solidFill>
          </w14:textFill>
        </w:rPr>
        <w:t>万人，</w:t>
      </w:r>
      <w:r>
        <w:rPr>
          <w:rFonts w:hint="eastAsia"/>
          <w:color w:val="000000" w:themeColor="text1"/>
          <w:spacing w:val="6"/>
          <w:sz w:val="24"/>
          <w:szCs w:val="24"/>
          <w:lang w:val="en-US" w:eastAsia="zh-CN"/>
          <w14:textFill>
            <w14:solidFill>
              <w14:schemeClr w14:val="tx1"/>
            </w14:solidFill>
          </w14:textFill>
        </w:rPr>
        <w:t>而</w:t>
      </w:r>
      <w:r>
        <w:rPr>
          <w:color w:val="000000" w:themeColor="text1"/>
          <w:spacing w:val="6"/>
          <w:sz w:val="24"/>
          <w:szCs w:val="24"/>
          <w14:textFill>
            <w14:solidFill>
              <w14:schemeClr w14:val="tx1"/>
            </w14:solidFill>
          </w14:textFill>
        </w:rPr>
        <w:t>周边</w:t>
      </w:r>
      <w:r>
        <w:rPr>
          <w:rFonts w:ascii="Times New Roman" w:hAnsi="Times New Roman" w:eastAsia="Times New Roman" w:cs="Times New Roman"/>
          <w:color w:val="000000" w:themeColor="text1"/>
          <w:spacing w:val="6"/>
          <w:sz w:val="24"/>
          <w:szCs w:val="24"/>
          <w14:textFill>
            <w14:solidFill>
              <w14:schemeClr w14:val="tx1"/>
            </w14:solidFill>
          </w14:textFill>
        </w:rPr>
        <w:t>500m</w:t>
      </w:r>
      <w:r>
        <w:rPr>
          <w:color w:val="000000" w:themeColor="text1"/>
          <w:spacing w:val="6"/>
          <w:sz w:val="24"/>
          <w:szCs w:val="24"/>
          <w14:textFill>
            <w14:solidFill>
              <w14:schemeClr w14:val="tx1"/>
            </w14:solidFill>
          </w14:textFill>
        </w:rPr>
        <w:t>范围内人口总数</w:t>
      </w:r>
      <w:r>
        <w:rPr>
          <w:rFonts w:hint="eastAsia"/>
          <w:color w:val="000000" w:themeColor="text1"/>
          <w:spacing w:val="6"/>
          <w:sz w:val="24"/>
          <w:szCs w:val="24"/>
          <w:lang w:val="en-US" w:eastAsia="zh-CN"/>
          <w14:textFill>
            <w14:solidFill>
              <w14:schemeClr w14:val="tx1"/>
            </w14:solidFill>
          </w14:textFill>
        </w:rPr>
        <w:t>大</w:t>
      </w:r>
      <w:r>
        <w:rPr>
          <w:color w:val="000000" w:themeColor="text1"/>
          <w:spacing w:val="6"/>
          <w:sz w:val="24"/>
          <w:szCs w:val="24"/>
          <w14:textFill>
            <w14:solidFill>
              <w14:schemeClr w14:val="tx1"/>
            </w14:solidFill>
          </w14:textFill>
        </w:rPr>
        <w:t>于</w:t>
      </w:r>
      <w:r>
        <w:rPr>
          <w:rFonts w:ascii="Times New Roman" w:hAnsi="Times New Roman" w:eastAsia="Times New Roman" w:cs="Times New Roman"/>
          <w:color w:val="000000" w:themeColor="text1"/>
          <w:spacing w:val="6"/>
          <w:sz w:val="24"/>
          <w:szCs w:val="24"/>
          <w14:textFill>
            <w14:solidFill>
              <w14:schemeClr w14:val="tx1"/>
            </w14:solidFill>
          </w14:textFill>
        </w:rPr>
        <w:t>500</w:t>
      </w:r>
      <w:r>
        <w:rPr>
          <w:color w:val="000000" w:themeColor="text1"/>
          <w:spacing w:val="6"/>
          <w:sz w:val="24"/>
          <w:szCs w:val="24"/>
          <w14:textFill>
            <w14:solidFill>
              <w14:schemeClr w14:val="tx1"/>
            </w14:solidFill>
          </w14:textFill>
        </w:rPr>
        <w:t>人，对照上表，项目大</w:t>
      </w:r>
      <w:r>
        <w:rPr>
          <w:color w:val="000000" w:themeColor="text1"/>
          <w:spacing w:val="5"/>
          <w:sz w:val="24"/>
          <w:szCs w:val="24"/>
          <w14:textFill>
            <w14:solidFill>
              <w14:schemeClr w14:val="tx1"/>
            </w14:solidFill>
          </w14:textFill>
        </w:rPr>
        <w:t>气环境敏感程度</w:t>
      </w:r>
      <w:r>
        <w:rPr>
          <w:color w:val="000000" w:themeColor="text1"/>
          <w:spacing w:val="1"/>
          <w:sz w:val="24"/>
          <w:szCs w:val="24"/>
          <w14:textFill>
            <w14:solidFill>
              <w14:schemeClr w14:val="tx1"/>
            </w14:solidFill>
          </w14:textFill>
        </w:rPr>
        <w:t>属于</w:t>
      </w:r>
      <w:r>
        <w:rPr>
          <w:rFonts w:ascii="Times New Roman" w:hAnsi="Times New Roman" w:eastAsia="Times New Roman" w:cs="Times New Roman"/>
          <w:color w:val="000000" w:themeColor="text1"/>
          <w:spacing w:val="1"/>
          <w:sz w:val="24"/>
          <w:szCs w:val="24"/>
          <w14:textFill>
            <w14:solidFill>
              <w14:schemeClr w14:val="tx1"/>
            </w14:solidFill>
          </w14:textFill>
        </w:rPr>
        <w:t>E</w:t>
      </w:r>
      <w:r>
        <w:rPr>
          <w:rFonts w:hint="eastAsia" w:ascii="Times New Roman" w:hAnsi="Times New Roman" w:eastAsia="宋体" w:cs="Times New Roman"/>
          <w:color w:val="000000" w:themeColor="text1"/>
          <w:spacing w:val="1"/>
          <w:sz w:val="24"/>
          <w:szCs w:val="24"/>
          <w:lang w:val="en-US" w:eastAsia="zh-CN"/>
          <w14:textFill>
            <w14:solidFill>
              <w14:schemeClr w14:val="tx1"/>
            </w14:solidFill>
          </w14:textFill>
        </w:rPr>
        <w:t>2</w:t>
      </w:r>
      <w:r>
        <w:rPr>
          <w:color w:val="000000" w:themeColor="text1"/>
          <w:spacing w:val="1"/>
          <w:sz w:val="24"/>
          <w:szCs w:val="24"/>
          <w14:textFill>
            <w14:solidFill>
              <w14:schemeClr w14:val="tx1"/>
            </w14:solidFill>
          </w14:textFill>
        </w:rPr>
        <w:t>级。</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pacing w:val="6"/>
          <w:sz w:val="24"/>
          <w:szCs w:val="24"/>
          <w14:textFill>
            <w14:solidFill>
              <w14:schemeClr w14:val="tx1"/>
            </w14:solidFill>
          </w14:textFill>
        </w:rPr>
        <w:t>2</w:t>
      </w:r>
      <w:r>
        <w:rPr>
          <w:color w:val="000000" w:themeColor="text1"/>
          <w:spacing w:val="6"/>
          <w:sz w:val="24"/>
          <w:szCs w:val="24"/>
          <w14:textFill>
            <w14:solidFill>
              <w14:schemeClr w14:val="tx1"/>
            </w14:solidFill>
          </w14:textFill>
        </w:rPr>
        <w:t>）地表水环境</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0"/>
          <w:szCs w:val="20"/>
          <w14:textFill>
            <w14:solidFill>
              <w14:schemeClr w14:val="tx1"/>
            </w14:solidFill>
          </w14:textFill>
        </w:rPr>
      </w:pPr>
      <w:r>
        <w:rPr>
          <w:color w:val="000000" w:themeColor="text1"/>
          <w:spacing w:val="7"/>
          <w:sz w:val="24"/>
          <w:szCs w:val="24"/>
          <w14:textFill>
            <w14:solidFill>
              <w14:schemeClr w14:val="tx1"/>
            </w14:solidFill>
          </w14:textFill>
        </w:rPr>
        <w:t>根据</w:t>
      </w:r>
      <w:r>
        <w:rPr>
          <w:rFonts w:ascii="Times New Roman" w:hAnsi="Times New Roman" w:eastAsia="Times New Roman" w:cs="Times New Roman"/>
          <w:color w:val="000000" w:themeColor="text1"/>
          <w:sz w:val="24"/>
          <w:szCs w:val="24"/>
          <w14:textFill>
            <w14:solidFill>
              <w14:schemeClr w14:val="tx1"/>
            </w14:solidFill>
          </w14:textFill>
        </w:rPr>
        <w:t>HJ</w:t>
      </w:r>
      <w:r>
        <w:rPr>
          <w:rFonts w:ascii="Times New Roman" w:hAnsi="Times New Roman" w:eastAsia="Times New Roman" w:cs="Times New Roman"/>
          <w:color w:val="000000" w:themeColor="text1"/>
          <w:spacing w:val="7"/>
          <w:sz w:val="24"/>
          <w:szCs w:val="24"/>
          <w14:textFill>
            <w14:solidFill>
              <w14:schemeClr w14:val="tx1"/>
            </w14:solidFill>
          </w14:textFill>
        </w:rPr>
        <w:t>169-2018</w:t>
      </w:r>
      <w:r>
        <w:rPr>
          <w:color w:val="000000" w:themeColor="text1"/>
          <w:spacing w:val="7"/>
          <w:sz w:val="24"/>
          <w:szCs w:val="24"/>
          <w14:textFill>
            <w14:solidFill>
              <w14:schemeClr w14:val="tx1"/>
            </w14:solidFill>
          </w14:textFill>
        </w:rPr>
        <w:t>，地表水功能敏感性和环</w:t>
      </w:r>
      <w:r>
        <w:rPr>
          <w:color w:val="000000" w:themeColor="text1"/>
          <w:spacing w:val="6"/>
          <w:sz w:val="24"/>
          <w:szCs w:val="24"/>
          <w14:textFill>
            <w14:solidFill>
              <w14:schemeClr w14:val="tx1"/>
            </w14:solidFill>
          </w14:textFill>
        </w:rPr>
        <w:t>境敏感目标分级方法判定见表</w:t>
      </w:r>
      <w:r>
        <w:rPr>
          <w:rFonts w:ascii="Times New Roman" w:hAnsi="Times New Roman" w:eastAsia="Times New Roman" w:cs="Times New Roman"/>
          <w:color w:val="000000" w:themeColor="text1"/>
          <w:spacing w:val="6"/>
          <w:sz w:val="24"/>
          <w:szCs w:val="24"/>
          <w14:textFill>
            <w14:solidFill>
              <w14:schemeClr w14:val="tx1"/>
            </w14:solidFill>
          </w14:textFill>
        </w:rPr>
        <w:t>3-6</w:t>
      </w:r>
      <w:r>
        <w:rPr>
          <w:color w:val="000000" w:themeColor="text1"/>
          <w:spacing w:val="6"/>
          <w:sz w:val="24"/>
          <w:szCs w:val="24"/>
          <w14:textFill>
            <w14:solidFill>
              <w14:schemeClr w14:val="tx1"/>
            </w14:solidFill>
          </w14:textFill>
        </w:rPr>
        <w:t>和表</w:t>
      </w:r>
      <w:r>
        <w:rPr>
          <w:rFonts w:ascii="Times New Roman" w:hAnsi="Times New Roman" w:eastAsia="Times New Roman" w:cs="Times New Roman"/>
          <w:color w:val="000000" w:themeColor="text1"/>
          <w:spacing w:val="6"/>
          <w:sz w:val="24"/>
          <w:szCs w:val="24"/>
          <w14:textFill>
            <w14:solidFill>
              <w14:schemeClr w14:val="tx1"/>
            </w14:solidFill>
          </w14:textFill>
        </w:rPr>
        <w:t>3-7</w:t>
      </w:r>
      <w:r>
        <w:rPr>
          <w:color w:val="000000" w:themeColor="text1"/>
          <w:spacing w:val="6"/>
          <w:sz w:val="24"/>
          <w:szCs w:val="24"/>
          <w14:textFill>
            <w14:solidFill>
              <w14:schemeClr w14:val="tx1"/>
            </w14:solidFill>
          </w14:textFill>
        </w:rPr>
        <w:t>。</w:t>
      </w:r>
    </w:p>
    <w:p>
      <w:pPr>
        <w:pStyle w:val="8"/>
        <w:spacing w:before="157" w:line="219" w:lineRule="auto"/>
        <w:ind w:left="114"/>
        <w:jc w:val="center"/>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2"/>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3-6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地表水功能敏感性分区</w:t>
      </w:r>
    </w:p>
    <w:p>
      <w:pPr>
        <w:spacing w:line="32" w:lineRule="exact"/>
        <w:rPr>
          <w:color w:val="000000" w:themeColor="text1"/>
          <w14:textFill>
            <w14:solidFill>
              <w14:schemeClr w14:val="tx1"/>
            </w14:solidFill>
          </w14:textFill>
        </w:rPr>
      </w:pP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158"/>
        <w:gridCol w:w="4872"/>
        <w:gridCol w:w="29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115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分级</w:t>
            </w:r>
          </w:p>
        </w:tc>
        <w:tc>
          <w:tcPr>
            <w:tcW w:w="487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地表水环境敏感特征判据</w:t>
            </w:r>
          </w:p>
        </w:tc>
        <w:tc>
          <w:tcPr>
            <w:tcW w:w="2929" w:type="dxa"/>
            <w:noWrap w:val="0"/>
            <w:vAlign w:val="top"/>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115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敏感F1</w:t>
            </w:r>
          </w:p>
        </w:tc>
        <w:tc>
          <w:tcPr>
            <w:tcW w:w="487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排放点进入地表水水域环境功能为Ⅱ类及以上，或海水水质分类第一类；或以发生事故时，危险物质泄漏到水体的排放点算起，排放进入受纳河流最大流速时，24h流经范围内涉跨国界的</w:t>
            </w:r>
          </w:p>
        </w:tc>
        <w:tc>
          <w:tcPr>
            <w:tcW w:w="2929" w:type="dxa"/>
            <w:vMerge w:val="restart"/>
            <w:noWrap w:val="0"/>
            <w:vAlign w:val="top"/>
          </w:tcPr>
          <w:p>
            <w:pPr>
              <w:keepNext w:val="0"/>
              <w:keepLines w:val="0"/>
              <w:pageBreakBefore w:val="0"/>
              <w:widowControl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300" w:lineRule="exact"/>
              <w:ind w:firstLine="0" w:firstLineChars="0"/>
              <w:textAlignment w:val="auto"/>
              <w:rPr>
                <w:rFonts w:hint="eastAsia"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项目设有废水三级防控系统，事故情况下废水收集进入事故废水池，</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厂区污水站处理</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初期</w:t>
            </w:r>
            <w:r>
              <w:rPr>
                <w:rFonts w:hint="default" w:ascii="Times New Roman" w:hAnsi="Times New Roman" w:eastAsia="宋体" w:cs="Times New Roman"/>
                <w:color w:val="000000" w:themeColor="text1"/>
                <w:sz w:val="21"/>
                <w:szCs w:val="21"/>
                <w14:textFill>
                  <w14:solidFill>
                    <w14:schemeClr w14:val="tx1"/>
                  </w14:solidFill>
                </w14:textFill>
              </w:rPr>
              <w:t>雨水收集后进入污水处理厂集中处理</w:t>
            </w:r>
            <w:r>
              <w:rPr>
                <w:rFonts w:hint="eastAsia" w:cs="Times New Roman"/>
                <w:color w:val="000000" w:themeColor="text1"/>
                <w:sz w:val="21"/>
                <w:szCs w:val="21"/>
                <w:lang w:val="en-US" w:eastAsia="zh-CN"/>
                <w14:textFill>
                  <w14:solidFill>
                    <w14:schemeClr w14:val="tx1"/>
                  </w14:solidFill>
                </w14:textFill>
              </w:rPr>
              <w:t>后用于周边洗煤厂洗煤</w:t>
            </w:r>
            <w:r>
              <w:rPr>
                <w:rFonts w:hint="eastAsia" w:cs="Times New Roman"/>
                <w:color w:val="000000" w:themeColor="text1"/>
                <w:sz w:val="21"/>
                <w:szCs w:val="21"/>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项目周边地表水体为厂区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西</w:t>
            </w:r>
            <w:r>
              <w:rPr>
                <w:rFonts w:hint="default" w:ascii="Times New Roman" w:hAnsi="Times New Roman" w:eastAsia="宋体" w:cs="Times New Roman"/>
                <w:color w:val="000000" w:themeColor="text1"/>
                <w:sz w:val="21"/>
                <w:szCs w:val="21"/>
                <w14:textFill>
                  <w14:solidFill>
                    <w14:schemeClr w14:val="tx1"/>
                  </w14:solidFill>
                </w14:textFill>
              </w:rPr>
              <w:t>侧</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495</w:t>
            </w:r>
            <w:r>
              <w:rPr>
                <w:rFonts w:hint="default" w:ascii="Times New Roman" w:hAnsi="Times New Roman" w:eastAsia="宋体" w:cs="Times New Roman"/>
                <w:color w:val="000000" w:themeColor="text1"/>
                <w:sz w:val="21"/>
                <w:szCs w:val="21"/>
                <w:highlight w:val="none"/>
                <w14:textFill>
                  <w14:solidFill>
                    <w14:schemeClr w14:val="tx1"/>
                  </w14:solidFill>
                </w14:textFill>
              </w:rPr>
              <w:t>m处</w:t>
            </w:r>
            <w:r>
              <w:rPr>
                <w:rFonts w:hint="default" w:ascii="Times New Roman" w:hAnsi="Times New Roman" w:eastAsia="宋体" w:cs="Times New Roman"/>
                <w:color w:val="000000" w:themeColor="text1"/>
                <w:sz w:val="21"/>
                <w:szCs w:val="21"/>
                <w14:textFill>
                  <w14:solidFill>
                    <w14:schemeClr w14:val="tx1"/>
                  </w14:solidFill>
                </w14:textFill>
              </w:rPr>
              <w:t>的</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悖牛川</w:t>
            </w:r>
            <w:r>
              <w:rPr>
                <w:rFonts w:hint="eastAsia" w:cs="Times New Roman"/>
                <w:color w:val="000000" w:themeColor="text1"/>
                <w:sz w:val="21"/>
                <w:szCs w:val="21"/>
                <w:lang w:val="en-US" w:eastAsia="zh-CN"/>
                <w14:textFill>
                  <w14:solidFill>
                    <w14:schemeClr w14:val="tx1"/>
                  </w14:solidFill>
                </w14:textFill>
              </w:rPr>
              <w:t>河</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属于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1"/>
                <w:szCs w:val="21"/>
                <w:lang w:val="en-US" w:eastAsia="zh-CN"/>
                <w14:textFill>
                  <w14:solidFill>
                    <w14:schemeClr w14:val="tx1"/>
                  </w14:solidFill>
                </w14:textFill>
              </w:rPr>
              <w:instrText xml:space="preserve"> = 4 \* ROMAN \* MERGEFORMAT </w:instrTex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1"/>
                <w:szCs w:val="21"/>
                <w14:textFill>
                  <w14:solidFill>
                    <w14:schemeClr w14:val="tx1"/>
                  </w14:solidFill>
                </w14:textFill>
              </w:rPr>
              <w:t>IV</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类水体功能。</w:t>
            </w:r>
          </w:p>
          <w:p>
            <w:pPr>
              <w:keepNext w:val="0"/>
              <w:keepLines w:val="0"/>
              <w:pageBreakBefore w:val="0"/>
              <w:widowControl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判定本项目地表水环境敏感性为F3级。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115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较敏感F2</w:t>
            </w:r>
          </w:p>
        </w:tc>
        <w:tc>
          <w:tcPr>
            <w:tcW w:w="487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排放点进入地表水水域环境功能为Ⅲ类，或海水水质分类第二类；或以发生事故时，危险物质泄漏到水体的排放点算起，排放进入受纳河流最大流速时，24h流经范围内涉跨省界的</w:t>
            </w:r>
          </w:p>
        </w:tc>
        <w:tc>
          <w:tcPr>
            <w:tcW w:w="2929"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1158"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低敏感F3</w:t>
            </w:r>
          </w:p>
        </w:tc>
        <w:tc>
          <w:tcPr>
            <w:tcW w:w="4872"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上述地区之外的其他地区</w:t>
            </w:r>
          </w:p>
        </w:tc>
        <w:tc>
          <w:tcPr>
            <w:tcW w:w="2929"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bl>
    <w:p>
      <w:pPr>
        <w:spacing w:line="440" w:lineRule="exact"/>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根据上表可知，项目地表水环境敏感特征为低敏感F3级。</w:t>
      </w:r>
    </w:p>
    <w:p>
      <w:pPr>
        <w:snapToGrid w:val="0"/>
        <w:spacing w:line="440" w:lineRule="exact"/>
        <w:ind w:firstLine="482"/>
        <w:jc w:val="center"/>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表</w:t>
      </w:r>
      <w:r>
        <w:rPr>
          <w:rFonts w:hint="eastAsia" w:cs="Times New Roman"/>
          <w:b/>
          <w:color w:val="000000" w:themeColor="text1"/>
          <w:sz w:val="21"/>
          <w:szCs w:val="21"/>
          <w:lang w:val="en-US" w:eastAsia="zh-CN"/>
          <w14:textFill>
            <w14:solidFill>
              <w14:schemeClr w14:val="tx1"/>
            </w14:solidFill>
          </w14:textFill>
        </w:rPr>
        <w:t>3-7</w:t>
      </w:r>
      <w:r>
        <w:rPr>
          <w:rFonts w:hint="default" w:ascii="Times New Roman" w:hAnsi="Times New Roman" w:eastAsia="宋体" w:cs="Times New Roman"/>
          <w:b/>
          <w:color w:val="000000" w:themeColor="text1"/>
          <w:sz w:val="21"/>
          <w:szCs w:val="21"/>
          <w14:textFill>
            <w14:solidFill>
              <w14:schemeClr w14:val="tx1"/>
            </w14:solidFill>
          </w14:textFill>
        </w:rPr>
        <w:t xml:space="preserve"> 环境敏感目标分级表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31"/>
        <w:gridCol w:w="6234"/>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8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分级</w:t>
            </w:r>
          </w:p>
        </w:tc>
        <w:tc>
          <w:tcPr>
            <w:tcW w:w="623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环境敏感目标</w:t>
            </w:r>
          </w:p>
        </w:tc>
        <w:tc>
          <w:tcPr>
            <w:tcW w:w="2074"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8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S1</w:t>
            </w:r>
          </w:p>
        </w:tc>
        <w:tc>
          <w:tcPr>
            <w:tcW w:w="623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c>
          <w:tcPr>
            <w:tcW w:w="207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发生事故时，废水进入事故水池，</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厂区污水站处理</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厂区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初期雨水进入</w:t>
            </w:r>
            <w:r>
              <w:rPr>
                <w:rFonts w:hint="eastAsia" w:cs="Times New Roman"/>
                <w:color w:val="000000" w:themeColor="text1"/>
                <w:sz w:val="21"/>
                <w:szCs w:val="21"/>
                <w:lang w:val="en-US" w:eastAsia="zh-CN"/>
                <w14:textFill>
                  <w14:solidFill>
                    <w14:schemeClr w14:val="tx1"/>
                  </w14:solidFill>
                </w14:textFill>
              </w:rPr>
              <w:t>事故水池</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厂区污水站处理</w:t>
            </w:r>
            <w:r>
              <w:rPr>
                <w:rFonts w:hint="eastAsia" w:cs="Times New Roman"/>
                <w:color w:val="000000" w:themeColor="text1"/>
                <w:sz w:val="21"/>
                <w:szCs w:val="21"/>
                <w:lang w:val="en-US" w:eastAsia="zh-CN"/>
                <w14:textFill>
                  <w14:solidFill>
                    <w14:schemeClr w14:val="tx1"/>
                  </w14:solidFill>
                </w14:textFill>
              </w:rPr>
              <w:t>后用于周边洗煤厂洗煤</w:t>
            </w:r>
            <w:r>
              <w:rPr>
                <w:rFonts w:hint="default" w:ascii="Times New Roman" w:hAnsi="Times New Roman" w:eastAsia="宋体" w:cs="Times New Roman"/>
                <w:color w:val="000000" w:themeColor="text1"/>
                <w:sz w:val="21"/>
                <w:szCs w:val="2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项目周边地表水体为厂区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西</w:t>
            </w:r>
            <w:r>
              <w:rPr>
                <w:rFonts w:hint="default" w:ascii="Times New Roman" w:hAnsi="Times New Roman" w:eastAsia="宋体" w:cs="Times New Roman"/>
                <w:color w:val="000000" w:themeColor="text1"/>
                <w:sz w:val="21"/>
                <w:szCs w:val="21"/>
                <w14:textFill>
                  <w14:solidFill>
                    <w14:schemeClr w14:val="tx1"/>
                  </w14:solidFill>
                </w14:textFill>
              </w:rPr>
              <w:t>侧</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495</w:t>
            </w:r>
            <w:r>
              <w:rPr>
                <w:rFonts w:hint="default" w:ascii="Times New Roman" w:hAnsi="Times New Roman" w:eastAsia="宋体" w:cs="Times New Roman"/>
                <w:color w:val="000000" w:themeColor="text1"/>
                <w:sz w:val="21"/>
                <w:szCs w:val="21"/>
                <w:highlight w:val="none"/>
                <w14:textFill>
                  <w14:solidFill>
                    <w14:schemeClr w14:val="tx1"/>
                  </w14:solidFill>
                </w14:textFill>
              </w:rPr>
              <w:t>m处</w:t>
            </w:r>
            <w:r>
              <w:rPr>
                <w:rFonts w:hint="default" w:ascii="Times New Roman" w:hAnsi="Times New Roman" w:eastAsia="宋体" w:cs="Times New Roman"/>
                <w:color w:val="000000" w:themeColor="text1"/>
                <w:sz w:val="21"/>
                <w:szCs w:val="21"/>
                <w14:textFill>
                  <w14:solidFill>
                    <w14:schemeClr w14:val="tx1"/>
                  </w14:solidFill>
                </w14:textFill>
              </w:rPr>
              <w:t>的</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悖牛川</w:t>
            </w:r>
            <w:r>
              <w:rPr>
                <w:rFonts w:hint="eastAsia" w:cs="Times New Roman"/>
                <w:color w:val="000000" w:themeColor="text1"/>
                <w:sz w:val="21"/>
                <w:szCs w:val="21"/>
                <w:lang w:val="en-US" w:eastAsia="zh-CN"/>
                <w14:textFill>
                  <w14:solidFill>
                    <w14:schemeClr w14:val="tx1"/>
                  </w14:solidFill>
                </w14:textFill>
              </w:rPr>
              <w:t>河</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属于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1"/>
                <w:szCs w:val="21"/>
                <w:lang w:val="en-US" w:eastAsia="zh-CN"/>
                <w14:textFill>
                  <w14:solidFill>
                    <w14:schemeClr w14:val="tx1"/>
                  </w14:solidFill>
                </w14:textFill>
              </w:rPr>
              <w:instrText xml:space="preserve"> = 4 \* ROMAN \* MERGEFORMAT </w:instrTex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 w:val="21"/>
                <w:szCs w:val="21"/>
                <w14:textFill>
                  <w14:solidFill>
                    <w14:schemeClr w14:val="tx1"/>
                  </w14:solidFill>
                </w14:textFill>
              </w:rPr>
              <w:t>IV</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类水体功能。</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项目不涉及类型1和类型2包括的敏感保护目标。</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判定本项目环境敏感目标敏感性为S3级。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8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S2</w:t>
            </w:r>
          </w:p>
        </w:tc>
        <w:tc>
          <w:tcPr>
            <w:tcW w:w="623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c>
          <w:tcPr>
            <w:tcW w:w="2074"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8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S3</w:t>
            </w:r>
          </w:p>
        </w:tc>
        <w:tc>
          <w:tcPr>
            <w:tcW w:w="623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排放点下游（顺水流向）10km范围、近岸海域一个潮周期水质点可能达到的最大水平距离的两倍范围内无上述类型1和类型2包括的敏感保护目标</w:t>
            </w:r>
          </w:p>
        </w:tc>
        <w:tc>
          <w:tcPr>
            <w:tcW w:w="2074"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bl>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firstLine="420"/>
        <w:jc w:val="both"/>
        <w:textAlignment w:val="auto"/>
        <w:rPr>
          <w:color w:val="000000" w:themeColor="text1"/>
          <w:sz w:val="20"/>
          <w:szCs w:val="20"/>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根据上表可知，项目环境敏感目标分级为S3级。</w:t>
      </w:r>
    </w:p>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1"/>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3-8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地表水环境敏感目标分级</w:t>
      </w:r>
    </w:p>
    <w:p>
      <w:pPr>
        <w:spacing w:line="33" w:lineRule="exact"/>
        <w:rPr>
          <w:color w:val="000000" w:themeColor="text1"/>
          <w14:textFill>
            <w14:solidFill>
              <w14:schemeClr w14:val="tx1"/>
            </w14:solidFill>
          </w14:textFill>
        </w:rPr>
      </w:pPr>
    </w:p>
    <w:tbl>
      <w:tblPr>
        <w:tblStyle w:val="99"/>
        <w:tblW w:w="850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27"/>
        <w:gridCol w:w="2126"/>
        <w:gridCol w:w="2125"/>
        <w:gridCol w:w="212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jc w:val="center"/>
        </w:trPr>
        <w:tc>
          <w:tcPr>
            <w:tcW w:w="2127" w:type="dxa"/>
            <w:vMerge w:val="restart"/>
            <w:tcBorders>
              <w:top w:val="single" w:color="000000" w:sz="10" w:space="0"/>
              <w:left w:val="nil"/>
              <w:bottom w:val="nil"/>
            </w:tcBorders>
            <w:vAlign w:val="top"/>
          </w:tcPr>
          <w:p>
            <w:pPr>
              <w:pStyle w:val="96"/>
              <w:keepNext w:val="0"/>
              <w:keepLines w:val="0"/>
              <w:pageBreakBefore w:val="0"/>
              <w:widowControl w:val="0"/>
              <w:kinsoku/>
              <w:wordWrap/>
              <w:overflowPunct/>
              <w:topLinePunct w:val="0"/>
              <w:autoSpaceDE/>
              <w:autoSpaceDN/>
              <w:bidi w:val="0"/>
              <w:spacing w:before="241" w:line="219" w:lineRule="auto"/>
              <w:ind w:left="530" w:firstLine="0" w:firstLineChars="0"/>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环境敏感目标</w:t>
            </w:r>
          </w:p>
        </w:tc>
        <w:tc>
          <w:tcPr>
            <w:tcW w:w="6378" w:type="dxa"/>
            <w:gridSpan w:val="3"/>
            <w:tcBorders>
              <w:top w:val="single" w:color="000000" w:sz="10" w:space="0"/>
              <w:right w:val="nil"/>
            </w:tcBorders>
            <w:vAlign w:val="top"/>
          </w:tcPr>
          <w:p>
            <w:pPr>
              <w:pStyle w:val="96"/>
              <w:keepNext w:val="0"/>
              <w:keepLines w:val="0"/>
              <w:pageBreakBefore w:val="0"/>
              <w:widowControl w:val="0"/>
              <w:kinsoku/>
              <w:wordWrap/>
              <w:overflowPunct/>
              <w:topLinePunct w:val="0"/>
              <w:autoSpaceDE/>
              <w:autoSpaceDN/>
              <w:bidi w:val="0"/>
              <w:spacing w:before="65" w:line="219" w:lineRule="auto"/>
              <w:ind w:left="2473" w:firstLine="0" w:firstLineChars="0"/>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地表水功能敏感性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127" w:type="dxa"/>
            <w:vMerge w:val="continue"/>
            <w:tcBorders>
              <w:top w:val="nil"/>
              <w:left w:val="nil"/>
            </w:tcBorders>
            <w:vAlign w:val="top"/>
          </w:tcPr>
          <w:p>
            <w:pPr>
              <w:keepNext w:val="0"/>
              <w:keepLines w:val="0"/>
              <w:pageBreakBefore w:val="0"/>
              <w:widowControl w:val="0"/>
              <w:kinsoku/>
              <w:wordWrap/>
              <w:overflowPunct/>
              <w:topLinePunct w:val="0"/>
              <w:autoSpaceDE/>
              <w:autoSpaceDN/>
              <w:bidi w:val="0"/>
              <w:ind w:firstLine="0" w:firstLineChars="0"/>
              <w:rPr>
                <w:rFonts w:ascii="Arial"/>
                <w:color w:val="000000" w:themeColor="text1"/>
                <w:sz w:val="21"/>
                <w:szCs w:val="21"/>
                <w14:textFill>
                  <w14:solidFill>
                    <w14:schemeClr w14:val="tx1"/>
                  </w14:solidFill>
                </w14:textFill>
              </w:rPr>
            </w:pPr>
          </w:p>
        </w:tc>
        <w:tc>
          <w:tcPr>
            <w:tcW w:w="2126" w:type="dxa"/>
            <w:vAlign w:val="top"/>
          </w:tcPr>
          <w:p>
            <w:pPr>
              <w:keepNext w:val="0"/>
              <w:keepLines w:val="0"/>
              <w:pageBreakBefore w:val="0"/>
              <w:widowControl w:val="0"/>
              <w:kinsoku/>
              <w:wordWrap/>
              <w:overflowPunct/>
              <w:topLinePunct w:val="0"/>
              <w:autoSpaceDE/>
              <w:autoSpaceDN/>
              <w:bidi w:val="0"/>
              <w:spacing w:before="100" w:line="188" w:lineRule="auto"/>
              <w:ind w:left="969"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F1</w:t>
            </w:r>
          </w:p>
        </w:tc>
        <w:tc>
          <w:tcPr>
            <w:tcW w:w="2125" w:type="dxa"/>
            <w:vAlign w:val="top"/>
          </w:tcPr>
          <w:p>
            <w:pPr>
              <w:keepNext w:val="0"/>
              <w:keepLines w:val="0"/>
              <w:pageBreakBefore w:val="0"/>
              <w:widowControl w:val="0"/>
              <w:kinsoku/>
              <w:wordWrap/>
              <w:overflowPunct/>
              <w:topLinePunct w:val="0"/>
              <w:autoSpaceDE/>
              <w:autoSpaceDN/>
              <w:bidi w:val="0"/>
              <w:spacing w:before="100" w:line="188" w:lineRule="auto"/>
              <w:ind w:left="967"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F2</w:t>
            </w:r>
          </w:p>
        </w:tc>
        <w:tc>
          <w:tcPr>
            <w:tcW w:w="2127" w:type="dxa"/>
            <w:tcBorders>
              <w:right w:val="nil"/>
            </w:tcBorders>
            <w:shd w:val="clear" w:color="auto" w:fill="FFFF00"/>
            <w:vAlign w:val="top"/>
          </w:tcPr>
          <w:p>
            <w:pPr>
              <w:keepNext w:val="0"/>
              <w:keepLines w:val="0"/>
              <w:pageBreakBefore w:val="0"/>
              <w:widowControl w:val="0"/>
              <w:kinsoku/>
              <w:wordWrap/>
              <w:overflowPunct/>
              <w:topLinePunct w:val="0"/>
              <w:autoSpaceDE/>
              <w:autoSpaceDN/>
              <w:bidi w:val="0"/>
              <w:spacing w:before="100" w:line="188" w:lineRule="auto"/>
              <w:ind w:left="968"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F3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127" w:type="dxa"/>
            <w:tcBorders>
              <w:left w:val="nil"/>
            </w:tcBorders>
            <w:vAlign w:val="top"/>
          </w:tcPr>
          <w:p>
            <w:pPr>
              <w:keepNext w:val="0"/>
              <w:keepLines w:val="0"/>
              <w:pageBreakBefore w:val="0"/>
              <w:widowControl w:val="0"/>
              <w:kinsoku/>
              <w:wordWrap/>
              <w:overflowPunct/>
              <w:topLinePunct w:val="0"/>
              <w:autoSpaceDE/>
              <w:autoSpaceDN/>
              <w:bidi w:val="0"/>
              <w:spacing w:before="103" w:line="188" w:lineRule="auto"/>
              <w:ind w:left="978"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sz w:val="21"/>
                <w:szCs w:val="21"/>
                <w14:textFill>
                  <w14:solidFill>
                    <w14:schemeClr w14:val="tx1"/>
                  </w14:solidFill>
                </w14:textFill>
              </w:rPr>
              <w:t>S1</w:t>
            </w:r>
          </w:p>
        </w:tc>
        <w:tc>
          <w:tcPr>
            <w:tcW w:w="2126" w:type="dxa"/>
            <w:vAlign w:val="top"/>
          </w:tcPr>
          <w:p>
            <w:pPr>
              <w:keepNext w:val="0"/>
              <w:keepLines w:val="0"/>
              <w:pageBreakBefore w:val="0"/>
              <w:widowControl w:val="0"/>
              <w:kinsoku/>
              <w:wordWrap/>
              <w:overflowPunct/>
              <w:topLinePunct w:val="0"/>
              <w:autoSpaceDE/>
              <w:autoSpaceDN/>
              <w:bidi w:val="0"/>
              <w:spacing w:before="103" w:line="188" w:lineRule="auto"/>
              <w:ind w:left="963"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E1</w:t>
            </w:r>
          </w:p>
        </w:tc>
        <w:tc>
          <w:tcPr>
            <w:tcW w:w="2125" w:type="dxa"/>
            <w:vAlign w:val="top"/>
          </w:tcPr>
          <w:p>
            <w:pPr>
              <w:keepNext w:val="0"/>
              <w:keepLines w:val="0"/>
              <w:pageBreakBefore w:val="0"/>
              <w:widowControl w:val="0"/>
              <w:kinsoku/>
              <w:wordWrap/>
              <w:overflowPunct/>
              <w:topLinePunct w:val="0"/>
              <w:autoSpaceDE/>
              <w:autoSpaceDN/>
              <w:bidi w:val="0"/>
              <w:spacing w:before="103" w:line="188" w:lineRule="auto"/>
              <w:ind w:left="963"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E1</w:t>
            </w:r>
          </w:p>
        </w:tc>
        <w:tc>
          <w:tcPr>
            <w:tcW w:w="2127" w:type="dxa"/>
            <w:tcBorders>
              <w:right w:val="nil"/>
            </w:tcBorders>
            <w:vAlign w:val="top"/>
          </w:tcPr>
          <w:p>
            <w:pPr>
              <w:keepNext w:val="0"/>
              <w:keepLines w:val="0"/>
              <w:pageBreakBefore w:val="0"/>
              <w:widowControl w:val="0"/>
              <w:kinsoku/>
              <w:wordWrap/>
              <w:overflowPunct/>
              <w:topLinePunct w:val="0"/>
              <w:autoSpaceDE/>
              <w:autoSpaceDN/>
              <w:bidi w:val="0"/>
              <w:spacing w:before="103" w:line="188" w:lineRule="auto"/>
              <w:ind w:left="964"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E2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127" w:type="dxa"/>
            <w:tcBorders>
              <w:left w:val="nil"/>
            </w:tcBorders>
            <w:vAlign w:val="top"/>
          </w:tcPr>
          <w:p>
            <w:pPr>
              <w:keepNext w:val="0"/>
              <w:keepLines w:val="0"/>
              <w:pageBreakBefore w:val="0"/>
              <w:widowControl w:val="0"/>
              <w:kinsoku/>
              <w:wordWrap/>
              <w:overflowPunct/>
              <w:topLinePunct w:val="0"/>
              <w:autoSpaceDE/>
              <w:autoSpaceDN/>
              <w:bidi w:val="0"/>
              <w:spacing w:before="108" w:line="188" w:lineRule="auto"/>
              <w:ind w:left="978"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sz w:val="21"/>
                <w:szCs w:val="21"/>
                <w14:textFill>
                  <w14:solidFill>
                    <w14:schemeClr w14:val="tx1"/>
                  </w14:solidFill>
                </w14:textFill>
              </w:rPr>
              <w:t>S2</w:t>
            </w:r>
          </w:p>
        </w:tc>
        <w:tc>
          <w:tcPr>
            <w:tcW w:w="2126" w:type="dxa"/>
            <w:vAlign w:val="top"/>
          </w:tcPr>
          <w:p>
            <w:pPr>
              <w:keepNext w:val="0"/>
              <w:keepLines w:val="0"/>
              <w:pageBreakBefore w:val="0"/>
              <w:widowControl w:val="0"/>
              <w:kinsoku/>
              <w:wordWrap/>
              <w:overflowPunct/>
              <w:topLinePunct w:val="0"/>
              <w:autoSpaceDE/>
              <w:autoSpaceDN/>
              <w:bidi w:val="0"/>
              <w:spacing w:before="109" w:line="188" w:lineRule="auto"/>
              <w:ind w:left="963"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E1</w:t>
            </w:r>
          </w:p>
        </w:tc>
        <w:tc>
          <w:tcPr>
            <w:tcW w:w="2125" w:type="dxa"/>
            <w:vAlign w:val="top"/>
          </w:tcPr>
          <w:p>
            <w:pPr>
              <w:keepNext w:val="0"/>
              <w:keepLines w:val="0"/>
              <w:pageBreakBefore w:val="0"/>
              <w:widowControl w:val="0"/>
              <w:kinsoku/>
              <w:wordWrap/>
              <w:overflowPunct/>
              <w:topLinePunct w:val="0"/>
              <w:autoSpaceDE/>
              <w:autoSpaceDN/>
              <w:bidi w:val="0"/>
              <w:spacing w:before="109" w:line="188" w:lineRule="auto"/>
              <w:ind w:left="963"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E2</w:t>
            </w:r>
          </w:p>
        </w:tc>
        <w:tc>
          <w:tcPr>
            <w:tcW w:w="2127" w:type="dxa"/>
            <w:tcBorders>
              <w:right w:val="nil"/>
            </w:tcBorders>
            <w:vAlign w:val="top"/>
          </w:tcPr>
          <w:p>
            <w:pPr>
              <w:keepNext w:val="0"/>
              <w:keepLines w:val="0"/>
              <w:pageBreakBefore w:val="0"/>
              <w:widowControl w:val="0"/>
              <w:kinsoku/>
              <w:wordWrap/>
              <w:overflowPunct/>
              <w:topLinePunct w:val="0"/>
              <w:autoSpaceDE/>
              <w:autoSpaceDN/>
              <w:bidi w:val="0"/>
              <w:spacing w:before="109" w:line="188" w:lineRule="auto"/>
              <w:ind w:left="964"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E3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2127" w:type="dxa"/>
            <w:tcBorders>
              <w:left w:val="nil"/>
              <w:bottom w:val="single" w:color="000000" w:sz="10" w:space="0"/>
            </w:tcBorders>
            <w:shd w:val="clear" w:color="auto" w:fill="FFFF00"/>
            <w:vAlign w:val="top"/>
          </w:tcPr>
          <w:p>
            <w:pPr>
              <w:keepNext w:val="0"/>
              <w:keepLines w:val="0"/>
              <w:pageBreakBefore w:val="0"/>
              <w:widowControl w:val="0"/>
              <w:kinsoku/>
              <w:wordWrap/>
              <w:overflowPunct/>
              <w:topLinePunct w:val="0"/>
              <w:autoSpaceDE/>
              <w:autoSpaceDN/>
              <w:bidi w:val="0"/>
              <w:spacing w:before="114" w:line="188" w:lineRule="auto"/>
              <w:ind w:left="978"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sz w:val="21"/>
                <w:szCs w:val="21"/>
                <w14:textFill>
                  <w14:solidFill>
                    <w14:schemeClr w14:val="tx1"/>
                  </w14:solidFill>
                </w14:textFill>
              </w:rPr>
              <w:t>S3</w:t>
            </w:r>
          </w:p>
        </w:tc>
        <w:tc>
          <w:tcPr>
            <w:tcW w:w="2126" w:type="dxa"/>
            <w:tcBorders>
              <w:bottom w:val="single" w:color="000000" w:sz="10" w:space="0"/>
            </w:tcBorders>
            <w:vAlign w:val="top"/>
          </w:tcPr>
          <w:p>
            <w:pPr>
              <w:keepNext w:val="0"/>
              <w:keepLines w:val="0"/>
              <w:pageBreakBefore w:val="0"/>
              <w:widowControl w:val="0"/>
              <w:kinsoku/>
              <w:wordWrap/>
              <w:overflowPunct/>
              <w:topLinePunct w:val="0"/>
              <w:autoSpaceDE/>
              <w:autoSpaceDN/>
              <w:bidi w:val="0"/>
              <w:spacing w:before="114" w:line="188" w:lineRule="auto"/>
              <w:ind w:left="963"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E1</w:t>
            </w:r>
          </w:p>
        </w:tc>
        <w:tc>
          <w:tcPr>
            <w:tcW w:w="2125" w:type="dxa"/>
            <w:tcBorders>
              <w:bottom w:val="single" w:color="000000" w:sz="10" w:space="0"/>
            </w:tcBorders>
            <w:vAlign w:val="top"/>
          </w:tcPr>
          <w:p>
            <w:pPr>
              <w:keepNext w:val="0"/>
              <w:keepLines w:val="0"/>
              <w:pageBreakBefore w:val="0"/>
              <w:widowControl w:val="0"/>
              <w:kinsoku/>
              <w:wordWrap/>
              <w:overflowPunct/>
              <w:topLinePunct w:val="0"/>
              <w:autoSpaceDE/>
              <w:autoSpaceDN/>
              <w:bidi w:val="0"/>
              <w:spacing w:before="114" w:line="188" w:lineRule="auto"/>
              <w:ind w:left="963"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E2</w:t>
            </w:r>
          </w:p>
        </w:tc>
        <w:tc>
          <w:tcPr>
            <w:tcW w:w="2127" w:type="dxa"/>
            <w:tcBorders>
              <w:bottom w:val="single" w:color="000000" w:sz="10" w:space="0"/>
              <w:right w:val="nil"/>
            </w:tcBorders>
            <w:shd w:val="clear" w:color="auto" w:fill="92D050"/>
            <w:vAlign w:val="top"/>
          </w:tcPr>
          <w:p>
            <w:pPr>
              <w:keepNext w:val="0"/>
              <w:keepLines w:val="0"/>
              <w:pageBreakBefore w:val="0"/>
              <w:widowControl w:val="0"/>
              <w:kinsoku/>
              <w:wordWrap/>
              <w:overflowPunct/>
              <w:topLinePunct w:val="0"/>
              <w:autoSpaceDE/>
              <w:autoSpaceDN/>
              <w:bidi w:val="0"/>
              <w:spacing w:before="114" w:line="188" w:lineRule="auto"/>
              <w:ind w:left="964" w:firstLine="0" w:firstLineChars="0"/>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E3</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508" w:firstLineChars="200"/>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对照地表水环境敏感目标分级表表</w:t>
      </w:r>
      <w:r>
        <w:rPr>
          <w:rFonts w:ascii="Times New Roman" w:hAnsi="Times New Roman" w:eastAsia="Times New Roman" w:cs="Times New Roman"/>
          <w:color w:val="000000" w:themeColor="text1"/>
          <w:spacing w:val="7"/>
          <w:sz w:val="24"/>
          <w:szCs w:val="24"/>
          <w14:textFill>
            <w14:solidFill>
              <w14:schemeClr w14:val="tx1"/>
            </w14:solidFill>
          </w14:textFill>
        </w:rPr>
        <w:t>3-8</w:t>
      </w:r>
      <w:r>
        <w:rPr>
          <w:color w:val="000000" w:themeColor="text1"/>
          <w:spacing w:val="7"/>
          <w:sz w:val="24"/>
          <w:szCs w:val="24"/>
          <w14:textFill>
            <w14:solidFill>
              <w14:schemeClr w14:val="tx1"/>
            </w14:solidFill>
          </w14:textFill>
        </w:rPr>
        <w:t>，项目地表水环境环境敏感程度属于</w:t>
      </w:r>
      <w:r>
        <w:rPr>
          <w:rFonts w:ascii="Times New Roman" w:hAnsi="Times New Roman" w:eastAsia="Times New Roman" w:cs="Times New Roman"/>
          <w:color w:val="000000" w:themeColor="text1"/>
          <w:spacing w:val="7"/>
          <w:sz w:val="24"/>
          <w:szCs w:val="24"/>
          <w14:textFill>
            <w14:solidFill>
              <w14:schemeClr w14:val="tx1"/>
            </w14:solidFill>
          </w14:textFill>
        </w:rPr>
        <w:t>E3</w:t>
      </w:r>
      <w:r>
        <w:rPr>
          <w:color w:val="000000" w:themeColor="text1"/>
          <w:spacing w:val="7"/>
          <w:sz w:val="24"/>
          <w:szCs w:val="24"/>
          <w14:textFill>
            <w14:solidFill>
              <w14:schemeClr w14:val="tx1"/>
            </w14:solidFill>
          </w14:textFill>
        </w:rPr>
        <w:t>级别。</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504" w:firstLineChars="200"/>
        <w:textAlignment w:val="auto"/>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pacing w:val="6"/>
          <w:sz w:val="24"/>
          <w:szCs w:val="24"/>
          <w14:textFill>
            <w14:solidFill>
              <w14:schemeClr w14:val="tx1"/>
            </w14:solidFill>
          </w14:textFill>
        </w:rPr>
        <w:t>3</w:t>
      </w:r>
      <w:r>
        <w:rPr>
          <w:color w:val="000000" w:themeColor="text1"/>
          <w:spacing w:val="6"/>
          <w:sz w:val="24"/>
          <w:szCs w:val="24"/>
          <w14:textFill>
            <w14:solidFill>
              <w14:schemeClr w14:val="tx1"/>
            </w14:solidFill>
          </w14:textFill>
        </w:rPr>
        <w:t>）地下水环境</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504" w:firstLineChars="200"/>
        <w:textAlignment w:val="auto"/>
        <w:rPr>
          <w:color w:val="000000" w:themeColor="text1"/>
          <w:sz w:val="20"/>
          <w:szCs w:val="20"/>
          <w14:textFill>
            <w14:solidFill>
              <w14:schemeClr w14:val="tx1"/>
            </w14:solidFill>
          </w14:textFill>
        </w:rPr>
      </w:pPr>
      <w:r>
        <w:rPr>
          <w:color w:val="000000" w:themeColor="text1"/>
          <w:spacing w:val="6"/>
          <w:sz w:val="24"/>
          <w:szCs w:val="24"/>
          <w14:textFill>
            <w14:solidFill>
              <w14:schemeClr w14:val="tx1"/>
            </w14:solidFill>
          </w14:textFill>
        </w:rPr>
        <w:t>根据</w:t>
      </w:r>
      <w:r>
        <w:rPr>
          <w:rFonts w:ascii="Times New Roman" w:hAnsi="Times New Roman" w:eastAsia="Times New Roman" w:cs="Times New Roman"/>
          <w:color w:val="000000" w:themeColor="text1"/>
          <w:sz w:val="24"/>
          <w:szCs w:val="24"/>
          <w14:textFill>
            <w14:solidFill>
              <w14:schemeClr w14:val="tx1"/>
            </w14:solidFill>
          </w14:textFill>
        </w:rPr>
        <w:t>HJ</w:t>
      </w:r>
      <w:r>
        <w:rPr>
          <w:rFonts w:ascii="Times New Roman" w:hAnsi="Times New Roman" w:eastAsia="Times New Roman" w:cs="Times New Roman"/>
          <w:color w:val="000000" w:themeColor="text1"/>
          <w:spacing w:val="6"/>
          <w:sz w:val="24"/>
          <w:szCs w:val="24"/>
          <w14:textFill>
            <w14:solidFill>
              <w14:schemeClr w14:val="tx1"/>
            </w14:solidFill>
          </w14:textFill>
        </w:rPr>
        <w:t>169-2018</w:t>
      </w:r>
      <w:r>
        <w:rPr>
          <w:color w:val="000000" w:themeColor="text1"/>
          <w:spacing w:val="6"/>
          <w:sz w:val="24"/>
          <w:szCs w:val="24"/>
          <w14:textFill>
            <w14:solidFill>
              <w14:schemeClr w14:val="tx1"/>
            </w14:solidFill>
          </w14:textFill>
        </w:rPr>
        <w:t>附录</w:t>
      </w:r>
      <w:r>
        <w:rPr>
          <w:rFonts w:ascii="Times New Roman" w:hAnsi="Times New Roman" w:eastAsia="Times New Roman" w:cs="Times New Roman"/>
          <w:color w:val="000000" w:themeColor="text1"/>
          <w:spacing w:val="6"/>
          <w:sz w:val="24"/>
          <w:szCs w:val="24"/>
          <w14:textFill>
            <w14:solidFill>
              <w14:schemeClr w14:val="tx1"/>
            </w14:solidFill>
          </w14:textFill>
        </w:rPr>
        <w:t>D</w:t>
      </w:r>
      <w:r>
        <w:rPr>
          <w:color w:val="000000" w:themeColor="text1"/>
          <w:spacing w:val="6"/>
          <w:sz w:val="24"/>
          <w:szCs w:val="24"/>
          <w14:textFill>
            <w14:solidFill>
              <w14:schemeClr w14:val="tx1"/>
            </w14:solidFill>
          </w14:textFill>
        </w:rPr>
        <w:t>，地下水环境敏感性分区及包气带防污性能分级分别见表</w:t>
      </w:r>
      <w:r>
        <w:rPr>
          <w:rFonts w:ascii="Times New Roman" w:hAnsi="Times New Roman" w:eastAsia="Times New Roman" w:cs="Times New Roman"/>
          <w:color w:val="000000" w:themeColor="text1"/>
          <w:spacing w:val="6"/>
          <w:sz w:val="24"/>
          <w:szCs w:val="24"/>
          <w14:textFill>
            <w14:solidFill>
              <w14:schemeClr w14:val="tx1"/>
            </w14:solidFill>
          </w14:textFill>
        </w:rPr>
        <w:t>3-9</w:t>
      </w: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pacing w:val="1"/>
          <w:sz w:val="24"/>
          <w:szCs w:val="24"/>
          <w14:textFill>
            <w14:solidFill>
              <w14:schemeClr w14:val="tx1"/>
            </w14:solidFill>
          </w14:textFill>
        </w:rPr>
        <w:t>3-10</w:t>
      </w:r>
      <w:r>
        <w:rPr>
          <w:color w:val="000000" w:themeColor="text1"/>
          <w:spacing w:val="1"/>
          <w:sz w:val="24"/>
          <w:szCs w:val="24"/>
          <w14:textFill>
            <w14:solidFill>
              <w14:schemeClr w14:val="tx1"/>
            </w14:solidFill>
          </w14:textFill>
        </w:rPr>
        <w:t>。</w:t>
      </w:r>
    </w:p>
    <w:p>
      <w:pPr>
        <w:pStyle w:val="8"/>
        <w:spacing w:before="103" w:line="219" w:lineRule="auto"/>
        <w:ind w:left="116"/>
        <w:jc w:val="center"/>
        <w:rPr>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表</w:t>
      </w:r>
      <w:r>
        <w:rPr>
          <w:color w:val="000000" w:themeColor="text1"/>
          <w:spacing w:val="-42"/>
          <w:sz w:val="18"/>
          <w:szCs w:val="18"/>
          <w14:textFill>
            <w14:solidFill>
              <w14:schemeClr w14:val="tx1"/>
            </w14:solidFill>
          </w14:textFill>
        </w:rPr>
        <w:t xml:space="preserve"> </w:t>
      </w:r>
      <w:r>
        <w:rPr>
          <w:rFonts w:ascii="Times New Roman" w:hAnsi="Times New Roman" w:eastAsia="Times New Roman" w:cs="Times New Roman"/>
          <w:b/>
          <w:bCs/>
          <w:color w:val="000000" w:themeColor="text1"/>
          <w:sz w:val="18"/>
          <w:szCs w:val="18"/>
          <w14:textFill>
            <w14:solidFill>
              <w14:schemeClr w14:val="tx1"/>
            </w14:solidFill>
          </w14:textFill>
        </w:rPr>
        <w:t>3-9</w:t>
      </w:r>
      <w:r>
        <w:rPr>
          <w:rFonts w:ascii="Times New Roman" w:hAnsi="Times New Roman" w:eastAsia="Times New Roman" w:cs="Times New Roman"/>
          <w:b/>
          <w:bCs/>
          <w:color w:val="000000" w:themeColor="text1"/>
          <w:spacing w:val="-1"/>
          <w:sz w:val="18"/>
          <w:szCs w:val="18"/>
          <w14:textFill>
            <w14:solidFill>
              <w14:schemeClr w14:val="tx1"/>
            </w14:solidFill>
          </w14:textFill>
        </w:rPr>
        <w:t xml:space="preserve">  </w:t>
      </w:r>
      <w:r>
        <w:rPr>
          <w:b/>
          <w:bCs/>
          <w:color w:val="000000" w:themeColor="text1"/>
          <w:spacing w:val="-1"/>
          <w:sz w:val="18"/>
          <w:szCs w:val="18"/>
          <w14:textFill>
            <w14:solidFill>
              <w14:schemeClr w14:val="tx1"/>
            </w14:solidFill>
          </w14:textFill>
        </w:rPr>
        <w:t>地下水功能敏感性分区</w:t>
      </w:r>
    </w:p>
    <w:p>
      <w:pPr>
        <w:spacing w:line="34" w:lineRule="exact"/>
        <w:rPr>
          <w:color w:val="000000" w:themeColor="text1"/>
          <w14:textFill>
            <w14:solidFill>
              <w14:schemeClr w14:val="tx1"/>
            </w14:solidFill>
          </w14:textFill>
        </w:r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52"/>
        <w:gridCol w:w="6022"/>
        <w:gridCol w:w="19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135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分级</w:t>
            </w:r>
          </w:p>
        </w:tc>
        <w:tc>
          <w:tcPr>
            <w:tcW w:w="602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地下水环境敏感特征</w:t>
            </w:r>
          </w:p>
        </w:tc>
        <w:tc>
          <w:tcPr>
            <w:tcW w:w="1904" w:type="dxa"/>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135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敏感G1</w:t>
            </w:r>
          </w:p>
        </w:tc>
        <w:tc>
          <w:tcPr>
            <w:tcW w:w="602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c>
          <w:tcPr>
            <w:tcW w:w="190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评价范围内不涉及</w:t>
            </w:r>
            <w:r>
              <w:rPr>
                <w:rFonts w:hint="default" w:ascii="Times New Roman" w:hAnsi="Times New Roman" w:eastAsia="宋体" w:cs="Times New Roman"/>
                <w:color w:val="000000" w:themeColor="text1"/>
                <w:sz w:val="21"/>
                <w:szCs w:val="21"/>
                <w14:textFill>
                  <w14:solidFill>
                    <w14:schemeClr w14:val="tx1"/>
                  </w14:solidFill>
                </w14:textFill>
              </w:rPr>
              <w:t>集中式饮用水水源准保护区</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不涉及村庄饮用水井等</w:t>
            </w:r>
            <w:r>
              <w:rPr>
                <w:rFonts w:hint="default" w:ascii="Times New Roman" w:hAnsi="Times New Roman" w:eastAsia="宋体" w:cs="Times New Roman"/>
                <w:color w:val="000000" w:themeColor="text1"/>
                <w:sz w:val="21"/>
                <w:szCs w:val="2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判定本项目地下水环境敏感特征为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w:t>
            </w:r>
            <w:r>
              <w:rPr>
                <w:rFonts w:hint="default" w:ascii="Times New Roman" w:hAnsi="Times New Roman" w:eastAsia="宋体" w:cs="Times New Roman"/>
                <w:color w:val="000000" w:themeColor="text1"/>
                <w:sz w:val="21"/>
                <w:szCs w:val="21"/>
                <w14:textFill>
                  <w14:solidFill>
                    <w14:schemeClr w14:val="tx1"/>
                  </w14:solidFill>
                </w14:textFill>
              </w:rPr>
              <w:t>敏感G</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135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较敏感G2</w:t>
            </w:r>
          </w:p>
        </w:tc>
        <w:tc>
          <w:tcPr>
            <w:tcW w:w="602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a</w:t>
            </w:r>
          </w:p>
        </w:tc>
        <w:tc>
          <w:tcPr>
            <w:tcW w:w="1904"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1352" w:type="dxa"/>
            <w:shd w:val="clear" w:color="auto" w:fill="FFFF00"/>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不敏感G3</w:t>
            </w:r>
          </w:p>
        </w:tc>
        <w:tc>
          <w:tcPr>
            <w:tcW w:w="6022" w:type="dxa"/>
            <w:shd w:val="clear" w:color="auto" w:fill="FFFF00"/>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上述地区之外的其他地区</w:t>
            </w:r>
          </w:p>
        </w:tc>
        <w:tc>
          <w:tcPr>
            <w:tcW w:w="1904"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927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default" w:ascii="Times New Roman" w:hAnsi="Times New Roman" w:eastAsia="宋体" w:cs="Times New Roman"/>
                <w:color w:val="000000" w:themeColor="text1"/>
                <w:sz w:val="21"/>
                <w:szCs w:val="21"/>
                <w:vertAlign w:val="superscript"/>
                <w14:textFill>
                  <w14:solidFill>
                    <w14:schemeClr w14:val="tx1"/>
                  </w14:solidFill>
                </w14:textFill>
              </w:rPr>
            </w:pPr>
            <w:r>
              <w:rPr>
                <w:rFonts w:hint="default" w:ascii="Times New Roman" w:hAnsi="Times New Roman" w:eastAsia="宋体" w:cs="Times New Roman"/>
                <w:color w:val="000000" w:themeColor="text1"/>
                <w:sz w:val="21"/>
                <w:szCs w:val="21"/>
                <w:vertAlign w:val="superscript"/>
                <w14:textFill>
                  <w14:solidFill>
                    <w14:schemeClr w14:val="tx1"/>
                  </w14:solidFill>
                </w14:textFill>
              </w:rPr>
              <w:t>a</w:t>
            </w:r>
            <w:r>
              <w:rPr>
                <w:rFonts w:hint="default" w:ascii="Times New Roman" w:hAnsi="Times New Roman" w:eastAsia="宋体" w:cs="Times New Roman"/>
                <w:color w:val="000000" w:themeColor="text1"/>
                <w:sz w:val="21"/>
                <w:szCs w:val="21"/>
                <w14:textFill>
                  <w14:solidFill>
                    <w14:schemeClr w14:val="tx1"/>
                  </w14:solidFill>
                </w14:textFill>
              </w:rPr>
              <w:t>“环境敏感区”是指《建设项目环境影响评价分类管理名录》中所界定的涉及地下水的环境敏感区</w:t>
            </w:r>
          </w:p>
        </w:tc>
      </w:tr>
    </w:tbl>
    <w:p>
      <w:pPr>
        <w:pStyle w:val="8"/>
        <w:spacing w:before="223" w:line="219" w:lineRule="auto"/>
        <w:ind w:left="116"/>
        <w:jc w:val="center"/>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1"/>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3-10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包气带防污性能分级</w:t>
      </w:r>
    </w:p>
    <w:p>
      <w:pPr>
        <w:spacing w:line="33" w:lineRule="exact"/>
        <w:rPr>
          <w:color w:val="000000" w:themeColor="text1"/>
          <w14:textFill>
            <w14:solidFill>
              <w14:schemeClr w14:val="tx1"/>
            </w14:solidFill>
          </w14:textFill>
        </w:rPr>
      </w:pPr>
    </w:p>
    <w:tbl>
      <w:tblPr>
        <w:tblStyle w:val="27"/>
        <w:tblW w:w="9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38"/>
        <w:gridCol w:w="5426"/>
        <w:gridCol w:w="31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73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分级</w:t>
            </w:r>
          </w:p>
        </w:tc>
        <w:tc>
          <w:tcPr>
            <w:tcW w:w="542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包气带岩土的渗透性能</w:t>
            </w:r>
          </w:p>
        </w:tc>
        <w:tc>
          <w:tcPr>
            <w:tcW w:w="3154" w:type="dxa"/>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73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D3</w:t>
            </w:r>
          </w:p>
        </w:tc>
        <w:tc>
          <w:tcPr>
            <w:tcW w:w="542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Mb≥1.0m，K≤1.0×10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-6</w:t>
            </w:r>
            <w:r>
              <w:rPr>
                <w:rFonts w:hint="default" w:ascii="Times New Roman" w:hAnsi="Times New Roman" w:eastAsia="宋体" w:cs="Times New Roman"/>
                <w:color w:val="000000" w:themeColor="text1"/>
                <w:sz w:val="21"/>
                <w:szCs w:val="21"/>
                <w14:textFill>
                  <w14:solidFill>
                    <w14:schemeClr w14:val="tx1"/>
                  </w14:solidFill>
                </w14:textFill>
              </w:rPr>
              <w:t>cm/s，且分布连续、稳定</w:t>
            </w:r>
          </w:p>
        </w:tc>
        <w:tc>
          <w:tcPr>
            <w:tcW w:w="3154" w:type="dxa"/>
            <w:vMerge w:val="restart"/>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根据地勘报告，厂区包气带岩性主要为细砂层，</w:t>
            </w:r>
            <w:r>
              <w:rPr>
                <w:rFonts w:hint="eastAsia" w:ascii="宋体" w:hAnsi="宋体" w:eastAsia="宋体" w:cs="宋体"/>
                <w:b w:val="0"/>
                <w:bCs w:val="0"/>
                <w:color w:val="000000" w:themeColor="text1"/>
                <w:sz w:val="21"/>
                <w:szCs w:val="21"/>
                <w14:textFill>
                  <w14:solidFill>
                    <w14:schemeClr w14:val="tx1"/>
                  </w14:solidFill>
                </w14:textFill>
              </w:rPr>
              <w:t>渗透系数</w:t>
            </w:r>
            <w:r>
              <w:rPr>
                <w:rFonts w:hint="eastAsia" w:ascii="宋体" w:hAnsi="宋体" w:eastAsia="宋体" w:cs="宋体"/>
                <w:b w:val="0"/>
                <w:bCs w:val="0"/>
                <w:color w:val="000000" w:themeColor="text1"/>
                <w:sz w:val="21"/>
                <w:szCs w:val="21"/>
                <w:lang w:val="en-US" w:eastAsia="zh-CN"/>
                <w14:textFill>
                  <w14:solidFill>
                    <w14:schemeClr w14:val="tx1"/>
                  </w14:solidFill>
                </w14:textFill>
              </w:rPr>
              <w:t>约</w:t>
            </w:r>
            <w:r>
              <w:rPr>
                <w:rFonts w:hint="default" w:ascii="Times New Roman" w:hAnsi="Times New Roman" w:eastAsia="宋体" w:cs="Times New Roman"/>
                <w:b w:val="0"/>
                <w:bCs w:val="0"/>
                <w:color w:val="000000" w:themeColor="text1"/>
                <w:sz w:val="21"/>
                <w:szCs w:val="21"/>
                <w14:textFill>
                  <w14:solidFill>
                    <w14:schemeClr w14:val="tx1"/>
                  </w14:solidFill>
                </w14:textFill>
              </w:rPr>
              <w:t>2</w:t>
            </w: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1"/>
                <w:szCs w:val="21"/>
                <w14:textFill>
                  <w14:solidFill>
                    <w14:schemeClr w14:val="tx1"/>
                  </w14:solidFill>
                </w14:textFill>
              </w:rPr>
              <w:t>cm/s</w:t>
            </w: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-3.02</w:t>
            </w:r>
            <w:r>
              <w:rPr>
                <w:rFonts w:hint="default" w:ascii="Times New Roman" w:hAnsi="Times New Roman" w:eastAsia="宋体" w:cs="Times New Roman"/>
                <w:color w:val="000000" w:themeColor="text1"/>
                <w:sz w:val="21"/>
                <w:szCs w:val="21"/>
                <w14:textFill>
                  <w14:solidFill>
                    <w14:schemeClr w14:val="tx1"/>
                  </w14:solidFill>
                </w14:textFill>
              </w:rPr>
              <w:t>×10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eastAsia" w:ascii="Times New Roman" w:hAnsi="Times New Roman" w:eastAsia="宋体" w:cs="Times New Roman"/>
                <w:color w:val="000000" w:themeColor="text1"/>
                <w:sz w:val="21"/>
                <w:szCs w:val="21"/>
                <w:vertAlign w:val="superscript"/>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1"/>
                <w:szCs w:val="21"/>
                <w14:textFill>
                  <w14:solidFill>
                    <w14:schemeClr w14:val="tx1"/>
                  </w14:solidFill>
                </w14:textFill>
              </w:rPr>
              <w:t>cm/s</w:t>
            </w:r>
            <w:r>
              <w:rPr>
                <w:rFonts w:hint="default" w:ascii="Times New Roman" w:hAnsi="Times New Roman" w:eastAsia="宋体" w:cs="Times New Roman"/>
                <w:color w:val="000000" w:themeColor="text1"/>
                <w:sz w:val="21"/>
                <w:szCs w:val="21"/>
                <w14:textFill>
                  <w14:solidFill>
                    <w14:schemeClr w14:val="tx1"/>
                  </w14:solidFill>
                </w14:textFill>
              </w:rPr>
              <w:t>，包气带厚度约</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r>
              <w:rPr>
                <w:rFonts w:hint="default" w:ascii="Times New Roman" w:hAnsi="Times New Roman" w:eastAsia="宋体" w:cs="Times New Roman"/>
                <w:color w:val="000000" w:themeColor="text1"/>
                <w:sz w:val="21"/>
                <w:szCs w:val="21"/>
                <w14:textFill>
                  <w14:solidFill>
                    <w14:schemeClr w14:val="tx1"/>
                  </w14:solidFill>
                </w14:textFill>
              </w:rPr>
              <w:t>m，且分布连续、稳定。判定本项目包气带防污性能分级为D</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738" w:type="dxa"/>
            <w:shd w:val="clear" w:color="auto" w:fill="FFFF00"/>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D2</w:t>
            </w:r>
          </w:p>
        </w:tc>
        <w:tc>
          <w:tcPr>
            <w:tcW w:w="5426" w:type="dxa"/>
            <w:shd w:val="clear" w:color="auto" w:fill="FFFF00"/>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0.5m≤Mb&lt;1.0m，K≤1.0×10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-6</w:t>
            </w:r>
            <w:r>
              <w:rPr>
                <w:rFonts w:hint="default" w:ascii="Times New Roman" w:hAnsi="Times New Roman" w:eastAsia="宋体" w:cs="Times New Roman"/>
                <w:color w:val="000000" w:themeColor="text1"/>
                <w:sz w:val="21"/>
                <w:szCs w:val="21"/>
                <w14:textFill>
                  <w14:solidFill>
                    <w14:schemeClr w14:val="tx1"/>
                  </w14:solidFill>
                </w14:textFill>
              </w:rPr>
              <w:t>cm/s，且分布连续、稳定；</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Mb≥1.0m，1.0×10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-6</w:t>
            </w:r>
            <w:r>
              <w:rPr>
                <w:rFonts w:hint="default" w:ascii="Times New Roman" w:hAnsi="Times New Roman" w:eastAsia="宋体" w:cs="Times New Roman"/>
                <w:color w:val="000000" w:themeColor="text1"/>
                <w:sz w:val="21"/>
                <w:szCs w:val="21"/>
                <w14:textFill>
                  <w14:solidFill>
                    <w14:schemeClr w14:val="tx1"/>
                  </w14:solidFill>
                </w14:textFill>
              </w:rPr>
              <w:t>cm/s＜K≤1.0×10</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cm/s，且分布连续、稳定</w:t>
            </w:r>
          </w:p>
        </w:tc>
        <w:tc>
          <w:tcPr>
            <w:tcW w:w="3154"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73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D1</w:t>
            </w:r>
          </w:p>
        </w:tc>
        <w:tc>
          <w:tcPr>
            <w:tcW w:w="5426"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岩（土）层不满足上述“D2”和“D3”条件</w:t>
            </w:r>
          </w:p>
        </w:tc>
        <w:tc>
          <w:tcPr>
            <w:tcW w:w="3154"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93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Mb：岩土层单层厚度；K：渗透系数</w:t>
            </w:r>
          </w:p>
        </w:tc>
      </w:tr>
    </w:tbl>
    <w:p>
      <w:pPr>
        <w:pStyle w:val="8"/>
        <w:keepNext w:val="0"/>
        <w:keepLines w:val="0"/>
        <w:pageBreakBefore w:val="0"/>
        <w:widowControl/>
        <w:kinsoku/>
        <w:wordWrap/>
        <w:overflowPunct/>
        <w:topLinePunct w:val="0"/>
        <w:autoSpaceDE/>
        <w:autoSpaceDN/>
        <w:bidi w:val="0"/>
        <w:adjustRightInd/>
        <w:snapToGrid w:val="0"/>
        <w:spacing w:before="0" w:after="0" w:line="403" w:lineRule="auto"/>
        <w:ind w:left="114" w:right="161" w:firstLine="425"/>
        <w:textAlignment w:val="auto"/>
        <w:rPr>
          <w:color w:val="000000" w:themeColor="text1"/>
          <w:sz w:val="20"/>
          <w:szCs w:val="20"/>
          <w14:textFill>
            <w14:solidFill>
              <w14:schemeClr w14:val="tx1"/>
            </w14:solidFill>
          </w14:textFill>
        </w:rPr>
      </w:pPr>
      <w:r>
        <w:rPr>
          <w:color w:val="000000" w:themeColor="text1"/>
          <w:spacing w:val="9"/>
          <w:sz w:val="24"/>
          <w:szCs w:val="24"/>
          <w14:textFill>
            <w14:solidFill>
              <w14:schemeClr w14:val="tx1"/>
            </w14:solidFill>
          </w14:textFill>
        </w:rPr>
        <w:t>依据地下水功能敏感性与包气带防污性能，共分为三种类型，</w:t>
      </w:r>
      <w:r>
        <w:rPr>
          <w:rFonts w:ascii="Times New Roman" w:hAnsi="Times New Roman" w:eastAsia="Times New Roman" w:cs="Times New Roman"/>
          <w:color w:val="000000" w:themeColor="text1"/>
          <w:spacing w:val="9"/>
          <w:sz w:val="24"/>
          <w:szCs w:val="24"/>
          <w14:textFill>
            <w14:solidFill>
              <w14:schemeClr w14:val="tx1"/>
            </w14:solidFill>
          </w14:textFill>
        </w:rPr>
        <w:t>E1</w:t>
      </w:r>
      <w:r>
        <w:rPr>
          <w:color w:val="000000" w:themeColor="text1"/>
          <w:spacing w:val="9"/>
          <w:sz w:val="24"/>
          <w:szCs w:val="24"/>
          <w14:textFill>
            <w14:solidFill>
              <w14:schemeClr w14:val="tx1"/>
            </w14:solidFill>
          </w14:textFill>
        </w:rPr>
        <w:t>为环境高度敏感区，</w:t>
      </w:r>
      <w:r>
        <w:rPr>
          <w:rFonts w:ascii="Times New Roman" w:hAnsi="Times New Roman" w:eastAsia="Times New Roman" w:cs="Times New Roman"/>
          <w:color w:val="000000" w:themeColor="text1"/>
          <w:spacing w:val="7"/>
          <w:sz w:val="24"/>
          <w:szCs w:val="24"/>
          <w14:textFill>
            <w14:solidFill>
              <w14:schemeClr w14:val="tx1"/>
            </w14:solidFill>
          </w14:textFill>
        </w:rPr>
        <w:t>E2</w:t>
      </w:r>
      <w:r>
        <w:rPr>
          <w:color w:val="000000" w:themeColor="text1"/>
          <w:spacing w:val="7"/>
          <w:sz w:val="24"/>
          <w:szCs w:val="24"/>
          <w14:textFill>
            <w14:solidFill>
              <w14:schemeClr w14:val="tx1"/>
            </w14:solidFill>
          </w14:textFill>
        </w:rPr>
        <w:t>为环境中度敏感区，</w:t>
      </w:r>
      <w:r>
        <w:rPr>
          <w:rFonts w:ascii="Times New Roman" w:hAnsi="Times New Roman" w:eastAsia="Times New Roman" w:cs="Times New Roman"/>
          <w:color w:val="000000" w:themeColor="text1"/>
          <w:spacing w:val="7"/>
          <w:sz w:val="24"/>
          <w:szCs w:val="24"/>
          <w14:textFill>
            <w14:solidFill>
              <w14:schemeClr w14:val="tx1"/>
            </w14:solidFill>
          </w14:textFill>
        </w:rPr>
        <w:t>E3</w:t>
      </w:r>
      <w:r>
        <w:rPr>
          <w:color w:val="000000" w:themeColor="text1"/>
          <w:spacing w:val="7"/>
          <w:sz w:val="24"/>
          <w:szCs w:val="24"/>
          <w14:textFill>
            <w14:solidFill>
              <w14:schemeClr w14:val="tx1"/>
            </w14:solidFill>
          </w14:textFill>
        </w:rPr>
        <w:t>为环境低度敏感区，分级原则见表</w:t>
      </w:r>
      <w:r>
        <w:rPr>
          <w:rFonts w:ascii="Times New Roman" w:hAnsi="Times New Roman" w:eastAsia="Times New Roman" w:cs="Times New Roman"/>
          <w:color w:val="000000" w:themeColor="text1"/>
          <w:spacing w:val="7"/>
          <w:sz w:val="24"/>
          <w:szCs w:val="24"/>
          <w14:textFill>
            <w14:solidFill>
              <w14:schemeClr w14:val="tx1"/>
            </w14:solidFill>
          </w14:textFill>
        </w:rPr>
        <w:t>3-11</w:t>
      </w:r>
      <w:r>
        <w:rPr>
          <w:color w:val="000000" w:themeColor="text1"/>
          <w:spacing w:val="7"/>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219" w:lineRule="auto"/>
        <w:ind w:left="116"/>
        <w:jc w:val="center"/>
        <w:textAlignment w:val="auto"/>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2"/>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3-11  </w:t>
      </w:r>
      <w:r>
        <w:rPr>
          <w:b/>
          <w:bCs/>
          <w:color w:val="000000" w:themeColor="text1"/>
          <w:spacing w:val="-1"/>
          <w:sz w:val="21"/>
          <w:szCs w:val="21"/>
          <w14:textFill>
            <w14:solidFill>
              <w14:schemeClr w14:val="tx1"/>
            </w14:solidFill>
          </w14:textFill>
        </w:rPr>
        <w:t>地下水环境敏感程度分级</w:t>
      </w:r>
    </w:p>
    <w:p>
      <w:pPr>
        <w:spacing w:line="31" w:lineRule="exact"/>
        <w:rPr>
          <w:color w:val="000000" w:themeColor="text1"/>
          <w14:textFill>
            <w14:solidFill>
              <w14:schemeClr w14:val="tx1"/>
            </w14:solidFill>
          </w14:textFill>
        </w:rPr>
      </w:pPr>
    </w:p>
    <w:tbl>
      <w:tblPr>
        <w:tblStyle w:val="99"/>
        <w:tblW w:w="925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15"/>
        <w:gridCol w:w="2314"/>
        <w:gridCol w:w="2313"/>
        <w:gridCol w:w="231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2315" w:type="dxa"/>
            <w:vMerge w:val="restart"/>
            <w:tcBorders>
              <w:top w:val="single" w:color="000000" w:sz="10" w:space="0"/>
              <w:left w:val="nil"/>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包气带防污性能</w:t>
            </w:r>
          </w:p>
        </w:tc>
        <w:tc>
          <w:tcPr>
            <w:tcW w:w="6944" w:type="dxa"/>
            <w:gridSpan w:val="3"/>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地下水功能敏感性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jc w:val="center"/>
        </w:trPr>
        <w:tc>
          <w:tcPr>
            <w:tcW w:w="2315"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ind w:left="0" w:firstLine="0" w:firstLineChars="0"/>
              <w:jc w:val="center"/>
              <w:rPr>
                <w:rFonts w:ascii="Arial"/>
                <w:color w:val="000000" w:themeColor="text1"/>
                <w:sz w:val="21"/>
                <w14:textFill>
                  <w14:solidFill>
                    <w14:schemeClr w14:val="tx1"/>
                  </w14:solidFill>
                </w14:textFill>
              </w:rPr>
            </w:pPr>
          </w:p>
        </w:tc>
        <w:tc>
          <w:tcPr>
            <w:tcW w:w="2314"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4"/>
                <w:sz w:val="18"/>
                <w:szCs w:val="18"/>
                <w14:textFill>
                  <w14:solidFill>
                    <w14:schemeClr w14:val="tx1"/>
                  </w14:solidFill>
                </w14:textFill>
              </w:rPr>
              <w:t>G1</w:t>
            </w:r>
          </w:p>
        </w:tc>
        <w:tc>
          <w:tcPr>
            <w:tcW w:w="231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4"/>
                <w:sz w:val="18"/>
                <w:szCs w:val="18"/>
                <w14:textFill>
                  <w14:solidFill>
                    <w14:schemeClr w14:val="tx1"/>
                  </w14:solidFill>
                </w14:textFill>
              </w:rPr>
              <w:t>G2</w:t>
            </w:r>
          </w:p>
        </w:tc>
        <w:tc>
          <w:tcPr>
            <w:tcW w:w="2317" w:type="dxa"/>
            <w:tcBorders>
              <w:right w:val="nil"/>
            </w:tcBorders>
            <w:shd w:val="clear" w:color="auto" w:fill="FFFF00"/>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4"/>
                <w:sz w:val="18"/>
                <w:szCs w:val="18"/>
                <w14:textFill>
                  <w14:solidFill>
                    <w14:schemeClr w14:val="tx1"/>
                  </w14:solidFill>
                </w14:textFill>
              </w:rPr>
              <w:t>G3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jc w:val="center"/>
        </w:trPr>
        <w:tc>
          <w:tcPr>
            <w:tcW w:w="2315" w:type="dxa"/>
            <w:tcBorders>
              <w:left w:val="nil"/>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D1</w:t>
            </w:r>
          </w:p>
        </w:tc>
        <w:tc>
          <w:tcPr>
            <w:tcW w:w="2314"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E1</w:t>
            </w:r>
          </w:p>
        </w:tc>
        <w:tc>
          <w:tcPr>
            <w:tcW w:w="231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E1</w:t>
            </w:r>
          </w:p>
        </w:tc>
        <w:tc>
          <w:tcPr>
            <w:tcW w:w="2317" w:type="dxa"/>
            <w:tcBorders>
              <w:right w:val="nil"/>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jc w:val="center"/>
        </w:trPr>
        <w:tc>
          <w:tcPr>
            <w:tcW w:w="2315" w:type="dxa"/>
            <w:tcBorders>
              <w:left w:val="nil"/>
            </w:tcBorders>
            <w:shd w:val="clear" w:color="auto" w:fill="FFFF00"/>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D2</w:t>
            </w:r>
          </w:p>
        </w:tc>
        <w:tc>
          <w:tcPr>
            <w:tcW w:w="2314"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E1</w:t>
            </w:r>
          </w:p>
        </w:tc>
        <w:tc>
          <w:tcPr>
            <w:tcW w:w="231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E2</w:t>
            </w:r>
          </w:p>
        </w:tc>
        <w:tc>
          <w:tcPr>
            <w:tcW w:w="2317" w:type="dxa"/>
            <w:tcBorders>
              <w:right w:val="nil"/>
            </w:tcBorders>
            <w:shd w:val="clear" w:color="auto" w:fill="92D050"/>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jc w:val="center"/>
        </w:trPr>
        <w:tc>
          <w:tcPr>
            <w:tcW w:w="2315" w:type="dxa"/>
            <w:tcBorders>
              <w:left w:val="nil"/>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D3</w:t>
            </w:r>
          </w:p>
        </w:tc>
        <w:tc>
          <w:tcPr>
            <w:tcW w:w="2314"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E2</w:t>
            </w:r>
          </w:p>
        </w:tc>
        <w:tc>
          <w:tcPr>
            <w:tcW w:w="231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E3</w:t>
            </w:r>
          </w:p>
        </w:tc>
        <w:tc>
          <w:tcPr>
            <w:tcW w:w="2317"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E3</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对照地下水环境敏感程度分级表</w:t>
      </w:r>
      <w:r>
        <w:rPr>
          <w:rFonts w:ascii="Times New Roman" w:hAnsi="Times New Roman" w:eastAsia="Times New Roman" w:cs="Times New Roman"/>
          <w:color w:val="000000" w:themeColor="text1"/>
          <w:spacing w:val="7"/>
          <w:sz w:val="24"/>
          <w:szCs w:val="24"/>
          <w14:textFill>
            <w14:solidFill>
              <w14:schemeClr w14:val="tx1"/>
            </w14:solidFill>
          </w14:textFill>
        </w:rPr>
        <w:t>3-11</w:t>
      </w:r>
      <w:r>
        <w:rPr>
          <w:color w:val="000000" w:themeColor="text1"/>
          <w:spacing w:val="7"/>
          <w:sz w:val="24"/>
          <w:szCs w:val="24"/>
          <w14:textFill>
            <w14:solidFill>
              <w14:schemeClr w14:val="tx1"/>
            </w14:solidFill>
          </w14:textFill>
        </w:rPr>
        <w:t>，确定项目地下水敏感程度分级为</w:t>
      </w:r>
      <w:r>
        <w:rPr>
          <w:color w:val="000000" w:themeColor="text1"/>
          <w:spacing w:val="-43"/>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7"/>
          <w:sz w:val="24"/>
          <w:szCs w:val="24"/>
          <w14:textFill>
            <w14:solidFill>
              <w14:schemeClr w14:val="tx1"/>
            </w14:solidFill>
          </w14:textFill>
        </w:rPr>
        <w:t>E3</w:t>
      </w:r>
      <w:r>
        <w:rPr>
          <w:color w:val="000000" w:themeColor="text1"/>
          <w:spacing w:val="7"/>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3.3 </w:t>
      </w:r>
      <w:r>
        <w:rPr>
          <w:b/>
          <w:bCs/>
          <w:color w:val="000000" w:themeColor="text1"/>
          <w:spacing w:val="6"/>
          <w:sz w:val="24"/>
          <w:szCs w:val="24"/>
          <w14:textFill>
            <w14:solidFill>
              <w14:schemeClr w14:val="tx1"/>
            </w14:solidFill>
          </w14:textFill>
        </w:rPr>
        <w:t>环境风险潜势划分</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17"/>
        <w:textAlignment w:val="auto"/>
        <w:rPr>
          <w:color w:val="000000" w:themeColor="text1"/>
          <w:sz w:val="20"/>
          <w:szCs w:val="20"/>
          <w14:textFill>
            <w14:solidFill>
              <w14:schemeClr w14:val="tx1"/>
            </w14:solidFill>
          </w14:textFill>
        </w:rPr>
      </w:pPr>
      <w:r>
        <w:rPr>
          <w:color w:val="000000" w:themeColor="text1"/>
          <w:spacing w:val="7"/>
          <w:sz w:val="24"/>
          <w:szCs w:val="24"/>
          <w14:textFill>
            <w14:solidFill>
              <w14:schemeClr w14:val="tx1"/>
            </w14:solidFill>
          </w14:textFill>
        </w:rPr>
        <w:t>根据建设项目涉及的物质和工艺系统的危险性及其所在地的环境敏感程度，结合事故情</w:t>
      </w:r>
      <w:r>
        <w:rPr>
          <w:color w:val="000000" w:themeColor="text1"/>
          <w:spacing w:val="8"/>
          <w:sz w:val="24"/>
          <w:szCs w:val="24"/>
          <w14:textFill>
            <w14:solidFill>
              <w14:schemeClr w14:val="tx1"/>
            </w14:solidFill>
          </w14:textFill>
        </w:rPr>
        <w:t>形下环境影响途径，按照下表确定环境风险潜势。</w:t>
      </w:r>
    </w:p>
    <w:p>
      <w:pPr>
        <w:pStyle w:val="8"/>
        <w:spacing w:before="1" w:line="219" w:lineRule="auto"/>
        <w:ind w:left="116"/>
        <w:jc w:val="center"/>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2"/>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3-12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建设项目环境风险潜势划分</w:t>
      </w:r>
    </w:p>
    <w:p>
      <w:pPr>
        <w:spacing w:line="32" w:lineRule="exact"/>
        <w:rPr>
          <w:color w:val="000000" w:themeColor="text1"/>
          <w14:textFill>
            <w14:solidFill>
              <w14:schemeClr w14:val="tx1"/>
            </w14:solidFill>
          </w14:textFill>
        </w:rPr>
      </w:pPr>
    </w:p>
    <w:tbl>
      <w:tblPr>
        <w:tblStyle w:val="99"/>
        <w:tblW w:w="933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60"/>
        <w:gridCol w:w="1745"/>
        <w:gridCol w:w="1744"/>
        <w:gridCol w:w="1745"/>
        <w:gridCol w:w="174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2" w:hRule="atLeast"/>
          <w:jc w:val="center"/>
        </w:trPr>
        <w:tc>
          <w:tcPr>
            <w:tcW w:w="2360" w:type="dxa"/>
            <w:vMerge w:val="restart"/>
            <w:tcBorders>
              <w:top w:val="single" w:color="000000" w:sz="10" w:space="0"/>
              <w:left w:val="nil"/>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环境敏感程度（</w:t>
            </w:r>
            <w:r>
              <w:rPr>
                <w:rFonts w:ascii="Times New Roman" w:hAnsi="Times New Roman" w:eastAsia="Times New Roman" w:cs="Times New Roman"/>
                <w:color w:val="000000" w:themeColor="text1"/>
                <w:spacing w:val="-1"/>
                <w:sz w:val="21"/>
                <w:szCs w:val="21"/>
                <w14:textFill>
                  <w14:solidFill>
                    <w14:schemeClr w14:val="tx1"/>
                  </w14:solidFill>
                </w14:textFill>
              </w:rPr>
              <w:t>E</w:t>
            </w:r>
            <w:r>
              <w:rPr>
                <w:color w:val="000000" w:themeColor="text1"/>
                <w:spacing w:val="-1"/>
                <w:sz w:val="21"/>
                <w:szCs w:val="21"/>
                <w14:textFill>
                  <w14:solidFill>
                    <w14:schemeClr w14:val="tx1"/>
                  </w14:solidFill>
                </w14:textFill>
              </w:rPr>
              <w:t>）</w:t>
            </w:r>
          </w:p>
        </w:tc>
        <w:tc>
          <w:tcPr>
            <w:tcW w:w="6979" w:type="dxa"/>
            <w:gridSpan w:val="4"/>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危险物质及工艺系统危险性（</w:t>
            </w:r>
            <w:r>
              <w:rPr>
                <w:rFonts w:ascii="Times New Roman" w:hAnsi="Times New Roman" w:eastAsia="Times New Roman" w:cs="Times New Roman"/>
                <w:color w:val="000000" w:themeColor="text1"/>
                <w:spacing w:val="-1"/>
                <w:sz w:val="21"/>
                <w:szCs w:val="21"/>
                <w14:textFill>
                  <w14:solidFill>
                    <w14:schemeClr w14:val="tx1"/>
                  </w14:solidFill>
                </w14:textFill>
              </w:rPr>
              <w:t>P</w:t>
            </w:r>
            <w:r>
              <w:rPr>
                <w:color w:val="000000" w:themeColor="text1"/>
                <w:spacing w:val="-1"/>
                <w:sz w:val="21"/>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jc w:val="center"/>
        </w:trPr>
        <w:tc>
          <w:tcPr>
            <w:tcW w:w="2360"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ind w:left="0" w:firstLine="0" w:firstLineChars="0"/>
              <w:jc w:val="center"/>
              <w:rPr>
                <w:rFonts w:ascii="Arial"/>
                <w:color w:val="000000" w:themeColor="text1"/>
                <w:sz w:val="21"/>
                <w:szCs w:val="21"/>
                <w14:textFill>
                  <w14:solidFill>
                    <w14:schemeClr w14:val="tx1"/>
                  </w14:solidFill>
                </w14:textFill>
              </w:rPr>
            </w:pPr>
          </w:p>
        </w:tc>
        <w:tc>
          <w:tcPr>
            <w:tcW w:w="1745"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极高危害（</w:t>
            </w:r>
            <w:r>
              <w:rPr>
                <w:rFonts w:ascii="Times New Roman" w:hAnsi="Times New Roman" w:eastAsia="Times New Roman" w:cs="Times New Roman"/>
                <w:color w:val="000000" w:themeColor="text1"/>
                <w:spacing w:val="-2"/>
                <w:sz w:val="21"/>
                <w:szCs w:val="21"/>
                <w14:textFill>
                  <w14:solidFill>
                    <w14:schemeClr w14:val="tx1"/>
                  </w14:solidFill>
                </w14:textFill>
              </w:rPr>
              <w:t>P1</w:t>
            </w:r>
            <w:r>
              <w:rPr>
                <w:color w:val="000000" w:themeColor="text1"/>
                <w:spacing w:val="-2"/>
                <w:sz w:val="21"/>
                <w:szCs w:val="21"/>
                <w14:textFill>
                  <w14:solidFill>
                    <w14:schemeClr w14:val="tx1"/>
                  </w14:solidFill>
                </w14:textFill>
              </w:rPr>
              <w:t>）</w:t>
            </w:r>
          </w:p>
        </w:tc>
        <w:tc>
          <w:tcPr>
            <w:tcW w:w="1744"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高度危害（</w:t>
            </w:r>
            <w:r>
              <w:rPr>
                <w:rFonts w:ascii="Times New Roman" w:hAnsi="Times New Roman" w:eastAsia="Times New Roman" w:cs="Times New Roman"/>
                <w:color w:val="000000" w:themeColor="text1"/>
                <w:spacing w:val="-2"/>
                <w:sz w:val="21"/>
                <w:szCs w:val="21"/>
                <w14:textFill>
                  <w14:solidFill>
                    <w14:schemeClr w14:val="tx1"/>
                  </w14:solidFill>
                </w14:textFill>
              </w:rPr>
              <w:t>P2</w:t>
            </w:r>
            <w:r>
              <w:rPr>
                <w:color w:val="000000" w:themeColor="text1"/>
                <w:spacing w:val="-2"/>
                <w:sz w:val="21"/>
                <w:szCs w:val="21"/>
                <w14:textFill>
                  <w14:solidFill>
                    <w14:schemeClr w14:val="tx1"/>
                  </w14:solidFill>
                </w14:textFill>
              </w:rPr>
              <w:t>）</w:t>
            </w:r>
          </w:p>
        </w:tc>
        <w:tc>
          <w:tcPr>
            <w:tcW w:w="1745"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中度危害（</w:t>
            </w:r>
            <w:r>
              <w:rPr>
                <w:rFonts w:ascii="Times New Roman" w:hAnsi="Times New Roman" w:eastAsia="Times New Roman" w:cs="Times New Roman"/>
                <w:color w:val="000000" w:themeColor="text1"/>
                <w:spacing w:val="-3"/>
                <w:sz w:val="21"/>
                <w:szCs w:val="21"/>
                <w14:textFill>
                  <w14:solidFill>
                    <w14:schemeClr w14:val="tx1"/>
                  </w14:solidFill>
                </w14:textFill>
              </w:rPr>
              <w:t>P3</w:t>
            </w:r>
            <w:r>
              <w:rPr>
                <w:color w:val="000000" w:themeColor="text1"/>
                <w:spacing w:val="-3"/>
                <w:sz w:val="21"/>
                <w:szCs w:val="21"/>
                <w14:textFill>
                  <w14:solidFill>
                    <w14:schemeClr w14:val="tx1"/>
                  </w14:solidFill>
                </w14:textFill>
              </w:rPr>
              <w:t>）</w:t>
            </w:r>
          </w:p>
        </w:tc>
        <w:tc>
          <w:tcPr>
            <w:tcW w:w="1745" w:type="dxa"/>
            <w:tcBorders>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轻度危害（</w:t>
            </w:r>
            <w:r>
              <w:rPr>
                <w:rFonts w:ascii="Times New Roman" w:hAnsi="Times New Roman" w:eastAsia="Times New Roman" w:cs="Times New Roman"/>
                <w:color w:val="000000" w:themeColor="text1"/>
                <w:spacing w:val="-1"/>
                <w:sz w:val="21"/>
                <w:szCs w:val="21"/>
                <w14:textFill>
                  <w14:solidFill>
                    <w14:schemeClr w14:val="tx1"/>
                  </w14:solidFill>
                </w14:textFill>
              </w:rPr>
              <w:t>P4</w:t>
            </w:r>
            <w:r>
              <w:rPr>
                <w:color w:val="000000" w:themeColor="text1"/>
                <w:spacing w:val="-1"/>
                <w:sz w:val="21"/>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jc w:val="center"/>
        </w:trPr>
        <w:tc>
          <w:tcPr>
            <w:tcW w:w="2360"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环境高度敏感区（</w:t>
            </w:r>
            <w:r>
              <w:rPr>
                <w:rFonts w:ascii="Times New Roman" w:hAnsi="Times New Roman" w:eastAsia="Times New Roman" w:cs="Times New Roman"/>
                <w:color w:val="000000" w:themeColor="text1"/>
                <w:spacing w:val="-1"/>
                <w:sz w:val="21"/>
                <w:szCs w:val="21"/>
                <w14:textFill>
                  <w14:solidFill>
                    <w14:schemeClr w14:val="tx1"/>
                  </w14:solidFill>
                </w14:textFill>
              </w:rPr>
              <w:t>E1</w:t>
            </w:r>
            <w:r>
              <w:rPr>
                <w:color w:val="000000" w:themeColor="text1"/>
                <w:spacing w:val="-1"/>
                <w:sz w:val="21"/>
                <w:szCs w:val="21"/>
                <w14:textFill>
                  <w14:solidFill>
                    <w14:schemeClr w14:val="tx1"/>
                  </w14:solidFill>
                </w14:textFill>
              </w:rPr>
              <w:t>）</w:t>
            </w:r>
          </w:p>
        </w:tc>
        <w:tc>
          <w:tcPr>
            <w:tcW w:w="1745"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IV</w:t>
            </w:r>
            <w:r>
              <w:rPr>
                <w:rFonts w:ascii="Times New Roman" w:hAnsi="Times New Roman" w:eastAsia="Times New Roman" w:cs="Times New Roman"/>
                <w:color w:val="000000" w:themeColor="text1"/>
                <w:spacing w:val="-1"/>
                <w:position w:val="5"/>
                <w:sz w:val="21"/>
                <w:szCs w:val="21"/>
                <w14:textFill>
                  <w14:solidFill>
                    <w14:schemeClr w14:val="tx1"/>
                  </w14:solidFill>
                </w14:textFill>
              </w:rPr>
              <w:t>+</w:t>
            </w:r>
          </w:p>
        </w:tc>
        <w:tc>
          <w:tcPr>
            <w:tcW w:w="1744"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IV</w:t>
            </w:r>
          </w:p>
        </w:tc>
        <w:tc>
          <w:tcPr>
            <w:tcW w:w="1745"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III</w:t>
            </w:r>
          </w:p>
        </w:tc>
        <w:tc>
          <w:tcPr>
            <w:tcW w:w="1745"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III</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jc w:val="center"/>
        </w:trPr>
        <w:tc>
          <w:tcPr>
            <w:tcW w:w="2360"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环境中度敏感区（</w:t>
            </w:r>
            <w:r>
              <w:rPr>
                <w:rFonts w:ascii="Times New Roman" w:hAnsi="Times New Roman" w:eastAsia="Times New Roman" w:cs="Times New Roman"/>
                <w:color w:val="000000" w:themeColor="text1"/>
                <w:spacing w:val="-1"/>
                <w:sz w:val="21"/>
                <w:szCs w:val="21"/>
                <w14:textFill>
                  <w14:solidFill>
                    <w14:schemeClr w14:val="tx1"/>
                  </w14:solidFill>
                </w14:textFill>
              </w:rPr>
              <w:t>E2</w:t>
            </w:r>
            <w:r>
              <w:rPr>
                <w:color w:val="000000" w:themeColor="text1"/>
                <w:spacing w:val="-1"/>
                <w:sz w:val="21"/>
                <w:szCs w:val="21"/>
                <w14:textFill>
                  <w14:solidFill>
                    <w14:schemeClr w14:val="tx1"/>
                  </w14:solidFill>
                </w14:textFill>
              </w:rPr>
              <w:t>）</w:t>
            </w:r>
          </w:p>
        </w:tc>
        <w:tc>
          <w:tcPr>
            <w:tcW w:w="1745" w:type="dxa"/>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IV</w:t>
            </w:r>
          </w:p>
        </w:tc>
        <w:tc>
          <w:tcPr>
            <w:tcW w:w="1744" w:type="dxa"/>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III</w:t>
            </w:r>
          </w:p>
        </w:tc>
        <w:tc>
          <w:tcPr>
            <w:tcW w:w="1745" w:type="dxa"/>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III</w:t>
            </w:r>
          </w:p>
        </w:tc>
        <w:tc>
          <w:tcPr>
            <w:tcW w:w="1745" w:type="dxa"/>
            <w:tcBorders>
              <w:right w:val="nil"/>
            </w:tcBorders>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II</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2" w:hRule="atLeast"/>
          <w:jc w:val="center"/>
        </w:trPr>
        <w:tc>
          <w:tcPr>
            <w:tcW w:w="2360"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环境低度敏感区（</w:t>
            </w:r>
            <w:r>
              <w:rPr>
                <w:rFonts w:ascii="Times New Roman" w:hAnsi="Times New Roman" w:eastAsia="Times New Roman" w:cs="Times New Roman"/>
                <w:color w:val="000000" w:themeColor="text1"/>
                <w:spacing w:val="-1"/>
                <w:sz w:val="21"/>
                <w:szCs w:val="21"/>
                <w14:textFill>
                  <w14:solidFill>
                    <w14:schemeClr w14:val="tx1"/>
                  </w14:solidFill>
                </w14:textFill>
              </w:rPr>
              <w:t>E3</w:t>
            </w:r>
            <w:r>
              <w:rPr>
                <w:color w:val="000000" w:themeColor="text1"/>
                <w:spacing w:val="-1"/>
                <w:sz w:val="21"/>
                <w:szCs w:val="21"/>
                <w14:textFill>
                  <w14:solidFill>
                    <w14:schemeClr w14:val="tx1"/>
                  </w14:solidFill>
                </w14:textFill>
              </w:rPr>
              <w:t>）</w:t>
            </w:r>
          </w:p>
        </w:tc>
        <w:tc>
          <w:tcPr>
            <w:tcW w:w="1745" w:type="dxa"/>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III</w:t>
            </w:r>
          </w:p>
        </w:tc>
        <w:tc>
          <w:tcPr>
            <w:tcW w:w="1744" w:type="dxa"/>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III</w:t>
            </w:r>
          </w:p>
        </w:tc>
        <w:tc>
          <w:tcPr>
            <w:tcW w:w="1745" w:type="dxa"/>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II</w:t>
            </w:r>
          </w:p>
        </w:tc>
        <w:tc>
          <w:tcPr>
            <w:tcW w:w="1745" w:type="dxa"/>
            <w:tcBorders>
              <w:right w:val="nil"/>
            </w:tcBorders>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I</w:t>
            </w:r>
          </w:p>
        </w:tc>
      </w:tr>
    </w:tbl>
    <w:p>
      <w:pPr>
        <w:pStyle w:val="8"/>
        <w:spacing w:before="63" w:line="219" w:lineRule="auto"/>
        <w:ind w:left="117"/>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注：Ⅳ</w:t>
      </w:r>
      <w:r>
        <w:rPr>
          <w:rFonts w:ascii="Times New Roman" w:hAnsi="Times New Roman" w:eastAsia="Times New Roman" w:cs="Times New Roman"/>
          <w:color w:val="000000" w:themeColor="text1"/>
          <w:spacing w:val="-1"/>
          <w:position w:val="5"/>
          <w:sz w:val="11"/>
          <w:szCs w:val="11"/>
          <w14:textFill>
            <w14:solidFill>
              <w14:schemeClr w14:val="tx1"/>
            </w14:solidFill>
          </w14:textFill>
        </w:rPr>
        <w:t>+</w:t>
      </w:r>
      <w:r>
        <w:rPr>
          <w:color w:val="000000" w:themeColor="text1"/>
          <w:spacing w:val="-1"/>
          <w:sz w:val="18"/>
          <w:szCs w:val="18"/>
          <w14:textFill>
            <w14:solidFill>
              <w14:schemeClr w14:val="tx1"/>
            </w14:solidFill>
          </w14:textFill>
        </w:rPr>
        <w:t>为极高环境风险。</w:t>
      </w:r>
    </w:p>
    <w:p>
      <w:pPr>
        <w:pStyle w:val="8"/>
        <w:spacing w:before="131" w:line="227" w:lineRule="auto"/>
        <w:rPr>
          <w:color w:val="000000" w:themeColor="text1"/>
          <w:sz w:val="20"/>
          <w:szCs w:val="20"/>
          <w14:textFill>
            <w14:solidFill>
              <w14:schemeClr w14:val="tx1"/>
            </w14:solidFill>
          </w14:textFill>
        </w:rPr>
      </w:pPr>
      <w:r>
        <w:rPr>
          <w:color w:val="000000" w:themeColor="text1"/>
          <w:spacing w:val="9"/>
          <w:sz w:val="24"/>
          <w:szCs w:val="24"/>
          <w14:textFill>
            <w14:solidFill>
              <w14:schemeClr w14:val="tx1"/>
            </w14:solidFill>
          </w14:textFill>
        </w:rPr>
        <w:t>本项目各环境要素对应的环境风险潜势等级划分见下表。</w:t>
      </w:r>
    </w:p>
    <w:p>
      <w:pPr>
        <w:pStyle w:val="8"/>
        <w:spacing w:before="159" w:line="219" w:lineRule="auto"/>
        <w:ind w:left="116"/>
        <w:jc w:val="center"/>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1"/>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3-13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项目各环境要素风险潜势划分</w:t>
      </w:r>
    </w:p>
    <w:p>
      <w:pPr>
        <w:spacing w:line="31" w:lineRule="exact"/>
        <w:rPr>
          <w:color w:val="000000" w:themeColor="text1"/>
          <w14:textFill>
            <w14:solidFill>
              <w14:schemeClr w14:val="tx1"/>
            </w14:solidFill>
          </w14:textFill>
        </w:rPr>
      </w:pPr>
    </w:p>
    <w:tbl>
      <w:tblPr>
        <w:tblStyle w:val="99"/>
        <w:tblW w:w="9238" w:type="dxa"/>
        <w:tblInd w:w="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09"/>
        <w:gridCol w:w="2461"/>
        <w:gridCol w:w="3071"/>
        <w:gridCol w:w="189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1809"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spacing w:before="87"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环境要素</w:t>
            </w:r>
          </w:p>
        </w:tc>
        <w:tc>
          <w:tcPr>
            <w:tcW w:w="2461"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87"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环境敏感程度（</w:t>
            </w:r>
            <w:r>
              <w:rPr>
                <w:rFonts w:ascii="Times New Roman" w:hAnsi="Times New Roman" w:eastAsia="Times New Roman" w:cs="Times New Roman"/>
                <w:color w:val="000000" w:themeColor="text1"/>
                <w:spacing w:val="-1"/>
                <w:sz w:val="18"/>
                <w:szCs w:val="18"/>
                <w14:textFill>
                  <w14:solidFill>
                    <w14:schemeClr w14:val="tx1"/>
                  </w14:solidFill>
                </w14:textFill>
              </w:rPr>
              <w:t>E</w:t>
            </w:r>
            <w:r>
              <w:rPr>
                <w:color w:val="000000" w:themeColor="text1"/>
                <w:spacing w:val="-1"/>
                <w:sz w:val="18"/>
                <w:szCs w:val="18"/>
                <w14:textFill>
                  <w14:solidFill>
                    <w14:schemeClr w14:val="tx1"/>
                  </w14:solidFill>
                </w14:textFill>
              </w:rPr>
              <w:t>）</w:t>
            </w:r>
          </w:p>
        </w:tc>
        <w:tc>
          <w:tcPr>
            <w:tcW w:w="3071"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87" w:line="220" w:lineRule="auto"/>
              <w:ind w:lef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危险物质及工艺系统危险性（</w:t>
            </w:r>
            <w:r>
              <w:rPr>
                <w:rFonts w:ascii="Times New Roman" w:hAnsi="Times New Roman" w:eastAsia="Times New Roman" w:cs="Times New Roman"/>
                <w:color w:val="000000" w:themeColor="text1"/>
                <w:spacing w:val="-1"/>
                <w:sz w:val="18"/>
                <w:szCs w:val="18"/>
                <w14:textFill>
                  <w14:solidFill>
                    <w14:schemeClr w14:val="tx1"/>
                  </w14:solidFill>
                </w14:textFill>
              </w:rPr>
              <w:t>P</w:t>
            </w:r>
            <w:r>
              <w:rPr>
                <w:color w:val="000000" w:themeColor="text1"/>
                <w:spacing w:val="-1"/>
                <w:sz w:val="18"/>
                <w:szCs w:val="18"/>
                <w14:textFill>
                  <w14:solidFill>
                    <w14:schemeClr w14:val="tx1"/>
                  </w14:solidFill>
                </w14:textFill>
              </w:rPr>
              <w:t>）</w:t>
            </w:r>
          </w:p>
        </w:tc>
        <w:tc>
          <w:tcPr>
            <w:tcW w:w="1897" w:type="dxa"/>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87"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风险潜势等级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1809" w:type="dxa"/>
            <w:tcBorders>
              <w:left w:val="nil"/>
            </w:tcBorders>
            <w:vAlign w:val="center"/>
          </w:tcPr>
          <w:p>
            <w:pPr>
              <w:pStyle w:val="96"/>
              <w:keepNext w:val="0"/>
              <w:keepLines w:val="0"/>
              <w:pageBreakBefore w:val="0"/>
              <w:widowControl w:val="0"/>
              <w:kinsoku/>
              <w:wordWrap/>
              <w:overflowPunct/>
              <w:topLinePunct w:val="0"/>
              <w:autoSpaceDE/>
              <w:autoSpaceDN/>
              <w:bidi w:val="0"/>
              <w:spacing w:before="69" w:line="220" w:lineRule="auto"/>
              <w:ind w:left="0" w:firstLine="0" w:firstLineChars="0"/>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大气</w:t>
            </w:r>
          </w:p>
        </w:tc>
        <w:tc>
          <w:tcPr>
            <w:tcW w:w="2461" w:type="dxa"/>
            <w:vAlign w:val="center"/>
          </w:tcPr>
          <w:p>
            <w:pPr>
              <w:keepNext w:val="0"/>
              <w:keepLines w:val="0"/>
              <w:pageBreakBefore w:val="0"/>
              <w:widowControl w:val="0"/>
              <w:kinsoku/>
              <w:wordWrap/>
              <w:overflowPunct/>
              <w:topLinePunct w:val="0"/>
              <w:autoSpaceDE/>
              <w:autoSpaceDN/>
              <w:bidi w:val="0"/>
              <w:spacing w:before="100"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E3</w:t>
            </w:r>
          </w:p>
        </w:tc>
        <w:tc>
          <w:tcPr>
            <w:tcW w:w="3071" w:type="dxa"/>
            <w:vMerge w:val="restart"/>
            <w:tcBorders>
              <w:bottom w:val="nil"/>
            </w:tcBorders>
            <w:vAlign w:val="center"/>
          </w:tcPr>
          <w:p>
            <w:pPr>
              <w:keepNext w:val="0"/>
              <w:keepLines w:val="0"/>
              <w:pageBreakBefore w:val="0"/>
              <w:widowControl w:val="0"/>
              <w:kinsoku/>
              <w:wordWrap/>
              <w:overflowPunct/>
              <w:topLinePunct w:val="0"/>
              <w:autoSpaceDE/>
              <w:autoSpaceDN/>
              <w:bidi w:val="0"/>
              <w:spacing w:before="52" w:line="188" w:lineRule="auto"/>
              <w:ind w:left="0" w:firstLine="0" w:firstLineChars="0"/>
              <w:jc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w:t>
            </w:r>
            <w:r>
              <w:rPr>
                <w:rFonts w:hint="eastAsia" w:ascii="Times New Roman" w:hAnsi="Times New Roman" w:eastAsia="宋体" w:cs="Times New Roman"/>
                <w:color w:val="000000" w:themeColor="text1"/>
                <w:spacing w:val="-2"/>
                <w:sz w:val="18"/>
                <w:szCs w:val="18"/>
                <w:lang w:val="en-US" w:eastAsia="zh-CN"/>
                <w14:textFill>
                  <w14:solidFill>
                    <w14:schemeClr w14:val="tx1"/>
                  </w14:solidFill>
                </w14:textFill>
              </w:rPr>
              <w:t>4</w:t>
            </w:r>
          </w:p>
        </w:tc>
        <w:tc>
          <w:tcPr>
            <w:tcW w:w="1897" w:type="dxa"/>
            <w:tcBorders>
              <w:right w:val="nil"/>
            </w:tcBorders>
            <w:vAlign w:val="center"/>
          </w:tcPr>
          <w:p>
            <w:pPr>
              <w:keepNext w:val="0"/>
              <w:keepLines w:val="0"/>
              <w:pageBreakBefore w:val="0"/>
              <w:widowControl w:val="0"/>
              <w:kinsoku/>
              <w:wordWrap/>
              <w:overflowPunct/>
              <w:topLinePunct w:val="0"/>
              <w:autoSpaceDE/>
              <w:autoSpaceDN/>
              <w:bidi w:val="0"/>
              <w:spacing w:before="106" w:line="188" w:lineRule="auto"/>
              <w:ind w:left="0" w:firstLine="0" w:firstLineChars="0"/>
              <w:jc w:val="center"/>
              <w:rPr>
                <w:rFonts w:ascii="Times New Roman" w:hAnsi="Times New Roman" w:eastAsia="Times New Roman" w:cs="Times New Roman"/>
                <w:color w:val="000000" w:themeColor="text1"/>
                <w:spacing w:val="-2"/>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II</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1809" w:type="dxa"/>
            <w:tcBorders>
              <w:left w:val="nil"/>
            </w:tcBorders>
            <w:vAlign w:val="center"/>
          </w:tcPr>
          <w:p>
            <w:pPr>
              <w:pStyle w:val="96"/>
              <w:keepNext w:val="0"/>
              <w:keepLines w:val="0"/>
              <w:pageBreakBefore w:val="0"/>
              <w:widowControl w:val="0"/>
              <w:kinsoku/>
              <w:wordWrap/>
              <w:overflowPunct/>
              <w:topLinePunct w:val="0"/>
              <w:autoSpaceDE/>
              <w:autoSpaceDN/>
              <w:bidi w:val="0"/>
              <w:spacing w:before="75"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地表水</w:t>
            </w:r>
          </w:p>
        </w:tc>
        <w:tc>
          <w:tcPr>
            <w:tcW w:w="2461" w:type="dxa"/>
            <w:vAlign w:val="center"/>
          </w:tcPr>
          <w:p>
            <w:pPr>
              <w:keepNext w:val="0"/>
              <w:keepLines w:val="0"/>
              <w:pageBreakBefore w:val="0"/>
              <w:widowControl w:val="0"/>
              <w:kinsoku/>
              <w:wordWrap/>
              <w:overflowPunct/>
              <w:topLinePunct w:val="0"/>
              <w:autoSpaceDE/>
              <w:autoSpaceDN/>
              <w:bidi w:val="0"/>
              <w:spacing w:before="106"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E3</w:t>
            </w:r>
          </w:p>
        </w:tc>
        <w:tc>
          <w:tcPr>
            <w:tcW w:w="3071"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ind w:left="0" w:firstLine="0" w:firstLineChars="0"/>
              <w:jc w:val="center"/>
              <w:rPr>
                <w:rFonts w:ascii="Arial"/>
                <w:color w:val="000000" w:themeColor="text1"/>
                <w:sz w:val="21"/>
                <w14:textFill>
                  <w14:solidFill>
                    <w14:schemeClr w14:val="tx1"/>
                  </w14:solidFill>
                </w14:textFill>
              </w:rPr>
            </w:pPr>
          </w:p>
        </w:tc>
        <w:tc>
          <w:tcPr>
            <w:tcW w:w="1897" w:type="dxa"/>
            <w:tcBorders>
              <w:right w:val="nil"/>
            </w:tcBorders>
            <w:vAlign w:val="center"/>
          </w:tcPr>
          <w:p>
            <w:pPr>
              <w:keepNext w:val="0"/>
              <w:keepLines w:val="0"/>
              <w:pageBreakBefore w:val="0"/>
              <w:widowControl w:val="0"/>
              <w:kinsoku/>
              <w:wordWrap/>
              <w:overflowPunct/>
              <w:topLinePunct w:val="0"/>
              <w:autoSpaceDE/>
              <w:autoSpaceDN/>
              <w:bidi w:val="0"/>
              <w:spacing w:before="106" w:line="188" w:lineRule="auto"/>
              <w:ind w:left="0" w:firstLine="0" w:firstLineChars="0"/>
              <w:jc w:val="center"/>
              <w:rPr>
                <w:rFonts w:ascii="Times New Roman" w:hAnsi="Times New Roman" w:eastAsia="Times New Roman" w:cs="Times New Roman"/>
                <w:color w:val="000000" w:themeColor="text1"/>
                <w:spacing w:val="-2"/>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I</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5" w:hRule="atLeast"/>
        </w:trPr>
        <w:tc>
          <w:tcPr>
            <w:tcW w:w="1809"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82" w:line="219" w:lineRule="auto"/>
              <w:ind w:lef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地下水</w:t>
            </w:r>
          </w:p>
        </w:tc>
        <w:tc>
          <w:tcPr>
            <w:tcW w:w="2461"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before="113" w:line="188"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E3</w:t>
            </w:r>
          </w:p>
        </w:tc>
        <w:tc>
          <w:tcPr>
            <w:tcW w:w="3071" w:type="dxa"/>
            <w:vMerge w:val="continue"/>
            <w:tcBorders>
              <w:top w:val="nil"/>
              <w:bottom w:val="single" w:color="000000" w:sz="10" w:space="0"/>
            </w:tcBorders>
            <w:vAlign w:val="center"/>
          </w:tcPr>
          <w:p>
            <w:pPr>
              <w:keepNext w:val="0"/>
              <w:keepLines w:val="0"/>
              <w:pageBreakBefore w:val="0"/>
              <w:widowControl w:val="0"/>
              <w:kinsoku/>
              <w:wordWrap/>
              <w:overflowPunct/>
              <w:topLinePunct w:val="0"/>
              <w:autoSpaceDE/>
              <w:autoSpaceDN/>
              <w:bidi w:val="0"/>
              <w:ind w:left="0" w:firstLine="0" w:firstLineChars="0"/>
              <w:jc w:val="center"/>
              <w:rPr>
                <w:rFonts w:ascii="Arial"/>
                <w:color w:val="000000" w:themeColor="text1"/>
                <w:sz w:val="21"/>
                <w14:textFill>
                  <w14:solidFill>
                    <w14:schemeClr w14:val="tx1"/>
                  </w14:solidFill>
                </w14:textFill>
              </w:rPr>
            </w:pPr>
          </w:p>
        </w:tc>
        <w:tc>
          <w:tcPr>
            <w:tcW w:w="1897"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before="106" w:line="188" w:lineRule="auto"/>
              <w:ind w:left="0" w:firstLine="0" w:firstLineChars="0"/>
              <w:jc w:val="center"/>
              <w:rPr>
                <w:rFonts w:ascii="Times New Roman" w:hAnsi="Times New Roman" w:eastAsia="Times New Roman" w:cs="Times New Roman"/>
                <w:color w:val="000000" w:themeColor="text1"/>
                <w:spacing w:val="-2"/>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I</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项目环境风险潜势综合等级取各要素等级的相对高值，依此确定项目环境风险潜势综合</w:t>
      </w:r>
      <w:r>
        <w:rPr>
          <w:color w:val="000000" w:themeColor="text1"/>
          <w:spacing w:val="3"/>
          <w:sz w:val="24"/>
          <w:szCs w:val="24"/>
          <w14:textFill>
            <w14:solidFill>
              <w14:schemeClr w14:val="tx1"/>
            </w14:solidFill>
          </w14:textFill>
        </w:rPr>
        <w:t>等级为</w:t>
      </w:r>
      <w:r>
        <w:rPr>
          <w:rFonts w:ascii="Times New Roman" w:hAnsi="Times New Roman" w:eastAsia="Times New Roman" w:cs="Times New Roman"/>
          <w:color w:val="000000" w:themeColor="text1"/>
          <w:sz w:val="24"/>
          <w:szCs w:val="24"/>
          <w14:textFill>
            <w14:solidFill>
              <w14:schemeClr w14:val="tx1"/>
            </w14:solidFill>
          </w14:textFill>
        </w:rPr>
        <w:t>II</w:t>
      </w:r>
      <w:r>
        <w:rPr>
          <w:color w:val="000000" w:themeColor="text1"/>
          <w:spacing w:val="3"/>
          <w:sz w:val="24"/>
          <w:szCs w:val="24"/>
          <w14:textFill>
            <w14:solidFill>
              <w14:schemeClr w14:val="tx1"/>
            </w14:solidFill>
          </w14:textFill>
        </w:rPr>
        <w:t>级。</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3.4 </w:t>
      </w:r>
      <w:r>
        <w:rPr>
          <w:b/>
          <w:bCs/>
          <w:color w:val="000000" w:themeColor="text1"/>
          <w:spacing w:val="6"/>
          <w:sz w:val="24"/>
          <w:szCs w:val="24"/>
          <w14:textFill>
            <w14:solidFill>
              <w14:schemeClr w14:val="tx1"/>
            </w14:solidFill>
          </w14:textFill>
        </w:rPr>
        <w:t>评价工作等级及评价范围</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2"/>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4"/>
          <w:szCs w:val="24"/>
          <w14:textFill>
            <w14:solidFill>
              <w14:schemeClr w14:val="tx1"/>
            </w14:solidFill>
          </w14:textFill>
        </w:rPr>
        <w:t xml:space="preserve">3.4.1 </w:t>
      </w:r>
      <w:r>
        <w:rPr>
          <w:b/>
          <w:bCs/>
          <w:color w:val="000000" w:themeColor="text1"/>
          <w:spacing w:val="5"/>
          <w:sz w:val="24"/>
          <w:szCs w:val="24"/>
          <w14:textFill>
            <w14:solidFill>
              <w14:schemeClr w14:val="tx1"/>
            </w14:solidFill>
          </w14:textFill>
        </w:rPr>
        <w:t>评价等级划分</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0"/>
          <w:szCs w:val="20"/>
          <w14:textFill>
            <w14:solidFill>
              <w14:schemeClr w14:val="tx1"/>
            </w14:solidFill>
          </w14:textFill>
        </w:rPr>
      </w:pPr>
      <w:r>
        <w:rPr>
          <w:color w:val="000000" w:themeColor="text1"/>
          <w:spacing w:val="8"/>
          <w:sz w:val="24"/>
          <w:szCs w:val="24"/>
          <w14:textFill>
            <w14:solidFill>
              <w14:schemeClr w14:val="tx1"/>
            </w14:solidFill>
          </w14:textFill>
        </w:rPr>
        <w:t>按照下表确定评价工作等级。</w:t>
      </w:r>
    </w:p>
    <w:p>
      <w:pPr>
        <w:pStyle w:val="8"/>
        <w:spacing w:before="161" w:line="218" w:lineRule="auto"/>
        <w:ind w:left="114"/>
        <w:jc w:val="center"/>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2"/>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3-14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评价工作等级划分</w:t>
      </w:r>
    </w:p>
    <w:p>
      <w:pPr>
        <w:spacing w:line="32" w:lineRule="exact"/>
        <w:rPr>
          <w:color w:val="000000" w:themeColor="text1"/>
          <w14:textFill>
            <w14:solidFill>
              <w14:schemeClr w14:val="tx1"/>
            </w14:solidFill>
          </w14:textFill>
        </w:rPr>
      </w:pPr>
    </w:p>
    <w:tbl>
      <w:tblPr>
        <w:tblStyle w:val="99"/>
        <w:tblW w:w="913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44"/>
        <w:gridCol w:w="1828"/>
        <w:gridCol w:w="1712"/>
        <w:gridCol w:w="1827"/>
        <w:gridCol w:w="182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5" w:hRule="atLeast"/>
          <w:jc w:val="center"/>
        </w:trPr>
        <w:tc>
          <w:tcPr>
            <w:tcW w:w="1944"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环境风险潜势</w:t>
            </w:r>
          </w:p>
        </w:tc>
        <w:tc>
          <w:tcPr>
            <w:tcW w:w="1828"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IV</w:t>
            </w:r>
            <w:r>
              <w:rPr>
                <w:rFonts w:ascii="Times New Roman" w:hAnsi="Times New Roman" w:eastAsia="Times New Roman" w:cs="Times New Roman"/>
                <w:color w:val="000000" w:themeColor="text1"/>
                <w:spacing w:val="-25"/>
                <w:sz w:val="21"/>
                <w:szCs w:val="21"/>
                <w14:textFill>
                  <w14:solidFill>
                    <w14:schemeClr w14:val="tx1"/>
                  </w14:solidFill>
                </w14:textFill>
              </w:rPr>
              <w:t xml:space="preserve"> </w:t>
            </w:r>
            <w:r>
              <w:rPr>
                <w:color w:val="000000" w:themeColor="text1"/>
                <w:spacing w:val="-4"/>
                <w:sz w:val="21"/>
                <w:szCs w:val="21"/>
                <w14:textFill>
                  <w14:solidFill>
                    <w14:schemeClr w14:val="tx1"/>
                  </w14:solidFill>
                </w14:textFill>
              </w:rPr>
              <w:t>、</w:t>
            </w:r>
            <w:r>
              <w:rPr>
                <w:rFonts w:ascii="Times New Roman" w:hAnsi="Times New Roman" w:eastAsia="Times New Roman" w:cs="Times New Roman"/>
                <w:color w:val="000000" w:themeColor="text1"/>
                <w:spacing w:val="-4"/>
                <w:sz w:val="21"/>
                <w:szCs w:val="21"/>
                <w14:textFill>
                  <w14:solidFill>
                    <w14:schemeClr w14:val="tx1"/>
                  </w14:solidFill>
                </w14:textFill>
              </w:rPr>
              <w:t>IV+</w:t>
            </w:r>
          </w:p>
        </w:tc>
        <w:tc>
          <w:tcPr>
            <w:tcW w:w="1712" w:type="dxa"/>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III</w:t>
            </w:r>
          </w:p>
        </w:tc>
        <w:tc>
          <w:tcPr>
            <w:tcW w:w="1827" w:type="dxa"/>
            <w:tcBorders>
              <w:top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II</w:t>
            </w:r>
          </w:p>
        </w:tc>
        <w:tc>
          <w:tcPr>
            <w:tcW w:w="1828" w:type="dxa"/>
            <w:tcBorders>
              <w:top w:val="single" w:color="000000" w:sz="10"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I</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9" w:hRule="atLeast"/>
          <w:jc w:val="center"/>
        </w:trPr>
        <w:tc>
          <w:tcPr>
            <w:tcW w:w="1944"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评价工作等级</w:t>
            </w:r>
          </w:p>
        </w:tc>
        <w:tc>
          <w:tcPr>
            <w:tcW w:w="1828"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position w:val="-4"/>
                <w:sz w:val="21"/>
                <w:szCs w:val="21"/>
                <w14:textFill>
                  <w14:solidFill>
                    <w14:schemeClr w14:val="tx1"/>
                  </w14:solidFill>
                </w14:textFill>
              </w:rPr>
              <w:t>一</w:t>
            </w:r>
          </w:p>
        </w:tc>
        <w:tc>
          <w:tcPr>
            <w:tcW w:w="1712"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w:t>
            </w:r>
          </w:p>
        </w:tc>
        <w:tc>
          <w:tcPr>
            <w:tcW w:w="1827"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三</w:t>
            </w:r>
          </w:p>
        </w:tc>
        <w:tc>
          <w:tcPr>
            <w:tcW w:w="1828" w:type="dxa"/>
            <w:tcBorders>
              <w:bottom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简单分析</w:t>
            </w:r>
            <w:r>
              <w:rPr>
                <w:color w:val="000000" w:themeColor="text1"/>
                <w:spacing w:val="-37"/>
                <w:sz w:val="21"/>
                <w:szCs w:val="21"/>
                <w14:textFill>
                  <w14:solidFill>
                    <w14:schemeClr w14:val="tx1"/>
                  </w14:solidFill>
                </w14:textFill>
              </w:rPr>
              <w:t xml:space="preserve"> </w:t>
            </w:r>
            <w:r>
              <w:rPr>
                <w:rFonts w:ascii="Times New Roman" w:hAnsi="Times New Roman" w:eastAsia="Times New Roman" w:cs="Times New Roman"/>
                <w:color w:val="000000" w:themeColor="text1"/>
                <w:spacing w:val="-3"/>
                <w:position w:val="5"/>
                <w:sz w:val="21"/>
                <w:szCs w:val="21"/>
                <w14:textFill>
                  <w14:solidFill>
                    <w14:schemeClr w14:val="tx1"/>
                  </w14:solidFill>
                </w14:textFill>
              </w:rPr>
              <w:t>a</w:t>
            </w:r>
          </w:p>
        </w:tc>
      </w:tr>
    </w:tbl>
    <w:p>
      <w:pPr>
        <w:pStyle w:val="8"/>
        <w:keepNext w:val="0"/>
        <w:keepLines w:val="0"/>
        <w:pageBreakBefore w:val="0"/>
        <w:widowControl/>
        <w:kinsoku/>
        <w:wordWrap/>
        <w:overflowPunct/>
        <w:topLinePunct w:val="0"/>
        <w:autoSpaceDE/>
        <w:autoSpaceDN/>
        <w:bidi w:val="0"/>
        <w:adjustRightInd w:val="0"/>
        <w:snapToGrid w:val="0"/>
        <w:spacing w:before="0" w:after="0" w:line="360" w:lineRule="auto"/>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对照上表，</w:t>
      </w:r>
      <w:r>
        <w:rPr>
          <w:rFonts w:hint="eastAsia"/>
          <w:color w:val="000000" w:themeColor="text1"/>
          <w:spacing w:val="9"/>
          <w:sz w:val="24"/>
          <w:szCs w:val="24"/>
          <w:lang w:val="en-US" w:eastAsia="zh-CN"/>
          <w14:textFill>
            <w14:solidFill>
              <w14:schemeClr w14:val="tx1"/>
            </w14:solidFill>
          </w14:textFill>
        </w:rPr>
        <w:t>本项目大气风险为三级，地表水、地下水风险等级为简单分析，因此</w:t>
      </w:r>
      <w:r>
        <w:rPr>
          <w:color w:val="000000" w:themeColor="text1"/>
          <w:spacing w:val="9"/>
          <w:sz w:val="24"/>
          <w:szCs w:val="24"/>
          <w14:textFill>
            <w14:solidFill>
              <w14:schemeClr w14:val="tx1"/>
            </w14:solidFill>
          </w14:textFill>
        </w:rPr>
        <w:t>本项目环境风险评价等级为三级。</w:t>
      </w:r>
    </w:p>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111"/>
        <w:textAlignment w:val="auto"/>
        <w:outlineLvl w:val="2"/>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4"/>
          <w:szCs w:val="24"/>
          <w14:textFill>
            <w14:solidFill>
              <w14:schemeClr w14:val="tx1"/>
            </w14:solidFill>
          </w14:textFill>
        </w:rPr>
        <w:t xml:space="preserve">3.4.2 </w:t>
      </w:r>
      <w:r>
        <w:rPr>
          <w:b/>
          <w:bCs/>
          <w:color w:val="000000" w:themeColor="text1"/>
          <w:spacing w:val="5"/>
          <w:sz w:val="24"/>
          <w:szCs w:val="24"/>
          <w14:textFill>
            <w14:solidFill>
              <w14:schemeClr w14:val="tx1"/>
            </w14:solidFill>
          </w14:textFill>
        </w:rPr>
        <w:t>风险评价范围</w:t>
      </w:r>
    </w:p>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根据评价等级，确定各环境风险要素评价范围如下：</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大气评价范围：距建设项目边界</w:t>
      </w:r>
      <w:r>
        <w:rPr>
          <w:rFonts w:ascii="Times New Roman" w:hAnsi="Times New Roman" w:eastAsia="Times New Roman" w:cs="Times New Roman"/>
          <w:color w:val="000000" w:themeColor="text1"/>
          <w:spacing w:val="7"/>
          <w:sz w:val="24"/>
          <w:szCs w:val="24"/>
          <w14:textFill>
            <w14:solidFill>
              <w14:schemeClr w14:val="tx1"/>
            </w14:solidFill>
          </w14:textFill>
        </w:rPr>
        <w:t>3</w:t>
      </w:r>
      <w:r>
        <w:rPr>
          <w:rFonts w:ascii="Times New Roman" w:hAnsi="Times New Roman" w:eastAsia="Times New Roman" w:cs="Times New Roman"/>
          <w:color w:val="000000" w:themeColor="text1"/>
          <w:sz w:val="24"/>
          <w:szCs w:val="24"/>
          <w14:textFill>
            <w14:solidFill>
              <w14:schemeClr w14:val="tx1"/>
            </w14:solidFill>
          </w14:textFill>
        </w:rPr>
        <w:t>km</w:t>
      </w:r>
      <w:r>
        <w:rPr>
          <w:color w:val="000000" w:themeColor="text1"/>
          <w:spacing w:val="7"/>
          <w:sz w:val="24"/>
          <w:szCs w:val="24"/>
          <w14:textFill>
            <w14:solidFill>
              <w14:schemeClr w14:val="tx1"/>
            </w14:solidFill>
          </w14:textFill>
        </w:rPr>
        <w:t>范围内。</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地表水评价范围：项目采取三级防控，事故水控住在厂区，评价防控设施可行性。</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14:textFill>
            <w14:solidFill>
              <w14:schemeClr w14:val="tx1"/>
            </w14:solidFill>
          </w14:textFill>
        </w:rPr>
        <w:sectPr>
          <w:pgSz w:w="11906" w:h="16838"/>
          <w:pgMar w:top="1134" w:right="1134" w:bottom="1134"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r>
        <w:rPr>
          <w:color w:val="000000" w:themeColor="text1"/>
          <w:spacing w:val="7"/>
          <w:sz w:val="24"/>
          <w:szCs w:val="24"/>
          <w14:textFill>
            <w14:solidFill>
              <w14:schemeClr w14:val="tx1"/>
            </w14:solidFill>
          </w14:textFill>
        </w:rPr>
        <w:t>地下水评价范围：项目周边</w:t>
      </w:r>
      <w:r>
        <w:rPr>
          <w:rFonts w:hint="eastAsia"/>
          <w:color w:val="000000" w:themeColor="text1"/>
          <w:spacing w:val="7"/>
          <w:sz w:val="24"/>
          <w:szCs w:val="24"/>
          <w:lang w:val="en-US" w:eastAsia="zh-CN"/>
          <w14:textFill>
            <w14:solidFill>
              <w14:schemeClr w14:val="tx1"/>
            </w14:solidFill>
          </w14:textFill>
        </w:rPr>
        <w:t>5.88k</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color w:val="000000" w:themeColor="text1"/>
          <w:spacing w:val="7"/>
          <w:sz w:val="24"/>
          <w:szCs w:val="24"/>
          <w14:textFill>
            <w14:solidFill>
              <w14:schemeClr w14:val="tx1"/>
            </w14:solidFill>
          </w14:textFill>
        </w:rPr>
        <w:t>范围</w:t>
      </w:r>
      <w:r>
        <w:rPr>
          <w:rFonts w:hint="eastAsia"/>
          <w:color w:val="000000" w:themeColor="text1"/>
          <w:spacing w:val="7"/>
          <w:sz w:val="24"/>
          <w:szCs w:val="24"/>
          <w:lang w:val="en-US" w:eastAsia="zh-CN"/>
          <w14:textFill>
            <w14:solidFill>
              <w14:schemeClr w14:val="tx1"/>
            </w14:solidFill>
          </w14:textFill>
        </w:rPr>
        <w:t>,东部以悖牛川河流谷地后缘为界，西部以悖牛川主河道为界，北部及南部以垂直河流谷地的断面为界，面积5.88km</w:t>
      </w:r>
      <w:r>
        <w:rPr>
          <w:rFonts w:hint="eastAsia"/>
          <w:color w:val="000000" w:themeColor="text1"/>
          <w:spacing w:val="7"/>
          <w:sz w:val="24"/>
          <w:szCs w:val="24"/>
          <w:vertAlign w:val="superscript"/>
          <w:lang w:val="en-US" w:eastAsia="zh-CN"/>
          <w14:textFill>
            <w14:solidFill>
              <w14:schemeClr w14:val="tx1"/>
            </w14:solidFill>
          </w14:textFill>
        </w:rPr>
        <w:t>2</w:t>
      </w:r>
      <w:r>
        <w:rPr>
          <w:color w:val="000000" w:themeColor="text1"/>
          <w:spacing w:val="7"/>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0" w:firstLineChars="0"/>
        <w:jc w:val="center"/>
        <w:textAlignment w:val="auto"/>
        <w:rPr>
          <w:rFonts w:hint="eastAsia"/>
          <w:b/>
          <w:bCs/>
          <w:color w:val="000000" w:themeColor="text1"/>
          <w:sz w:val="21"/>
          <w:szCs w:val="2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g">
            <w:drawing>
              <wp:anchor distT="0" distB="0" distL="114300" distR="114300" simplePos="0" relativeHeight="251676672" behindDoc="0" locked="0" layoutInCell="1" allowOverlap="1">
                <wp:simplePos x="0" y="0"/>
                <wp:positionH relativeFrom="column">
                  <wp:posOffset>7382510</wp:posOffset>
                </wp:positionH>
                <wp:positionV relativeFrom="paragraph">
                  <wp:posOffset>8255</wp:posOffset>
                </wp:positionV>
                <wp:extent cx="1922145" cy="5559425"/>
                <wp:effectExtent l="0" t="0" r="1905" b="3175"/>
                <wp:wrapNone/>
                <wp:docPr id="159" name="组合 159"/>
                <wp:cNvGraphicFramePr/>
                <a:graphic xmlns:a="http://schemas.openxmlformats.org/drawingml/2006/main">
                  <a:graphicData uri="http://schemas.microsoft.com/office/word/2010/wordprocessingGroup">
                    <wpg:wgp>
                      <wpg:cNvGrpSpPr/>
                      <wpg:grpSpPr>
                        <a:xfrm>
                          <a:off x="0" y="0"/>
                          <a:ext cx="1922145" cy="5559425"/>
                          <a:chOff x="13273" y="2315265"/>
                          <a:chExt cx="3027" cy="8755"/>
                        </a:xfrm>
                      </wpg:grpSpPr>
                      <wps:wsp>
                        <wps:cNvPr id="154" name="文本框 40"/>
                        <wps:cNvSpPr txBox="true"/>
                        <wps:spPr>
                          <a:xfrm>
                            <a:off x="13273" y="2322138"/>
                            <a:ext cx="2943" cy="188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lang w:val="en-US" w:eastAsia="zh-CN"/>
                                </w:rPr>
                              </w:pPr>
                              <w:r>
                                <w:rPr>
                                  <w:rFonts w:hint="eastAsia"/>
                                  <w:lang w:val="en-US" w:eastAsia="zh-CN"/>
                                </w:rPr>
                                <w:t>图 例</w:t>
                              </w:r>
                            </w:p>
                            <w:p>
                              <w:pPr>
                                <w:ind w:left="0" w:leftChars="0" w:firstLine="0" w:firstLineChars="0"/>
                                <w:jc w:val="right"/>
                                <w:rPr>
                                  <w:rFonts w:hint="eastAsia"/>
                                  <w:sz w:val="21"/>
                                  <w:szCs w:val="21"/>
                                  <w:lang w:val="en-US" w:eastAsia="zh-CN"/>
                                </w:rPr>
                              </w:pPr>
                              <w:r>
                                <w:rPr>
                                  <w:rFonts w:hint="eastAsia"/>
                                  <w:sz w:val="21"/>
                                  <w:szCs w:val="21"/>
                                  <w:lang w:val="en-US" w:eastAsia="zh-CN"/>
                                </w:rPr>
                                <w:t>项目边界</w:t>
                              </w:r>
                            </w:p>
                            <w:p>
                              <w:pPr>
                                <w:ind w:left="0" w:leftChars="0" w:firstLine="0" w:firstLineChars="0"/>
                                <w:jc w:val="right"/>
                                <w:rPr>
                                  <w:rFonts w:hint="eastAsia"/>
                                  <w:sz w:val="21"/>
                                  <w:szCs w:val="21"/>
                                  <w:lang w:val="en-US" w:eastAsia="zh-CN"/>
                                </w:rPr>
                              </w:pPr>
                              <w:r>
                                <w:rPr>
                                  <w:rFonts w:hint="eastAsia"/>
                                  <w:sz w:val="21"/>
                                  <w:szCs w:val="21"/>
                                  <w:lang w:val="en-US" w:eastAsia="zh-CN"/>
                                </w:rPr>
                                <w:t>地下水风险评价范围</w:t>
                              </w:r>
                            </w:p>
                            <w:p>
                              <w:pPr>
                                <w:ind w:left="0" w:leftChars="0" w:firstLine="0" w:firstLineChars="0"/>
                                <w:jc w:val="right"/>
                                <w:rPr>
                                  <w:rFonts w:hint="default"/>
                                  <w:sz w:val="21"/>
                                  <w:szCs w:val="21"/>
                                  <w:lang w:val="en-US" w:eastAsia="zh-CN"/>
                                </w:rPr>
                              </w:pPr>
                              <w:r>
                                <w:rPr>
                                  <w:rFonts w:hint="eastAsia"/>
                                  <w:sz w:val="21"/>
                                  <w:szCs w:val="21"/>
                                  <w:lang w:val="en-US" w:eastAsia="zh-CN"/>
                                </w:rPr>
                                <w:t>大气风险评价范围</w:t>
                              </w:r>
                            </w:p>
                            <w:p>
                              <w:pPr>
                                <w:ind w:left="0" w:leftChars="0" w:firstLine="0" w:firstLineChars="0"/>
                                <w:jc w:val="right"/>
                                <w:rPr>
                                  <w:rFonts w:hint="default"/>
                                  <w:lang w:val="en-US" w:eastAsia="zh-CN"/>
                                </w:rPr>
                              </w:pP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wps:wsp>
                        <wps:cNvPr id="155" name="矩形 62"/>
                        <wps:cNvSpPr/>
                        <wps:spPr>
                          <a:xfrm>
                            <a:off x="13422" y="2322669"/>
                            <a:ext cx="559" cy="264"/>
                          </a:xfrm>
                          <a:prstGeom prst="rect">
                            <a:avLst/>
                          </a:prstGeom>
                          <a:noFill/>
                          <a:ln>
                            <a:solidFill>
                              <a:srgbClr val="0202F5"/>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156" name="矩形 79"/>
                        <wps:cNvSpPr/>
                        <wps:spPr>
                          <a:xfrm>
                            <a:off x="13421" y="2323121"/>
                            <a:ext cx="603" cy="251"/>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wps:wsp>
                        <wps:cNvPr id="157" name="矩形 80"/>
                        <wps:cNvSpPr/>
                        <wps:spPr>
                          <a:xfrm>
                            <a:off x="13441" y="2323526"/>
                            <a:ext cx="603" cy="251"/>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pic:pic xmlns:pic="http://schemas.openxmlformats.org/drawingml/2006/picture">
                        <pic:nvPicPr>
                          <pic:cNvPr id="158" name="图片 40"/>
                          <pic:cNvPicPr>
                            <a:picLocks noChangeAspect="true"/>
                          </pic:cNvPicPr>
                        </pic:nvPicPr>
                        <pic:blipFill>
                          <a:blip r:embed="rId142"/>
                          <a:stretch>
                            <a:fillRect/>
                          </a:stretch>
                        </pic:blipFill>
                        <pic:spPr>
                          <a:xfrm>
                            <a:off x="15004" y="2315265"/>
                            <a:ext cx="1296" cy="1194"/>
                          </a:xfrm>
                          <a:prstGeom prst="rect">
                            <a:avLst/>
                          </a:prstGeom>
                          <a:noFill/>
                          <a:ln>
                            <a:noFill/>
                          </a:ln>
                        </pic:spPr>
                      </pic:pic>
                    </wpg:wgp>
                  </a:graphicData>
                </a:graphic>
              </wp:anchor>
            </w:drawing>
          </mc:Choice>
          <mc:Fallback>
            <w:pict>
              <v:group id="_x0000_s1026" o:spid="_x0000_s1026" o:spt="203" style="position:absolute;left:0pt;margin-left:581.3pt;margin-top:0.65pt;height:437.75pt;width:151.35pt;z-index:251676672;mso-width-relative:page;mso-height-relative:page;" coordorigin="13273,2315265" coordsize="3027,8755" o:gfxdata="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">
                <o:lock v:ext="edit" aspectratio="f"/>
                <v:shape id="文本框 40" o:spid="_x0000_s1026" o:spt="202" type="#_x0000_t202" style="position:absolute;left:13273;top:2322138;height:1883;width:2943;" fillcolor="#FFFFFF [3201]" filled="t" stroked="f" coordsize="21600,21600" o:gfxdata="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DbEnNbuQAAANwAAAAPAAAAAAAAAAEAIAAAADgAAABkcnMvZG93bnJldi54bWxQ&#10;SwECFAAUAAAACACHTuJAMy8FnjsAAAA5AAAAEAAAAAAAAAABACAAAAAeAQAAZHJzL3NoYXBleG1s&#10;LnhtbFBLBQYAAAAABgAGAFsBAADIAwAAAAA=&#10;">
                  <v:fill on="t" focussize="0,0"/>
                  <v:stroke on="f" weight="0.5pt"/>
                  <v:imagedata o:title=""/>
                  <o:lock v:ext="edit" aspectratio="f"/>
                  <v:textbox>
                    <w:txbxContent>
                      <w:p>
                        <w:pPr>
                          <w:ind w:left="0" w:leftChars="0" w:firstLine="0" w:firstLineChars="0"/>
                          <w:jc w:val="center"/>
                          <w:rPr>
                            <w:rFonts w:hint="eastAsia"/>
                            <w:lang w:val="en-US" w:eastAsia="zh-CN"/>
                          </w:rPr>
                        </w:pPr>
                        <w:r>
                          <w:rPr>
                            <w:rFonts w:hint="eastAsia"/>
                            <w:lang w:val="en-US" w:eastAsia="zh-CN"/>
                          </w:rPr>
                          <w:t>图 例</w:t>
                        </w:r>
                      </w:p>
                      <w:p>
                        <w:pPr>
                          <w:ind w:left="0" w:leftChars="0" w:firstLine="0" w:firstLineChars="0"/>
                          <w:jc w:val="right"/>
                          <w:rPr>
                            <w:rFonts w:hint="eastAsia"/>
                            <w:sz w:val="21"/>
                            <w:szCs w:val="21"/>
                            <w:lang w:val="en-US" w:eastAsia="zh-CN"/>
                          </w:rPr>
                        </w:pPr>
                        <w:r>
                          <w:rPr>
                            <w:rFonts w:hint="eastAsia"/>
                            <w:sz w:val="21"/>
                            <w:szCs w:val="21"/>
                            <w:lang w:val="en-US" w:eastAsia="zh-CN"/>
                          </w:rPr>
                          <w:t>项目边界</w:t>
                        </w:r>
                      </w:p>
                      <w:p>
                        <w:pPr>
                          <w:ind w:left="0" w:leftChars="0" w:firstLine="0" w:firstLineChars="0"/>
                          <w:jc w:val="right"/>
                          <w:rPr>
                            <w:rFonts w:hint="eastAsia"/>
                            <w:sz w:val="21"/>
                            <w:szCs w:val="21"/>
                            <w:lang w:val="en-US" w:eastAsia="zh-CN"/>
                          </w:rPr>
                        </w:pPr>
                        <w:r>
                          <w:rPr>
                            <w:rFonts w:hint="eastAsia"/>
                            <w:sz w:val="21"/>
                            <w:szCs w:val="21"/>
                            <w:lang w:val="en-US" w:eastAsia="zh-CN"/>
                          </w:rPr>
                          <w:t>地下水风险评价范围</w:t>
                        </w:r>
                      </w:p>
                      <w:p>
                        <w:pPr>
                          <w:ind w:left="0" w:leftChars="0" w:firstLine="0" w:firstLineChars="0"/>
                          <w:jc w:val="right"/>
                          <w:rPr>
                            <w:rFonts w:hint="default"/>
                            <w:sz w:val="21"/>
                            <w:szCs w:val="21"/>
                            <w:lang w:val="en-US" w:eastAsia="zh-CN"/>
                          </w:rPr>
                        </w:pPr>
                        <w:r>
                          <w:rPr>
                            <w:rFonts w:hint="eastAsia"/>
                            <w:sz w:val="21"/>
                            <w:szCs w:val="21"/>
                            <w:lang w:val="en-US" w:eastAsia="zh-CN"/>
                          </w:rPr>
                          <w:t>大气风险评价范围</w:t>
                        </w:r>
                      </w:p>
                      <w:p>
                        <w:pPr>
                          <w:ind w:left="0" w:leftChars="0" w:firstLine="0" w:firstLineChars="0"/>
                          <w:jc w:val="right"/>
                          <w:rPr>
                            <w:rFonts w:hint="default"/>
                            <w:lang w:val="en-US" w:eastAsia="zh-CN"/>
                          </w:rPr>
                        </w:pPr>
                      </w:p>
                    </w:txbxContent>
                  </v:textbox>
                </v:shape>
                <v:rect id="矩形 62" o:spid="_x0000_s1026" o:spt="1" style="position:absolute;left:13422;top:2322669;height:264;width:559;v-text-anchor:middle;" filled="f" stroked="t" coordsize="21600,21600" o:gfxdata="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bLK5mboAAADcAAAADwAAAAAAAAABACAAAAA4AAAAZHJzL2Rvd25yZXYueG1s&#10;UEsBAhQAFAAAAAgAh07iQDMvBZ47AAAAOQAAABAAAAAAAAAAAQAgAAAAHwEAAGRycy9zaGFwZXht&#10;bC54bWxQSwUGAAAAAAYABgBbAQAAyQMAAAAA&#10;">
                  <v:fill on="f" focussize="0,0"/>
                  <v:stroke weight="2pt" color="#0202F5 [2404]" joinstyle="round"/>
                  <v:imagedata o:title=""/>
                  <o:lock v:ext="edit" aspectratio="f"/>
                </v:rect>
                <v:rect id="矩形 79" o:spid="_x0000_s1026" o:spt="1" style="position:absolute;left:13421;top:2323121;height:251;width:603;v-text-anchor:middle;" filled="f" stroked="t" coordsize="21600,21600" o:gfxdata="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">
                  <v:fill on="f" focussize="0,0"/>
                  <v:stroke weight="2pt" color="#FFFF00 [2404]" joinstyle="round"/>
                  <v:imagedata o:title=""/>
                  <o:lock v:ext="edit" aspectratio="f"/>
                </v:rect>
                <v:rect id="矩形 80" o:spid="_x0000_s1026" o:spt="1" style="position:absolute;left:13441;top:2323526;height:251;width:603;v-text-anchor:middle;" filled="f" stroked="t" coordsize="21600,21600" o:gfxdata="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b0znu+AAAA3AAAAA8AAAAAAAAAAQAgAAAAOAAAAGRycy9kb3ducmV2&#10;LnhtbFBLAQIUABQAAAAIAIdO4kAzLwWeOwAAADkAAAAQAAAAAAAAAAEAIAAAACMBAABkcnMvc2hh&#10;cGV4bWwueG1sUEsFBgAAAAAGAAYAWwEAAM0DAAAAAA==&#10;">
                  <v:fill on="f" focussize="0,0"/>
                  <v:stroke weight="2pt" color="#FF0000 [2404]" joinstyle="round"/>
                  <v:imagedata o:title=""/>
                  <o:lock v:ext="edit" aspectratio="f"/>
                </v:rect>
                <v:shape id="图片 40" o:spid="_x0000_s1026" o:spt="75" type="#_x0000_t75" style="position:absolute;left:15004;top:2315265;height:1194;width:1296;" filled="f" o:preferrelative="t" stroked="f" coordsize="21600,21600" o:gfxdata="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udiZTMAAAADcAAAADwAAAAAAAAABACAAAAA4AAAAZHJzL2Rvd25y&#10;ZXYueG1sUEsBAhQAFAAAAAgAh07iQDMvBZ47AAAAOQAAABAAAAAAAAAAAQAgAAAAJQEAAGRycy9z&#10;aGFwZXhtbC54bWxQSwUGAAAAAAYABgBbAQAAzwMAAAAA&#10;">
                  <v:fill on="f" focussize="0,0"/>
                  <v:stroke on="f"/>
                  <v:imagedata r:id="rId142" o:title=""/>
                  <o:lock v:ext="edit" aspectratio="t"/>
                </v:shape>
              </v:group>
            </w:pict>
          </mc:Fallback>
        </mc:AlternateContent>
      </w:r>
      <w:r>
        <w:rPr>
          <w:color w:val="000000" w:themeColor="text1"/>
          <w14:textFill>
            <w14:solidFill>
              <w14:schemeClr w14:val="tx1"/>
            </w14:solidFill>
          </w14:textFill>
        </w:rPr>
        <w:drawing>
          <wp:inline distT="0" distB="0" distL="114300" distR="114300">
            <wp:extent cx="9229725" cy="5562600"/>
            <wp:effectExtent l="0" t="0" r="9525" b="0"/>
            <wp:docPr id="164"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4" name="图片 10"/>
                    <pic:cNvPicPr>
                      <a:picLocks noChangeAspect="true"/>
                    </pic:cNvPicPr>
                  </pic:nvPicPr>
                  <pic:blipFill>
                    <a:blip r:embed="rId151"/>
                    <a:stretch>
                      <a:fillRect/>
                    </a:stretch>
                  </pic:blipFill>
                  <pic:spPr>
                    <a:xfrm>
                      <a:off x="0" y="0"/>
                      <a:ext cx="9229725" cy="5562600"/>
                    </a:xfrm>
                    <a:prstGeom prst="rect">
                      <a:avLst/>
                    </a:prstGeom>
                    <a:noFill/>
                    <a:ln>
                      <a:noFill/>
                    </a:ln>
                  </pic:spPr>
                </pic:pic>
              </a:graphicData>
            </a:graphic>
          </wp:inline>
        </w:drawing>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0" w:firstLineChars="0"/>
        <w:jc w:val="center"/>
        <w:textAlignment w:val="auto"/>
        <w:rPr>
          <w:rFonts w:hint="default" w:eastAsia="宋体"/>
          <w:b/>
          <w:bCs/>
          <w:color w:val="000000" w:themeColor="text1"/>
          <w:sz w:val="21"/>
          <w:szCs w:val="21"/>
          <w:lang w:val="en-US" w:eastAsia="zh-CN"/>
          <w14:textFill>
            <w14:solidFill>
              <w14:schemeClr w14:val="tx1"/>
            </w14:solidFill>
          </w14:textFill>
        </w:rPr>
        <w:sectPr>
          <w:pgSz w:w="16838" w:h="11906" w:orient="landscape"/>
          <w:pgMar w:top="1531" w:right="1134" w:bottom="1134" w:left="1134"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b/>
          <w:bCs/>
          <w:color w:val="000000" w:themeColor="text1"/>
          <w:sz w:val="21"/>
          <w:szCs w:val="21"/>
          <w:lang w:val="en-US" w:eastAsia="zh-CN"/>
          <w14:textFill>
            <w14:solidFill>
              <w14:schemeClr w14:val="tx1"/>
            </w14:solidFill>
          </w14:textFill>
        </w:rPr>
        <w:t>附图10 项目环境风险评价范围图</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14:textFill>
            <w14:solidFill>
              <w14:schemeClr w14:val="tx1"/>
            </w14:solidFill>
          </w14:textFill>
        </w:rPr>
      </w:pP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firstLine="0" w:firstLineChars="0"/>
        <w:textAlignment w:val="auto"/>
        <w:outlineLvl w:val="0"/>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8"/>
          <w:szCs w:val="28"/>
          <w14:textFill>
            <w14:solidFill>
              <w14:schemeClr w14:val="tx1"/>
            </w14:solidFill>
          </w14:textFill>
        </w:rPr>
        <w:t>4</w:t>
      </w:r>
      <w:r>
        <w:rPr>
          <w:rFonts w:ascii="Times New Roman" w:hAnsi="Times New Roman" w:eastAsia="Times New Roman" w:cs="Times New Roman"/>
          <w:b/>
          <w:bCs/>
          <w:color w:val="000000" w:themeColor="text1"/>
          <w:spacing w:val="10"/>
          <w:sz w:val="28"/>
          <w:szCs w:val="28"/>
          <w14:textFill>
            <w14:solidFill>
              <w14:schemeClr w14:val="tx1"/>
            </w14:solidFill>
          </w14:textFill>
        </w:rPr>
        <w:t xml:space="preserve"> </w:t>
      </w:r>
      <w:r>
        <w:rPr>
          <w:b/>
          <w:bCs/>
          <w:color w:val="000000" w:themeColor="text1"/>
          <w:spacing w:val="-5"/>
          <w:sz w:val="28"/>
          <w:szCs w:val="28"/>
          <w14:textFill>
            <w14:solidFill>
              <w14:schemeClr w14:val="tx1"/>
            </w14:solidFill>
          </w14:textFill>
        </w:rPr>
        <w:t>风险识别</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113"/>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4.1</w:t>
      </w:r>
      <w:r>
        <w:rPr>
          <w:rFonts w:ascii="Times New Roman" w:hAnsi="Times New Roman" w:eastAsia="Times New Roman" w:cs="Times New Roman"/>
          <w:b/>
          <w:bCs/>
          <w:color w:val="000000" w:themeColor="text1"/>
          <w:spacing w:val="32"/>
          <w:w w:val="101"/>
          <w:sz w:val="24"/>
          <w:szCs w:val="24"/>
          <w14:textFill>
            <w14:solidFill>
              <w14:schemeClr w14:val="tx1"/>
            </w14:solidFill>
          </w14:textFill>
        </w:rPr>
        <w:t xml:space="preserve"> </w:t>
      </w:r>
      <w:r>
        <w:rPr>
          <w:b/>
          <w:bCs/>
          <w:color w:val="000000" w:themeColor="text1"/>
          <w:spacing w:val="6"/>
          <w:sz w:val="24"/>
          <w:szCs w:val="24"/>
          <w14:textFill>
            <w14:solidFill>
              <w14:schemeClr w14:val="tx1"/>
            </w14:solidFill>
          </w14:textFill>
        </w:rPr>
        <w:t>同行业、同类型事故统计资料及分析</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112" w:right="67" w:firstLine="427"/>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油品罐区一般都具有储存量大，储存物料易燃、易爆，收发操作复杂等特点，其事故风</w:t>
      </w:r>
      <w:r>
        <w:rPr>
          <w:color w:val="000000" w:themeColor="text1"/>
          <w:sz w:val="24"/>
          <w:szCs w:val="24"/>
          <w14:textFill>
            <w14:solidFill>
              <w14:schemeClr w14:val="tx1"/>
            </w14:solidFill>
          </w14:textFill>
        </w:rPr>
        <w:t>险相对较大，参考《油库</w:t>
      </w:r>
      <w:r>
        <w:rPr>
          <w:rFonts w:ascii="Times New Roman" w:hAnsi="Times New Roman" w:eastAsia="Times New Roman" w:cs="Times New Roman"/>
          <w:color w:val="000000" w:themeColor="text1"/>
          <w:sz w:val="24"/>
          <w:szCs w:val="24"/>
          <w14:textFill>
            <w14:solidFill>
              <w14:schemeClr w14:val="tx1"/>
            </w14:solidFill>
          </w14:textFill>
        </w:rPr>
        <w:t>1050</w:t>
      </w:r>
      <w:r>
        <w:rPr>
          <w:color w:val="000000" w:themeColor="text1"/>
          <w:sz w:val="24"/>
          <w:szCs w:val="24"/>
          <w14:textFill>
            <w14:solidFill>
              <w14:schemeClr w14:val="tx1"/>
            </w14:solidFill>
          </w14:textFill>
        </w:rPr>
        <w:t>例安全事故数据的统计分析》（范继义，《石油库与加油站》，</w:t>
      </w:r>
      <w:r>
        <w:rPr>
          <w:rFonts w:ascii="Times New Roman" w:hAnsi="Times New Roman" w:eastAsia="Times New Roman" w:cs="Times New Roman"/>
          <w:color w:val="000000" w:themeColor="text1"/>
          <w:spacing w:val="6"/>
          <w:sz w:val="24"/>
          <w:szCs w:val="24"/>
          <w14:textFill>
            <w14:solidFill>
              <w14:schemeClr w14:val="tx1"/>
            </w14:solidFill>
          </w14:textFill>
        </w:rPr>
        <w:t>2003.12</w:t>
      </w: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Vol</w:t>
      </w:r>
      <w:r>
        <w:rPr>
          <w:rFonts w:ascii="Times New Roman" w:hAnsi="Times New Roman" w:eastAsia="Times New Roman" w:cs="Times New Roman"/>
          <w:color w:val="000000" w:themeColor="text1"/>
          <w:spacing w:val="6"/>
          <w:sz w:val="24"/>
          <w:szCs w:val="24"/>
          <w14:textFill>
            <w14:solidFill>
              <w14:schemeClr w14:val="tx1"/>
            </w14:solidFill>
          </w14:textFill>
        </w:rPr>
        <w:t>.12</w:t>
      </w: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pacing w:val="6"/>
          <w:sz w:val="24"/>
          <w:szCs w:val="24"/>
          <w14:textFill>
            <w14:solidFill>
              <w14:schemeClr w14:val="tx1"/>
            </w14:solidFill>
          </w14:textFill>
        </w:rPr>
        <w:t>6</w:t>
      </w:r>
      <w:r>
        <w:rPr>
          <w:color w:val="000000" w:themeColor="text1"/>
          <w:spacing w:val="-36"/>
          <w:sz w:val="24"/>
          <w:szCs w:val="24"/>
          <w14:textFill>
            <w14:solidFill>
              <w14:schemeClr w14:val="tx1"/>
            </w14:solidFill>
          </w14:textFill>
        </w:rPr>
        <w:t>））</w:t>
      </w:r>
      <w:r>
        <w:rPr>
          <w:color w:val="000000" w:themeColor="text1"/>
          <w:spacing w:val="6"/>
          <w:sz w:val="24"/>
          <w:szCs w:val="24"/>
          <w14:textFill>
            <w14:solidFill>
              <w14:schemeClr w14:val="tx1"/>
            </w14:solidFill>
          </w14:textFill>
        </w:rPr>
        <w:t>对国内外</w:t>
      </w:r>
      <w:r>
        <w:rPr>
          <w:rFonts w:ascii="Times New Roman" w:hAnsi="Times New Roman" w:eastAsia="Times New Roman" w:cs="Times New Roman"/>
          <w:color w:val="000000" w:themeColor="text1"/>
          <w:spacing w:val="6"/>
          <w:sz w:val="24"/>
          <w:szCs w:val="24"/>
          <w14:textFill>
            <w14:solidFill>
              <w14:schemeClr w14:val="tx1"/>
            </w14:solidFill>
          </w14:textFill>
        </w:rPr>
        <w:t>1050</w:t>
      </w:r>
      <w:r>
        <w:rPr>
          <w:color w:val="000000" w:themeColor="text1"/>
          <w:spacing w:val="6"/>
          <w:sz w:val="24"/>
          <w:szCs w:val="24"/>
          <w14:textFill>
            <w14:solidFill>
              <w14:schemeClr w14:val="tx1"/>
            </w14:solidFill>
          </w14:textFill>
        </w:rPr>
        <w:t>例事故进行的统计分析，找出目前罐区发生的</w:t>
      </w:r>
      <w:r>
        <w:rPr>
          <w:color w:val="000000" w:themeColor="text1"/>
          <w:spacing w:val="5"/>
          <w:sz w:val="24"/>
          <w:szCs w:val="24"/>
          <w14:textFill>
            <w14:solidFill>
              <w14:schemeClr w14:val="tx1"/>
            </w14:solidFill>
          </w14:textFill>
        </w:rPr>
        <w:t>主要事</w:t>
      </w:r>
      <w:r>
        <w:rPr>
          <w:color w:val="000000" w:themeColor="text1"/>
          <w:spacing w:val="10"/>
          <w:sz w:val="24"/>
          <w:szCs w:val="24"/>
          <w14:textFill>
            <w14:solidFill>
              <w14:schemeClr w14:val="tx1"/>
            </w14:solidFill>
          </w14:textFill>
        </w:rPr>
        <w:t>故类型、事故多发部位、事故原因和事故后果，</w:t>
      </w:r>
      <w:r>
        <w:rPr>
          <w:color w:val="000000" w:themeColor="text1"/>
          <w:spacing w:val="9"/>
          <w:sz w:val="24"/>
          <w:szCs w:val="24"/>
          <w14:textFill>
            <w14:solidFill>
              <w14:schemeClr w14:val="tx1"/>
            </w14:solidFill>
          </w14:textFill>
        </w:rPr>
        <w:t>为项目最大可信事故的辨识提供依据。</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113"/>
        <w:textAlignment w:val="auto"/>
        <w:outlineLvl w:val="2"/>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4.1.1 </w:t>
      </w:r>
      <w:r>
        <w:rPr>
          <w:b/>
          <w:bCs/>
          <w:color w:val="000000" w:themeColor="text1"/>
          <w:spacing w:val="6"/>
          <w:sz w:val="24"/>
          <w:szCs w:val="24"/>
          <w14:textFill>
            <w14:solidFill>
              <w14:schemeClr w14:val="tx1"/>
            </w14:solidFill>
          </w14:textFill>
        </w:rPr>
        <w:t>事故区域及事故类型统计</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115" w:right="110" w:firstLine="441"/>
        <w:textAlignment w:val="auto"/>
        <w:rPr>
          <w:color w:val="000000" w:themeColor="text1"/>
          <w:sz w:val="20"/>
          <w:szCs w:val="20"/>
          <w14:textFill>
            <w14:solidFill>
              <w14:schemeClr w14:val="tx1"/>
            </w14:solidFill>
          </w14:textFill>
        </w:rPr>
      </w:pPr>
      <w:r>
        <w:rPr>
          <w:color w:val="000000" w:themeColor="text1"/>
          <w:spacing w:val="8"/>
          <w:sz w:val="24"/>
          <w:szCs w:val="24"/>
          <w14:textFill>
            <w14:solidFill>
              <w14:schemeClr w14:val="tx1"/>
            </w14:solidFill>
          </w14:textFill>
        </w:rPr>
        <w:t>国内石化系</w:t>
      </w:r>
      <w:r>
        <w:rPr>
          <w:rFonts w:ascii="Times New Roman" w:hAnsi="Times New Roman" w:eastAsia="Times New Roman" w:cs="Times New Roman"/>
          <w:color w:val="000000" w:themeColor="text1"/>
          <w:spacing w:val="8"/>
          <w:sz w:val="24"/>
          <w:szCs w:val="24"/>
          <w14:textFill>
            <w14:solidFill>
              <w14:schemeClr w14:val="tx1"/>
            </w14:solidFill>
          </w14:textFill>
        </w:rPr>
        <w:t>1050</w:t>
      </w:r>
      <w:r>
        <w:rPr>
          <w:color w:val="000000" w:themeColor="text1"/>
          <w:spacing w:val="8"/>
          <w:sz w:val="24"/>
          <w:szCs w:val="24"/>
          <w14:textFill>
            <w14:solidFill>
              <w14:schemeClr w14:val="tx1"/>
            </w14:solidFill>
          </w14:textFill>
        </w:rPr>
        <w:t>例储运系统的事故发生区域分为油品储存区、收发油作业区、辅助作业区、其它等四种区域做了整理统计，结果见表</w:t>
      </w:r>
      <w:r>
        <w:rPr>
          <w:rFonts w:ascii="Times New Roman" w:hAnsi="Times New Roman" w:eastAsia="Times New Roman" w:cs="Times New Roman"/>
          <w:color w:val="000000" w:themeColor="text1"/>
          <w:spacing w:val="8"/>
          <w:sz w:val="24"/>
          <w:szCs w:val="24"/>
          <w14:textFill>
            <w14:solidFill>
              <w14:schemeClr w14:val="tx1"/>
            </w14:solidFill>
          </w14:textFill>
        </w:rPr>
        <w:t>4-1</w:t>
      </w:r>
      <w:r>
        <w:rPr>
          <w:color w:val="000000" w:themeColor="text1"/>
          <w:spacing w:val="8"/>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114"/>
        <w:jc w:val="center"/>
        <w:textAlignment w:val="auto"/>
        <w:rPr>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表</w:t>
      </w:r>
      <w:r>
        <w:rPr>
          <w:color w:val="000000" w:themeColor="text1"/>
          <w:spacing w:val="-40"/>
          <w:sz w:val="18"/>
          <w:szCs w:val="18"/>
          <w14:textFill>
            <w14:solidFill>
              <w14:schemeClr w14:val="tx1"/>
            </w14:solidFill>
          </w14:textFill>
        </w:rPr>
        <w:t xml:space="preserve"> </w:t>
      </w:r>
      <w:r>
        <w:rPr>
          <w:rFonts w:ascii="Times New Roman" w:hAnsi="Times New Roman" w:eastAsia="Times New Roman" w:cs="Times New Roman"/>
          <w:b/>
          <w:bCs/>
          <w:color w:val="000000" w:themeColor="text1"/>
          <w:sz w:val="18"/>
          <w:szCs w:val="18"/>
          <w14:textFill>
            <w14:solidFill>
              <w14:schemeClr w14:val="tx1"/>
            </w14:solidFill>
          </w14:textFill>
        </w:rPr>
        <w:t xml:space="preserve">4-1 </w:t>
      </w:r>
      <w:r>
        <w:rPr>
          <w:b/>
          <w:bCs/>
          <w:color w:val="000000" w:themeColor="text1"/>
          <w:spacing w:val="-1"/>
          <w:sz w:val="18"/>
          <w:szCs w:val="18"/>
          <w14:textFill>
            <w14:solidFill>
              <w14:schemeClr w14:val="tx1"/>
            </w14:solidFill>
          </w14:textFill>
        </w:rPr>
        <w:t>石化系统事故发生区域统计表</w:t>
      </w:r>
    </w:p>
    <w:p>
      <w:pPr>
        <w:spacing w:line="31" w:lineRule="exact"/>
        <w:rPr>
          <w:color w:val="000000" w:themeColor="text1"/>
          <w14:textFill>
            <w14:solidFill>
              <w14:schemeClr w14:val="tx1"/>
            </w14:solidFill>
          </w14:textFill>
        </w:rPr>
      </w:pPr>
    </w:p>
    <w:tbl>
      <w:tblPr>
        <w:tblStyle w:val="99"/>
        <w:tblW w:w="852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14"/>
        <w:gridCol w:w="793"/>
        <w:gridCol w:w="1008"/>
        <w:gridCol w:w="793"/>
        <w:gridCol w:w="1009"/>
        <w:gridCol w:w="793"/>
        <w:gridCol w:w="1009"/>
        <w:gridCol w:w="793"/>
        <w:gridCol w:w="100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jc w:val="center"/>
        </w:trPr>
        <w:tc>
          <w:tcPr>
            <w:tcW w:w="1314" w:type="dxa"/>
            <w:vMerge w:val="restart"/>
            <w:tcBorders>
              <w:top w:val="single" w:color="000000" w:sz="10" w:space="0"/>
              <w:left w:val="nil"/>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项目</w:t>
            </w:r>
          </w:p>
        </w:tc>
        <w:tc>
          <w:tcPr>
            <w:tcW w:w="1801" w:type="dxa"/>
            <w:gridSpan w:val="2"/>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储罐区</w:t>
            </w:r>
          </w:p>
        </w:tc>
        <w:tc>
          <w:tcPr>
            <w:tcW w:w="1802" w:type="dxa"/>
            <w:gridSpan w:val="2"/>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作业区</w:t>
            </w:r>
          </w:p>
        </w:tc>
        <w:tc>
          <w:tcPr>
            <w:tcW w:w="1802" w:type="dxa"/>
            <w:gridSpan w:val="2"/>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辅助区</w:t>
            </w:r>
          </w:p>
        </w:tc>
        <w:tc>
          <w:tcPr>
            <w:tcW w:w="1802" w:type="dxa"/>
            <w:gridSpan w:val="2"/>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其他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1314"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ind w:left="0" w:firstLine="0" w:firstLineChars="0"/>
              <w:jc w:val="center"/>
              <w:rPr>
                <w:rFonts w:ascii="Arial"/>
                <w:color w:val="000000" w:themeColor="text1"/>
                <w:sz w:val="21"/>
                <w:szCs w:val="21"/>
                <w14:textFill>
                  <w14:solidFill>
                    <w14:schemeClr w14:val="tx1"/>
                  </w14:solidFill>
                </w14:textFill>
              </w:rPr>
            </w:pPr>
          </w:p>
        </w:tc>
        <w:tc>
          <w:tcPr>
            <w:tcW w:w="793"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数目</w:t>
            </w:r>
          </w:p>
        </w:tc>
        <w:tc>
          <w:tcPr>
            <w:tcW w:w="1008" w:type="dxa"/>
            <w:vAlign w:val="center"/>
          </w:tcPr>
          <w:p>
            <w:pPr>
              <w:pStyle w:val="96"/>
              <w:keepNext w:val="0"/>
              <w:keepLines w:val="0"/>
              <w:pageBreakBefore w:val="0"/>
              <w:widowControl w:val="0"/>
              <w:kinsoku/>
              <w:wordWrap/>
              <w:overflowPunct/>
              <w:topLinePunct w:val="0"/>
              <w:autoSpaceDE/>
              <w:autoSpaceDN/>
              <w:bidi w:val="0"/>
              <w:spacing w:beforeLines="0" w:afterLines="0" w:line="221"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9"/>
                <w:sz w:val="21"/>
                <w:szCs w:val="21"/>
                <w14:textFill>
                  <w14:solidFill>
                    <w14:schemeClr w14:val="tx1"/>
                  </w14:solidFill>
                </w14:textFill>
              </w:rPr>
              <w:t>比例</w:t>
            </w:r>
            <w:r>
              <w:rPr>
                <w:rFonts w:ascii="Times New Roman" w:hAnsi="Times New Roman" w:eastAsia="Times New Roman" w:cs="Times New Roman"/>
                <w:color w:val="000000" w:themeColor="text1"/>
                <w:spacing w:val="-9"/>
                <w:sz w:val="21"/>
                <w:szCs w:val="21"/>
                <w14:textFill>
                  <w14:solidFill>
                    <w14:schemeClr w14:val="tx1"/>
                  </w14:solidFill>
                </w14:textFill>
              </w:rPr>
              <w:t>%</w:t>
            </w:r>
          </w:p>
        </w:tc>
        <w:tc>
          <w:tcPr>
            <w:tcW w:w="793"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数目</w:t>
            </w:r>
          </w:p>
        </w:tc>
        <w:tc>
          <w:tcPr>
            <w:tcW w:w="1009" w:type="dxa"/>
            <w:vAlign w:val="center"/>
          </w:tcPr>
          <w:p>
            <w:pPr>
              <w:pStyle w:val="96"/>
              <w:keepNext w:val="0"/>
              <w:keepLines w:val="0"/>
              <w:pageBreakBefore w:val="0"/>
              <w:widowControl w:val="0"/>
              <w:kinsoku/>
              <w:wordWrap/>
              <w:overflowPunct/>
              <w:topLinePunct w:val="0"/>
              <w:autoSpaceDE/>
              <w:autoSpaceDN/>
              <w:bidi w:val="0"/>
              <w:spacing w:beforeLines="0" w:afterLines="0" w:line="221"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9"/>
                <w:sz w:val="21"/>
                <w:szCs w:val="21"/>
                <w14:textFill>
                  <w14:solidFill>
                    <w14:schemeClr w14:val="tx1"/>
                  </w14:solidFill>
                </w14:textFill>
              </w:rPr>
              <w:t>比例</w:t>
            </w:r>
            <w:r>
              <w:rPr>
                <w:rFonts w:ascii="Times New Roman" w:hAnsi="Times New Roman" w:eastAsia="Times New Roman" w:cs="Times New Roman"/>
                <w:color w:val="000000" w:themeColor="text1"/>
                <w:spacing w:val="-9"/>
                <w:sz w:val="21"/>
                <w:szCs w:val="21"/>
                <w14:textFill>
                  <w14:solidFill>
                    <w14:schemeClr w14:val="tx1"/>
                  </w14:solidFill>
                </w14:textFill>
              </w:rPr>
              <w:t>%</w:t>
            </w:r>
          </w:p>
        </w:tc>
        <w:tc>
          <w:tcPr>
            <w:tcW w:w="793"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数目</w:t>
            </w:r>
          </w:p>
        </w:tc>
        <w:tc>
          <w:tcPr>
            <w:tcW w:w="1009" w:type="dxa"/>
            <w:vAlign w:val="center"/>
          </w:tcPr>
          <w:p>
            <w:pPr>
              <w:pStyle w:val="96"/>
              <w:keepNext w:val="0"/>
              <w:keepLines w:val="0"/>
              <w:pageBreakBefore w:val="0"/>
              <w:widowControl w:val="0"/>
              <w:kinsoku/>
              <w:wordWrap/>
              <w:overflowPunct/>
              <w:topLinePunct w:val="0"/>
              <w:autoSpaceDE/>
              <w:autoSpaceDN/>
              <w:bidi w:val="0"/>
              <w:spacing w:beforeLines="0" w:afterLines="0" w:line="221"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9"/>
                <w:sz w:val="21"/>
                <w:szCs w:val="21"/>
                <w14:textFill>
                  <w14:solidFill>
                    <w14:schemeClr w14:val="tx1"/>
                  </w14:solidFill>
                </w14:textFill>
              </w:rPr>
              <w:t>比例</w:t>
            </w:r>
            <w:r>
              <w:rPr>
                <w:rFonts w:ascii="Times New Roman" w:hAnsi="Times New Roman" w:eastAsia="Times New Roman" w:cs="Times New Roman"/>
                <w:color w:val="000000" w:themeColor="text1"/>
                <w:spacing w:val="-9"/>
                <w:sz w:val="21"/>
                <w:szCs w:val="21"/>
                <w14:textFill>
                  <w14:solidFill>
                    <w14:schemeClr w14:val="tx1"/>
                  </w14:solidFill>
                </w14:textFill>
              </w:rPr>
              <w:t>%</w:t>
            </w:r>
          </w:p>
        </w:tc>
        <w:tc>
          <w:tcPr>
            <w:tcW w:w="793"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数目</w:t>
            </w:r>
          </w:p>
        </w:tc>
        <w:tc>
          <w:tcPr>
            <w:tcW w:w="1009" w:type="dxa"/>
            <w:tcBorders>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21"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9"/>
                <w:sz w:val="21"/>
                <w:szCs w:val="21"/>
                <w14:textFill>
                  <w14:solidFill>
                    <w14:schemeClr w14:val="tx1"/>
                  </w14:solidFill>
                </w14:textFill>
              </w:rPr>
              <w:t>比例</w:t>
            </w:r>
            <w:r>
              <w:rPr>
                <w:rFonts w:ascii="Times New Roman" w:hAnsi="Times New Roman" w:eastAsia="Times New Roman" w:cs="Times New Roman"/>
                <w:color w:val="000000" w:themeColor="text1"/>
                <w:spacing w:val="-9"/>
                <w:sz w:val="21"/>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1314"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18" w:lineRule="auto"/>
              <w:ind w:lef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着火爆炸</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106</w:t>
            </w:r>
          </w:p>
        </w:tc>
        <w:tc>
          <w:tcPr>
            <w:tcW w:w="1008"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sz w:val="21"/>
                <w:szCs w:val="21"/>
                <w14:textFill>
                  <w14:solidFill>
                    <w14:schemeClr w14:val="tx1"/>
                  </w14:solidFill>
                </w14:textFill>
              </w:rPr>
              <w:t>10.</w:t>
            </w:r>
            <w:r>
              <w:rPr>
                <w:rFonts w:ascii="Times New Roman" w:hAnsi="Times New Roman" w:eastAsia="Times New Roman" w:cs="Times New Roman"/>
                <w:color w:val="000000" w:themeColor="text1"/>
                <w:spacing w:val="-22"/>
                <w:sz w:val="21"/>
                <w:szCs w:val="21"/>
                <w14:textFill>
                  <w14:solidFill>
                    <w14:schemeClr w14:val="tx1"/>
                  </w14:solidFill>
                </w14:textFill>
              </w:rPr>
              <w:t xml:space="preserve"> </w:t>
            </w:r>
            <w:r>
              <w:rPr>
                <w:rFonts w:ascii="Times New Roman" w:hAnsi="Times New Roman" w:eastAsia="Times New Roman" w:cs="Times New Roman"/>
                <w:color w:val="000000" w:themeColor="text1"/>
                <w:spacing w:val="-6"/>
                <w:sz w:val="21"/>
                <w:szCs w:val="21"/>
                <w14:textFill>
                  <w14:solidFill>
                    <w14:schemeClr w14:val="tx1"/>
                  </w14:solidFill>
                </w14:textFill>
              </w:rPr>
              <w:t>1</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225</w:t>
            </w:r>
          </w:p>
        </w:tc>
        <w:tc>
          <w:tcPr>
            <w:tcW w:w="1009"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21.4</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39</w:t>
            </w:r>
          </w:p>
        </w:tc>
        <w:tc>
          <w:tcPr>
            <w:tcW w:w="1009"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3.7</w:t>
            </w:r>
          </w:p>
        </w:tc>
        <w:tc>
          <w:tcPr>
            <w:tcW w:w="793" w:type="dxa"/>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75</w:t>
            </w:r>
          </w:p>
        </w:tc>
        <w:tc>
          <w:tcPr>
            <w:tcW w:w="1009" w:type="dxa"/>
            <w:tcBorders>
              <w:right w:val="nil"/>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7.2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1314"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油品泄露</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171</w:t>
            </w:r>
          </w:p>
        </w:tc>
        <w:tc>
          <w:tcPr>
            <w:tcW w:w="1008"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sz w:val="21"/>
                <w:szCs w:val="21"/>
                <w14:textFill>
                  <w14:solidFill>
                    <w14:schemeClr w14:val="tx1"/>
                  </w14:solidFill>
                </w14:textFill>
              </w:rPr>
              <w:t>16.3</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109</w:t>
            </w:r>
          </w:p>
        </w:tc>
        <w:tc>
          <w:tcPr>
            <w:tcW w:w="1009"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sz w:val="21"/>
                <w:szCs w:val="21"/>
                <w14:textFill>
                  <w14:solidFill>
                    <w14:schemeClr w14:val="tx1"/>
                  </w14:solidFill>
                </w14:textFill>
              </w:rPr>
              <w:t>10.4</w:t>
            </w:r>
          </w:p>
        </w:tc>
        <w:tc>
          <w:tcPr>
            <w:tcW w:w="793" w:type="dxa"/>
            <w:vAlign w:val="center"/>
          </w:tcPr>
          <w:p>
            <w:pPr>
              <w:keepNext w:val="0"/>
              <w:keepLines w:val="0"/>
              <w:pageBreakBefore w:val="0"/>
              <w:widowControl w:val="0"/>
              <w:kinsoku/>
              <w:wordWrap/>
              <w:overflowPunct/>
              <w:topLinePunct w:val="0"/>
              <w:autoSpaceDE/>
              <w:autoSpaceDN/>
              <w:bidi w:val="0"/>
              <w:spacing w:line="86" w:lineRule="exact"/>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position w:val="-1"/>
                <w:sz w:val="21"/>
                <w:szCs w:val="21"/>
                <w14:textFill>
                  <w14:solidFill>
                    <w14:schemeClr w14:val="tx1"/>
                  </w14:solidFill>
                </w14:textFill>
              </w:rPr>
              <w:t>-</w:t>
            </w:r>
          </w:p>
        </w:tc>
        <w:tc>
          <w:tcPr>
            <w:tcW w:w="1009" w:type="dxa"/>
            <w:vAlign w:val="center"/>
          </w:tcPr>
          <w:p>
            <w:pPr>
              <w:keepNext w:val="0"/>
              <w:keepLines w:val="0"/>
              <w:pageBreakBefore w:val="0"/>
              <w:widowControl w:val="0"/>
              <w:kinsoku/>
              <w:wordWrap/>
              <w:overflowPunct/>
              <w:topLinePunct w:val="0"/>
              <w:autoSpaceDE/>
              <w:autoSpaceDN/>
              <w:bidi w:val="0"/>
              <w:spacing w:line="86" w:lineRule="exact"/>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position w:val="-1"/>
                <w:sz w:val="21"/>
                <w:szCs w:val="21"/>
                <w14:textFill>
                  <w14:solidFill>
                    <w14:schemeClr w14:val="tx1"/>
                  </w14:solidFill>
                </w14:textFill>
              </w:rPr>
              <w:t>-</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0"/>
                <w:sz w:val="21"/>
                <w:szCs w:val="21"/>
                <w14:textFill>
                  <w14:solidFill>
                    <w14:schemeClr w14:val="tx1"/>
                  </w14:solidFill>
                </w14:textFill>
              </w:rPr>
              <w:t>14</w:t>
            </w:r>
          </w:p>
        </w:tc>
        <w:tc>
          <w:tcPr>
            <w:tcW w:w="1009" w:type="dxa"/>
            <w:tcBorders>
              <w:right w:val="nil"/>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1314"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设备损坏</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54</w:t>
            </w:r>
          </w:p>
        </w:tc>
        <w:tc>
          <w:tcPr>
            <w:tcW w:w="1008"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5.</w:t>
            </w:r>
            <w:r>
              <w:rPr>
                <w:rFonts w:ascii="Times New Roman" w:hAnsi="Times New Roman" w:eastAsia="Times New Roman" w:cs="Times New Roman"/>
                <w:color w:val="000000" w:themeColor="text1"/>
                <w:spacing w:val="-23"/>
                <w:sz w:val="21"/>
                <w:szCs w:val="21"/>
                <w14:textFill>
                  <w14:solidFill>
                    <w14:schemeClr w14:val="tx1"/>
                  </w14:solidFill>
                </w14:textFill>
              </w:rPr>
              <w:t xml:space="preserve"> </w:t>
            </w:r>
            <w:r>
              <w:rPr>
                <w:rFonts w:ascii="Times New Roman" w:hAnsi="Times New Roman" w:eastAsia="Times New Roman" w:cs="Times New Roman"/>
                <w:color w:val="000000" w:themeColor="text1"/>
                <w:spacing w:val="-3"/>
                <w:sz w:val="21"/>
                <w:szCs w:val="21"/>
                <w14:textFill>
                  <w14:solidFill>
                    <w14:schemeClr w14:val="tx1"/>
                  </w14:solidFill>
                </w14:textFill>
              </w:rPr>
              <w:t>1</w:t>
            </w:r>
          </w:p>
        </w:tc>
        <w:tc>
          <w:tcPr>
            <w:tcW w:w="793" w:type="dxa"/>
            <w:vAlign w:val="center"/>
          </w:tcPr>
          <w:p>
            <w:pPr>
              <w:keepNext w:val="0"/>
              <w:keepLines w:val="0"/>
              <w:pageBreakBefore w:val="0"/>
              <w:widowControl w:val="0"/>
              <w:kinsoku/>
              <w:wordWrap/>
              <w:overflowPunct/>
              <w:topLinePunct w:val="0"/>
              <w:autoSpaceDE/>
              <w:autoSpaceDN/>
              <w:bidi w:val="0"/>
              <w:spacing w:line="185"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7</w:t>
            </w:r>
          </w:p>
        </w:tc>
        <w:tc>
          <w:tcPr>
            <w:tcW w:w="1009"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0.7</w:t>
            </w:r>
          </w:p>
        </w:tc>
        <w:tc>
          <w:tcPr>
            <w:tcW w:w="793" w:type="dxa"/>
            <w:vAlign w:val="center"/>
          </w:tcPr>
          <w:p>
            <w:pPr>
              <w:keepNext w:val="0"/>
              <w:keepLines w:val="0"/>
              <w:pageBreakBefore w:val="0"/>
              <w:widowControl w:val="0"/>
              <w:kinsoku/>
              <w:wordWrap/>
              <w:overflowPunct/>
              <w:topLinePunct w:val="0"/>
              <w:autoSpaceDE/>
              <w:autoSpaceDN/>
              <w:bidi w:val="0"/>
              <w:spacing w:line="87" w:lineRule="exact"/>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position w:val="-1"/>
                <w:sz w:val="21"/>
                <w:szCs w:val="21"/>
                <w14:textFill>
                  <w14:solidFill>
                    <w14:schemeClr w14:val="tx1"/>
                  </w14:solidFill>
                </w14:textFill>
              </w:rPr>
              <w:t>-</w:t>
            </w:r>
          </w:p>
        </w:tc>
        <w:tc>
          <w:tcPr>
            <w:tcW w:w="1009" w:type="dxa"/>
            <w:vAlign w:val="center"/>
          </w:tcPr>
          <w:p>
            <w:pPr>
              <w:keepNext w:val="0"/>
              <w:keepLines w:val="0"/>
              <w:pageBreakBefore w:val="0"/>
              <w:widowControl w:val="0"/>
              <w:kinsoku/>
              <w:wordWrap/>
              <w:overflowPunct/>
              <w:topLinePunct w:val="0"/>
              <w:autoSpaceDE/>
              <w:autoSpaceDN/>
              <w:bidi w:val="0"/>
              <w:spacing w:line="87" w:lineRule="exact"/>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position w:val="-1"/>
                <w:sz w:val="21"/>
                <w:szCs w:val="21"/>
                <w14:textFill>
                  <w14:solidFill>
                    <w14:schemeClr w14:val="tx1"/>
                  </w14:solidFill>
                </w14:textFill>
              </w:rPr>
              <w:t>-</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1</w:t>
            </w:r>
          </w:p>
        </w:tc>
        <w:tc>
          <w:tcPr>
            <w:tcW w:w="1009" w:type="dxa"/>
            <w:tcBorders>
              <w:right w:val="nil"/>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1314"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其他</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20</w:t>
            </w:r>
          </w:p>
        </w:tc>
        <w:tc>
          <w:tcPr>
            <w:tcW w:w="1008"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1.9</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20</w:t>
            </w:r>
          </w:p>
        </w:tc>
        <w:tc>
          <w:tcPr>
            <w:tcW w:w="1009"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1.9</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1</w:t>
            </w:r>
          </w:p>
        </w:tc>
        <w:tc>
          <w:tcPr>
            <w:tcW w:w="1009"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0.</w:t>
            </w:r>
            <w:r>
              <w:rPr>
                <w:rFonts w:ascii="Times New Roman" w:hAnsi="Times New Roman" w:eastAsia="Times New Roman" w:cs="Times New Roman"/>
                <w:color w:val="000000" w:themeColor="text1"/>
                <w:spacing w:val="-24"/>
                <w:sz w:val="21"/>
                <w:szCs w:val="21"/>
                <w14:textFill>
                  <w14:solidFill>
                    <w14:schemeClr w14:val="tx1"/>
                  </w14:solidFill>
                </w14:textFill>
              </w:rPr>
              <w:t xml:space="preserve"> </w:t>
            </w:r>
            <w:r>
              <w:rPr>
                <w:rFonts w:ascii="Times New Roman" w:hAnsi="Times New Roman" w:eastAsia="Times New Roman" w:cs="Times New Roman"/>
                <w:color w:val="000000" w:themeColor="text1"/>
                <w:spacing w:val="-2"/>
                <w:sz w:val="21"/>
                <w:szCs w:val="21"/>
                <w14:textFill>
                  <w14:solidFill>
                    <w14:schemeClr w14:val="tx1"/>
                  </w14:solidFill>
                </w14:textFill>
              </w:rPr>
              <w:t>1</w:t>
            </w:r>
          </w:p>
        </w:tc>
        <w:tc>
          <w:tcPr>
            <w:tcW w:w="793" w:type="dxa"/>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0"/>
                <w:sz w:val="21"/>
                <w:szCs w:val="21"/>
                <w14:textFill>
                  <w14:solidFill>
                    <w14:schemeClr w14:val="tx1"/>
                  </w14:solidFill>
                </w14:textFill>
              </w:rPr>
              <w:t>13</w:t>
            </w:r>
          </w:p>
        </w:tc>
        <w:tc>
          <w:tcPr>
            <w:tcW w:w="1009" w:type="dxa"/>
            <w:tcBorders>
              <w:right w:val="nil"/>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1314"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21" w:lineRule="auto"/>
              <w:ind w:lef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合计</w:t>
            </w:r>
          </w:p>
        </w:tc>
        <w:tc>
          <w:tcPr>
            <w:tcW w:w="79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467</w:t>
            </w:r>
          </w:p>
        </w:tc>
        <w:tc>
          <w:tcPr>
            <w:tcW w:w="1008"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44.5</w:t>
            </w:r>
          </w:p>
        </w:tc>
        <w:tc>
          <w:tcPr>
            <w:tcW w:w="79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426</w:t>
            </w:r>
          </w:p>
        </w:tc>
        <w:tc>
          <w:tcPr>
            <w:tcW w:w="1009"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40.6</w:t>
            </w:r>
          </w:p>
        </w:tc>
        <w:tc>
          <w:tcPr>
            <w:tcW w:w="79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40</w:t>
            </w:r>
          </w:p>
        </w:tc>
        <w:tc>
          <w:tcPr>
            <w:tcW w:w="1009"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3.8</w:t>
            </w:r>
          </w:p>
        </w:tc>
        <w:tc>
          <w:tcPr>
            <w:tcW w:w="79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9"/>
                <w:sz w:val="21"/>
                <w:szCs w:val="21"/>
                <w14:textFill>
                  <w14:solidFill>
                    <w14:schemeClr w14:val="tx1"/>
                  </w14:solidFill>
                </w14:textFill>
              </w:rPr>
              <w:t>117</w:t>
            </w:r>
          </w:p>
        </w:tc>
        <w:tc>
          <w:tcPr>
            <w:tcW w:w="1009"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188"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11.1</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50"/>
        <w:textAlignment w:val="auto"/>
        <w:rPr>
          <w:color w:val="000000" w:themeColor="text1"/>
          <w:spacing w:val="7"/>
          <w:sz w:val="24"/>
          <w:szCs w:val="24"/>
          <w14:textFill>
            <w14:solidFill>
              <w14:schemeClr w14:val="tx1"/>
            </w14:solidFill>
          </w14:textFill>
        </w:rPr>
      </w:pPr>
      <w:r>
        <w:rPr>
          <w:color w:val="000000" w:themeColor="text1"/>
          <w:spacing w:val="6"/>
          <w:sz w:val="24"/>
          <w:szCs w:val="24"/>
          <w14:textFill>
            <w14:solidFill>
              <w14:schemeClr w14:val="tx1"/>
            </w14:solidFill>
          </w14:textFill>
        </w:rPr>
        <w:t>由统计结果可见，在事故区域方面，罐区发生的事故概率最高为</w:t>
      </w:r>
      <w:r>
        <w:rPr>
          <w:color w:val="000000" w:themeColor="text1"/>
          <w:spacing w:val="-31"/>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6"/>
          <w:sz w:val="24"/>
          <w:szCs w:val="24"/>
          <w14:textFill>
            <w14:solidFill>
              <w14:schemeClr w14:val="tx1"/>
            </w14:solidFill>
          </w14:textFill>
        </w:rPr>
        <w:t>44.5%</w:t>
      </w:r>
      <w:r>
        <w:rPr>
          <w:rFonts w:ascii="Times New Roman" w:hAnsi="Times New Roman" w:eastAsia="Times New Roman" w:cs="Times New Roman"/>
          <w:color w:val="000000" w:themeColor="text1"/>
          <w:spacing w:val="-26"/>
          <w:sz w:val="24"/>
          <w:szCs w:val="24"/>
          <w14:textFill>
            <w14:solidFill>
              <w14:schemeClr w14:val="tx1"/>
            </w14:solidFill>
          </w14:textFill>
        </w:rPr>
        <w:t xml:space="preserve"> </w:t>
      </w:r>
      <w:r>
        <w:rPr>
          <w:color w:val="000000" w:themeColor="text1"/>
          <w:spacing w:val="6"/>
          <w:sz w:val="24"/>
          <w:szCs w:val="24"/>
          <w14:textFill>
            <w14:solidFill>
              <w14:schemeClr w14:val="tx1"/>
            </w14:solidFill>
          </w14:textFill>
        </w:rPr>
        <w:t>，其次作业区为</w:t>
      </w:r>
      <w:r>
        <w:rPr>
          <w:color w:val="000000" w:themeColor="text1"/>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7"/>
          <w:sz w:val="24"/>
          <w:szCs w:val="24"/>
          <w14:textFill>
            <w14:solidFill>
              <w14:schemeClr w14:val="tx1"/>
            </w14:solidFill>
          </w14:textFill>
        </w:rPr>
        <w:t>40.6%</w:t>
      </w:r>
      <w:r>
        <w:rPr>
          <w:color w:val="000000" w:themeColor="text1"/>
          <w:spacing w:val="7"/>
          <w:sz w:val="24"/>
          <w:szCs w:val="24"/>
          <w14:textFill>
            <w14:solidFill>
              <w14:schemeClr w14:val="tx1"/>
            </w14:solidFill>
          </w14:textFill>
        </w:rPr>
        <w:t>；在事故类型方面，火灾爆炸事故概率最大为</w:t>
      </w:r>
      <w:r>
        <w:rPr>
          <w:color w:val="000000" w:themeColor="text1"/>
          <w:spacing w:val="-30"/>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7"/>
          <w:sz w:val="24"/>
          <w:szCs w:val="24"/>
          <w14:textFill>
            <w14:solidFill>
              <w14:schemeClr w14:val="tx1"/>
            </w14:solidFill>
          </w14:textFill>
        </w:rPr>
        <w:t>42.4%</w:t>
      </w:r>
      <w:r>
        <w:rPr>
          <w:rFonts w:ascii="Times New Roman" w:hAnsi="Times New Roman" w:eastAsia="Times New Roman" w:cs="Times New Roman"/>
          <w:color w:val="000000" w:themeColor="text1"/>
          <w:spacing w:val="-24"/>
          <w:sz w:val="24"/>
          <w:szCs w:val="24"/>
          <w14:textFill>
            <w14:solidFill>
              <w14:schemeClr w14:val="tx1"/>
            </w14:solidFill>
          </w14:textFill>
        </w:rPr>
        <w:t xml:space="preserve"> </w:t>
      </w:r>
      <w:r>
        <w:rPr>
          <w:color w:val="000000" w:themeColor="text1"/>
          <w:spacing w:val="7"/>
          <w:sz w:val="24"/>
          <w:szCs w:val="24"/>
          <w14:textFill>
            <w14:solidFill>
              <w14:schemeClr w14:val="tx1"/>
            </w14:solidFill>
          </w14:textFill>
        </w:rPr>
        <w:t>，其次为油品泄漏为</w:t>
      </w:r>
      <w:r>
        <w:rPr>
          <w:color w:val="000000" w:themeColor="text1"/>
          <w:spacing w:val="-43"/>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7"/>
          <w:sz w:val="24"/>
          <w:szCs w:val="24"/>
          <w14:textFill>
            <w14:solidFill>
              <w14:schemeClr w14:val="tx1"/>
            </w14:solidFill>
          </w14:textFill>
        </w:rPr>
        <w:t>28.0%</w:t>
      </w:r>
      <w:r>
        <w:rPr>
          <w:color w:val="000000" w:themeColor="text1"/>
          <w:spacing w:val="7"/>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50"/>
        <w:textAlignment w:val="auto"/>
        <w:outlineLvl w:val="2"/>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4.1.2 </w:t>
      </w:r>
      <w:r>
        <w:rPr>
          <w:b/>
          <w:bCs/>
          <w:color w:val="000000" w:themeColor="text1"/>
          <w:spacing w:val="6"/>
          <w:sz w:val="24"/>
          <w:szCs w:val="24"/>
          <w14:textFill>
            <w14:solidFill>
              <w14:schemeClr w14:val="tx1"/>
            </w14:solidFill>
          </w14:textFill>
        </w:rPr>
        <w:t>火灾、爆炸事故发生原因统计</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399"/>
        <w:textAlignment w:val="auto"/>
        <w:rPr>
          <w:color w:val="000000" w:themeColor="text1"/>
          <w:sz w:val="20"/>
          <w:szCs w:val="20"/>
          <w14:textFill>
            <w14:solidFill>
              <w14:schemeClr w14:val="tx1"/>
            </w14:solidFill>
          </w14:textFill>
        </w:rPr>
      </w:pPr>
      <w:r>
        <w:rPr>
          <w:color w:val="000000" w:themeColor="text1"/>
          <w:spacing w:val="8"/>
          <w:sz w:val="24"/>
          <w:szCs w:val="24"/>
          <w14:textFill>
            <w14:solidFill>
              <w14:schemeClr w14:val="tx1"/>
            </w14:solidFill>
          </w14:textFill>
        </w:rPr>
        <w:t>对火灾、爆炸事故中的</w:t>
      </w:r>
      <w:r>
        <w:rPr>
          <w:rFonts w:ascii="Times New Roman" w:hAnsi="Times New Roman" w:eastAsia="Times New Roman" w:cs="Times New Roman"/>
          <w:color w:val="000000" w:themeColor="text1"/>
          <w:spacing w:val="8"/>
          <w:sz w:val="24"/>
          <w:szCs w:val="24"/>
          <w14:textFill>
            <w14:solidFill>
              <w14:schemeClr w14:val="tx1"/>
            </w14:solidFill>
          </w14:textFill>
        </w:rPr>
        <w:t xml:space="preserve">280 </w:t>
      </w:r>
      <w:r>
        <w:rPr>
          <w:color w:val="000000" w:themeColor="text1"/>
          <w:spacing w:val="8"/>
          <w:sz w:val="24"/>
          <w:szCs w:val="24"/>
          <w14:textFill>
            <w14:solidFill>
              <w14:schemeClr w14:val="tx1"/>
            </w14:solidFill>
          </w14:textFill>
        </w:rPr>
        <w:t>例事故进行了统计，结果表明火灾、爆炸事故的主要原因是</w:t>
      </w:r>
      <w:r>
        <w:rPr>
          <w:color w:val="000000" w:themeColor="text1"/>
          <w:spacing w:val="5"/>
          <w:sz w:val="24"/>
          <w:szCs w:val="24"/>
          <w14:textFill>
            <w14:solidFill>
              <w14:schemeClr w14:val="tx1"/>
            </w14:solidFill>
          </w14:textFill>
        </w:rPr>
        <w:t xml:space="preserve"> </w:t>
      </w:r>
      <w:r>
        <w:rPr>
          <w:color w:val="000000" w:themeColor="text1"/>
          <w:spacing w:val="4"/>
          <w:sz w:val="24"/>
          <w:szCs w:val="24"/>
          <w14:textFill>
            <w14:solidFill>
              <w14:schemeClr w14:val="tx1"/>
            </w14:solidFill>
          </w14:textFill>
        </w:rPr>
        <w:t>明火和违章作业，为</w:t>
      </w:r>
      <w:r>
        <w:rPr>
          <w:color w:val="000000" w:themeColor="text1"/>
          <w:spacing w:val="-38"/>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4"/>
          <w:sz w:val="24"/>
          <w:szCs w:val="24"/>
          <w14:textFill>
            <w14:solidFill>
              <w14:schemeClr w14:val="tx1"/>
            </w14:solidFill>
          </w14:textFill>
        </w:rPr>
        <w:t>66.</w:t>
      </w:r>
      <w:r>
        <w:rPr>
          <w:rFonts w:ascii="Times New Roman" w:hAnsi="Times New Roman" w:eastAsia="Times New Roman" w:cs="Times New Roman"/>
          <w:color w:val="000000" w:themeColor="text1"/>
          <w:spacing w:val="-25"/>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4"/>
          <w:sz w:val="24"/>
          <w:szCs w:val="24"/>
          <w14:textFill>
            <w14:solidFill>
              <w14:schemeClr w14:val="tx1"/>
            </w14:solidFill>
          </w14:textFill>
        </w:rPr>
        <w:t>1%</w:t>
      </w:r>
      <w:r>
        <w:rPr>
          <w:rFonts w:ascii="Times New Roman" w:hAnsi="Times New Roman" w:eastAsia="Times New Roman" w:cs="Times New Roman"/>
          <w:color w:val="000000" w:themeColor="text1"/>
          <w:spacing w:val="-23"/>
          <w:sz w:val="24"/>
          <w:szCs w:val="24"/>
          <w14:textFill>
            <w14:solidFill>
              <w14:schemeClr w14:val="tx1"/>
            </w14:solidFill>
          </w14:textFill>
        </w:rPr>
        <w:t xml:space="preserve"> </w:t>
      </w:r>
      <w:r>
        <w:rPr>
          <w:color w:val="000000" w:themeColor="text1"/>
          <w:spacing w:val="4"/>
          <w:sz w:val="24"/>
          <w:szCs w:val="24"/>
          <w14:textFill>
            <w14:solidFill>
              <w14:schemeClr w14:val="tx1"/>
            </w14:solidFill>
          </w14:textFill>
        </w:rPr>
        <w:t>。统计数据见表</w:t>
      </w:r>
      <w:r>
        <w:rPr>
          <w:color w:val="000000" w:themeColor="text1"/>
          <w:spacing w:val="-41"/>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4"/>
          <w:sz w:val="24"/>
          <w:szCs w:val="24"/>
          <w14:textFill>
            <w14:solidFill>
              <w14:schemeClr w14:val="tx1"/>
            </w14:solidFill>
          </w14:textFill>
        </w:rPr>
        <w:t>4-2</w:t>
      </w:r>
      <w:r>
        <w:rPr>
          <w:color w:val="000000" w:themeColor="text1"/>
          <w:spacing w:val="4"/>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pacing w:val="-1"/>
          <w:sz w:val="18"/>
          <w:szCs w:val="18"/>
          <w14:textFill>
            <w14:solidFill>
              <w14:schemeClr w14:val="tx1"/>
            </w14:solidFill>
          </w14:textFill>
        </w:rPr>
        <w:t>表</w:t>
      </w:r>
      <w:r>
        <w:rPr>
          <w:color w:val="000000" w:themeColor="text1"/>
          <w:spacing w:val="-25"/>
          <w:sz w:val="18"/>
          <w:szCs w:val="18"/>
          <w14:textFill>
            <w14:solidFill>
              <w14:schemeClr w14:val="tx1"/>
            </w14:solidFill>
          </w14:textFill>
        </w:rPr>
        <w:t xml:space="preserve"> </w:t>
      </w:r>
      <w:r>
        <w:rPr>
          <w:rFonts w:ascii="Times New Roman" w:hAnsi="Times New Roman" w:eastAsia="Times New Roman" w:cs="Times New Roman"/>
          <w:b/>
          <w:bCs/>
          <w:color w:val="000000" w:themeColor="text1"/>
          <w:spacing w:val="-1"/>
          <w:sz w:val="18"/>
          <w:szCs w:val="18"/>
          <w14:textFill>
            <w14:solidFill>
              <w14:schemeClr w14:val="tx1"/>
            </w14:solidFill>
          </w14:textFill>
        </w:rPr>
        <w:t xml:space="preserve">4-2  </w:t>
      </w:r>
      <w:r>
        <w:rPr>
          <w:b/>
          <w:bCs/>
          <w:color w:val="000000" w:themeColor="text1"/>
          <w:spacing w:val="-1"/>
          <w:sz w:val="18"/>
          <w:szCs w:val="18"/>
          <w14:textFill>
            <w14:solidFill>
              <w14:schemeClr w14:val="tx1"/>
            </w14:solidFill>
          </w14:textFill>
        </w:rPr>
        <w:t>石油化工生产储运行业火灾爆炸事故原因统计</w:t>
      </w:r>
    </w:p>
    <w:p>
      <w:pPr>
        <w:spacing w:line="32" w:lineRule="exact"/>
        <w:rPr>
          <w:color w:val="000000" w:themeColor="text1"/>
          <w14:textFill>
            <w14:solidFill>
              <w14:schemeClr w14:val="tx1"/>
            </w14:solidFill>
          </w14:textFill>
        </w:rPr>
      </w:pPr>
    </w:p>
    <w:tbl>
      <w:tblPr>
        <w:tblStyle w:val="99"/>
        <w:tblW w:w="852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40"/>
        <w:gridCol w:w="2841"/>
        <w:gridCol w:w="284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jc w:val="center"/>
        </w:trPr>
        <w:tc>
          <w:tcPr>
            <w:tcW w:w="2840"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事故原因</w:t>
            </w:r>
          </w:p>
        </w:tc>
        <w:tc>
          <w:tcPr>
            <w:tcW w:w="2841"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发生次数</w:t>
            </w:r>
          </w:p>
        </w:tc>
        <w:tc>
          <w:tcPr>
            <w:tcW w:w="2841" w:type="dxa"/>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所占百分率</w:t>
            </w:r>
            <w:r>
              <w:rPr>
                <w:rFonts w:ascii="Times New Roman" w:hAnsi="Times New Roman" w:eastAsia="Times New Roman" w:cs="Times New Roman"/>
                <w:color w:val="000000" w:themeColor="text1"/>
                <w:spacing w:val="-2"/>
                <w:sz w:val="21"/>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2840"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明火和违章作业</w:t>
            </w:r>
          </w:p>
        </w:tc>
        <w:tc>
          <w:tcPr>
            <w:tcW w:w="2841"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185</w:t>
            </w:r>
          </w:p>
        </w:tc>
        <w:tc>
          <w:tcPr>
            <w:tcW w:w="2841"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66.</w:t>
            </w:r>
            <w:r>
              <w:rPr>
                <w:rFonts w:ascii="Times New Roman" w:hAnsi="Times New Roman" w:eastAsia="Times New Roman" w:cs="Times New Roman"/>
                <w:color w:val="000000" w:themeColor="text1"/>
                <w:spacing w:val="-24"/>
                <w:sz w:val="21"/>
                <w:szCs w:val="21"/>
                <w14:textFill>
                  <w14:solidFill>
                    <w14:schemeClr w14:val="tx1"/>
                  </w14:solidFill>
                </w14:textFill>
              </w:rPr>
              <w:t xml:space="preserve"> </w:t>
            </w:r>
            <w:r>
              <w:rPr>
                <w:rFonts w:ascii="Times New Roman" w:hAnsi="Times New Roman" w:eastAsia="Times New Roman" w:cs="Times New Roman"/>
                <w:color w:val="000000" w:themeColor="text1"/>
                <w:spacing w:val="-2"/>
                <w:sz w:val="21"/>
                <w:szCs w:val="21"/>
                <w14:textFill>
                  <w14:solidFill>
                    <w14:schemeClr w14:val="tx1"/>
                  </w14:solidFill>
                </w14:textFill>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2840"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6"/>
                <w:sz w:val="21"/>
                <w:szCs w:val="21"/>
                <w14:textFill>
                  <w14:solidFill>
                    <w14:schemeClr w14:val="tx1"/>
                  </w14:solidFill>
                </w14:textFill>
              </w:rPr>
              <w:t>电气及设备</w:t>
            </w:r>
          </w:p>
        </w:tc>
        <w:tc>
          <w:tcPr>
            <w:tcW w:w="2841"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37</w:t>
            </w:r>
          </w:p>
        </w:tc>
        <w:tc>
          <w:tcPr>
            <w:tcW w:w="2841"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sz w:val="21"/>
                <w:szCs w:val="21"/>
                <w14:textFill>
                  <w14:solidFill>
                    <w14:schemeClr w14:val="tx1"/>
                  </w14:solidFill>
                </w14:textFill>
              </w:rPr>
              <w:t>13.2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2840"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静电</w:t>
            </w:r>
          </w:p>
        </w:tc>
        <w:tc>
          <w:tcPr>
            <w:tcW w:w="2841"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23</w:t>
            </w:r>
          </w:p>
        </w:tc>
        <w:tc>
          <w:tcPr>
            <w:tcW w:w="2841"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2840"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雷击及散杂电流</w:t>
            </w:r>
          </w:p>
        </w:tc>
        <w:tc>
          <w:tcPr>
            <w:tcW w:w="2841"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1"/>
                <w:sz w:val="21"/>
                <w:szCs w:val="21"/>
                <w14:textFill>
                  <w14:solidFill>
                    <w14:schemeClr w14:val="tx1"/>
                  </w14:solidFill>
                </w14:textFill>
              </w:rPr>
              <w:t>11</w:t>
            </w:r>
          </w:p>
        </w:tc>
        <w:tc>
          <w:tcPr>
            <w:tcW w:w="2841"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3.9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2840"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其他</w:t>
            </w:r>
          </w:p>
        </w:tc>
        <w:tc>
          <w:tcPr>
            <w:tcW w:w="2841"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24</w:t>
            </w:r>
          </w:p>
        </w:tc>
        <w:tc>
          <w:tcPr>
            <w:tcW w:w="2841"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jc w:val="center"/>
        </w:trPr>
        <w:tc>
          <w:tcPr>
            <w:tcW w:w="2840"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合计</w:t>
            </w:r>
          </w:p>
        </w:tc>
        <w:tc>
          <w:tcPr>
            <w:tcW w:w="2841"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280</w:t>
            </w:r>
          </w:p>
        </w:tc>
        <w:tc>
          <w:tcPr>
            <w:tcW w:w="2841"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7"/>
                <w:sz w:val="21"/>
                <w:szCs w:val="21"/>
                <w14:textFill>
                  <w14:solidFill>
                    <w14:schemeClr w14:val="tx1"/>
                  </w14:solidFill>
                </w14:textFill>
              </w:rPr>
              <w:t>100</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2"/>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4.1.3 </w:t>
      </w:r>
      <w:r>
        <w:rPr>
          <w:b/>
          <w:bCs/>
          <w:color w:val="000000" w:themeColor="text1"/>
          <w:spacing w:val="6"/>
          <w:sz w:val="24"/>
          <w:szCs w:val="24"/>
          <w14:textFill>
            <w14:solidFill>
              <w14:schemeClr w14:val="tx1"/>
            </w14:solidFill>
          </w14:textFill>
        </w:rPr>
        <w:t>储罐火灾爆炸及泄漏事故统计</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0"/>
          <w:szCs w:val="20"/>
          <w14:textFill>
            <w14:solidFill>
              <w14:schemeClr w14:val="tx1"/>
            </w14:solidFill>
          </w14:textFill>
        </w:rPr>
      </w:pPr>
      <w:r>
        <w:rPr>
          <w:color w:val="000000" w:themeColor="text1"/>
          <w:spacing w:val="9"/>
          <w:sz w:val="24"/>
          <w:szCs w:val="24"/>
          <w14:textFill>
            <w14:solidFill>
              <w14:schemeClr w14:val="tx1"/>
            </w14:solidFill>
          </w14:textFill>
        </w:rPr>
        <w:t>对存储不同油品的储罐发生火灾爆炸及泄漏事故中的</w:t>
      </w:r>
      <w:r>
        <w:rPr>
          <w:color w:val="000000" w:themeColor="text1"/>
          <w:spacing w:val="-23"/>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9"/>
          <w:sz w:val="24"/>
          <w:szCs w:val="24"/>
          <w14:textFill>
            <w14:solidFill>
              <w14:schemeClr w14:val="tx1"/>
            </w14:solidFill>
          </w14:textFill>
        </w:rPr>
        <w:t xml:space="preserve">51 </w:t>
      </w:r>
      <w:r>
        <w:rPr>
          <w:color w:val="000000" w:themeColor="text1"/>
          <w:spacing w:val="9"/>
          <w:sz w:val="24"/>
          <w:szCs w:val="24"/>
          <w14:textFill>
            <w14:solidFill>
              <w14:schemeClr w14:val="tx1"/>
            </w14:solidFill>
          </w14:textFill>
        </w:rPr>
        <w:t>例事故进行统计，结果具体见</w:t>
      </w:r>
      <w:r>
        <w:rPr>
          <w:color w:val="000000" w:themeColor="text1"/>
          <w:spacing w:val="1"/>
          <w:sz w:val="24"/>
          <w:szCs w:val="24"/>
          <w14:textFill>
            <w14:solidFill>
              <w14:schemeClr w14:val="tx1"/>
            </w14:solidFill>
          </w14:textFill>
        </w:rPr>
        <w:t>表</w:t>
      </w:r>
      <w:r>
        <w:rPr>
          <w:color w:val="000000" w:themeColor="text1"/>
          <w:spacing w:val="-42"/>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1"/>
          <w:sz w:val="24"/>
          <w:szCs w:val="24"/>
          <w14:textFill>
            <w14:solidFill>
              <w14:schemeClr w14:val="tx1"/>
            </w14:solidFill>
          </w14:textFill>
        </w:rPr>
        <w:t>4-3</w:t>
      </w:r>
      <w:r>
        <w:rPr>
          <w:color w:val="000000" w:themeColor="text1"/>
          <w:spacing w:val="1"/>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39"/>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4-3  </w:t>
      </w:r>
      <w:r>
        <w:rPr>
          <w:b/>
          <w:bCs/>
          <w:color w:val="000000" w:themeColor="text1"/>
          <w:spacing w:val="-1"/>
          <w:sz w:val="21"/>
          <w:szCs w:val="21"/>
          <w14:textFill>
            <w14:solidFill>
              <w14:schemeClr w14:val="tx1"/>
            </w14:solidFill>
          </w14:textFill>
        </w:rPr>
        <w:t>不同油品火灾爆炸及泄露事故类型统计</w:t>
      </w:r>
    </w:p>
    <w:p>
      <w:pPr>
        <w:spacing w:line="34" w:lineRule="exact"/>
        <w:rPr>
          <w:color w:val="000000" w:themeColor="text1"/>
          <w14:textFill>
            <w14:solidFill>
              <w14:schemeClr w14:val="tx1"/>
            </w14:solidFill>
          </w14:textFill>
        </w:rPr>
      </w:pPr>
    </w:p>
    <w:tbl>
      <w:tblPr>
        <w:tblStyle w:val="99"/>
        <w:tblW w:w="852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76"/>
        <w:gridCol w:w="993"/>
        <w:gridCol w:w="1416"/>
        <w:gridCol w:w="1418"/>
        <w:gridCol w:w="1134"/>
        <w:gridCol w:w="118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2376" w:type="dxa"/>
            <w:vMerge w:val="restart"/>
            <w:tcBorders>
              <w:top w:val="single" w:color="000000" w:sz="10" w:space="0"/>
              <w:left w:val="nil"/>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储罐类型</w:t>
            </w:r>
          </w:p>
        </w:tc>
        <w:tc>
          <w:tcPr>
            <w:tcW w:w="993" w:type="dxa"/>
            <w:vMerge w:val="restart"/>
            <w:tcBorders>
              <w:top w:val="single" w:color="000000" w:sz="10" w:space="0"/>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事故数量</w:t>
            </w:r>
          </w:p>
        </w:tc>
        <w:tc>
          <w:tcPr>
            <w:tcW w:w="1416" w:type="dxa"/>
            <w:vMerge w:val="restart"/>
            <w:tcBorders>
              <w:top w:val="single" w:color="000000" w:sz="10" w:space="0"/>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事故比例（%）</w:t>
            </w:r>
          </w:p>
        </w:tc>
        <w:tc>
          <w:tcPr>
            <w:tcW w:w="3736" w:type="dxa"/>
            <w:gridSpan w:val="3"/>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事故原因所占比例（%）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2376" w:type="dxa"/>
            <w:vMerge w:val="continue"/>
            <w:tcBorders>
              <w:top w:val="nil"/>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p>
        </w:tc>
        <w:tc>
          <w:tcPr>
            <w:tcW w:w="993" w:type="dxa"/>
            <w:vMerge w:val="continue"/>
            <w:tcBorders>
              <w:top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p>
        </w:tc>
        <w:tc>
          <w:tcPr>
            <w:tcW w:w="1416" w:type="dxa"/>
            <w:vMerge w:val="continue"/>
            <w:tcBorders>
              <w:top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p>
        </w:tc>
        <w:tc>
          <w:tcPr>
            <w:tcW w:w="1418"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静电或雷电</w:t>
            </w:r>
          </w:p>
        </w:tc>
        <w:tc>
          <w:tcPr>
            <w:tcW w:w="1134"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设备</w:t>
            </w:r>
          </w:p>
        </w:tc>
        <w:tc>
          <w:tcPr>
            <w:tcW w:w="1184" w:type="dxa"/>
            <w:tcBorders>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人为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2376"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原油与汽、煤、柴油等</w:t>
            </w:r>
          </w:p>
        </w:tc>
        <w:tc>
          <w:tcPr>
            <w:tcW w:w="99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41</w:t>
            </w:r>
          </w:p>
        </w:tc>
        <w:tc>
          <w:tcPr>
            <w:tcW w:w="1416"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80.39</w:t>
            </w:r>
          </w:p>
        </w:tc>
        <w:tc>
          <w:tcPr>
            <w:tcW w:w="1418"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19.51</w:t>
            </w:r>
          </w:p>
        </w:tc>
        <w:tc>
          <w:tcPr>
            <w:tcW w:w="1134"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14.63</w:t>
            </w:r>
          </w:p>
        </w:tc>
        <w:tc>
          <w:tcPr>
            <w:tcW w:w="1184" w:type="dxa"/>
            <w:tcBorders>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65.85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2376"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渣油</w:t>
            </w:r>
          </w:p>
        </w:tc>
        <w:tc>
          <w:tcPr>
            <w:tcW w:w="99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7</w:t>
            </w:r>
          </w:p>
        </w:tc>
        <w:tc>
          <w:tcPr>
            <w:tcW w:w="1416"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13.73</w:t>
            </w:r>
          </w:p>
        </w:tc>
        <w:tc>
          <w:tcPr>
            <w:tcW w:w="1418"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0</w:t>
            </w:r>
          </w:p>
        </w:tc>
        <w:tc>
          <w:tcPr>
            <w:tcW w:w="1134"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14.29</w:t>
            </w:r>
          </w:p>
        </w:tc>
        <w:tc>
          <w:tcPr>
            <w:tcW w:w="1184" w:type="dxa"/>
            <w:tcBorders>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85.71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2376"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重油</w:t>
            </w:r>
          </w:p>
        </w:tc>
        <w:tc>
          <w:tcPr>
            <w:tcW w:w="99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2</w:t>
            </w:r>
          </w:p>
        </w:tc>
        <w:tc>
          <w:tcPr>
            <w:tcW w:w="1416"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3.92</w:t>
            </w:r>
          </w:p>
        </w:tc>
        <w:tc>
          <w:tcPr>
            <w:tcW w:w="1418"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0</w:t>
            </w:r>
          </w:p>
        </w:tc>
        <w:tc>
          <w:tcPr>
            <w:tcW w:w="1134"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0</w:t>
            </w:r>
          </w:p>
        </w:tc>
        <w:tc>
          <w:tcPr>
            <w:tcW w:w="1184" w:type="dxa"/>
            <w:tcBorders>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jc w:val="center"/>
        </w:trPr>
        <w:tc>
          <w:tcPr>
            <w:tcW w:w="2376"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燃料油</w:t>
            </w:r>
          </w:p>
        </w:tc>
        <w:tc>
          <w:tcPr>
            <w:tcW w:w="993"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1</w:t>
            </w:r>
          </w:p>
        </w:tc>
        <w:tc>
          <w:tcPr>
            <w:tcW w:w="1416"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1.96</w:t>
            </w:r>
          </w:p>
        </w:tc>
        <w:tc>
          <w:tcPr>
            <w:tcW w:w="1418"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0</w:t>
            </w:r>
          </w:p>
        </w:tc>
        <w:tc>
          <w:tcPr>
            <w:tcW w:w="1134"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0</w:t>
            </w:r>
          </w:p>
        </w:tc>
        <w:tc>
          <w:tcPr>
            <w:tcW w:w="1184" w:type="dxa"/>
            <w:tcBorders>
              <w:bottom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100</w:t>
            </w:r>
          </w:p>
        </w:tc>
      </w:tr>
    </w:tbl>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firstLine="42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可见，原油与汽、煤、柴油等 油品罐发生火灾爆炸及泄漏事故的概率远</w:t>
      </w:r>
      <w:r>
        <w:rPr>
          <w:rFonts w:hint="eastAsia"/>
          <w:color w:val="000000" w:themeColor="text1"/>
          <w:spacing w:val="7"/>
          <w:sz w:val="24"/>
          <w:szCs w:val="24"/>
          <w:lang w:val="en-US" w:eastAsia="zh-CN"/>
          <w14:textFill>
            <w14:solidFill>
              <w14:schemeClr w14:val="tx1"/>
            </w14:solidFill>
          </w14:textFill>
        </w:rPr>
        <w:t>高</w:t>
      </w:r>
      <w:r>
        <w:rPr>
          <w:color w:val="000000" w:themeColor="text1"/>
          <w:spacing w:val="7"/>
          <w:sz w:val="24"/>
          <w:szCs w:val="24"/>
          <w14:textFill>
            <w14:solidFill>
              <w14:schemeClr w14:val="tx1"/>
            </w14:solidFill>
          </w14:textFill>
        </w:rPr>
        <w:t>于重油罐和燃料油的概率，重油和燃料油发生火灾爆炸及泄漏事故的概率较小。在所有发生此类事故的原</w:t>
      </w:r>
      <w:r>
        <w:rPr>
          <w:color w:val="000000" w:themeColor="text1"/>
          <w:spacing w:val="9"/>
          <w:sz w:val="24"/>
          <w:szCs w:val="24"/>
          <w14:textFill>
            <w14:solidFill>
              <w14:schemeClr w14:val="tx1"/>
            </w14:solidFill>
          </w14:textFill>
        </w:rPr>
        <w:t>因统计中，人为原因</w:t>
      </w:r>
      <w:r>
        <w:rPr>
          <w:rFonts w:ascii="Times New Roman" w:hAnsi="Times New Roman" w:eastAsia="Times New Roman" w:cs="Times New Roman"/>
          <w:color w:val="000000" w:themeColor="text1"/>
          <w:spacing w:val="9"/>
          <w:sz w:val="24"/>
          <w:szCs w:val="24"/>
          <w14:textFill>
            <w14:solidFill>
              <w14:schemeClr w14:val="tx1"/>
            </w14:solidFill>
          </w14:textFill>
        </w:rPr>
        <w:t>(</w:t>
      </w:r>
      <w:r>
        <w:rPr>
          <w:color w:val="000000" w:themeColor="text1"/>
          <w:spacing w:val="9"/>
          <w:sz w:val="24"/>
          <w:szCs w:val="24"/>
          <w14:textFill>
            <w14:solidFill>
              <w14:schemeClr w14:val="tx1"/>
            </w14:solidFill>
          </w14:textFill>
        </w:rPr>
        <w:t>管理不严，人为误操作等</w:t>
      </w:r>
      <w:r>
        <w:rPr>
          <w:rFonts w:ascii="Times New Roman" w:hAnsi="Times New Roman" w:eastAsia="Times New Roman" w:cs="Times New Roman"/>
          <w:color w:val="000000" w:themeColor="text1"/>
          <w:spacing w:val="9"/>
          <w:sz w:val="24"/>
          <w:szCs w:val="24"/>
          <w14:textFill>
            <w14:solidFill>
              <w14:schemeClr w14:val="tx1"/>
            </w14:solidFill>
          </w14:textFill>
        </w:rPr>
        <w:t>)</w:t>
      </w:r>
      <w:r>
        <w:rPr>
          <w:color w:val="000000" w:themeColor="text1"/>
          <w:spacing w:val="9"/>
          <w:sz w:val="24"/>
          <w:szCs w:val="24"/>
          <w14:textFill>
            <w14:solidFill>
              <w14:schemeClr w14:val="tx1"/>
            </w14:solidFill>
          </w14:textFill>
        </w:rPr>
        <w:t>占了</w:t>
      </w:r>
      <w:r>
        <w:rPr>
          <w:rFonts w:ascii="Times New Roman" w:hAnsi="Times New Roman" w:eastAsia="Times New Roman" w:cs="Times New Roman"/>
          <w:color w:val="000000" w:themeColor="text1"/>
          <w:spacing w:val="9"/>
          <w:sz w:val="24"/>
          <w:szCs w:val="24"/>
          <w14:textFill>
            <w14:solidFill>
              <w14:schemeClr w14:val="tx1"/>
            </w14:solidFill>
          </w14:textFill>
        </w:rPr>
        <w:t>60%</w:t>
      </w:r>
      <w:r>
        <w:rPr>
          <w:color w:val="000000" w:themeColor="text1"/>
          <w:spacing w:val="9"/>
          <w:sz w:val="24"/>
          <w:szCs w:val="24"/>
          <w14:textFill>
            <w14:solidFill>
              <w14:schemeClr w14:val="tx1"/>
            </w14:solidFill>
          </w14:textFill>
        </w:rPr>
        <w:t>以上的比例，为该类型事故发生的</w:t>
      </w:r>
      <w:r>
        <w:rPr>
          <w:color w:val="000000" w:themeColor="text1"/>
          <w:spacing w:val="15"/>
          <w:sz w:val="24"/>
          <w:szCs w:val="24"/>
          <w14:textFill>
            <w14:solidFill>
              <w14:schemeClr w14:val="tx1"/>
            </w14:solidFill>
          </w14:textFill>
        </w:rPr>
        <w:t xml:space="preserve"> </w:t>
      </w:r>
      <w:r>
        <w:rPr>
          <w:color w:val="000000" w:themeColor="text1"/>
          <w:spacing w:val="5"/>
          <w:sz w:val="24"/>
          <w:szCs w:val="24"/>
          <w14:textFill>
            <w14:solidFill>
              <w14:schemeClr w14:val="tx1"/>
            </w14:solidFill>
          </w14:textFill>
        </w:rPr>
        <w:t>主要原因。</w:t>
      </w:r>
    </w:p>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textAlignment w:val="auto"/>
        <w:outlineLvl w:val="2"/>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4"/>
          <w:sz w:val="24"/>
          <w:szCs w:val="24"/>
          <w14:textFill>
            <w14:solidFill>
              <w14:schemeClr w14:val="tx1"/>
            </w14:solidFill>
          </w14:textFill>
        </w:rPr>
        <w:t>4.1.4</w:t>
      </w:r>
      <w:r>
        <w:rPr>
          <w:rFonts w:ascii="Times New Roman" w:hAnsi="Times New Roman" w:eastAsia="Times New Roman" w:cs="Times New Roman"/>
          <w:b/>
          <w:bCs/>
          <w:color w:val="000000" w:themeColor="text1"/>
          <w:spacing w:val="32"/>
          <w:w w:val="101"/>
          <w:sz w:val="24"/>
          <w:szCs w:val="24"/>
          <w14:textFill>
            <w14:solidFill>
              <w14:schemeClr w14:val="tx1"/>
            </w14:solidFill>
          </w14:textFill>
        </w:rPr>
        <w:t xml:space="preserve"> </w:t>
      </w:r>
      <w:r>
        <w:rPr>
          <w:b/>
          <w:bCs/>
          <w:color w:val="000000" w:themeColor="text1"/>
          <w:spacing w:val="4"/>
          <w:sz w:val="24"/>
          <w:szCs w:val="24"/>
          <w14:textFill>
            <w14:solidFill>
              <w14:schemeClr w14:val="tx1"/>
            </w14:solidFill>
          </w14:textFill>
        </w:rPr>
        <w:t>国内典型油罐事故</w:t>
      </w:r>
    </w:p>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同类企业发生的典型事故情况如下：</w:t>
      </w:r>
    </w:p>
    <w:p>
      <w:pPr>
        <w:pStyle w:val="8"/>
        <w:keepNext w:val="0"/>
        <w:keepLines w:val="0"/>
        <w:pageBreakBefore w:val="0"/>
        <w:widowControl/>
        <w:kinsoku/>
        <w:wordWrap/>
        <w:overflowPunct/>
        <w:topLinePunct w:val="0"/>
        <w:autoSpaceDE/>
        <w:autoSpaceDN/>
        <w:bidi w:val="0"/>
        <w:adjustRightInd w:val="0"/>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pacing w:val="-1"/>
          <w:sz w:val="21"/>
          <w:szCs w:val="21"/>
          <w14:textFill>
            <w14:solidFill>
              <w14:schemeClr w14:val="tx1"/>
            </w14:solidFill>
          </w14:textFill>
        </w:rPr>
        <w:t>表</w:t>
      </w:r>
      <w:r>
        <w:rPr>
          <w:color w:val="000000" w:themeColor="text1"/>
          <w:spacing w:val="-40"/>
          <w:sz w:val="21"/>
          <w:szCs w:val="21"/>
          <w14:textFill>
            <w14:solidFill>
              <w14:schemeClr w14:val="tx1"/>
            </w14:solidFill>
          </w14:textFill>
        </w:rPr>
        <w:t xml:space="preserve">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4-4 </w:t>
      </w:r>
      <w:r>
        <w:rPr>
          <w:rFonts w:hint="eastAsia" w:eastAsia="宋体" w:cs="Times New Roman"/>
          <w:b/>
          <w:bCs/>
          <w:color w:val="000000" w:themeColor="text1"/>
          <w:spacing w:val="-1"/>
          <w:sz w:val="21"/>
          <w:szCs w:val="21"/>
          <w:lang w:val="en-US" w:eastAsia="zh-CN"/>
          <w14:textFill>
            <w14:solidFill>
              <w14:schemeClr w14:val="tx1"/>
            </w14:solidFill>
          </w14:textFill>
        </w:rPr>
        <w:t xml:space="preserve"> </w:t>
      </w:r>
      <w:r>
        <w:rPr>
          <w:b/>
          <w:bCs/>
          <w:color w:val="000000" w:themeColor="text1"/>
          <w:spacing w:val="-2"/>
          <w:sz w:val="21"/>
          <w:szCs w:val="21"/>
          <w14:textFill>
            <w14:solidFill>
              <w14:schemeClr w14:val="tx1"/>
            </w14:solidFill>
          </w14:textFill>
        </w:rPr>
        <w:t>国内典型的油罐事故</w:t>
      </w:r>
    </w:p>
    <w:p>
      <w:pPr>
        <w:spacing w:line="31" w:lineRule="exact"/>
        <w:rPr>
          <w:color w:val="000000" w:themeColor="text1"/>
          <w14:textFill>
            <w14:solidFill>
              <w14:schemeClr w14:val="tx1"/>
            </w14:solidFill>
          </w14:textFill>
        </w:rPr>
      </w:pPr>
    </w:p>
    <w:tbl>
      <w:tblPr>
        <w:tblStyle w:val="99"/>
        <w:tblW w:w="861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5"/>
        <w:gridCol w:w="709"/>
        <w:gridCol w:w="1417"/>
        <w:gridCol w:w="2551"/>
        <w:gridCol w:w="326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jc w:val="center"/>
        </w:trPr>
        <w:tc>
          <w:tcPr>
            <w:tcW w:w="675" w:type="dxa"/>
            <w:vMerge w:val="restart"/>
            <w:tcBorders>
              <w:top w:val="single" w:color="000000" w:sz="10" w:space="0"/>
              <w:left w:val="nil"/>
              <w:bottom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地点</w:t>
            </w:r>
          </w:p>
        </w:tc>
        <w:tc>
          <w:tcPr>
            <w:tcW w:w="709" w:type="dxa"/>
            <w:vMerge w:val="restart"/>
            <w:tcBorders>
              <w:top w:val="single" w:color="000000" w:sz="10" w:space="0"/>
              <w:bottom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8"/>
                <w:sz w:val="21"/>
                <w:szCs w:val="21"/>
                <w14:textFill>
                  <w14:solidFill>
                    <w14:schemeClr w14:val="tx1"/>
                  </w14:solidFill>
                </w14:textFill>
              </w:rPr>
              <w:t>时间</w:t>
            </w:r>
          </w:p>
        </w:tc>
        <w:tc>
          <w:tcPr>
            <w:tcW w:w="3968" w:type="dxa"/>
            <w:gridSpan w:val="2"/>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事故概况</w:t>
            </w:r>
          </w:p>
        </w:tc>
        <w:tc>
          <w:tcPr>
            <w:tcW w:w="3260" w:type="dxa"/>
            <w:vMerge w:val="restart"/>
            <w:tcBorders>
              <w:top w:val="single" w:color="000000" w:sz="10" w:space="0"/>
              <w:bottom w:val="nil"/>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损伤情况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jc w:val="center"/>
        </w:trPr>
        <w:tc>
          <w:tcPr>
            <w:tcW w:w="675"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Arial"/>
                <w:color w:val="000000" w:themeColor="text1"/>
                <w:sz w:val="21"/>
                <w:szCs w:val="21"/>
                <w14:textFill>
                  <w14:solidFill>
                    <w14:schemeClr w14:val="tx1"/>
                  </w14:solidFill>
                </w14:textFill>
              </w:rPr>
            </w:pPr>
          </w:p>
        </w:tc>
        <w:tc>
          <w:tcPr>
            <w:tcW w:w="709"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Arial"/>
                <w:color w:val="000000" w:themeColor="text1"/>
                <w:sz w:val="21"/>
                <w:szCs w:val="21"/>
                <w14:textFill>
                  <w14:solidFill>
                    <w14:schemeClr w14:val="tx1"/>
                  </w14:solidFill>
                </w14:textFill>
              </w:rPr>
            </w:pPr>
          </w:p>
        </w:tc>
        <w:tc>
          <w:tcPr>
            <w:tcW w:w="1417"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类型</w:t>
            </w:r>
          </w:p>
        </w:tc>
        <w:tc>
          <w:tcPr>
            <w:tcW w:w="2551"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6"/>
                <w:sz w:val="21"/>
                <w:szCs w:val="21"/>
                <w14:textFill>
                  <w14:solidFill>
                    <w14:schemeClr w14:val="tx1"/>
                  </w14:solidFill>
                </w14:textFill>
              </w:rPr>
              <w:t>原因</w:t>
            </w:r>
          </w:p>
        </w:tc>
        <w:tc>
          <w:tcPr>
            <w:tcW w:w="3260" w:type="dxa"/>
            <w:vMerge w:val="continue"/>
            <w:tcBorders>
              <w:top w:val="nil"/>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Arial"/>
                <w:color w:val="000000" w:themeColor="text1"/>
                <w:sz w:val="21"/>
                <w:szCs w:val="21"/>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3" w:hRule="atLeast"/>
          <w:jc w:val="center"/>
        </w:trPr>
        <w:tc>
          <w:tcPr>
            <w:tcW w:w="675" w:type="dxa"/>
            <w:tcBorders>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青岛</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油库</w:t>
            </w:r>
          </w:p>
        </w:tc>
        <w:tc>
          <w:tcPr>
            <w:tcW w:w="70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1989/</w:t>
            </w: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8/12</w:t>
            </w:r>
          </w:p>
        </w:tc>
        <w:tc>
          <w:tcPr>
            <w:tcW w:w="1417"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5</w:t>
            </w:r>
            <w:r>
              <w:rPr>
                <w:color w:val="000000" w:themeColor="text1"/>
                <w:spacing w:val="-3"/>
                <w:sz w:val="21"/>
                <w:szCs w:val="21"/>
                <w14:textFill>
                  <w14:solidFill>
                    <w14:schemeClr w14:val="tx1"/>
                  </w14:solidFill>
                </w14:textFill>
              </w:rPr>
              <w:t>座油罐特大火</w:t>
            </w:r>
            <w:r>
              <w:rPr>
                <w:color w:val="000000" w:themeColor="text1"/>
                <w:spacing w:val="-2"/>
                <w:sz w:val="21"/>
                <w:szCs w:val="21"/>
                <w14:textFill>
                  <w14:solidFill>
                    <w14:schemeClr w14:val="tx1"/>
                  </w14:solidFill>
                </w14:textFill>
              </w:rPr>
              <w:t>灾爆炸，燃烧</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6"/>
                <w:sz w:val="21"/>
                <w:szCs w:val="21"/>
                <w14:textFill>
                  <w14:solidFill>
                    <w14:schemeClr w14:val="tx1"/>
                  </w14:solidFill>
                </w14:textFill>
              </w:rPr>
              <w:t>104</w:t>
            </w:r>
            <w:r>
              <w:rPr>
                <w:color w:val="000000" w:themeColor="text1"/>
                <w:spacing w:val="-6"/>
                <w:sz w:val="21"/>
                <w:szCs w:val="21"/>
                <w14:textFill>
                  <w14:solidFill>
                    <w14:schemeClr w14:val="tx1"/>
                  </w14:solidFill>
                </w14:textFill>
              </w:rPr>
              <w:t>小时，扑灭</w:t>
            </w:r>
          </w:p>
        </w:tc>
        <w:tc>
          <w:tcPr>
            <w:tcW w:w="2551"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雷击引起大火</w:t>
            </w:r>
          </w:p>
        </w:tc>
        <w:tc>
          <w:tcPr>
            <w:tcW w:w="3260"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1"/>
                <w:sz w:val="21"/>
                <w:szCs w:val="21"/>
                <w14:textFill>
                  <w14:solidFill>
                    <w14:schemeClr w14:val="tx1"/>
                  </w14:solidFill>
                </w14:textFill>
              </w:rPr>
              <w:t>死亡</w:t>
            </w:r>
            <w:r>
              <w:rPr>
                <w:rFonts w:ascii="Times New Roman" w:hAnsi="Times New Roman" w:eastAsia="Times New Roman" w:cs="Times New Roman"/>
                <w:color w:val="000000" w:themeColor="text1"/>
                <w:spacing w:val="-11"/>
                <w:sz w:val="21"/>
                <w:szCs w:val="21"/>
                <w14:textFill>
                  <w14:solidFill>
                    <w14:schemeClr w14:val="tx1"/>
                  </w14:solidFill>
                </w14:textFill>
              </w:rPr>
              <w:t>17</w:t>
            </w:r>
            <w:r>
              <w:rPr>
                <w:color w:val="000000" w:themeColor="text1"/>
                <w:spacing w:val="-11"/>
                <w:sz w:val="21"/>
                <w:szCs w:val="21"/>
                <w14:textFill>
                  <w14:solidFill>
                    <w14:schemeClr w14:val="tx1"/>
                  </w14:solidFill>
                </w14:textFill>
              </w:rPr>
              <w:t>人，伤害</w:t>
            </w:r>
            <w:r>
              <w:rPr>
                <w:rFonts w:ascii="Times New Roman" w:hAnsi="Times New Roman" w:eastAsia="Times New Roman" w:cs="Times New Roman"/>
                <w:color w:val="000000" w:themeColor="text1"/>
                <w:spacing w:val="-11"/>
                <w:sz w:val="21"/>
                <w:szCs w:val="21"/>
                <w14:textFill>
                  <w14:solidFill>
                    <w14:schemeClr w14:val="tx1"/>
                  </w14:solidFill>
                </w14:textFill>
              </w:rPr>
              <w:t>78</w:t>
            </w:r>
            <w:r>
              <w:rPr>
                <w:color w:val="000000" w:themeColor="text1"/>
                <w:spacing w:val="-11"/>
                <w:sz w:val="21"/>
                <w:szCs w:val="21"/>
                <w14:textFill>
                  <w14:solidFill>
                    <w14:schemeClr w14:val="tx1"/>
                  </w14:solidFill>
                </w14:textFill>
              </w:rPr>
              <w:t>人，烧毁油罐</w:t>
            </w:r>
            <w:r>
              <w:rPr>
                <w:rFonts w:ascii="Times New Roman" w:hAnsi="Times New Roman" w:eastAsia="Times New Roman" w:cs="Times New Roman"/>
                <w:color w:val="000000" w:themeColor="text1"/>
                <w:spacing w:val="-11"/>
                <w:sz w:val="21"/>
                <w:szCs w:val="21"/>
                <w14:textFill>
                  <w14:solidFill>
                    <w14:schemeClr w14:val="tx1"/>
                  </w14:solidFill>
                </w14:textFill>
              </w:rPr>
              <w:t>5</w:t>
            </w:r>
            <w:r>
              <w:rPr>
                <w:color w:val="000000" w:themeColor="text1"/>
                <w:spacing w:val="-11"/>
                <w:sz w:val="21"/>
                <w:szCs w:val="21"/>
                <w14:textFill>
                  <w14:solidFill>
                    <w14:schemeClr w14:val="tx1"/>
                  </w14:solidFill>
                </w14:textFill>
              </w:rPr>
              <w:t>座，</w:t>
            </w:r>
            <w:r>
              <w:rPr>
                <w:color w:val="000000" w:themeColor="text1"/>
                <w:spacing w:val="-6"/>
                <w:sz w:val="21"/>
                <w:szCs w:val="21"/>
                <w14:textFill>
                  <w14:solidFill>
                    <w14:schemeClr w14:val="tx1"/>
                  </w14:solidFill>
                </w14:textFill>
              </w:rPr>
              <w:t>直接经济损失</w:t>
            </w:r>
            <w:r>
              <w:rPr>
                <w:rFonts w:ascii="Times New Roman" w:hAnsi="Times New Roman" w:eastAsia="Times New Roman" w:cs="Times New Roman"/>
                <w:color w:val="000000" w:themeColor="text1"/>
                <w:spacing w:val="-6"/>
                <w:sz w:val="21"/>
                <w:szCs w:val="21"/>
                <w14:textFill>
                  <w14:solidFill>
                    <w14:schemeClr w14:val="tx1"/>
                  </w14:solidFill>
                </w14:textFill>
              </w:rPr>
              <w:t>3000</w:t>
            </w:r>
            <w:r>
              <w:rPr>
                <w:color w:val="000000" w:themeColor="text1"/>
                <w:spacing w:val="-6"/>
                <w:sz w:val="21"/>
                <w:szCs w:val="21"/>
                <w14:textFill>
                  <w14:solidFill>
                    <w14:schemeClr w14:val="tx1"/>
                  </w14:solidFill>
                </w14:textFill>
              </w:rPr>
              <w:t>多万元，</w:t>
            </w:r>
            <w:r>
              <w:rPr>
                <w:rFonts w:ascii="Times New Roman" w:hAnsi="Times New Roman" w:eastAsia="Times New Roman" w:cs="Times New Roman"/>
                <w:color w:val="000000" w:themeColor="text1"/>
                <w:spacing w:val="-6"/>
                <w:sz w:val="21"/>
                <w:szCs w:val="21"/>
                <w14:textFill>
                  <w14:solidFill>
                    <w14:schemeClr w14:val="tx1"/>
                  </w14:solidFill>
                </w14:textFill>
              </w:rPr>
              <w:t>600</w:t>
            </w:r>
            <w:r>
              <w:rPr>
                <w:color w:val="000000" w:themeColor="text1"/>
                <w:spacing w:val="-6"/>
                <w:sz w:val="21"/>
                <w:szCs w:val="21"/>
                <w14:textFill>
                  <w14:solidFill>
                    <w14:schemeClr w14:val="tx1"/>
                  </w14:solidFill>
                </w14:textFill>
              </w:rPr>
              <w:t>吨原油</w:t>
            </w:r>
            <w:r>
              <w:rPr>
                <w:color w:val="000000" w:themeColor="text1"/>
                <w:spacing w:val="-1"/>
                <w:sz w:val="21"/>
                <w:szCs w:val="21"/>
                <w14:textFill>
                  <w14:solidFill>
                    <w14:schemeClr w14:val="tx1"/>
                  </w14:solidFill>
                </w14:textFill>
              </w:rPr>
              <w:t>流入大海，海域和海岸受到严重污染。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1" w:hRule="atLeast"/>
          <w:jc w:val="center"/>
        </w:trPr>
        <w:tc>
          <w:tcPr>
            <w:tcW w:w="675"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某炼</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油厂</w:t>
            </w:r>
          </w:p>
        </w:tc>
        <w:tc>
          <w:tcPr>
            <w:tcW w:w="709"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1993/</w:t>
            </w:r>
          </w:p>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10/21</w:t>
            </w:r>
          </w:p>
        </w:tc>
        <w:tc>
          <w:tcPr>
            <w:tcW w:w="1417"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2"/>
                <w:sz w:val="21"/>
                <w:szCs w:val="21"/>
                <w14:textFill>
                  <w14:solidFill>
                    <w14:schemeClr w14:val="tx1"/>
                  </w14:solidFill>
                </w14:textFill>
              </w:rPr>
              <w:t>1</w:t>
            </w:r>
            <w:r>
              <w:rPr>
                <w:color w:val="000000" w:themeColor="text1"/>
                <w:spacing w:val="-12"/>
                <w:sz w:val="21"/>
                <w:szCs w:val="21"/>
                <w14:textFill>
                  <w14:solidFill>
                    <w14:schemeClr w14:val="tx1"/>
                  </w14:solidFill>
                </w14:textFill>
              </w:rPr>
              <w:t>万</w:t>
            </w:r>
            <w:r>
              <w:rPr>
                <w:rFonts w:ascii="Times New Roman" w:hAnsi="Times New Roman" w:eastAsia="Times New Roman" w:cs="Times New Roman"/>
                <w:color w:val="000000" w:themeColor="text1"/>
                <w:spacing w:val="-12"/>
                <w:sz w:val="21"/>
                <w:szCs w:val="21"/>
                <w14:textFill>
                  <w14:solidFill>
                    <w14:schemeClr w14:val="tx1"/>
                  </w14:solidFill>
                </w14:textFill>
              </w:rPr>
              <w:t>m</w:t>
            </w:r>
            <w:r>
              <w:rPr>
                <w:rFonts w:ascii="Times New Roman" w:hAnsi="Times New Roman" w:eastAsia="Times New Roman" w:cs="Times New Roman"/>
                <w:color w:val="000000" w:themeColor="text1"/>
                <w:spacing w:val="-2"/>
                <w:position w:val="5"/>
                <w:sz w:val="21"/>
                <w:szCs w:val="21"/>
                <w14:textFill>
                  <w14:solidFill>
                    <w14:schemeClr w14:val="tx1"/>
                  </w14:solidFill>
                </w14:textFill>
              </w:rPr>
              <w:t>3</w:t>
            </w:r>
            <w:r>
              <w:rPr>
                <w:color w:val="000000" w:themeColor="text1"/>
                <w:spacing w:val="-2"/>
                <w:sz w:val="21"/>
                <w:szCs w:val="21"/>
                <w14:textFill>
                  <w14:solidFill>
                    <w14:schemeClr w14:val="tx1"/>
                  </w14:solidFill>
                </w14:textFill>
              </w:rPr>
              <w:t>汽油罐</w:t>
            </w:r>
            <w:r>
              <w:rPr>
                <w:color w:val="000000" w:themeColor="text1"/>
                <w:spacing w:val="8"/>
                <w:sz w:val="21"/>
                <w:szCs w:val="21"/>
                <w14:textFill>
                  <w14:solidFill>
                    <w14:schemeClr w14:val="tx1"/>
                  </w14:solidFill>
                </w14:textFill>
              </w:rPr>
              <w:t>汽油外溢导致</w:t>
            </w:r>
            <w:r>
              <w:rPr>
                <w:color w:val="000000" w:themeColor="text1"/>
                <w:spacing w:val="-10"/>
                <w:sz w:val="21"/>
                <w:szCs w:val="21"/>
                <w14:textFill>
                  <w14:solidFill>
                    <w14:schemeClr w14:val="tx1"/>
                  </w14:solidFill>
                </w14:textFill>
              </w:rPr>
              <w:t>爆炸，发生特大</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火灾事故</w:t>
            </w:r>
          </w:p>
        </w:tc>
        <w:tc>
          <w:tcPr>
            <w:tcW w:w="2551"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误操作，汽油外溢后，在罐区内挥发扩散，形成爆炸气体，</w:t>
            </w:r>
            <w:r>
              <w:rPr>
                <w:rFonts w:ascii="Times New Roman" w:hAnsi="Times New Roman" w:eastAsia="Times New Roman" w:cs="Times New Roman"/>
                <w:color w:val="000000" w:themeColor="text1"/>
                <w:spacing w:val="-2"/>
                <w:sz w:val="21"/>
                <w:szCs w:val="21"/>
                <w14:textFill>
                  <w14:solidFill>
                    <w14:schemeClr w14:val="tx1"/>
                  </w14:solidFill>
                </w14:textFill>
              </w:rPr>
              <w:t>56m</w:t>
            </w:r>
            <w:r>
              <w:rPr>
                <w:color w:val="000000" w:themeColor="text1"/>
                <w:spacing w:val="-2"/>
                <w:sz w:val="21"/>
                <w:szCs w:val="21"/>
                <w14:textFill>
                  <w14:solidFill>
                    <w14:schemeClr w14:val="tx1"/>
                  </w14:solidFill>
                </w14:textFill>
              </w:rPr>
              <w:t>外行驶的拖拉机排气火花点燃大面积的油气，引起爆炸</w:t>
            </w:r>
          </w:p>
        </w:tc>
        <w:tc>
          <w:tcPr>
            <w:tcW w:w="3260" w:type="dxa"/>
            <w:tcBorders>
              <w:bottom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死亡</w:t>
            </w:r>
            <w:r>
              <w:rPr>
                <w:rFonts w:ascii="Times New Roman" w:hAnsi="Times New Roman" w:eastAsia="Times New Roman" w:cs="Times New Roman"/>
                <w:color w:val="000000" w:themeColor="text1"/>
                <w:spacing w:val="-5"/>
                <w:sz w:val="21"/>
                <w:szCs w:val="21"/>
                <w14:textFill>
                  <w14:solidFill>
                    <w14:schemeClr w14:val="tx1"/>
                  </w14:solidFill>
                </w14:textFill>
              </w:rPr>
              <w:t>2</w:t>
            </w:r>
            <w:r>
              <w:rPr>
                <w:color w:val="000000" w:themeColor="text1"/>
                <w:spacing w:val="-5"/>
                <w:sz w:val="21"/>
                <w:szCs w:val="21"/>
                <w14:textFill>
                  <w14:solidFill>
                    <w14:schemeClr w14:val="tx1"/>
                  </w14:solidFill>
                </w14:textFill>
              </w:rPr>
              <w:t>人，罐顶燃气大火，</w:t>
            </w:r>
            <w:r>
              <w:rPr>
                <w:rFonts w:ascii="Times New Roman" w:hAnsi="Times New Roman" w:eastAsia="Times New Roman" w:cs="Times New Roman"/>
                <w:color w:val="000000" w:themeColor="text1"/>
                <w:spacing w:val="-5"/>
                <w:sz w:val="21"/>
                <w:szCs w:val="21"/>
                <w14:textFill>
                  <w14:solidFill>
                    <w14:schemeClr w14:val="tx1"/>
                  </w14:solidFill>
                </w14:textFill>
              </w:rPr>
              <w:t>17</w:t>
            </w:r>
            <w:r>
              <w:rPr>
                <w:color w:val="000000" w:themeColor="text1"/>
                <w:spacing w:val="-5"/>
                <w:sz w:val="21"/>
                <w:szCs w:val="21"/>
                <w14:textFill>
                  <w14:solidFill>
                    <w14:schemeClr w14:val="tx1"/>
                  </w14:solidFill>
                </w14:textFill>
              </w:rPr>
              <w:t>小时扑灭</w:t>
            </w:r>
            <w:r>
              <w:rPr>
                <w:color w:val="000000" w:themeColor="text1"/>
                <w:sz w:val="21"/>
                <w:szCs w:val="21"/>
                <w14:textFill>
                  <w14:solidFill>
                    <w14:schemeClr w14:val="tx1"/>
                  </w14:solidFill>
                </w14:textFill>
              </w:rPr>
              <w:t>大火，直接经济损失</w:t>
            </w:r>
            <w:r>
              <w:rPr>
                <w:rFonts w:ascii="Times New Roman" w:hAnsi="Times New Roman" w:eastAsia="Times New Roman" w:cs="Times New Roman"/>
                <w:color w:val="000000" w:themeColor="text1"/>
                <w:sz w:val="21"/>
                <w:szCs w:val="21"/>
                <w14:textFill>
                  <w14:solidFill>
                    <w14:schemeClr w14:val="tx1"/>
                  </w14:solidFill>
                </w14:textFill>
              </w:rPr>
              <w:t>39</w:t>
            </w:r>
            <w:r>
              <w:rPr>
                <w:color w:val="000000" w:themeColor="text1"/>
                <w:sz w:val="21"/>
                <w:szCs w:val="21"/>
                <w14:textFill>
                  <w14:solidFill>
                    <w14:schemeClr w14:val="tx1"/>
                  </w14:solidFill>
                </w14:textFill>
              </w:rPr>
              <w:t>多万元，两个</w:t>
            </w:r>
            <w:r>
              <w:rPr>
                <w:color w:val="000000" w:themeColor="text1"/>
                <w:spacing w:val="-2"/>
                <w:sz w:val="21"/>
                <w:szCs w:val="21"/>
                <w14:textFill>
                  <w14:solidFill>
                    <w14:schemeClr w14:val="tx1"/>
                  </w14:solidFill>
                </w14:textFill>
              </w:rPr>
              <w:t>装置停车，燃烧烟气污染了周围环境。</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由表</w:t>
      </w:r>
      <w:r>
        <w:rPr>
          <w:color w:val="000000" w:themeColor="text1"/>
          <w:spacing w:val="-42"/>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8"/>
          <w:sz w:val="24"/>
          <w:szCs w:val="24"/>
          <w14:textFill>
            <w14:solidFill>
              <w14:schemeClr w14:val="tx1"/>
            </w14:solidFill>
          </w14:textFill>
        </w:rPr>
        <w:t>4-4</w:t>
      </w:r>
      <w:r>
        <w:rPr>
          <w:color w:val="000000" w:themeColor="text1"/>
          <w:spacing w:val="8"/>
          <w:sz w:val="24"/>
          <w:szCs w:val="24"/>
          <w14:textFill>
            <w14:solidFill>
              <w14:schemeClr w14:val="tx1"/>
            </w14:solidFill>
          </w14:textFill>
        </w:rPr>
        <w:t>可知，一旦发生油罐火灾爆炸后果十分严重，造</w:t>
      </w:r>
      <w:r>
        <w:rPr>
          <w:color w:val="000000" w:themeColor="text1"/>
          <w:spacing w:val="7"/>
          <w:sz w:val="24"/>
          <w:szCs w:val="24"/>
          <w14:textFill>
            <w14:solidFill>
              <w14:schemeClr w14:val="tx1"/>
            </w14:solidFill>
          </w14:textFill>
        </w:rPr>
        <w:t>成环境影响较大。</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4.2 </w:t>
      </w:r>
      <w:r>
        <w:rPr>
          <w:b/>
          <w:bCs/>
          <w:color w:val="000000" w:themeColor="text1"/>
          <w:spacing w:val="6"/>
          <w:sz w:val="24"/>
          <w:szCs w:val="24"/>
          <w14:textFill>
            <w14:solidFill>
              <w14:schemeClr w14:val="tx1"/>
            </w14:solidFill>
          </w14:textFill>
        </w:rPr>
        <w:t>物质危险性识别</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color w:val="000000" w:themeColor="text1"/>
          <w:sz w:val="20"/>
          <w:szCs w:val="20"/>
          <w14:textFill>
            <w14:solidFill>
              <w14:schemeClr w14:val="tx1"/>
            </w14:solidFill>
          </w14:textFill>
        </w:rPr>
      </w:pPr>
      <w:r>
        <w:rPr>
          <w:color w:val="000000" w:themeColor="text1"/>
          <w:spacing w:val="8"/>
          <w:sz w:val="24"/>
          <w:szCs w:val="24"/>
          <w14:textFill>
            <w14:solidFill>
              <w14:schemeClr w14:val="tx1"/>
            </w14:solidFill>
          </w14:textFill>
        </w:rPr>
        <w:t>项目涉及风险物质的危险特性见下表：</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pacing w:val="-1"/>
          <w:sz w:val="21"/>
          <w:szCs w:val="21"/>
          <w14:textFill>
            <w14:solidFill>
              <w14:schemeClr w14:val="tx1"/>
            </w14:solidFill>
          </w14:textFill>
        </w:rPr>
        <w:t>表 4-5  风险物质的理化性质</w:t>
      </w:r>
    </w:p>
    <w:p>
      <w:pPr>
        <w:spacing w:line="30" w:lineRule="exact"/>
        <w:rPr>
          <w:color w:val="000000" w:themeColor="text1"/>
          <w14:textFill>
            <w14:solidFill>
              <w14:schemeClr w14:val="tx1"/>
            </w14:solidFill>
          </w14:textFill>
        </w:rPr>
      </w:pPr>
    </w:p>
    <w:tbl>
      <w:tblPr>
        <w:tblStyle w:val="99"/>
        <w:tblW w:w="873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6"/>
        <w:gridCol w:w="2105"/>
        <w:gridCol w:w="749"/>
        <w:gridCol w:w="3912"/>
        <w:gridCol w:w="125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716"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序号</w:t>
            </w:r>
          </w:p>
        </w:tc>
        <w:tc>
          <w:tcPr>
            <w:tcW w:w="2105"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危险物质</w:t>
            </w:r>
          </w:p>
        </w:tc>
        <w:tc>
          <w:tcPr>
            <w:tcW w:w="749"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性状</w:t>
            </w:r>
          </w:p>
        </w:tc>
        <w:tc>
          <w:tcPr>
            <w:tcW w:w="3912"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危险特性</w:t>
            </w:r>
          </w:p>
        </w:tc>
        <w:tc>
          <w:tcPr>
            <w:tcW w:w="1255" w:type="dxa"/>
            <w:tcBorders>
              <w:top w:val="single" w:color="000000" w:sz="10" w:space="0"/>
              <w:right w:val="nil"/>
            </w:tcBorders>
            <w:vAlign w:val="center"/>
          </w:tcPr>
          <w:p>
            <w:pPr>
              <w:pStyle w:val="96"/>
              <w:spacing w:before="94" w:line="219" w:lineRule="auto"/>
              <w:ind w:left="23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分布情况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6" w:hRule="atLeast"/>
          <w:jc w:val="center"/>
        </w:trPr>
        <w:tc>
          <w:tcPr>
            <w:tcW w:w="716" w:type="dxa"/>
            <w:tcBorders>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1</w:t>
            </w:r>
          </w:p>
        </w:tc>
        <w:tc>
          <w:tcPr>
            <w:tcW w:w="2105"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油类物质（</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汽油组分油</w:t>
            </w:r>
            <w:r>
              <w:rPr>
                <w:rFonts w:hint="default" w:ascii="Times New Roman" w:hAnsi="Times New Roman" w:cs="Times New Roman"/>
                <w:color w:val="000000" w:themeColor="text1"/>
                <w:spacing w:val="-4"/>
                <w:sz w:val="21"/>
                <w:szCs w:val="21"/>
                <w14:textFill>
                  <w14:solidFill>
                    <w14:schemeClr w14:val="tx1"/>
                  </w14:solidFill>
                </w14:textFill>
              </w:rPr>
              <w:t>）</w:t>
            </w:r>
          </w:p>
        </w:tc>
        <w:tc>
          <w:tcPr>
            <w:tcW w:w="749"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液体</w:t>
            </w:r>
          </w:p>
        </w:tc>
        <w:tc>
          <w:tcPr>
            <w:tcW w:w="3912" w:type="dxa"/>
            <w:vMerge w:val="restart"/>
            <w:tcBorders>
              <w:bottom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遇明火、高热可燃有引起燃烧爆炸的危险，燃烧产物CO、SO</w:t>
            </w:r>
            <w:r>
              <w:rPr>
                <w:rFonts w:hint="default" w:ascii="Times New Roman" w:hAnsi="Times New Roman" w:cs="Times New Roman"/>
                <w:color w:val="000000" w:themeColor="text1"/>
                <w:spacing w:val="-4"/>
                <w:sz w:val="21"/>
                <w:szCs w:val="21"/>
                <w:vertAlign w:val="subscript"/>
                <w14:textFill>
                  <w14:solidFill>
                    <w14:schemeClr w14:val="tx1"/>
                  </w14:solidFill>
                </w14:textFill>
              </w:rPr>
              <w:t>2</w:t>
            </w:r>
          </w:p>
        </w:tc>
        <w:tc>
          <w:tcPr>
            <w:tcW w:w="1255"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罐区一</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jc w:val="center"/>
        </w:trPr>
        <w:tc>
          <w:tcPr>
            <w:tcW w:w="716" w:type="dxa"/>
            <w:tcBorders>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2</w:t>
            </w:r>
          </w:p>
        </w:tc>
        <w:tc>
          <w:tcPr>
            <w:tcW w:w="2105"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油类物质（柴油）</w:t>
            </w:r>
          </w:p>
        </w:tc>
        <w:tc>
          <w:tcPr>
            <w:tcW w:w="749"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液体</w:t>
            </w:r>
          </w:p>
        </w:tc>
        <w:tc>
          <w:tcPr>
            <w:tcW w:w="3912" w:type="dxa"/>
            <w:vMerge w:val="continue"/>
            <w:tcBorders>
              <w:top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p>
        </w:tc>
        <w:tc>
          <w:tcPr>
            <w:tcW w:w="1255"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罐区</w:t>
            </w:r>
            <w:r>
              <w:rPr>
                <w:rFonts w:hint="eastAsia" w:ascii="Times New Roman" w:hAnsi="Times New Roman" w:cs="Times New Roman"/>
                <w:color w:val="000000" w:themeColor="text1"/>
                <w:spacing w:val="-2"/>
                <w:sz w:val="21"/>
                <w:szCs w:val="21"/>
                <w:lang w:val="en-US" w:eastAsia="zh-CN"/>
                <w14:textFill>
                  <w14:solidFill>
                    <w14:schemeClr w14:val="tx1"/>
                  </w14:solidFill>
                </w14:textFill>
              </w:rPr>
              <w:t>罐区一、二、油气回收装置区、危废库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716" w:type="dxa"/>
            <w:tcBorders>
              <w:lef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3</w:t>
            </w:r>
          </w:p>
        </w:tc>
        <w:tc>
          <w:tcPr>
            <w:tcW w:w="2105"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CO</w:t>
            </w:r>
          </w:p>
        </w:tc>
        <w:tc>
          <w:tcPr>
            <w:tcW w:w="749"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气体</w:t>
            </w:r>
          </w:p>
        </w:tc>
        <w:tc>
          <w:tcPr>
            <w:tcW w:w="3912"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有毒，LC</w:t>
            </w:r>
            <w:r>
              <w:rPr>
                <w:rFonts w:hint="default" w:ascii="Times New Roman" w:hAnsi="Times New Roman" w:cs="Times New Roman"/>
                <w:color w:val="000000" w:themeColor="text1"/>
                <w:spacing w:val="-4"/>
                <w:sz w:val="21"/>
                <w:szCs w:val="21"/>
                <w:vertAlign w:val="subscript"/>
                <w14:textFill>
                  <w14:solidFill>
                    <w14:schemeClr w14:val="tx1"/>
                  </w14:solidFill>
                </w14:textFill>
              </w:rPr>
              <w:t>50</w:t>
            </w:r>
            <w:r>
              <w:rPr>
                <w:rFonts w:hint="default" w:ascii="Times New Roman" w:hAnsi="Times New Roman" w:cs="Times New Roman"/>
                <w:color w:val="000000" w:themeColor="text1"/>
                <w:spacing w:val="-4"/>
                <w:sz w:val="21"/>
                <w:szCs w:val="21"/>
                <w14:textFill>
                  <w14:solidFill>
                    <w14:schemeClr w14:val="tx1"/>
                  </w14:solidFill>
                </w14:textFill>
              </w:rPr>
              <w:t>：1807ppm4小时(大鼠吸入)</w:t>
            </w:r>
          </w:p>
        </w:tc>
        <w:tc>
          <w:tcPr>
            <w:tcW w:w="1255" w:type="dxa"/>
            <w:vMerge w:val="restart"/>
            <w:tcBorders>
              <w:bottom w:val="nil"/>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firstLine="0" w:firstLineChars="0"/>
              <w:jc w:val="center"/>
              <w:textAlignment w:val="baseline"/>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1"/>
                <w:sz w:val="21"/>
                <w:szCs w:val="21"/>
                <w14:textFill>
                  <w14:solidFill>
                    <w14:schemeClr w14:val="tx1"/>
                  </w14:solidFill>
                </w14:textFill>
              </w:rPr>
              <w:t>火灾伴生产</w:t>
            </w:r>
            <w:r>
              <w:rPr>
                <w:rFonts w:hint="default" w:ascii="Times New Roman" w:hAnsi="Times New Roman" w:cs="Times New Roman"/>
                <w:color w:val="000000" w:themeColor="text1"/>
                <w:sz w:val="21"/>
                <w:szCs w:val="21"/>
                <w14:textFill>
                  <w14:solidFill>
                    <w14:schemeClr w14:val="tx1"/>
                  </w14:solidFill>
                </w14:textFill>
              </w:rPr>
              <w:t>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9" w:hRule="atLeast"/>
          <w:jc w:val="center"/>
        </w:trPr>
        <w:tc>
          <w:tcPr>
            <w:tcW w:w="716"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4</w:t>
            </w:r>
          </w:p>
        </w:tc>
        <w:tc>
          <w:tcPr>
            <w:tcW w:w="2105"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SO</w:t>
            </w:r>
            <w:r>
              <w:rPr>
                <w:rFonts w:hint="default" w:ascii="Times New Roman" w:hAnsi="Times New Roman" w:cs="Times New Roman"/>
                <w:color w:val="000000" w:themeColor="text1"/>
                <w:spacing w:val="-4"/>
                <w:sz w:val="21"/>
                <w:szCs w:val="21"/>
                <w:vertAlign w:val="subscript"/>
                <w14:textFill>
                  <w14:solidFill>
                    <w14:schemeClr w14:val="tx1"/>
                  </w14:solidFill>
                </w14:textFill>
              </w:rPr>
              <w:t>2</w:t>
            </w:r>
          </w:p>
        </w:tc>
        <w:tc>
          <w:tcPr>
            <w:tcW w:w="749"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气体</w:t>
            </w:r>
          </w:p>
        </w:tc>
        <w:tc>
          <w:tcPr>
            <w:tcW w:w="3912"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属中等毒类 LD</w:t>
            </w:r>
            <w:r>
              <w:rPr>
                <w:rFonts w:hint="default" w:ascii="Times New Roman" w:hAnsi="Times New Roman" w:cs="Times New Roman"/>
                <w:color w:val="000000" w:themeColor="text1"/>
                <w:spacing w:val="-4"/>
                <w:sz w:val="21"/>
                <w:szCs w:val="21"/>
                <w:vertAlign w:val="subscript"/>
                <w14:textFill>
                  <w14:solidFill>
                    <w14:schemeClr w14:val="tx1"/>
                  </w14:solidFill>
                </w14:textFill>
              </w:rPr>
              <w:t>50</w:t>
            </w:r>
            <w:r>
              <w:rPr>
                <w:rFonts w:hint="default" w:ascii="Times New Roman" w:hAnsi="Times New Roman" w:cs="Times New Roman"/>
                <w:color w:val="000000" w:themeColor="text1"/>
                <w:spacing w:val="-4"/>
                <w:sz w:val="21"/>
                <w:szCs w:val="21"/>
                <w14:textFill>
                  <w14:solidFill>
                    <w14:schemeClr w14:val="tx1"/>
                  </w14:solidFill>
                </w14:textFill>
              </w:rPr>
              <w:t>：LC</w:t>
            </w:r>
            <w:r>
              <w:rPr>
                <w:rFonts w:hint="default" w:ascii="Times New Roman" w:hAnsi="Times New Roman" w:cs="Times New Roman"/>
                <w:color w:val="000000" w:themeColor="text1"/>
                <w:spacing w:val="-4"/>
                <w:sz w:val="21"/>
                <w:szCs w:val="21"/>
                <w:vertAlign w:val="subscript"/>
                <w14:textFill>
                  <w14:solidFill>
                    <w14:schemeClr w14:val="tx1"/>
                  </w14:solidFill>
                </w14:textFill>
              </w:rPr>
              <w:t>50</w:t>
            </w:r>
            <w:r>
              <w:rPr>
                <w:rFonts w:hint="default" w:ascii="Times New Roman" w:hAnsi="Times New Roman" w:cs="Times New Roman"/>
                <w:color w:val="000000" w:themeColor="text1"/>
                <w:spacing w:val="-4"/>
                <w:sz w:val="21"/>
                <w:szCs w:val="21"/>
                <w14:textFill>
                  <w14:solidFill>
                    <w14:schemeClr w14:val="tx1"/>
                  </w14:solidFill>
                </w14:textFill>
              </w:rPr>
              <w:t>：2520ppm 1 小时(大 鼠吸入)</w:t>
            </w:r>
          </w:p>
        </w:tc>
        <w:tc>
          <w:tcPr>
            <w:tcW w:w="1255" w:type="dxa"/>
            <w:vMerge w:val="continue"/>
            <w:tcBorders>
              <w:top w:val="nil"/>
              <w:bottom w:val="single" w:color="000000" w:sz="10" w:space="0"/>
              <w:right w:val="nil"/>
            </w:tcBorders>
            <w:vAlign w:val="center"/>
          </w:tcPr>
          <w:p>
            <w:pPr>
              <w:jc w:val="center"/>
              <w:rPr>
                <w:rFonts w:hint="default" w:ascii="Times New Roman" w:hAnsi="Times New Roman" w:cs="Times New Roman"/>
                <w:color w:val="000000" w:themeColor="text1"/>
                <w:sz w:val="21"/>
                <w:szCs w:val="21"/>
                <w14:textFill>
                  <w14:solidFill>
                    <w14:schemeClr w14:val="tx1"/>
                  </w14:solidFill>
                </w14:textFill>
              </w:rPr>
            </w:pP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45"/>
        <w:jc w:val="both"/>
        <w:textAlignment w:val="auto"/>
        <w:rPr>
          <w:color w:val="000000" w:themeColor="text1"/>
          <w:sz w:val="24"/>
          <w:szCs w:val="24"/>
          <w14:textFill>
            <w14:solidFill>
              <w14:schemeClr w14:val="tx1"/>
            </w14:solidFill>
          </w14:textFill>
        </w:rPr>
      </w:pPr>
      <w:r>
        <w:rPr>
          <w:color w:val="000000" w:themeColor="text1"/>
          <w:spacing w:val="12"/>
          <w:sz w:val="24"/>
          <w:szCs w:val="24"/>
          <w14:textFill>
            <w14:solidFill>
              <w14:schemeClr w14:val="tx1"/>
            </w14:solidFill>
          </w14:textFill>
        </w:rPr>
        <w:t>由表可见，项目涉及物料属油类危险物质，具有可燃爆炸危险性，燃烧伴生有害气体</w:t>
      </w:r>
      <w:r>
        <w:rPr>
          <w:rFonts w:ascii="Times New Roman" w:hAnsi="Times New Roman" w:eastAsia="Times New Roman" w:cs="Times New Roman"/>
          <w:color w:val="000000" w:themeColor="text1"/>
          <w:sz w:val="24"/>
          <w:szCs w:val="24"/>
          <w14:textFill>
            <w14:solidFill>
              <w14:schemeClr w14:val="tx1"/>
            </w14:solidFill>
          </w14:textFill>
        </w:rPr>
        <w:t>CO</w:t>
      </w:r>
      <w:r>
        <w:rPr>
          <w:color w:val="000000" w:themeColor="text1"/>
          <w:spacing w:val="7"/>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SO</w:t>
      </w:r>
      <w:r>
        <w:rPr>
          <w:rFonts w:ascii="Times New Roman" w:hAnsi="Times New Roman" w:eastAsia="Times New Roman" w:cs="Times New Roman"/>
          <w:color w:val="000000" w:themeColor="text1"/>
          <w:spacing w:val="7"/>
          <w:position w:val="-1"/>
          <w:sz w:val="24"/>
          <w:szCs w:val="24"/>
          <w:vertAlign w:val="subscript"/>
          <w14:textFill>
            <w14:solidFill>
              <w14:schemeClr w14:val="tx1"/>
            </w14:solidFill>
          </w14:textFill>
        </w:rPr>
        <w:t>2</w:t>
      </w:r>
      <w:r>
        <w:rPr>
          <w:color w:val="000000" w:themeColor="text1"/>
          <w:spacing w:val="7"/>
          <w:sz w:val="24"/>
          <w:szCs w:val="24"/>
          <w14:textFill>
            <w14:solidFill>
              <w14:schemeClr w14:val="tx1"/>
            </w14:solidFill>
          </w14:textFill>
        </w:rPr>
        <w:t>产生；油类进入地表水体，在水面上形成油膜，阻隔大气与水体之间的气体交换；</w:t>
      </w:r>
      <w:r>
        <w:rPr>
          <w:color w:val="000000" w:themeColor="text1"/>
          <w:spacing w:val="9"/>
          <w:sz w:val="24"/>
          <w:szCs w:val="24"/>
          <w14:textFill>
            <w14:solidFill>
              <w14:schemeClr w14:val="tx1"/>
            </w14:solidFill>
          </w14:textFill>
        </w:rPr>
        <w:t>同时油品中含有多种有毒成分，这些有毒物质可以直接造成水生生物中毒死亡。</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4.3</w:t>
      </w:r>
      <w:r>
        <w:rPr>
          <w:b/>
          <w:bCs/>
          <w:color w:val="000000" w:themeColor="text1"/>
          <w:spacing w:val="6"/>
          <w:sz w:val="24"/>
          <w:szCs w:val="24"/>
          <w14:textFill>
            <w14:solidFill>
              <w14:schemeClr w14:val="tx1"/>
            </w14:solidFill>
          </w14:textFill>
        </w:rPr>
        <w:t>生产系统危险性识别</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0"/>
          <w:szCs w:val="20"/>
          <w14:textFill>
            <w14:solidFill>
              <w14:schemeClr w14:val="tx1"/>
            </w14:solidFill>
          </w14:textFill>
        </w:rPr>
      </w:pPr>
      <w:r>
        <w:rPr>
          <w:color w:val="000000" w:themeColor="text1"/>
          <w:spacing w:val="6"/>
          <w:sz w:val="24"/>
          <w:szCs w:val="24"/>
          <w14:textFill>
            <w14:solidFill>
              <w14:schemeClr w14:val="tx1"/>
            </w14:solidFill>
          </w14:textFill>
        </w:rPr>
        <w:t>具体见下表：</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0"/>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4-6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生产系统危险性识别</w:t>
      </w:r>
    </w:p>
    <w:p>
      <w:pPr>
        <w:spacing w:line="33" w:lineRule="exact"/>
        <w:rPr>
          <w:color w:val="000000" w:themeColor="text1"/>
          <w14:textFill>
            <w14:solidFill>
              <w14:schemeClr w14:val="tx1"/>
            </w14:solidFill>
          </w14:textFill>
        </w:rPr>
      </w:pPr>
    </w:p>
    <w:tbl>
      <w:tblPr>
        <w:tblStyle w:val="99"/>
        <w:tblW w:w="915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81"/>
        <w:gridCol w:w="1522"/>
        <w:gridCol w:w="912"/>
        <w:gridCol w:w="1219"/>
        <w:gridCol w:w="919"/>
        <w:gridCol w:w="1981"/>
        <w:gridCol w:w="172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jc w:val="center"/>
        </w:trPr>
        <w:tc>
          <w:tcPr>
            <w:tcW w:w="881" w:type="dxa"/>
            <w:vMerge w:val="restart"/>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41"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危险单</w:t>
            </w:r>
            <w:r>
              <w:rPr>
                <w:color w:val="000000" w:themeColor="text1"/>
                <w:spacing w:val="1"/>
                <w:sz w:val="21"/>
                <w:szCs w:val="21"/>
                <w14:textFill>
                  <w14:solidFill>
                    <w14:schemeClr w14:val="tx1"/>
                  </w14:solidFill>
                </w14:textFill>
              </w:rPr>
              <w:t xml:space="preserve"> </w:t>
            </w:r>
            <w:r>
              <w:rPr>
                <w:color w:val="000000" w:themeColor="text1"/>
                <w:sz w:val="21"/>
                <w:szCs w:val="21"/>
                <w14:textFill>
                  <w14:solidFill>
                    <w14:schemeClr w14:val="tx1"/>
                  </w14:solidFill>
                </w14:textFill>
              </w:rPr>
              <w:t>元</w:t>
            </w:r>
          </w:p>
        </w:tc>
        <w:tc>
          <w:tcPr>
            <w:tcW w:w="2434" w:type="dxa"/>
            <w:gridSpan w:val="2"/>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风险物质</w:t>
            </w:r>
          </w:p>
        </w:tc>
        <w:tc>
          <w:tcPr>
            <w:tcW w:w="4119" w:type="dxa"/>
            <w:gridSpan w:val="3"/>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潜在风险源</w:t>
            </w:r>
          </w:p>
        </w:tc>
        <w:tc>
          <w:tcPr>
            <w:tcW w:w="1723" w:type="dxa"/>
            <w:vMerge w:val="restart"/>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重点风险源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2" w:hRule="atLeast"/>
          <w:jc w:val="center"/>
        </w:trPr>
        <w:tc>
          <w:tcPr>
            <w:tcW w:w="881"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ascii="Arial"/>
                <w:color w:val="000000" w:themeColor="text1"/>
                <w:sz w:val="21"/>
                <w:szCs w:val="21"/>
                <w14:textFill>
                  <w14:solidFill>
                    <w14:schemeClr w14:val="tx1"/>
                  </w14:solidFill>
                </w14:textFill>
              </w:rPr>
            </w:pPr>
          </w:p>
        </w:tc>
        <w:tc>
          <w:tcPr>
            <w:tcW w:w="1522"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21"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名称</w:t>
            </w:r>
          </w:p>
        </w:tc>
        <w:tc>
          <w:tcPr>
            <w:tcW w:w="912"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8"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最大贮</w:t>
            </w:r>
            <w:r>
              <w:rPr>
                <w:color w:val="000000" w:themeColor="text1"/>
                <w:spacing w:val="1"/>
                <w:sz w:val="21"/>
                <w:szCs w:val="21"/>
                <w14:textFill>
                  <w14:solidFill>
                    <w14:schemeClr w14:val="tx1"/>
                  </w14:solidFill>
                </w14:textFill>
              </w:rPr>
              <w:t xml:space="preserve"> </w:t>
            </w:r>
            <w:r>
              <w:rPr>
                <w:color w:val="000000" w:themeColor="text1"/>
                <w:spacing w:val="-2"/>
                <w:sz w:val="21"/>
                <w:szCs w:val="21"/>
                <w14:textFill>
                  <w14:solidFill>
                    <w14:schemeClr w14:val="tx1"/>
                  </w14:solidFill>
                </w14:textFill>
              </w:rPr>
              <w:t>存量</w:t>
            </w:r>
            <w:r>
              <w:rPr>
                <w:rFonts w:ascii="Times New Roman" w:hAnsi="Times New Roman" w:eastAsia="Times New Roman" w:cs="Times New Roman"/>
                <w:color w:val="000000" w:themeColor="text1"/>
                <w:spacing w:val="-2"/>
                <w:sz w:val="21"/>
                <w:szCs w:val="21"/>
                <w14:textFill>
                  <w14:solidFill>
                    <w14:schemeClr w14:val="tx1"/>
                  </w14:solidFill>
                </w14:textFill>
              </w:rPr>
              <w:t>/t</w:t>
            </w:r>
          </w:p>
        </w:tc>
        <w:tc>
          <w:tcPr>
            <w:tcW w:w="1219"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21"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设施</w:t>
            </w:r>
          </w:p>
        </w:tc>
        <w:tc>
          <w:tcPr>
            <w:tcW w:w="919"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危险性</w:t>
            </w:r>
          </w:p>
        </w:tc>
        <w:tc>
          <w:tcPr>
            <w:tcW w:w="1981"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转化事故触发因素</w:t>
            </w:r>
          </w:p>
        </w:tc>
        <w:tc>
          <w:tcPr>
            <w:tcW w:w="1723"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ascii="Arial"/>
                <w:color w:val="000000" w:themeColor="text1"/>
                <w:sz w:val="21"/>
                <w:szCs w:val="21"/>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9" w:hRule="atLeast"/>
          <w:jc w:val="center"/>
        </w:trPr>
        <w:tc>
          <w:tcPr>
            <w:tcW w:w="881"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41" w:lineRule="auto"/>
              <w:ind w:left="0" w:right="0"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pacing w:val="-3"/>
                <w:sz w:val="21"/>
                <w:szCs w:val="21"/>
                <w:lang w:val="en-US" w:eastAsia="zh-CN"/>
                <w14:textFill>
                  <w14:solidFill>
                    <w14:schemeClr w14:val="tx1"/>
                  </w14:solidFill>
                </w14:textFill>
              </w:rPr>
              <w:t>罐区一</w:t>
            </w:r>
          </w:p>
        </w:tc>
        <w:tc>
          <w:tcPr>
            <w:tcW w:w="1522"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192"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油类物质（</w:t>
            </w:r>
            <w:r>
              <w:rPr>
                <w:rFonts w:hint="eastAsia"/>
                <w:color w:val="000000" w:themeColor="text1"/>
                <w:spacing w:val="-2"/>
                <w:sz w:val="21"/>
                <w:szCs w:val="21"/>
                <w:lang w:val="en-US" w:eastAsia="zh-CN"/>
                <w14:textFill>
                  <w14:solidFill>
                    <w14:schemeClr w14:val="tx1"/>
                  </w14:solidFill>
                </w14:textFill>
              </w:rPr>
              <w:t>汽油组分油、柴油</w:t>
            </w:r>
            <w:r>
              <w:rPr>
                <w:color w:val="000000" w:themeColor="text1"/>
                <w:spacing w:val="-2"/>
                <w:sz w:val="21"/>
                <w:szCs w:val="21"/>
                <w14:textFill>
                  <w14:solidFill>
                    <w14:schemeClr w14:val="tx1"/>
                  </w14:solidFill>
                </w14:textFill>
              </w:rPr>
              <w:t>）</w:t>
            </w:r>
          </w:p>
        </w:tc>
        <w:tc>
          <w:tcPr>
            <w:tcW w:w="9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hint="eastAsia"/>
                <w:color w:val="000000" w:themeColor="text1"/>
                <w:spacing w:val="-6"/>
                <w:sz w:val="21"/>
                <w:szCs w:val="21"/>
                <w:lang w:val="en-US" w:eastAsia="zh-CN"/>
                <w14:textFill>
                  <w14:solidFill>
                    <w14:schemeClr w14:val="tx1"/>
                  </w14:solidFill>
                </w14:textFill>
              </w:rPr>
              <w:t>5992.5</w:t>
            </w:r>
          </w:p>
        </w:tc>
        <w:tc>
          <w:tcPr>
            <w:tcW w:w="1219"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油品储罐</w:t>
            </w:r>
          </w:p>
        </w:tc>
        <w:tc>
          <w:tcPr>
            <w:tcW w:w="919"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color w:val="000000" w:themeColor="text1"/>
                <w:spacing w:val="-4"/>
                <w:sz w:val="21"/>
                <w:szCs w:val="21"/>
                <w14:textFill>
                  <w14:solidFill>
                    <w14:schemeClr w14:val="tx1"/>
                  </w14:solidFill>
                </w14:textFill>
              </w:rPr>
              <w:t>贮存</w:t>
            </w:r>
            <w:r>
              <w:rPr>
                <w:rFonts w:hint="eastAsia"/>
                <w:color w:val="000000" w:themeColor="text1"/>
                <w:spacing w:val="-4"/>
                <w:sz w:val="21"/>
                <w:szCs w:val="21"/>
                <w:lang w:eastAsia="zh-CN"/>
                <w14:textFill>
                  <w14:solidFill>
                    <w14:schemeClr w14:val="tx1"/>
                  </w14:solidFill>
                </w14:textFill>
              </w:rPr>
              <w:t>、</w:t>
            </w:r>
            <w:r>
              <w:rPr>
                <w:rFonts w:hint="eastAsia"/>
                <w:color w:val="000000" w:themeColor="text1"/>
                <w:spacing w:val="-4"/>
                <w:sz w:val="21"/>
                <w:szCs w:val="21"/>
                <w:lang w:val="en-US" w:eastAsia="zh-CN"/>
                <w14:textFill>
                  <w14:solidFill>
                    <w14:schemeClr w14:val="tx1"/>
                  </w14:solidFill>
                </w14:textFill>
              </w:rPr>
              <w:t>调和</w:t>
            </w:r>
          </w:p>
        </w:tc>
        <w:tc>
          <w:tcPr>
            <w:tcW w:w="1981" w:type="dxa"/>
            <w:vMerge w:val="restart"/>
            <w:tcBorders>
              <w:top w:val="single" w:color="auto" w:sz="4" w:space="0"/>
              <w:left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违规操作、设备故障</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等因素等，造成油品</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泄漏、火灾爆炸安全</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事故发生</w:t>
            </w:r>
          </w:p>
        </w:tc>
        <w:tc>
          <w:tcPr>
            <w:tcW w:w="1723"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2</w:t>
            </w:r>
            <w:r>
              <w:rPr>
                <w:rFonts w:ascii="Times New Roman" w:hAnsi="Times New Roman" w:eastAsia="Times New Roman" w:cs="Times New Roman"/>
                <w:color w:val="000000" w:themeColor="text1"/>
                <w:spacing w:val="-3"/>
                <w:sz w:val="21"/>
                <w:szCs w:val="21"/>
                <w14:textFill>
                  <w14:solidFill>
                    <w14:schemeClr w14:val="tx1"/>
                  </w14:solidFill>
                </w14:textFill>
              </w:rPr>
              <w:t>000</w:t>
            </w: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color w:val="000000" w:themeColor="text1"/>
                <w:spacing w:val="-3"/>
                <w:sz w:val="21"/>
                <w:szCs w:val="21"/>
                <w14:textFill>
                  <w14:solidFill>
                    <w14:schemeClr w14:val="tx1"/>
                  </w14:solidFill>
                </w14:textFill>
              </w:rPr>
              <w:t>内浮顶</w:t>
            </w:r>
            <w:r>
              <w:rPr>
                <w:rFonts w:hint="eastAsia"/>
                <w:color w:val="000000" w:themeColor="text1"/>
                <w:spacing w:val="-3"/>
                <w:sz w:val="21"/>
                <w:szCs w:val="21"/>
                <w:lang w:val="en-US" w:eastAsia="zh-CN"/>
                <w14:textFill>
                  <w14:solidFill>
                    <w14:schemeClr w14:val="tx1"/>
                  </w14:solidFill>
                </w14:textFill>
              </w:rPr>
              <w:t>柴油储</w:t>
            </w:r>
            <w:r>
              <w:rPr>
                <w:color w:val="000000" w:themeColor="text1"/>
                <w:spacing w:val="-3"/>
                <w:sz w:val="21"/>
                <w:szCs w:val="21"/>
                <w14:textFill>
                  <w14:solidFill>
                    <w14:schemeClr w14:val="tx1"/>
                  </w14:solidFill>
                </w14:textFill>
              </w:rPr>
              <w:t>罐</w:t>
            </w:r>
            <w:r>
              <w:rPr>
                <w:rFonts w:hint="eastAsia"/>
                <w:color w:val="000000" w:themeColor="text1"/>
                <w:spacing w:val="-3"/>
                <w:sz w:val="21"/>
                <w:szCs w:val="21"/>
                <w:lang w:eastAsia="zh-CN"/>
                <w14:textFill>
                  <w14:solidFill>
                    <w14:schemeClr w14:val="tx1"/>
                  </w14:solidFill>
                </w14:textFill>
              </w:rPr>
              <w:t>、</w:t>
            </w:r>
            <w:r>
              <w:rPr>
                <w:rFonts w:hint="eastAsia"/>
                <w:color w:val="000000" w:themeColor="text1"/>
                <w:spacing w:val="-3"/>
                <w:sz w:val="21"/>
                <w:szCs w:val="21"/>
                <w:lang w:val="en-US" w:eastAsia="zh-CN"/>
                <w14:textFill>
                  <w14:solidFill>
                    <w14:schemeClr w14:val="tx1"/>
                  </w14:solidFill>
                </w14:textFill>
              </w:rPr>
              <w:t>500m³内浮顶汽油组分油储罐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jc w:val="center"/>
        </w:trPr>
        <w:tc>
          <w:tcPr>
            <w:tcW w:w="881"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188" w:lineRule="auto"/>
              <w:ind w:left="0" w:right="0"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pacing w:val="-3"/>
                <w:sz w:val="21"/>
                <w:szCs w:val="21"/>
                <w:lang w:val="en-US" w:eastAsia="zh-CN"/>
                <w14:textFill>
                  <w14:solidFill>
                    <w14:schemeClr w14:val="tx1"/>
                  </w14:solidFill>
                </w14:textFill>
              </w:rPr>
              <w:t>罐区二</w:t>
            </w:r>
          </w:p>
        </w:tc>
        <w:tc>
          <w:tcPr>
            <w:tcW w:w="1522"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油类物质（柴</w:t>
            </w:r>
          </w:p>
          <w:p>
            <w:pPr>
              <w:pStyle w:val="96"/>
              <w:keepNext w:val="0"/>
              <w:keepLines w:val="0"/>
              <w:pageBreakBefore w:val="0"/>
              <w:widowControl w:val="0"/>
              <w:kinsoku/>
              <w:wordWrap/>
              <w:overflowPunct/>
              <w:topLinePunct w:val="0"/>
              <w:autoSpaceDE/>
              <w:autoSpaceDN/>
              <w:bidi w:val="0"/>
              <w:spacing w:beforeLines="0" w:afterLines="0" w:line="188"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油）</w:t>
            </w:r>
          </w:p>
        </w:tc>
        <w:tc>
          <w:tcPr>
            <w:tcW w:w="9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8568</w:t>
            </w:r>
          </w:p>
        </w:tc>
        <w:tc>
          <w:tcPr>
            <w:tcW w:w="1219"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油品储罐</w:t>
            </w:r>
          </w:p>
        </w:tc>
        <w:tc>
          <w:tcPr>
            <w:tcW w:w="919"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贮存</w:t>
            </w:r>
          </w:p>
        </w:tc>
        <w:tc>
          <w:tcPr>
            <w:tcW w:w="1981"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szCs w:val="21"/>
                <w14:textFill>
                  <w14:solidFill>
                    <w14:schemeClr w14:val="tx1"/>
                  </w14:solidFill>
                </w14:textFill>
              </w:rPr>
            </w:pPr>
          </w:p>
        </w:tc>
        <w:tc>
          <w:tcPr>
            <w:tcW w:w="1723"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2</w:t>
            </w:r>
            <w:r>
              <w:rPr>
                <w:rFonts w:ascii="Times New Roman" w:hAnsi="Times New Roman" w:eastAsia="Times New Roman" w:cs="Times New Roman"/>
                <w:color w:val="000000" w:themeColor="text1"/>
                <w:spacing w:val="-3"/>
                <w:sz w:val="21"/>
                <w:szCs w:val="21"/>
                <w14:textFill>
                  <w14:solidFill>
                    <w14:schemeClr w14:val="tx1"/>
                  </w14:solidFill>
                </w14:textFill>
              </w:rPr>
              <w:t>000</w:t>
            </w:r>
            <w: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color w:val="000000" w:themeColor="text1"/>
                <w:spacing w:val="-3"/>
                <w:sz w:val="21"/>
                <w:szCs w:val="21"/>
                <w14:textFill>
                  <w14:solidFill>
                    <w14:schemeClr w14:val="tx1"/>
                  </w14:solidFill>
                </w14:textFill>
              </w:rPr>
              <w:t>内浮顶柴</w:t>
            </w:r>
            <w:r>
              <w:rPr>
                <w:color w:val="000000" w:themeColor="text1"/>
                <w:spacing w:val="-5"/>
                <w:sz w:val="21"/>
                <w:szCs w:val="21"/>
                <w14:textFill>
                  <w14:solidFill>
                    <w14:schemeClr w14:val="tx1"/>
                  </w14:solidFill>
                </w14:textFill>
              </w:rPr>
              <w:t>油罐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jc w:val="center"/>
        </w:trPr>
        <w:tc>
          <w:tcPr>
            <w:tcW w:w="881"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leftChars="0" w:right="0" w:rightChars="0" w:firstLine="0" w:firstLineChars="0"/>
              <w:jc w:val="center"/>
              <w:rPr>
                <w:rFonts w:hint="eastAsia"/>
                <w:color w:val="000000" w:themeColor="text1"/>
                <w:spacing w:val="-3"/>
                <w:sz w:val="21"/>
                <w:szCs w:val="21"/>
                <w:lang w:val="en-US" w:eastAsia="zh-CN"/>
                <w14:textFill>
                  <w14:solidFill>
                    <w14:schemeClr w14:val="tx1"/>
                  </w14:solidFill>
                </w14:textFill>
              </w:rPr>
            </w:pPr>
            <w:r>
              <w:rPr>
                <w:rFonts w:hint="eastAsia"/>
                <w:color w:val="000000" w:themeColor="text1"/>
                <w:spacing w:val="-3"/>
                <w:sz w:val="21"/>
                <w:szCs w:val="21"/>
                <w:lang w:val="en-US" w:eastAsia="zh-CN"/>
                <w14:textFill>
                  <w14:solidFill>
                    <w14:schemeClr w14:val="tx1"/>
                  </w14:solidFill>
                </w14:textFill>
              </w:rPr>
              <w:t>油气回收装置区</w:t>
            </w:r>
          </w:p>
        </w:tc>
        <w:tc>
          <w:tcPr>
            <w:tcW w:w="1522"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leftChars="0" w:right="0" w:rightChars="0" w:firstLine="0" w:firstLineChars="0"/>
              <w:jc w:val="center"/>
              <w:rPr>
                <w:color w:val="000000" w:themeColor="text1"/>
                <w:spacing w:val="-5"/>
                <w:sz w:val="21"/>
                <w:szCs w:val="21"/>
                <w14:textFill>
                  <w14:solidFill>
                    <w14:schemeClr w14:val="tx1"/>
                  </w14:solidFill>
                </w14:textFill>
              </w:rPr>
            </w:pPr>
            <w:r>
              <w:rPr>
                <w:rFonts w:hint="eastAsia"/>
                <w:color w:val="000000" w:themeColor="text1"/>
                <w:spacing w:val="-5"/>
                <w:sz w:val="21"/>
                <w:szCs w:val="21"/>
                <w:lang w:val="en-US" w:eastAsia="zh-CN"/>
                <w14:textFill>
                  <w14:solidFill>
                    <w14:schemeClr w14:val="tx1"/>
                  </w14:solidFill>
                </w14:textFill>
              </w:rPr>
              <w:t>活性炭、</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油类物质</w:t>
            </w:r>
          </w:p>
        </w:tc>
        <w:tc>
          <w:tcPr>
            <w:tcW w:w="9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cs="Times New Roman"/>
                <w:color w:val="000000" w:themeColor="text1"/>
                <w:spacing w:val="-3"/>
                <w:sz w:val="21"/>
                <w:szCs w:val="21"/>
                <w:lang w:val="en-US" w:eastAsia="zh-CN"/>
                <w14:textFill>
                  <w14:solidFill>
                    <w14:schemeClr w14:val="tx1"/>
                  </w14:solidFill>
                </w14:textFill>
              </w:rPr>
              <w:t>10t</w:t>
            </w:r>
          </w:p>
        </w:tc>
        <w:tc>
          <w:tcPr>
            <w:tcW w:w="1219"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color w:val="000000" w:themeColor="text1"/>
                <w:spacing w:val="-3"/>
                <w:sz w:val="21"/>
                <w:szCs w:val="21"/>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吸附塔</w:t>
            </w:r>
          </w:p>
        </w:tc>
        <w:tc>
          <w:tcPr>
            <w:tcW w:w="91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leftChars="0" w:right="0" w:rightChars="0" w:firstLine="0" w:firstLineChars="0"/>
              <w:jc w:val="center"/>
              <w:textAlignment w:val="auto"/>
              <w:rPr>
                <w:color w:val="000000" w:themeColor="text1"/>
                <w:spacing w:val="-4"/>
                <w:sz w:val="21"/>
                <w:szCs w:val="21"/>
                <w14:textFill>
                  <w14:solidFill>
                    <w14:schemeClr w14:val="tx1"/>
                  </w14:solidFill>
                </w14:textFill>
              </w:rPr>
            </w:pPr>
            <w:r>
              <w:rPr>
                <w:color w:val="000000" w:themeColor="text1"/>
                <w:spacing w:val="-4"/>
                <w:sz w:val="21"/>
                <w:szCs w:val="21"/>
                <w14:textFill>
                  <w14:solidFill>
                    <w14:schemeClr w14:val="tx1"/>
                  </w14:solidFill>
                </w14:textFill>
              </w:rPr>
              <w:t>贮存</w:t>
            </w:r>
          </w:p>
        </w:tc>
        <w:tc>
          <w:tcPr>
            <w:tcW w:w="1981"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ascii="Arial"/>
                <w:color w:val="000000" w:themeColor="text1"/>
                <w:sz w:val="21"/>
                <w:szCs w:val="21"/>
                <w14:textFill>
                  <w14:solidFill>
                    <w14:schemeClr w14:val="tx1"/>
                  </w14:solidFill>
                </w14:textFill>
              </w:rPr>
            </w:pPr>
          </w:p>
        </w:tc>
        <w:tc>
          <w:tcPr>
            <w:tcW w:w="1723"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吸附塔</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jc w:val="center"/>
        </w:trPr>
        <w:tc>
          <w:tcPr>
            <w:tcW w:w="881"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color w:val="000000" w:themeColor="text1"/>
                <w:spacing w:val="-3"/>
                <w:sz w:val="21"/>
                <w:szCs w:val="21"/>
                <w:lang w:val="en-US" w:eastAsia="zh-CN"/>
                <w14:textFill>
                  <w14:solidFill>
                    <w14:schemeClr w14:val="tx1"/>
                  </w14:solidFill>
                </w14:textFill>
              </w:rPr>
            </w:pPr>
            <w:r>
              <w:rPr>
                <w:rFonts w:hint="eastAsia"/>
                <w:color w:val="000000" w:themeColor="text1"/>
                <w:spacing w:val="-3"/>
                <w:sz w:val="21"/>
                <w:szCs w:val="21"/>
                <w:lang w:val="en-US" w:eastAsia="zh-CN"/>
                <w14:textFill>
                  <w14:solidFill>
                    <w14:schemeClr w14:val="tx1"/>
                  </w14:solidFill>
                </w14:textFill>
              </w:rPr>
              <w:t>危废库</w:t>
            </w:r>
          </w:p>
        </w:tc>
        <w:tc>
          <w:tcPr>
            <w:tcW w:w="1522"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eastAsia" w:eastAsia="宋体"/>
                <w:color w:val="000000" w:themeColor="text1"/>
                <w:spacing w:val="-5"/>
                <w:sz w:val="21"/>
                <w:szCs w:val="21"/>
                <w:lang w:val="en-US" w:eastAsia="zh-CN"/>
                <w14:textFill>
                  <w14:solidFill>
                    <w14:schemeClr w14:val="tx1"/>
                  </w14:solidFill>
                </w14:textFill>
              </w:rPr>
            </w:pPr>
            <w:r>
              <w:rPr>
                <w:rFonts w:hint="eastAsia"/>
                <w:color w:val="000000" w:themeColor="text1"/>
                <w:spacing w:val="-5"/>
                <w:sz w:val="21"/>
                <w:szCs w:val="21"/>
                <w:lang w:val="en-US" w:eastAsia="zh-CN"/>
                <w14:textFill>
                  <w14:solidFill>
                    <w14:schemeClr w14:val="tx1"/>
                  </w14:solidFill>
                </w14:textFill>
              </w:rPr>
              <w:t>废活性炭</w:t>
            </w:r>
          </w:p>
        </w:tc>
        <w:tc>
          <w:tcPr>
            <w:tcW w:w="9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cs="Times New Roman"/>
                <w:color w:val="000000" w:themeColor="text1"/>
                <w:spacing w:val="-3"/>
                <w:sz w:val="21"/>
                <w:szCs w:val="21"/>
                <w:lang w:val="en-US" w:eastAsia="zh-CN"/>
                <w14:textFill>
                  <w14:solidFill>
                    <w14:schemeClr w14:val="tx1"/>
                  </w14:solidFill>
                </w14:textFill>
              </w:rPr>
              <w:t>10t</w:t>
            </w:r>
          </w:p>
        </w:tc>
        <w:tc>
          <w:tcPr>
            <w:tcW w:w="1219"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color w:val="000000" w:themeColor="text1"/>
                <w:spacing w:val="-3"/>
                <w:sz w:val="21"/>
                <w:szCs w:val="21"/>
                <w14:textFill>
                  <w14:solidFill>
                    <w14:schemeClr w14:val="tx1"/>
                  </w14:solidFill>
                </w14:textFill>
              </w:rPr>
            </w:pPr>
            <w:r>
              <w:rPr>
                <w:rFonts w:hint="eastAsia"/>
                <w:color w:val="000000" w:themeColor="text1"/>
                <w:spacing w:val="-3"/>
                <w:sz w:val="21"/>
                <w:szCs w:val="21"/>
                <w:lang w:val="en-US" w:eastAsia="zh-CN"/>
                <w14:textFill>
                  <w14:solidFill>
                    <w14:schemeClr w14:val="tx1"/>
                  </w14:solidFill>
                </w14:textFill>
              </w:rPr>
              <w:t>危废库</w:t>
            </w:r>
          </w:p>
        </w:tc>
        <w:tc>
          <w:tcPr>
            <w:tcW w:w="91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color w:val="000000" w:themeColor="text1"/>
                <w:spacing w:val="-4"/>
                <w:sz w:val="21"/>
                <w:szCs w:val="21"/>
                <w14:textFill>
                  <w14:solidFill>
                    <w14:schemeClr w14:val="tx1"/>
                  </w14:solidFill>
                </w14:textFill>
              </w:rPr>
            </w:pPr>
            <w:r>
              <w:rPr>
                <w:color w:val="000000" w:themeColor="text1"/>
                <w:spacing w:val="-4"/>
                <w:sz w:val="21"/>
                <w:szCs w:val="21"/>
                <w14:textFill>
                  <w14:solidFill>
                    <w14:schemeClr w14:val="tx1"/>
                  </w14:solidFill>
                </w14:textFill>
              </w:rPr>
              <w:t>贮存</w:t>
            </w:r>
          </w:p>
        </w:tc>
        <w:tc>
          <w:tcPr>
            <w:tcW w:w="198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eastAsia" w:ascii="Arial"/>
                <w:color w:val="000000" w:themeColor="text1"/>
                <w:sz w:val="21"/>
                <w:szCs w:val="21"/>
                <w14:textFill>
                  <w14:solidFill>
                    <w14:schemeClr w14:val="tx1"/>
                  </w14:solidFill>
                </w14:textFill>
              </w:rPr>
            </w:pPr>
            <w:r>
              <w:rPr>
                <w:rFonts w:hint="eastAsia" w:ascii="Arial"/>
                <w:color w:val="000000" w:themeColor="text1"/>
                <w:sz w:val="21"/>
                <w:szCs w:val="21"/>
                <w14:textFill>
                  <w14:solidFill>
                    <w14:schemeClr w14:val="tx1"/>
                  </w14:solidFill>
                </w14:textFill>
              </w:rPr>
              <w:t>火灾爆炸安全</w:t>
            </w:r>
          </w:p>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szCs w:val="21"/>
                <w14:textFill>
                  <w14:solidFill>
                    <w14:schemeClr w14:val="tx1"/>
                  </w14:solidFill>
                </w14:textFill>
              </w:rPr>
            </w:pPr>
            <w:r>
              <w:rPr>
                <w:rFonts w:hint="eastAsia" w:ascii="Arial"/>
                <w:color w:val="000000" w:themeColor="text1"/>
                <w:sz w:val="21"/>
                <w:szCs w:val="21"/>
                <w14:textFill>
                  <w14:solidFill>
                    <w14:schemeClr w14:val="tx1"/>
                  </w14:solidFill>
                </w14:textFill>
              </w:rPr>
              <w:t>事故发生</w:t>
            </w:r>
          </w:p>
        </w:tc>
        <w:tc>
          <w:tcPr>
            <w:tcW w:w="1723"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color w:val="000000" w:themeColor="text1"/>
                <w:spacing w:val="-3"/>
                <w:sz w:val="21"/>
                <w:szCs w:val="21"/>
                <w:lang w:val="en-US" w:eastAsia="zh-CN"/>
                <w14:textFill>
                  <w14:solidFill>
                    <w14:schemeClr w14:val="tx1"/>
                  </w14:solidFill>
                </w14:textFill>
              </w:rPr>
              <w:t>危废库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jc w:val="center"/>
        </w:trPr>
        <w:tc>
          <w:tcPr>
            <w:tcW w:w="881"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color w:val="000000" w:themeColor="text1"/>
                <w:spacing w:val="-3"/>
                <w:sz w:val="21"/>
                <w:szCs w:val="21"/>
                <w:lang w:val="en-US" w:eastAsia="zh-CN"/>
                <w14:textFill>
                  <w14:solidFill>
                    <w14:schemeClr w14:val="tx1"/>
                  </w14:solidFill>
                </w14:textFill>
              </w:rPr>
            </w:pPr>
            <w:r>
              <w:rPr>
                <w:rFonts w:hint="eastAsia"/>
                <w:color w:val="000000" w:themeColor="text1"/>
                <w:spacing w:val="-3"/>
                <w:sz w:val="21"/>
                <w:szCs w:val="21"/>
                <w:lang w:val="en-US" w:eastAsia="zh-CN"/>
                <w14:textFill>
                  <w14:solidFill>
                    <w14:schemeClr w14:val="tx1"/>
                  </w14:solidFill>
                </w14:textFill>
              </w:rPr>
              <w:t>污水处理站</w:t>
            </w:r>
          </w:p>
        </w:tc>
        <w:tc>
          <w:tcPr>
            <w:tcW w:w="1522"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188" w:lineRule="auto"/>
              <w:ind w:left="0" w:right="0" w:firstLine="0" w:firstLineChars="0"/>
              <w:jc w:val="center"/>
              <w:rPr>
                <w:rFonts w:hint="eastAsia" w:eastAsia="宋体"/>
                <w:color w:val="000000" w:themeColor="text1"/>
                <w:spacing w:val="-5"/>
                <w:sz w:val="21"/>
                <w:szCs w:val="21"/>
                <w:lang w:val="en-US" w:eastAsia="zh-CN"/>
                <w14:textFill>
                  <w14:solidFill>
                    <w14:schemeClr w14:val="tx1"/>
                  </w14:solidFill>
                </w14:textFill>
              </w:rPr>
            </w:pPr>
            <w:r>
              <w:rPr>
                <w:rFonts w:hint="eastAsia"/>
                <w:color w:val="000000" w:themeColor="text1"/>
                <w:spacing w:val="-5"/>
                <w:sz w:val="21"/>
                <w:szCs w:val="21"/>
                <w:lang w:val="en-US" w:eastAsia="zh-CN"/>
                <w14:textFill>
                  <w14:solidFill>
                    <w14:schemeClr w14:val="tx1"/>
                  </w14:solidFill>
                </w14:textFill>
              </w:rPr>
              <w:t>污水</w:t>
            </w:r>
          </w:p>
        </w:tc>
        <w:tc>
          <w:tcPr>
            <w:tcW w:w="9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cs="Times New Roman"/>
                <w:color w:val="000000" w:themeColor="text1"/>
                <w:spacing w:val="-3"/>
                <w:sz w:val="21"/>
                <w:szCs w:val="21"/>
                <w:lang w:val="en-US" w:eastAsia="zh-CN"/>
                <w14:textFill>
                  <w14:solidFill>
                    <w14:schemeClr w14:val="tx1"/>
                  </w14:solidFill>
                </w14:textFill>
              </w:rPr>
              <w:t>20m³</w:t>
            </w:r>
          </w:p>
        </w:tc>
        <w:tc>
          <w:tcPr>
            <w:tcW w:w="1219"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color w:val="000000" w:themeColor="text1"/>
                <w:spacing w:val="-3"/>
                <w:sz w:val="21"/>
                <w:szCs w:val="21"/>
                <w14:textFill>
                  <w14:solidFill>
                    <w14:schemeClr w14:val="tx1"/>
                  </w14:solidFill>
                </w14:textFill>
              </w:rPr>
            </w:pPr>
            <w:r>
              <w:rPr>
                <w:rFonts w:hint="eastAsia"/>
                <w:color w:val="000000" w:themeColor="text1"/>
                <w:spacing w:val="-3"/>
                <w:sz w:val="21"/>
                <w:szCs w:val="21"/>
                <w:lang w:val="en-US" w:eastAsia="zh-CN"/>
                <w14:textFill>
                  <w14:solidFill>
                    <w14:schemeClr w14:val="tx1"/>
                  </w14:solidFill>
                </w14:textFill>
              </w:rPr>
              <w:t>污水池</w:t>
            </w:r>
          </w:p>
        </w:tc>
        <w:tc>
          <w:tcPr>
            <w:tcW w:w="91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textAlignment w:val="auto"/>
              <w:rPr>
                <w:color w:val="000000" w:themeColor="text1"/>
                <w:spacing w:val="-4"/>
                <w:sz w:val="21"/>
                <w:szCs w:val="21"/>
                <w14:textFill>
                  <w14:solidFill>
                    <w14:schemeClr w14:val="tx1"/>
                  </w14:solidFill>
                </w14:textFill>
              </w:rPr>
            </w:pPr>
            <w:r>
              <w:rPr>
                <w:color w:val="000000" w:themeColor="text1"/>
                <w:spacing w:val="-4"/>
                <w:sz w:val="21"/>
                <w:szCs w:val="21"/>
                <w14:textFill>
                  <w14:solidFill>
                    <w14:schemeClr w14:val="tx1"/>
                  </w14:solidFill>
                </w14:textFill>
              </w:rPr>
              <w:t>贮存</w:t>
            </w:r>
          </w:p>
        </w:tc>
        <w:tc>
          <w:tcPr>
            <w:tcW w:w="198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Arial" w:eastAsia="宋体"/>
                <w:color w:val="000000" w:themeColor="text1"/>
                <w:sz w:val="21"/>
                <w:szCs w:val="21"/>
                <w:lang w:val="en-US" w:eastAsia="zh-CN"/>
                <w14:textFill>
                  <w14:solidFill>
                    <w14:schemeClr w14:val="tx1"/>
                  </w14:solidFill>
                </w14:textFill>
              </w:rPr>
            </w:pPr>
            <w:r>
              <w:rPr>
                <w:rFonts w:hint="eastAsia" w:ascii="Arial"/>
                <w:color w:val="000000" w:themeColor="text1"/>
                <w:sz w:val="21"/>
                <w:szCs w:val="21"/>
                <w:lang w:val="en-US" w:eastAsia="zh-CN"/>
                <w14:textFill>
                  <w14:solidFill>
                    <w14:schemeClr w14:val="tx1"/>
                  </w14:solidFill>
                </w14:textFill>
              </w:rPr>
              <w:t>污水泄漏事故发生</w:t>
            </w:r>
          </w:p>
        </w:tc>
        <w:tc>
          <w:tcPr>
            <w:tcW w:w="1723" w:type="dxa"/>
            <w:tcBorders>
              <w:top w:val="single" w:color="auto" w:sz="4" w:space="0"/>
              <w:left w:val="single" w:color="auto" w:sz="4" w:space="0"/>
              <w:bottom w:val="single" w:color="auto" w:sz="4" w:space="0"/>
              <w:right w:val="single" w:color="auto" w:sz="4"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color w:val="000000" w:themeColor="text1"/>
                <w:spacing w:val="-3"/>
                <w:sz w:val="21"/>
                <w:szCs w:val="21"/>
                <w:lang w:val="en-US" w:eastAsia="zh-CN"/>
                <w14:textFill>
                  <w14:solidFill>
                    <w14:schemeClr w14:val="tx1"/>
                  </w14:solidFill>
                </w14:textFill>
              </w:rPr>
              <w:t>污水池</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46"/>
        <w:textAlignment w:val="auto"/>
        <w:rPr>
          <w:color w:val="000000" w:themeColor="text1"/>
          <w:sz w:val="24"/>
          <w:szCs w:val="24"/>
          <w14:textFill>
            <w14:solidFill>
              <w14:schemeClr w14:val="tx1"/>
            </w14:solidFill>
          </w14:textFill>
        </w:rPr>
      </w:pPr>
      <w:r>
        <w:rPr>
          <w:color w:val="000000" w:themeColor="text1"/>
          <w:spacing w:val="5"/>
          <w:sz w:val="24"/>
          <w:szCs w:val="24"/>
          <w14:textFill>
            <w14:solidFill>
              <w14:schemeClr w14:val="tx1"/>
            </w14:solidFill>
          </w14:textFill>
        </w:rPr>
        <w:t>由表可知，项目重点风险源为</w:t>
      </w:r>
      <w:r>
        <w:rPr>
          <w:rFonts w:hint="eastAsia"/>
          <w:color w:val="000000" w:themeColor="text1"/>
          <w:spacing w:val="5"/>
          <w:sz w:val="24"/>
          <w:szCs w:val="24"/>
          <w:lang w:val="en-US" w:eastAsia="zh-CN"/>
          <w14:textFill>
            <w14:solidFill>
              <w14:schemeClr w14:val="tx1"/>
            </w14:solidFill>
          </w14:textFill>
        </w:rPr>
        <w:t>罐区一</w:t>
      </w:r>
      <w:r>
        <w:rPr>
          <w:rFonts w:hint="eastAsia" w:eastAsia="宋体" w:cs="Times New Roman"/>
          <w:color w:val="000000" w:themeColor="text1"/>
          <w:spacing w:val="5"/>
          <w:sz w:val="24"/>
          <w:szCs w:val="24"/>
          <w:lang w:val="en-US" w:eastAsia="zh-CN"/>
          <w14:textFill>
            <w14:solidFill>
              <w14:schemeClr w14:val="tx1"/>
            </w14:solidFill>
          </w14:textFill>
        </w:rPr>
        <w:t>5</w:t>
      </w:r>
      <w:r>
        <w:rPr>
          <w:rFonts w:ascii="Times New Roman" w:hAnsi="Times New Roman" w:eastAsia="Times New Roman" w:cs="Times New Roman"/>
          <w:color w:val="000000" w:themeColor="text1"/>
          <w:spacing w:val="5"/>
          <w:sz w:val="24"/>
          <w:szCs w:val="24"/>
          <w14:textFill>
            <w14:solidFill>
              <w14:schemeClr w14:val="tx1"/>
            </w14:solidFill>
          </w14:textFill>
        </w:rPr>
        <w:t>00</w:t>
      </w:r>
      <w:r>
        <w:rPr>
          <w:rFonts w:hint="eastAsia" w:eastAsia="宋体" w:cs="Times New Roman"/>
          <w:color w:val="000000" w:themeColor="text1"/>
          <w:spacing w:val="5"/>
          <w:sz w:val="24"/>
          <w:szCs w:val="24"/>
          <w:lang w:val="en-US" w:eastAsia="zh-CN"/>
          <w14:textFill>
            <w14:solidFill>
              <w14:schemeClr w14:val="tx1"/>
            </w14:solidFill>
          </w14:textFill>
        </w:rPr>
        <w:t>m³</w:t>
      </w:r>
      <w:r>
        <w:rPr>
          <w:rFonts w:hint="eastAsia"/>
          <w:color w:val="000000" w:themeColor="text1"/>
          <w:spacing w:val="4"/>
          <w:sz w:val="24"/>
          <w:szCs w:val="24"/>
          <w:lang w:val="en-US" w:eastAsia="zh-CN"/>
          <w14:textFill>
            <w14:solidFill>
              <w14:schemeClr w14:val="tx1"/>
            </w14:solidFill>
          </w14:textFill>
        </w:rPr>
        <w:t>汽油组分油储</w:t>
      </w:r>
      <w:r>
        <w:rPr>
          <w:color w:val="000000" w:themeColor="text1"/>
          <w:spacing w:val="4"/>
          <w:sz w:val="24"/>
          <w:szCs w:val="24"/>
          <w14:textFill>
            <w14:solidFill>
              <w14:schemeClr w14:val="tx1"/>
            </w14:solidFill>
          </w14:textFill>
        </w:rPr>
        <w:t>罐</w:t>
      </w:r>
      <w:r>
        <w:rPr>
          <w:rFonts w:hint="eastAsia"/>
          <w:color w:val="000000" w:themeColor="text1"/>
          <w:spacing w:val="4"/>
          <w:sz w:val="24"/>
          <w:szCs w:val="24"/>
          <w:lang w:eastAsia="zh-CN"/>
          <w14:textFill>
            <w14:solidFill>
              <w14:schemeClr w14:val="tx1"/>
            </w14:solidFill>
          </w14:textFill>
        </w:rPr>
        <w:t>、</w:t>
      </w:r>
      <w:r>
        <w:rPr>
          <w:rFonts w:hint="eastAsia" w:eastAsia="宋体" w:cs="Times New Roman"/>
          <w:color w:val="000000" w:themeColor="text1"/>
          <w:spacing w:val="4"/>
          <w:sz w:val="24"/>
          <w:szCs w:val="24"/>
          <w:lang w:val="en-US" w:eastAsia="zh-CN"/>
          <w14:textFill>
            <w14:solidFill>
              <w14:schemeClr w14:val="tx1"/>
            </w14:solidFill>
          </w14:textFill>
        </w:rPr>
        <w:t>2</w:t>
      </w:r>
      <w:r>
        <w:rPr>
          <w:rFonts w:ascii="Times New Roman" w:hAnsi="Times New Roman" w:eastAsia="Times New Roman" w:cs="Times New Roman"/>
          <w:color w:val="000000" w:themeColor="text1"/>
          <w:spacing w:val="4"/>
          <w:sz w:val="24"/>
          <w:szCs w:val="24"/>
          <w14:textFill>
            <w14:solidFill>
              <w14:schemeClr w14:val="tx1"/>
            </w14:solidFill>
          </w14:textFill>
        </w:rPr>
        <w:t>000</w:t>
      </w:r>
      <w:r>
        <w:rPr>
          <w:rFonts w:hint="eastAsia" w:eastAsia="宋体" w:cs="Times New Roman"/>
          <w:color w:val="000000" w:themeColor="text1"/>
          <w:spacing w:val="4"/>
          <w:sz w:val="24"/>
          <w:szCs w:val="24"/>
          <w:lang w:val="en-US" w:eastAsia="zh-CN"/>
          <w14:textFill>
            <w14:solidFill>
              <w14:schemeClr w14:val="tx1"/>
            </w14:solidFill>
          </w14:textFill>
        </w:rPr>
        <w:t>m³</w:t>
      </w:r>
      <w:r>
        <w:rPr>
          <w:color w:val="000000" w:themeColor="text1"/>
          <w:spacing w:val="4"/>
          <w:sz w:val="24"/>
          <w:szCs w:val="24"/>
          <w14:textFill>
            <w14:solidFill>
              <w14:schemeClr w14:val="tx1"/>
            </w14:solidFill>
          </w14:textFill>
        </w:rPr>
        <w:t>柴油</w:t>
      </w:r>
      <w:r>
        <w:rPr>
          <w:color w:val="000000" w:themeColor="text1"/>
          <w:spacing w:val="3"/>
          <w:sz w:val="24"/>
          <w:szCs w:val="24"/>
          <w14:textFill>
            <w14:solidFill>
              <w14:schemeClr w14:val="tx1"/>
            </w14:solidFill>
          </w14:textFill>
        </w:rPr>
        <w:t>储罐</w:t>
      </w:r>
      <w:r>
        <w:rPr>
          <w:rFonts w:hint="eastAsia"/>
          <w:color w:val="000000" w:themeColor="text1"/>
          <w:spacing w:val="3"/>
          <w:sz w:val="24"/>
          <w:szCs w:val="24"/>
          <w:lang w:val="en-US" w:eastAsia="zh-CN"/>
          <w14:textFill>
            <w14:solidFill>
              <w14:schemeClr w14:val="tx1"/>
            </w14:solidFill>
          </w14:textFill>
        </w:rPr>
        <w:t>和罐区二2000m³柴油储罐</w:t>
      </w:r>
      <w:r>
        <w:rPr>
          <w:color w:val="000000" w:themeColor="text1"/>
          <w:spacing w:val="3"/>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4.4</w:t>
      </w:r>
      <w:r>
        <w:rPr>
          <w:rFonts w:hint="eastAsia" w:eastAsia="宋体" w:cs="Times New Roman"/>
          <w:b/>
          <w:bCs/>
          <w:color w:val="000000" w:themeColor="text1"/>
          <w:spacing w:val="6"/>
          <w:sz w:val="24"/>
          <w:szCs w:val="24"/>
          <w:lang w:val="en-US" w:eastAsia="zh-CN"/>
          <w14:textFill>
            <w14:solidFill>
              <w14:schemeClr w14:val="tx1"/>
            </w14:solidFill>
          </w14:textFill>
        </w:rPr>
        <w:t xml:space="preserve"> </w:t>
      </w:r>
      <w:r>
        <w:rPr>
          <w:b/>
          <w:bCs/>
          <w:color w:val="000000" w:themeColor="text1"/>
          <w:spacing w:val="6"/>
          <w:sz w:val="24"/>
          <w:szCs w:val="24"/>
          <w14:textFill>
            <w14:solidFill>
              <w14:schemeClr w14:val="tx1"/>
            </w14:solidFill>
          </w14:textFill>
        </w:rPr>
        <w:t>环境风险类型及危害分析</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0"/>
        <w:textAlignment w:val="auto"/>
        <w:rPr>
          <w:color w:val="000000" w:themeColor="text1"/>
          <w:sz w:val="20"/>
          <w:szCs w:val="20"/>
          <w14:textFill>
            <w14:solidFill>
              <w14:schemeClr w14:val="tx1"/>
            </w14:solidFill>
          </w14:textFill>
        </w:rPr>
      </w:pPr>
      <w:r>
        <w:rPr>
          <w:color w:val="000000" w:themeColor="text1"/>
          <w:spacing w:val="7"/>
          <w:sz w:val="24"/>
          <w:szCs w:val="24"/>
          <w14:textFill>
            <w14:solidFill>
              <w14:schemeClr w14:val="tx1"/>
            </w14:solidFill>
          </w14:textFill>
        </w:rPr>
        <w:t>根据物质及生产系统危险性识别结果，分析环境风险类型、危险物质向环境转移的可能</w:t>
      </w:r>
      <w:r>
        <w:rPr>
          <w:color w:val="000000" w:themeColor="text1"/>
          <w:spacing w:val="8"/>
          <w:sz w:val="24"/>
          <w:szCs w:val="24"/>
          <w14:textFill>
            <w14:solidFill>
              <w14:schemeClr w14:val="tx1"/>
            </w14:solidFill>
          </w14:textFill>
        </w:rPr>
        <w:t>途径和影响方式。具体见下表。</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表</w:t>
      </w:r>
      <w:r>
        <w:rPr>
          <w:color w:val="000000" w:themeColor="text1"/>
          <w:spacing w:val="-40"/>
          <w:sz w:val="18"/>
          <w:szCs w:val="18"/>
          <w14:textFill>
            <w14:solidFill>
              <w14:schemeClr w14:val="tx1"/>
            </w14:solidFill>
          </w14:textFill>
        </w:rPr>
        <w:t xml:space="preserve"> </w:t>
      </w:r>
      <w:r>
        <w:rPr>
          <w:rFonts w:ascii="Times New Roman" w:hAnsi="Times New Roman" w:eastAsia="Times New Roman" w:cs="Times New Roman"/>
          <w:b/>
          <w:bCs/>
          <w:color w:val="000000" w:themeColor="text1"/>
          <w:sz w:val="18"/>
          <w:szCs w:val="18"/>
          <w14:textFill>
            <w14:solidFill>
              <w14:schemeClr w14:val="tx1"/>
            </w14:solidFill>
          </w14:textFill>
        </w:rPr>
        <w:t xml:space="preserve">4-7 </w:t>
      </w:r>
      <w:r>
        <w:rPr>
          <w:rFonts w:ascii="Times New Roman" w:hAnsi="Times New Roman" w:eastAsia="Times New Roman" w:cs="Times New Roman"/>
          <w:b/>
          <w:bCs/>
          <w:color w:val="000000" w:themeColor="text1"/>
          <w:spacing w:val="-1"/>
          <w:sz w:val="18"/>
          <w:szCs w:val="18"/>
          <w14:textFill>
            <w14:solidFill>
              <w14:schemeClr w14:val="tx1"/>
            </w14:solidFill>
          </w14:textFill>
        </w:rPr>
        <w:t xml:space="preserve"> </w:t>
      </w:r>
      <w:r>
        <w:rPr>
          <w:b/>
          <w:bCs/>
          <w:color w:val="000000" w:themeColor="text1"/>
          <w:spacing w:val="-1"/>
          <w:sz w:val="18"/>
          <w:szCs w:val="18"/>
          <w14:textFill>
            <w14:solidFill>
              <w14:schemeClr w14:val="tx1"/>
            </w14:solidFill>
          </w14:textFill>
        </w:rPr>
        <w:t>环境风险类型及危害分析</w:t>
      </w:r>
    </w:p>
    <w:p>
      <w:pPr>
        <w:spacing w:line="32" w:lineRule="exact"/>
        <w:rPr>
          <w:color w:val="000000" w:themeColor="text1"/>
          <w14:textFill>
            <w14:solidFill>
              <w14:schemeClr w14:val="tx1"/>
            </w14:solidFill>
          </w14:textFill>
        </w:rPr>
      </w:pPr>
    </w:p>
    <w:tbl>
      <w:tblPr>
        <w:tblStyle w:val="9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87"/>
        <w:gridCol w:w="2023"/>
        <w:gridCol w:w="5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7" w:hRule="atLeast"/>
          <w:jc w:val="center"/>
        </w:trPr>
        <w:tc>
          <w:tcPr>
            <w:tcW w:w="987" w:type="dxa"/>
            <w:vAlign w:val="center"/>
          </w:tcPr>
          <w:p>
            <w:pPr>
              <w:pStyle w:val="96"/>
              <w:keepNext w:val="0"/>
              <w:keepLines w:val="0"/>
              <w:pageBreakBefore w:val="0"/>
              <w:widowControl w:val="0"/>
              <w:kinsoku/>
              <w:wordWrap/>
              <w:overflowPunct/>
              <w:topLinePunct w:val="0"/>
              <w:autoSpaceDE/>
              <w:autoSpaceDN/>
              <w:bidi w:val="0"/>
              <w:spacing w:before="31" w:line="22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环境风险</w:t>
            </w:r>
          </w:p>
          <w:p>
            <w:pPr>
              <w:pStyle w:val="96"/>
              <w:keepNext w:val="0"/>
              <w:keepLines w:val="0"/>
              <w:pageBreakBefore w:val="0"/>
              <w:widowControl w:val="0"/>
              <w:kinsoku/>
              <w:wordWrap/>
              <w:overflowPunct/>
              <w:topLinePunct w:val="0"/>
              <w:autoSpaceDE/>
              <w:autoSpaceDN/>
              <w:bidi w:val="0"/>
              <w:spacing w:before="54" w:line="219"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类型</w:t>
            </w:r>
          </w:p>
        </w:tc>
        <w:tc>
          <w:tcPr>
            <w:tcW w:w="2023" w:type="dxa"/>
            <w:vAlign w:val="center"/>
          </w:tcPr>
          <w:p>
            <w:pPr>
              <w:pStyle w:val="96"/>
              <w:keepNext w:val="0"/>
              <w:keepLines w:val="0"/>
              <w:pageBreakBefore w:val="0"/>
              <w:widowControl w:val="0"/>
              <w:kinsoku/>
              <w:wordWrap/>
              <w:overflowPunct/>
              <w:topLinePunct w:val="0"/>
              <w:autoSpaceDE/>
              <w:autoSpaceDN/>
              <w:bidi w:val="0"/>
              <w:spacing w:before="163" w:line="22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危险单元</w:t>
            </w:r>
          </w:p>
        </w:tc>
        <w:tc>
          <w:tcPr>
            <w:tcW w:w="5512" w:type="dxa"/>
            <w:vAlign w:val="center"/>
          </w:tcPr>
          <w:p>
            <w:pPr>
              <w:pStyle w:val="96"/>
              <w:keepNext w:val="0"/>
              <w:keepLines w:val="0"/>
              <w:pageBreakBefore w:val="0"/>
              <w:widowControl w:val="0"/>
              <w:kinsoku/>
              <w:wordWrap/>
              <w:overflowPunct/>
              <w:topLinePunct w:val="0"/>
              <w:autoSpaceDE/>
              <w:autoSpaceDN/>
              <w:bidi w:val="0"/>
              <w:spacing w:before="163" w:line="219"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环境影响途径和影响方式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8" w:hRule="atLeast"/>
          <w:jc w:val="center"/>
        </w:trPr>
        <w:tc>
          <w:tcPr>
            <w:tcW w:w="987" w:type="dxa"/>
            <w:vMerge w:val="restart"/>
            <w:vAlign w:val="center"/>
          </w:tcPr>
          <w:p>
            <w:pPr>
              <w:pStyle w:val="96"/>
              <w:keepNext w:val="0"/>
              <w:keepLines w:val="0"/>
              <w:pageBreakBefore w:val="0"/>
              <w:widowControl w:val="0"/>
              <w:kinsoku/>
              <w:wordWrap/>
              <w:overflowPunct/>
              <w:topLinePunct w:val="0"/>
              <w:autoSpaceDE/>
              <w:autoSpaceDN/>
              <w:bidi w:val="0"/>
              <w:spacing w:before="58" w:line="221"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泄漏</w:t>
            </w:r>
          </w:p>
        </w:tc>
        <w:tc>
          <w:tcPr>
            <w:tcW w:w="2023" w:type="dxa"/>
            <w:vAlign w:val="center"/>
          </w:tcPr>
          <w:p>
            <w:pPr>
              <w:pStyle w:val="96"/>
              <w:keepNext w:val="0"/>
              <w:keepLines w:val="0"/>
              <w:pageBreakBefore w:val="0"/>
              <w:widowControl w:val="0"/>
              <w:kinsoku/>
              <w:wordWrap/>
              <w:overflowPunct/>
              <w:topLinePunct w:val="0"/>
              <w:autoSpaceDE/>
              <w:autoSpaceDN/>
              <w:bidi w:val="0"/>
              <w:spacing w:before="142" w:line="219" w:lineRule="auto"/>
              <w:ind w:left="0" w:right="0"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pacing w:val="-2"/>
                <w:sz w:val="21"/>
                <w:szCs w:val="21"/>
                <w:lang w:val="en-US" w:eastAsia="zh-CN"/>
                <w14:textFill>
                  <w14:solidFill>
                    <w14:schemeClr w14:val="tx1"/>
                  </w14:solidFill>
                </w14:textFill>
              </w:rPr>
              <w:t>罐区一</w:t>
            </w:r>
          </w:p>
        </w:tc>
        <w:tc>
          <w:tcPr>
            <w:tcW w:w="5512" w:type="dxa"/>
            <w:vMerge w:val="restart"/>
            <w:vAlign w:val="center"/>
          </w:tcPr>
          <w:p>
            <w:pPr>
              <w:pStyle w:val="96"/>
              <w:keepNext w:val="0"/>
              <w:keepLines w:val="0"/>
              <w:pageBreakBefore w:val="0"/>
              <w:widowControl w:val="0"/>
              <w:kinsoku/>
              <w:wordWrap/>
              <w:overflowPunct/>
              <w:topLinePunct w:val="0"/>
              <w:autoSpaceDE/>
              <w:autoSpaceDN/>
              <w:bidi w:val="0"/>
              <w:spacing w:before="49"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发生油品泄漏事故，如控制不当，通过清洁雨水管网排出厂区，对</w:t>
            </w:r>
            <w:r>
              <w:rPr>
                <w:color w:val="000000" w:themeColor="text1"/>
                <w:sz w:val="21"/>
                <w:szCs w:val="21"/>
                <w14:textFill>
                  <w14:solidFill>
                    <w14:schemeClr w14:val="tx1"/>
                  </w14:solidFill>
                </w14:textFill>
              </w:rPr>
              <w:t>地表水环境造成污染；油品污染区防渗不当，</w:t>
            </w:r>
            <w:r>
              <w:rPr>
                <w:color w:val="000000" w:themeColor="text1"/>
                <w:spacing w:val="-1"/>
                <w:sz w:val="21"/>
                <w:szCs w:val="21"/>
                <w14:textFill>
                  <w14:solidFill>
                    <w14:schemeClr w14:val="tx1"/>
                  </w14:solidFill>
                </w14:textFill>
              </w:rPr>
              <w:t>可能对地下水环境造</w:t>
            </w:r>
            <w:r>
              <w:rPr>
                <w:color w:val="000000" w:themeColor="text1"/>
                <w:spacing w:val="-2"/>
                <w:sz w:val="21"/>
                <w:szCs w:val="21"/>
                <w14:textFill>
                  <w14:solidFill>
                    <w14:schemeClr w14:val="tx1"/>
                  </w14:solidFill>
                </w14:textFill>
              </w:rPr>
              <w:t>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987" w:type="dxa"/>
            <w:vMerge w:val="continue"/>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ascii="Arial"/>
                <w:color w:val="000000" w:themeColor="text1"/>
                <w:sz w:val="21"/>
                <w:szCs w:val="21"/>
                <w14:textFill>
                  <w14:solidFill>
                    <w14:schemeClr w14:val="tx1"/>
                  </w14:solidFill>
                </w14:textFill>
              </w:rPr>
            </w:pPr>
          </w:p>
        </w:tc>
        <w:tc>
          <w:tcPr>
            <w:tcW w:w="2023" w:type="dxa"/>
            <w:vAlign w:val="center"/>
          </w:tcPr>
          <w:p>
            <w:pPr>
              <w:pStyle w:val="96"/>
              <w:keepNext w:val="0"/>
              <w:keepLines w:val="0"/>
              <w:pageBreakBefore w:val="0"/>
              <w:widowControl w:val="0"/>
              <w:kinsoku/>
              <w:wordWrap/>
              <w:overflowPunct/>
              <w:topLinePunct w:val="0"/>
              <w:autoSpaceDE/>
              <w:autoSpaceDN/>
              <w:bidi w:val="0"/>
              <w:spacing w:before="79" w:line="219" w:lineRule="auto"/>
              <w:ind w:left="0" w:right="0" w:firstLine="0" w:firstLineChars="0"/>
              <w:jc w:val="center"/>
              <w:rPr>
                <w:rFonts w:hint="eastAsia" w:eastAsia="宋体"/>
                <w:color w:val="000000" w:themeColor="text1"/>
                <w:sz w:val="21"/>
                <w:szCs w:val="21"/>
                <w:lang w:val="en-US" w:eastAsia="zh-CN"/>
                <w14:textFill>
                  <w14:solidFill>
                    <w14:schemeClr w14:val="tx1"/>
                  </w14:solidFill>
                </w14:textFill>
              </w:rPr>
            </w:pPr>
            <w:r>
              <w:rPr>
                <w:color w:val="000000" w:themeColor="text1"/>
                <w:spacing w:val="-2"/>
                <w:sz w:val="21"/>
                <w:szCs w:val="21"/>
                <w14:textFill>
                  <w14:solidFill>
                    <w14:schemeClr w14:val="tx1"/>
                  </w14:solidFill>
                </w14:textFill>
              </w:rPr>
              <w:t>罐区</w:t>
            </w:r>
            <w:r>
              <w:rPr>
                <w:rFonts w:hint="eastAsia"/>
                <w:color w:val="000000" w:themeColor="text1"/>
                <w:spacing w:val="-2"/>
                <w:sz w:val="21"/>
                <w:szCs w:val="21"/>
                <w:lang w:val="en-US" w:eastAsia="zh-CN"/>
                <w14:textFill>
                  <w14:solidFill>
                    <w14:schemeClr w14:val="tx1"/>
                  </w14:solidFill>
                </w14:textFill>
              </w:rPr>
              <w:t>二</w:t>
            </w:r>
          </w:p>
        </w:tc>
        <w:tc>
          <w:tcPr>
            <w:tcW w:w="551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987" w:type="dxa"/>
            <w:vMerge w:val="continue"/>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ascii="Arial"/>
                <w:color w:val="000000" w:themeColor="text1"/>
                <w:sz w:val="21"/>
                <w:szCs w:val="21"/>
                <w14:textFill>
                  <w14:solidFill>
                    <w14:schemeClr w14:val="tx1"/>
                  </w14:solidFill>
                </w14:textFill>
              </w:rPr>
            </w:pPr>
          </w:p>
        </w:tc>
        <w:tc>
          <w:tcPr>
            <w:tcW w:w="2023" w:type="dxa"/>
            <w:vAlign w:val="center"/>
          </w:tcPr>
          <w:p>
            <w:pPr>
              <w:pStyle w:val="96"/>
              <w:keepNext w:val="0"/>
              <w:keepLines w:val="0"/>
              <w:pageBreakBefore w:val="0"/>
              <w:widowControl w:val="0"/>
              <w:kinsoku/>
              <w:wordWrap/>
              <w:overflowPunct/>
              <w:topLinePunct w:val="0"/>
              <w:autoSpaceDE/>
              <w:autoSpaceDN/>
              <w:bidi w:val="0"/>
              <w:spacing w:before="79" w:line="219" w:lineRule="auto"/>
              <w:ind w:left="0" w:right="0" w:firstLine="0" w:firstLineChars="0"/>
              <w:jc w:val="center"/>
              <w:rPr>
                <w:color w:val="000000" w:themeColor="text1"/>
                <w:spacing w:val="-2"/>
                <w:sz w:val="21"/>
                <w:szCs w:val="21"/>
                <w14:textFill>
                  <w14:solidFill>
                    <w14:schemeClr w14:val="tx1"/>
                  </w14:solidFill>
                </w14:textFill>
              </w:rPr>
            </w:pPr>
            <w:r>
              <w:rPr>
                <w:rFonts w:hint="eastAsia"/>
                <w:color w:val="000000" w:themeColor="text1"/>
                <w:spacing w:val="-2"/>
                <w:sz w:val="21"/>
                <w:szCs w:val="21"/>
                <w:lang w:val="en-US" w:eastAsia="zh-CN"/>
                <w14:textFill>
                  <w14:solidFill>
                    <w14:schemeClr w14:val="tx1"/>
                  </w14:solidFill>
                </w14:textFill>
              </w:rPr>
              <w:t>油气回收装置</w:t>
            </w:r>
          </w:p>
        </w:tc>
        <w:tc>
          <w:tcPr>
            <w:tcW w:w="551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987" w:type="dxa"/>
            <w:vMerge w:val="continue"/>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ascii="Arial"/>
                <w:color w:val="000000" w:themeColor="text1"/>
                <w:sz w:val="21"/>
                <w:szCs w:val="21"/>
                <w14:textFill>
                  <w14:solidFill>
                    <w14:schemeClr w14:val="tx1"/>
                  </w14:solidFill>
                </w14:textFill>
              </w:rPr>
            </w:pPr>
          </w:p>
        </w:tc>
        <w:tc>
          <w:tcPr>
            <w:tcW w:w="2023" w:type="dxa"/>
            <w:vAlign w:val="center"/>
          </w:tcPr>
          <w:p>
            <w:pPr>
              <w:pStyle w:val="96"/>
              <w:keepNext w:val="0"/>
              <w:keepLines w:val="0"/>
              <w:pageBreakBefore w:val="0"/>
              <w:widowControl w:val="0"/>
              <w:kinsoku/>
              <w:wordWrap/>
              <w:overflowPunct/>
              <w:topLinePunct w:val="0"/>
              <w:autoSpaceDE/>
              <w:autoSpaceDN/>
              <w:bidi w:val="0"/>
              <w:spacing w:before="79" w:line="219" w:lineRule="auto"/>
              <w:ind w:left="0" w:right="0" w:firstLine="0" w:firstLineChars="0"/>
              <w:jc w:val="center"/>
              <w:rPr>
                <w:rFonts w:hint="eastAsia" w:eastAsia="宋体"/>
                <w:color w:val="000000" w:themeColor="text1"/>
                <w:spacing w:val="-2"/>
                <w:sz w:val="21"/>
                <w:szCs w:val="21"/>
                <w:lang w:val="en-US" w:eastAsia="zh-CN"/>
                <w14:textFill>
                  <w14:solidFill>
                    <w14:schemeClr w14:val="tx1"/>
                  </w14:solidFill>
                </w14:textFill>
              </w:rPr>
            </w:pPr>
            <w:r>
              <w:rPr>
                <w:rFonts w:hint="eastAsia"/>
                <w:color w:val="000000" w:themeColor="text1"/>
                <w:spacing w:val="-2"/>
                <w:sz w:val="21"/>
                <w:szCs w:val="21"/>
                <w:lang w:val="en-US" w:eastAsia="zh-CN"/>
                <w14:textFill>
                  <w14:solidFill>
                    <w14:schemeClr w14:val="tx1"/>
                  </w14:solidFill>
                </w14:textFill>
              </w:rPr>
              <w:t>污水池</w:t>
            </w:r>
          </w:p>
        </w:tc>
        <w:tc>
          <w:tcPr>
            <w:tcW w:w="5512"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Arial" w:eastAsia="宋体"/>
                <w:color w:val="000000" w:themeColor="text1"/>
                <w:sz w:val="21"/>
                <w:szCs w:val="21"/>
                <w:lang w:val="en-US" w:eastAsia="zh-CN"/>
                <w14:textFill>
                  <w14:solidFill>
                    <w14:schemeClr w14:val="tx1"/>
                  </w14:solidFill>
                </w14:textFill>
              </w:rPr>
            </w:pPr>
            <w:r>
              <w:rPr>
                <w:rFonts w:hint="eastAsia" w:ascii="Arial"/>
                <w:color w:val="000000" w:themeColor="text1"/>
                <w:sz w:val="21"/>
                <w:szCs w:val="21"/>
                <w:lang w:val="en-US" w:eastAsia="zh-CN"/>
                <w14:textFill>
                  <w14:solidFill>
                    <w14:schemeClr w14:val="tx1"/>
                  </w14:solidFill>
                </w14:textFill>
              </w:rPr>
              <w:t>池体意外发生渗漏，发生污水泄漏事故，</w:t>
            </w:r>
            <w:r>
              <w:rPr>
                <w:color w:val="000000" w:themeColor="text1"/>
                <w:spacing w:val="-1"/>
                <w:sz w:val="21"/>
                <w:szCs w:val="21"/>
                <w14:textFill>
                  <w14:solidFill>
                    <w14:schemeClr w14:val="tx1"/>
                  </w14:solidFill>
                </w14:textFill>
              </w:rPr>
              <w:t>可能对</w:t>
            </w:r>
            <w:r>
              <w:rPr>
                <w:rFonts w:hint="eastAsia"/>
                <w:color w:val="000000" w:themeColor="text1"/>
                <w:spacing w:val="-1"/>
                <w:sz w:val="21"/>
                <w:szCs w:val="21"/>
                <w:lang w:val="en-US" w:eastAsia="zh-CN"/>
                <w14:textFill>
                  <w14:solidFill>
                    <w14:schemeClr w14:val="tx1"/>
                  </w14:solidFill>
                </w14:textFill>
              </w:rPr>
              <w:t>土壤、</w:t>
            </w:r>
            <w:r>
              <w:rPr>
                <w:color w:val="000000" w:themeColor="text1"/>
                <w:spacing w:val="-1"/>
                <w:sz w:val="21"/>
                <w:szCs w:val="21"/>
                <w14:textFill>
                  <w14:solidFill>
                    <w14:schemeClr w14:val="tx1"/>
                  </w14:solidFill>
                </w14:textFill>
              </w:rPr>
              <w:t>地下水环境造</w:t>
            </w:r>
            <w:r>
              <w:rPr>
                <w:color w:val="000000" w:themeColor="text1"/>
                <w:spacing w:val="-2"/>
                <w:sz w:val="21"/>
                <w:szCs w:val="21"/>
                <w14:textFill>
                  <w14:solidFill>
                    <w14:schemeClr w14:val="tx1"/>
                  </w14:solidFill>
                </w14:textFill>
              </w:rPr>
              <w:t>成污染。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6" w:hRule="atLeast"/>
          <w:jc w:val="center"/>
        </w:trPr>
        <w:tc>
          <w:tcPr>
            <w:tcW w:w="987" w:type="dxa"/>
            <w:vMerge w:val="restart"/>
            <w:vAlign w:val="center"/>
          </w:tcPr>
          <w:p>
            <w:pPr>
              <w:pStyle w:val="96"/>
              <w:keepNext w:val="0"/>
              <w:keepLines w:val="0"/>
              <w:pageBreakBefore w:val="0"/>
              <w:widowControl w:val="0"/>
              <w:kinsoku/>
              <w:wordWrap/>
              <w:overflowPunct/>
              <w:topLinePunct w:val="0"/>
              <w:autoSpaceDE/>
              <w:autoSpaceDN/>
              <w:bidi w:val="0"/>
              <w:spacing w:before="279" w:line="218"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火灾爆炸</w:t>
            </w:r>
          </w:p>
        </w:tc>
        <w:tc>
          <w:tcPr>
            <w:tcW w:w="2023" w:type="dxa"/>
            <w:vAlign w:val="center"/>
          </w:tcPr>
          <w:p>
            <w:pPr>
              <w:pStyle w:val="96"/>
              <w:keepNext w:val="0"/>
              <w:keepLines w:val="0"/>
              <w:pageBreakBefore w:val="0"/>
              <w:widowControl w:val="0"/>
              <w:kinsoku/>
              <w:wordWrap/>
              <w:overflowPunct/>
              <w:topLinePunct w:val="0"/>
              <w:autoSpaceDE/>
              <w:autoSpaceDN/>
              <w:bidi w:val="0"/>
              <w:spacing w:before="142" w:line="219" w:lineRule="auto"/>
              <w:ind w:left="0" w:leftChars="0" w:right="0" w:rightChars="0" w:firstLine="0" w:firstLineChars="0"/>
              <w:jc w:val="center"/>
              <w:rPr>
                <w:color w:val="000000" w:themeColor="text1"/>
                <w:sz w:val="21"/>
                <w:szCs w:val="21"/>
                <w14:textFill>
                  <w14:solidFill>
                    <w14:schemeClr w14:val="tx1"/>
                  </w14:solidFill>
                </w14:textFill>
              </w:rPr>
            </w:pPr>
            <w:r>
              <w:rPr>
                <w:rFonts w:hint="eastAsia"/>
                <w:color w:val="000000" w:themeColor="text1"/>
                <w:spacing w:val="-2"/>
                <w:sz w:val="21"/>
                <w:szCs w:val="21"/>
                <w:lang w:val="en-US" w:eastAsia="zh-CN"/>
                <w14:textFill>
                  <w14:solidFill>
                    <w14:schemeClr w14:val="tx1"/>
                  </w14:solidFill>
                </w14:textFill>
              </w:rPr>
              <w:t>罐区一</w:t>
            </w:r>
          </w:p>
        </w:tc>
        <w:tc>
          <w:tcPr>
            <w:tcW w:w="5512" w:type="dxa"/>
            <w:vMerge w:val="restart"/>
            <w:vAlign w:val="center"/>
          </w:tcPr>
          <w:p>
            <w:pPr>
              <w:pStyle w:val="96"/>
              <w:keepNext w:val="0"/>
              <w:keepLines w:val="0"/>
              <w:pageBreakBefore w:val="0"/>
              <w:widowControl w:val="0"/>
              <w:kinsoku/>
              <w:wordWrap/>
              <w:overflowPunct/>
              <w:topLinePunct w:val="0"/>
              <w:autoSpaceDE/>
              <w:autoSpaceDN/>
              <w:bidi w:val="0"/>
              <w:spacing w:before="125"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发生火灾爆炸事故，油品燃烧产生</w:t>
            </w:r>
            <w:r>
              <w:rPr>
                <w:color w:val="000000" w:themeColor="text1"/>
                <w:spacing w:val="-37"/>
                <w:sz w:val="21"/>
                <w:szCs w:val="21"/>
                <w14:textFill>
                  <w14:solidFill>
                    <w14:schemeClr w14:val="tx1"/>
                  </w14:solidFill>
                </w14:textFill>
              </w:rPr>
              <w:t xml:space="preserve"> </w:t>
            </w:r>
            <w:r>
              <w:rPr>
                <w:rFonts w:ascii="Times New Roman" w:hAnsi="Times New Roman" w:eastAsia="Times New Roman" w:cs="Times New Roman"/>
                <w:color w:val="000000" w:themeColor="text1"/>
                <w:spacing w:val="-1"/>
                <w:sz w:val="21"/>
                <w:szCs w:val="21"/>
                <w14:textFill>
                  <w14:solidFill>
                    <w14:schemeClr w14:val="tx1"/>
                  </w14:solidFill>
                </w14:textFill>
              </w:rPr>
              <w:t>CO</w:t>
            </w:r>
            <w:r>
              <w:rPr>
                <w:rFonts w:ascii="Times New Roman" w:hAnsi="Times New Roman" w:eastAsia="Times New Roman" w:cs="Times New Roman"/>
                <w:color w:val="000000" w:themeColor="text1"/>
                <w:spacing w:val="-26"/>
                <w:sz w:val="21"/>
                <w:szCs w:val="21"/>
                <w14:textFill>
                  <w14:solidFill>
                    <w14:schemeClr w14:val="tx1"/>
                  </w14:solidFill>
                </w14:textFill>
              </w:rPr>
              <w:t xml:space="preserve"> </w:t>
            </w:r>
            <w:r>
              <w:rPr>
                <w:color w:val="000000" w:themeColor="text1"/>
                <w:spacing w:val="-1"/>
                <w:sz w:val="21"/>
                <w:szCs w:val="21"/>
                <w14:textFill>
                  <w14:solidFill>
                    <w14:schemeClr w14:val="tx1"/>
                  </w14:solidFill>
                </w14:textFill>
              </w:rPr>
              <w:t>、</w:t>
            </w:r>
            <w:r>
              <w:rPr>
                <w:rFonts w:ascii="Times New Roman" w:hAnsi="Times New Roman" w:eastAsia="Times New Roman" w:cs="Times New Roman"/>
                <w:color w:val="000000" w:themeColor="text1"/>
                <w:spacing w:val="-1"/>
                <w:sz w:val="21"/>
                <w:szCs w:val="21"/>
                <w14:textFill>
                  <w14:solidFill>
                    <w14:schemeClr w14:val="tx1"/>
                  </w14:solidFill>
                </w14:textFill>
              </w:rPr>
              <w:t>S</w:t>
            </w:r>
            <w:r>
              <w:rPr>
                <w:rFonts w:ascii="Times New Roman" w:hAnsi="Times New Roman" w:eastAsia="Times New Roman" w:cs="Times New Roman"/>
                <w:color w:val="000000" w:themeColor="text1"/>
                <w:spacing w:val="-2"/>
                <w:sz w:val="21"/>
                <w:szCs w:val="21"/>
                <w14:textFill>
                  <w14:solidFill>
                    <w14:schemeClr w14:val="tx1"/>
                  </w14:solidFill>
                </w14:textFill>
              </w:rPr>
              <w:t>O</w:t>
            </w:r>
            <w:r>
              <w:rPr>
                <w:rFonts w:ascii="Times New Roman" w:hAnsi="Times New Roman" w:eastAsia="Times New Roman" w:cs="Times New Roman"/>
                <w:color w:val="000000" w:themeColor="text1"/>
                <w:spacing w:val="-2"/>
                <w:position w:val="-1"/>
                <w:sz w:val="21"/>
                <w:szCs w:val="21"/>
                <w:vertAlign w:val="subscript"/>
                <w14:textFill>
                  <w14:solidFill>
                    <w14:schemeClr w14:val="tx1"/>
                  </w14:solidFill>
                </w14:textFill>
              </w:rPr>
              <w:t>2</w:t>
            </w:r>
            <w:r>
              <w:rPr>
                <w:color w:val="000000" w:themeColor="text1"/>
                <w:spacing w:val="-2"/>
                <w:sz w:val="21"/>
                <w:szCs w:val="21"/>
                <w14:textFill>
                  <w14:solidFill>
                    <w14:schemeClr w14:val="tx1"/>
                  </w14:solidFill>
                </w14:textFill>
              </w:rPr>
              <w:t>有害气体，造成大气环</w:t>
            </w:r>
            <w:r>
              <w:rPr>
                <w:color w:val="000000" w:themeColor="text1"/>
                <w:sz w:val="21"/>
                <w:szCs w:val="21"/>
                <w14:textFill>
                  <w14:solidFill>
                    <w14:schemeClr w14:val="tx1"/>
                  </w14:solidFill>
                </w14:textFill>
              </w:rPr>
              <w:t xml:space="preserve"> </w:t>
            </w:r>
            <w:r>
              <w:rPr>
                <w:color w:val="000000" w:themeColor="text1"/>
                <w:spacing w:val="-2"/>
                <w:sz w:val="21"/>
                <w:szCs w:val="21"/>
                <w14:textFill>
                  <w14:solidFill>
                    <w14:schemeClr w14:val="tx1"/>
                  </w14:solidFill>
                </w14:textFill>
              </w:rPr>
              <w:t>境；事故处理过程产生消防水，如控制不当，污染地表水和地下水。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987" w:type="dxa"/>
            <w:vMerge w:val="continue"/>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ascii="Arial"/>
                <w:color w:val="000000" w:themeColor="text1"/>
                <w:sz w:val="21"/>
                <w:szCs w:val="21"/>
                <w14:textFill>
                  <w14:solidFill>
                    <w14:schemeClr w14:val="tx1"/>
                  </w14:solidFill>
                </w14:textFill>
              </w:rPr>
            </w:pPr>
          </w:p>
        </w:tc>
        <w:tc>
          <w:tcPr>
            <w:tcW w:w="2023" w:type="dxa"/>
            <w:vAlign w:val="center"/>
          </w:tcPr>
          <w:p>
            <w:pPr>
              <w:pStyle w:val="96"/>
              <w:keepNext w:val="0"/>
              <w:keepLines w:val="0"/>
              <w:pageBreakBefore w:val="0"/>
              <w:widowControl w:val="0"/>
              <w:kinsoku/>
              <w:wordWrap/>
              <w:overflowPunct/>
              <w:topLinePunct w:val="0"/>
              <w:autoSpaceDE/>
              <w:autoSpaceDN/>
              <w:bidi w:val="0"/>
              <w:spacing w:before="79" w:line="219" w:lineRule="auto"/>
              <w:ind w:left="0" w:leftChars="0" w:right="0" w:rightChars="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罐区</w:t>
            </w:r>
            <w:r>
              <w:rPr>
                <w:rFonts w:hint="eastAsia"/>
                <w:color w:val="000000" w:themeColor="text1"/>
                <w:spacing w:val="-2"/>
                <w:sz w:val="21"/>
                <w:szCs w:val="21"/>
                <w:lang w:val="en-US" w:eastAsia="zh-CN"/>
                <w14:textFill>
                  <w14:solidFill>
                    <w14:schemeClr w14:val="tx1"/>
                  </w14:solidFill>
                </w14:textFill>
              </w:rPr>
              <w:t>二</w:t>
            </w:r>
          </w:p>
        </w:tc>
        <w:tc>
          <w:tcPr>
            <w:tcW w:w="551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987" w:type="dxa"/>
            <w:vMerge w:val="continue"/>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ascii="Arial"/>
                <w:color w:val="000000" w:themeColor="text1"/>
                <w:sz w:val="21"/>
                <w:szCs w:val="21"/>
                <w14:textFill>
                  <w14:solidFill>
                    <w14:schemeClr w14:val="tx1"/>
                  </w14:solidFill>
                </w14:textFill>
              </w:rPr>
            </w:pPr>
          </w:p>
        </w:tc>
        <w:tc>
          <w:tcPr>
            <w:tcW w:w="2023" w:type="dxa"/>
            <w:vAlign w:val="center"/>
          </w:tcPr>
          <w:p>
            <w:pPr>
              <w:pStyle w:val="96"/>
              <w:keepNext w:val="0"/>
              <w:keepLines w:val="0"/>
              <w:pageBreakBefore w:val="0"/>
              <w:widowControl w:val="0"/>
              <w:kinsoku/>
              <w:wordWrap/>
              <w:overflowPunct/>
              <w:topLinePunct w:val="0"/>
              <w:autoSpaceDE/>
              <w:autoSpaceDN/>
              <w:bidi w:val="0"/>
              <w:spacing w:before="79" w:line="219" w:lineRule="auto"/>
              <w:ind w:left="0" w:leftChars="0" w:right="0" w:rightChars="0" w:firstLine="0" w:firstLineChars="0"/>
              <w:jc w:val="center"/>
              <w:rPr>
                <w:rFonts w:hint="default" w:eastAsia="宋体"/>
                <w:color w:val="000000" w:themeColor="text1"/>
                <w:spacing w:val="-2"/>
                <w:sz w:val="21"/>
                <w:szCs w:val="21"/>
                <w:lang w:val="en-US" w:eastAsia="zh-CN"/>
                <w14:textFill>
                  <w14:solidFill>
                    <w14:schemeClr w14:val="tx1"/>
                  </w14:solidFill>
                </w14:textFill>
              </w:rPr>
            </w:pPr>
            <w:r>
              <w:rPr>
                <w:rFonts w:hint="eastAsia"/>
                <w:color w:val="000000" w:themeColor="text1"/>
                <w:spacing w:val="-2"/>
                <w:sz w:val="21"/>
                <w:szCs w:val="21"/>
                <w:lang w:val="en-US" w:eastAsia="zh-CN"/>
                <w14:textFill>
                  <w14:solidFill>
                    <w14:schemeClr w14:val="tx1"/>
                  </w14:solidFill>
                </w14:textFill>
              </w:rPr>
              <w:t>危废库、油气回收装置</w:t>
            </w:r>
          </w:p>
        </w:tc>
        <w:tc>
          <w:tcPr>
            <w:tcW w:w="5512"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Arial" w:eastAsia="宋体"/>
                <w:color w:val="000000" w:themeColor="text1"/>
                <w:sz w:val="21"/>
                <w:szCs w:val="21"/>
                <w:lang w:val="en-US" w:eastAsia="zh-CN"/>
                <w14:textFill>
                  <w14:solidFill>
                    <w14:schemeClr w14:val="tx1"/>
                  </w14:solidFill>
                </w14:textFill>
              </w:rPr>
            </w:pPr>
            <w:r>
              <w:rPr>
                <w:rFonts w:hint="eastAsia" w:ascii="Arial"/>
                <w:color w:val="000000" w:themeColor="text1"/>
                <w:sz w:val="21"/>
                <w:szCs w:val="21"/>
                <w:lang w:val="en-US" w:eastAsia="zh-CN"/>
                <w14:textFill>
                  <w14:solidFill>
                    <w14:schemeClr w14:val="tx1"/>
                  </w14:solidFill>
                </w14:textFill>
              </w:rPr>
              <w:t>发生火灾事故，活性炭及所含油类物质</w:t>
            </w:r>
            <w:r>
              <w:rPr>
                <w:color w:val="000000" w:themeColor="text1"/>
                <w:spacing w:val="-1"/>
                <w:sz w:val="21"/>
                <w:szCs w:val="21"/>
                <w14:textFill>
                  <w14:solidFill>
                    <w14:schemeClr w14:val="tx1"/>
                  </w14:solidFill>
                </w14:textFill>
              </w:rPr>
              <w:t>燃烧产生</w:t>
            </w:r>
            <w:r>
              <w:rPr>
                <w:color w:val="000000" w:themeColor="text1"/>
                <w:spacing w:val="-37"/>
                <w:sz w:val="21"/>
                <w:szCs w:val="21"/>
                <w14:textFill>
                  <w14:solidFill>
                    <w14:schemeClr w14:val="tx1"/>
                  </w14:solidFill>
                </w14:textFill>
              </w:rPr>
              <w:t xml:space="preserve"> </w:t>
            </w:r>
            <w:r>
              <w:rPr>
                <w:rFonts w:ascii="Times New Roman" w:hAnsi="Times New Roman" w:eastAsia="Times New Roman" w:cs="Times New Roman"/>
                <w:color w:val="000000" w:themeColor="text1"/>
                <w:spacing w:val="-1"/>
                <w:sz w:val="21"/>
                <w:szCs w:val="21"/>
                <w14:textFill>
                  <w14:solidFill>
                    <w14:schemeClr w14:val="tx1"/>
                  </w14:solidFill>
                </w14:textFill>
              </w:rPr>
              <w:t>CO</w:t>
            </w:r>
            <w:r>
              <w:rPr>
                <w:rFonts w:ascii="Times New Roman" w:hAnsi="Times New Roman" w:eastAsia="Times New Roman" w:cs="Times New Roman"/>
                <w:color w:val="000000" w:themeColor="text1"/>
                <w:spacing w:val="-26"/>
                <w:sz w:val="21"/>
                <w:szCs w:val="21"/>
                <w14:textFill>
                  <w14:solidFill>
                    <w14:schemeClr w14:val="tx1"/>
                  </w14:solidFill>
                </w14:textFill>
              </w:rPr>
              <w:t xml:space="preserve"> </w:t>
            </w:r>
            <w:r>
              <w:rPr>
                <w:color w:val="000000" w:themeColor="text1"/>
                <w:spacing w:val="-1"/>
                <w:sz w:val="21"/>
                <w:szCs w:val="21"/>
                <w14:textFill>
                  <w14:solidFill>
                    <w14:schemeClr w14:val="tx1"/>
                  </w14:solidFill>
                </w14:textFill>
              </w:rPr>
              <w:t>、</w:t>
            </w:r>
            <w:r>
              <w:rPr>
                <w:rFonts w:ascii="Times New Roman" w:hAnsi="Times New Roman" w:eastAsia="Times New Roman" w:cs="Times New Roman"/>
                <w:color w:val="000000" w:themeColor="text1"/>
                <w:spacing w:val="-1"/>
                <w:sz w:val="21"/>
                <w:szCs w:val="21"/>
                <w14:textFill>
                  <w14:solidFill>
                    <w14:schemeClr w14:val="tx1"/>
                  </w14:solidFill>
                </w14:textFill>
              </w:rPr>
              <w:t>S</w:t>
            </w:r>
            <w:r>
              <w:rPr>
                <w:rFonts w:ascii="Times New Roman" w:hAnsi="Times New Roman" w:eastAsia="Times New Roman" w:cs="Times New Roman"/>
                <w:color w:val="000000" w:themeColor="text1"/>
                <w:spacing w:val="-2"/>
                <w:sz w:val="21"/>
                <w:szCs w:val="21"/>
                <w14:textFill>
                  <w14:solidFill>
                    <w14:schemeClr w14:val="tx1"/>
                  </w14:solidFill>
                </w14:textFill>
              </w:rPr>
              <w:t>O</w:t>
            </w:r>
            <w:r>
              <w:rPr>
                <w:rFonts w:ascii="Times New Roman" w:hAnsi="Times New Roman" w:eastAsia="Times New Roman" w:cs="Times New Roman"/>
                <w:color w:val="000000" w:themeColor="text1"/>
                <w:spacing w:val="-2"/>
                <w:position w:val="-1"/>
                <w:sz w:val="21"/>
                <w:szCs w:val="21"/>
                <w:vertAlign w:val="subscript"/>
                <w14:textFill>
                  <w14:solidFill>
                    <w14:schemeClr w14:val="tx1"/>
                  </w14:solidFill>
                </w14:textFill>
              </w:rPr>
              <w:t>2</w:t>
            </w:r>
            <w:r>
              <w:rPr>
                <w:color w:val="000000" w:themeColor="text1"/>
                <w:spacing w:val="-2"/>
                <w:sz w:val="21"/>
                <w:szCs w:val="21"/>
                <w14:textFill>
                  <w14:solidFill>
                    <w14:schemeClr w14:val="tx1"/>
                  </w14:solidFill>
                </w14:textFill>
              </w:rPr>
              <w:t>有害气体，造成大气环境；事故处理过程产生消防水，如控制不当，污染地表水和地下水。</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4"/>
          <w:szCs w:val="24"/>
          <w14:textFill>
            <w14:solidFill>
              <w14:schemeClr w14:val="tx1"/>
            </w14:solidFill>
          </w14:textFill>
        </w:rPr>
        <w:t xml:space="preserve">4.5 </w:t>
      </w:r>
      <w:r>
        <w:rPr>
          <w:b/>
          <w:bCs/>
          <w:color w:val="000000" w:themeColor="text1"/>
          <w:spacing w:val="5"/>
          <w:sz w:val="24"/>
          <w:szCs w:val="24"/>
          <w14:textFill>
            <w14:solidFill>
              <w14:schemeClr w14:val="tx1"/>
            </w14:solidFill>
          </w14:textFill>
        </w:rPr>
        <w:t>风险识别结果</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0"/>
          <w:szCs w:val="20"/>
          <w14:textFill>
            <w14:solidFill>
              <w14:schemeClr w14:val="tx1"/>
            </w14:solidFill>
          </w14:textFill>
        </w:rPr>
      </w:pPr>
      <w:r>
        <w:rPr>
          <w:color w:val="000000" w:themeColor="text1"/>
          <w:spacing w:val="8"/>
          <w:sz w:val="24"/>
          <w:szCs w:val="24"/>
          <w14:textFill>
            <w14:solidFill>
              <w14:schemeClr w14:val="tx1"/>
            </w14:solidFill>
          </w14:textFill>
        </w:rPr>
        <w:t>在风险识别的基础上，建设项目环境风险识别汇总见</w:t>
      </w:r>
      <w:r>
        <w:rPr>
          <w:color w:val="000000" w:themeColor="text1"/>
          <w:spacing w:val="-44"/>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8"/>
          <w:sz w:val="24"/>
          <w:szCs w:val="24"/>
          <w14:textFill>
            <w14:solidFill>
              <w14:schemeClr w14:val="tx1"/>
            </w14:solidFill>
          </w14:textFill>
        </w:rPr>
        <w:t>4-</w:t>
      </w:r>
      <w:r>
        <w:rPr>
          <w:rFonts w:ascii="Times New Roman" w:hAnsi="Times New Roman" w:eastAsia="Times New Roman" w:cs="Times New Roman"/>
          <w:color w:val="000000" w:themeColor="text1"/>
          <w:spacing w:val="7"/>
          <w:sz w:val="24"/>
          <w:szCs w:val="24"/>
          <w14:textFill>
            <w14:solidFill>
              <w14:schemeClr w14:val="tx1"/>
            </w14:solidFill>
          </w14:textFill>
        </w:rPr>
        <w:t>8</w:t>
      </w:r>
      <w:r>
        <w:rPr>
          <w:color w:val="000000" w:themeColor="text1"/>
          <w:spacing w:val="7"/>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40"/>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4-8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项目环境风险识别表</w:t>
      </w:r>
    </w:p>
    <w:p>
      <w:pPr>
        <w:spacing w:line="31" w:lineRule="exact"/>
        <w:rPr>
          <w:color w:val="000000" w:themeColor="text1"/>
          <w14:textFill>
            <w14:solidFill>
              <w14:schemeClr w14:val="tx1"/>
            </w14:solidFill>
          </w14:textFill>
        </w:rPr>
      </w:pPr>
    </w:p>
    <w:tbl>
      <w:tblPr>
        <w:tblStyle w:val="99"/>
        <w:tblW w:w="85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15"/>
        <w:gridCol w:w="1445"/>
        <w:gridCol w:w="1006"/>
        <w:gridCol w:w="973"/>
        <w:gridCol w:w="2500"/>
        <w:gridCol w:w="13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jc w:val="center"/>
        </w:trPr>
        <w:tc>
          <w:tcPr>
            <w:tcW w:w="1215"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危险单元</w:t>
            </w:r>
          </w:p>
        </w:tc>
        <w:tc>
          <w:tcPr>
            <w:tcW w:w="1445"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主要风险源</w:t>
            </w:r>
          </w:p>
        </w:tc>
        <w:tc>
          <w:tcPr>
            <w:tcW w:w="1006"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危险物质</w:t>
            </w:r>
          </w:p>
        </w:tc>
        <w:tc>
          <w:tcPr>
            <w:tcW w:w="973"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环境风险</w:t>
            </w:r>
          </w:p>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类型</w:t>
            </w:r>
          </w:p>
        </w:tc>
        <w:tc>
          <w:tcPr>
            <w:tcW w:w="2500"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环境影响途径</w:t>
            </w:r>
          </w:p>
        </w:tc>
        <w:tc>
          <w:tcPr>
            <w:tcW w:w="1382" w:type="dxa"/>
            <w:vAlign w:val="center"/>
          </w:tcPr>
          <w:p>
            <w:pPr>
              <w:pStyle w:val="96"/>
              <w:keepNext w:val="0"/>
              <w:keepLines w:val="0"/>
              <w:pageBreakBefore w:val="0"/>
              <w:widowControl w:val="0"/>
              <w:kinsoku/>
              <w:wordWrap/>
              <w:overflowPunct/>
              <w:topLinePunct w:val="0"/>
              <w:autoSpaceDE/>
              <w:autoSpaceDN/>
              <w:bidi w:val="0"/>
              <w:spacing w:beforeLines="0" w:afterLines="0" w:line="221"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可能受影响的</w:t>
            </w:r>
          </w:p>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9" w:hRule="atLeast"/>
          <w:jc w:val="center"/>
        </w:trPr>
        <w:tc>
          <w:tcPr>
            <w:tcW w:w="1215"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val="en-US" w:eastAsia="zh-CN"/>
                <w14:textFill>
                  <w14:solidFill>
                    <w14:schemeClr w14:val="tx1"/>
                  </w14:solidFill>
                </w14:textFill>
              </w:rPr>
              <w:t>罐区一</w:t>
            </w:r>
          </w:p>
        </w:tc>
        <w:tc>
          <w:tcPr>
            <w:tcW w:w="1445"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3"/>
                <w:sz w:val="21"/>
                <w:szCs w:val="21"/>
                <w14:textFill>
                  <w14:solidFill>
                    <w14:schemeClr w14:val="tx1"/>
                  </w14:solidFill>
                </w14:textFill>
              </w:rPr>
              <w:t>000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rFonts w:hint="default" w:ascii="Times New Roman" w:hAnsi="Times New Roman" w:cs="Times New Roman"/>
                <w:color w:val="000000" w:themeColor="text1"/>
                <w:spacing w:val="-3"/>
                <w:sz w:val="21"/>
                <w:szCs w:val="21"/>
                <w14:textFill>
                  <w14:solidFill>
                    <w14:schemeClr w14:val="tx1"/>
                  </w14:solidFill>
                </w14:textFill>
              </w:rPr>
              <w:t>内浮顶</w:t>
            </w:r>
          </w:p>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val="en-US" w:eastAsia="zh-CN"/>
                <w14:textFill>
                  <w14:solidFill>
                    <w14:schemeClr w14:val="tx1"/>
                  </w14:solidFill>
                </w14:textFill>
              </w:rPr>
              <w:t>柴</w:t>
            </w:r>
            <w:r>
              <w:rPr>
                <w:rFonts w:hint="default" w:ascii="Times New Roman" w:hAnsi="Times New Roman" w:cs="Times New Roman"/>
                <w:color w:val="000000" w:themeColor="text1"/>
                <w:spacing w:val="-2"/>
                <w:sz w:val="21"/>
                <w:szCs w:val="21"/>
                <w14:textFill>
                  <w14:solidFill>
                    <w14:schemeClr w14:val="tx1"/>
                  </w14:solidFill>
                </w14:textFill>
              </w:rPr>
              <w:t>油罐</w:t>
            </w:r>
            <w:r>
              <w:rPr>
                <w:rFonts w:hint="default" w:ascii="Times New Roman" w:hAnsi="Times New Roman" w:cs="Times New Roman"/>
                <w:color w:val="000000" w:themeColor="text1"/>
                <w:spacing w:val="-2"/>
                <w:sz w:val="21"/>
                <w:szCs w:val="21"/>
                <w:lang w:eastAsia="zh-CN"/>
                <w14:textFill>
                  <w14:solidFill>
                    <w14:schemeClr w14:val="tx1"/>
                  </w14:solidFill>
                </w14:textFill>
              </w:rPr>
              <w:t>、</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500m³内浮顶汽油组分油储罐</w:t>
            </w:r>
          </w:p>
        </w:tc>
        <w:tc>
          <w:tcPr>
            <w:tcW w:w="1006"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pacing w:val="-3"/>
                <w:sz w:val="21"/>
                <w:szCs w:val="21"/>
                <w:lang w:val="en-US" w:eastAsia="zh-CN"/>
                <w14:textFill>
                  <w14:solidFill>
                    <w14:schemeClr w14:val="tx1"/>
                  </w14:solidFill>
                </w14:textFill>
              </w:rPr>
              <w:t>汽油组分油、柴油</w:t>
            </w:r>
          </w:p>
        </w:tc>
        <w:tc>
          <w:tcPr>
            <w:tcW w:w="973"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77"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泄漏、火</w:t>
            </w:r>
            <w:r>
              <w:rPr>
                <w:rFonts w:hint="default" w:ascii="Times New Roman" w:hAnsi="Times New Roman" w:cs="Times New Roman"/>
                <w:color w:val="000000" w:themeColor="text1"/>
                <w:spacing w:val="-4"/>
                <w:sz w:val="21"/>
                <w:szCs w:val="21"/>
                <w14:textFill>
                  <w14:solidFill>
                    <w14:schemeClr w14:val="tx1"/>
                  </w14:solidFill>
                </w14:textFill>
              </w:rPr>
              <w:t>灾爆炸</w:t>
            </w:r>
          </w:p>
        </w:tc>
        <w:tc>
          <w:tcPr>
            <w:tcW w:w="2500"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pacing w:val="-4"/>
                <w:sz w:val="21"/>
                <w:szCs w:val="21"/>
                <w14:textFill>
                  <w14:solidFill>
                    <w14:schemeClr w14:val="tx1"/>
                  </w14:solidFill>
                </w14:textFill>
              </w:rPr>
              <w:t>1</w:t>
            </w:r>
            <w:r>
              <w:rPr>
                <w:rFonts w:hint="default" w:ascii="Times New Roman" w:hAnsi="Times New Roman" w:cs="Times New Roman"/>
                <w:color w:val="000000" w:themeColor="text1"/>
                <w:spacing w:val="-4"/>
                <w:sz w:val="21"/>
                <w:szCs w:val="21"/>
                <w14:textFill>
                  <w14:solidFill>
                    <w14:schemeClr w14:val="tx1"/>
                  </w14:solidFill>
                </w14:textFill>
              </w:rPr>
              <w:t>、油品泄漏或火灾爆炸产生</w:t>
            </w:r>
            <w:r>
              <w:rPr>
                <w:rFonts w:hint="default" w:ascii="Times New Roman" w:hAnsi="Times New Roman" w:cs="Times New Roman"/>
                <w:color w:val="000000" w:themeColor="text1"/>
                <w:spacing w:val="-1"/>
                <w:sz w:val="21"/>
                <w:szCs w:val="21"/>
                <w14:textFill>
                  <w14:solidFill>
                    <w14:schemeClr w14:val="tx1"/>
                  </w14:solidFill>
                </w14:textFill>
              </w:rPr>
              <w:t>含油消防事故水经雨水排放口进入地表水体；</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pacing w:val="-3"/>
                <w:sz w:val="21"/>
                <w:szCs w:val="21"/>
                <w14:textFill>
                  <w14:solidFill>
                    <w14:schemeClr w14:val="tx1"/>
                  </w14:solidFill>
                </w14:textFill>
              </w:rPr>
              <w:t>2</w:t>
            </w:r>
            <w:r>
              <w:rPr>
                <w:rFonts w:hint="default" w:ascii="Times New Roman" w:hAnsi="Times New Roman" w:cs="Times New Roman"/>
                <w:color w:val="000000" w:themeColor="text1"/>
                <w:spacing w:val="-3"/>
                <w:sz w:val="21"/>
                <w:szCs w:val="21"/>
                <w14:textFill>
                  <w14:solidFill>
                    <w14:schemeClr w14:val="tx1"/>
                  </w14:solidFill>
                </w14:textFill>
              </w:rPr>
              <w:t>、事故水渗入地下；</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pacing w:val="-6"/>
                <w:sz w:val="21"/>
                <w:szCs w:val="21"/>
                <w14:textFill>
                  <w14:solidFill>
                    <w14:schemeClr w14:val="tx1"/>
                  </w14:solidFill>
                </w14:textFill>
              </w:rPr>
              <w:t>3</w:t>
            </w:r>
            <w:r>
              <w:rPr>
                <w:rFonts w:hint="default" w:ascii="Times New Roman" w:hAnsi="Times New Roman" w:cs="Times New Roman"/>
                <w:color w:val="000000" w:themeColor="text1"/>
                <w:spacing w:val="-6"/>
                <w:sz w:val="21"/>
                <w:szCs w:val="21"/>
                <w14:textFill>
                  <w14:solidFill>
                    <w14:schemeClr w14:val="tx1"/>
                  </w14:solidFill>
                </w14:textFill>
              </w:rPr>
              <w:t>、油品火灾爆炸伴生</w:t>
            </w:r>
            <w:r>
              <w:rPr>
                <w:rFonts w:hint="default" w:ascii="Times New Roman" w:hAnsi="Times New Roman" w:eastAsia="Times New Roman" w:cs="Times New Roman"/>
                <w:color w:val="000000" w:themeColor="text1"/>
                <w:spacing w:val="-6"/>
                <w:sz w:val="21"/>
                <w:szCs w:val="21"/>
                <w14:textFill>
                  <w14:solidFill>
                    <w14:schemeClr w14:val="tx1"/>
                  </w14:solidFill>
                </w14:textFill>
              </w:rPr>
              <w:t>CO</w:t>
            </w:r>
            <w:r>
              <w:rPr>
                <w:rFonts w:hint="default" w:ascii="Times New Roman" w:hAnsi="Times New Roman" w:cs="Times New Roman"/>
                <w:color w:val="000000" w:themeColor="text1"/>
                <w:spacing w:val="-6"/>
                <w:sz w:val="21"/>
                <w:szCs w:val="21"/>
                <w14:textFill>
                  <w14:solidFill>
                    <w14:schemeClr w14:val="tx1"/>
                  </w14:solidFill>
                </w14:textFill>
              </w:rPr>
              <w:t>、</w:t>
            </w:r>
            <w:r>
              <w:rPr>
                <w:rFonts w:hint="default" w:ascii="Times New Roman" w:hAnsi="Times New Roman" w:eastAsia="Times New Roman" w:cs="Times New Roman"/>
                <w:color w:val="000000" w:themeColor="text1"/>
                <w:spacing w:val="-2"/>
                <w:sz w:val="21"/>
                <w:szCs w:val="21"/>
                <w14:textFill>
                  <w14:solidFill>
                    <w14:schemeClr w14:val="tx1"/>
                  </w14:solidFill>
                </w14:textFill>
              </w:rPr>
              <w:t>SO</w:t>
            </w:r>
            <w:r>
              <w:rPr>
                <w:rFonts w:hint="default" w:ascii="Times New Roman" w:hAnsi="Times New Roman" w:eastAsia="Times New Roman" w:cs="Times New Roman"/>
                <w:color w:val="000000" w:themeColor="text1"/>
                <w:spacing w:val="-2"/>
                <w:position w:val="-1"/>
                <w:sz w:val="21"/>
                <w:szCs w:val="21"/>
                <w:vertAlign w:val="subscript"/>
                <w14:textFill>
                  <w14:solidFill>
                    <w14:schemeClr w14:val="tx1"/>
                  </w14:solidFill>
                </w14:textFill>
              </w:rPr>
              <w:t>2</w:t>
            </w:r>
            <w:r>
              <w:rPr>
                <w:rFonts w:hint="default" w:ascii="Times New Roman" w:hAnsi="Times New Roman" w:cs="Times New Roman"/>
                <w:color w:val="000000" w:themeColor="text1"/>
                <w:spacing w:val="-2"/>
                <w:sz w:val="21"/>
                <w:szCs w:val="21"/>
                <w14:textFill>
                  <w14:solidFill>
                    <w14:schemeClr w14:val="tx1"/>
                  </w14:solidFill>
                </w14:textFill>
              </w:rPr>
              <w:t>有害气体进入大气环境</w:t>
            </w:r>
          </w:p>
        </w:tc>
        <w:tc>
          <w:tcPr>
            <w:tcW w:w="1382"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大气环境敏感</w:t>
            </w:r>
          </w:p>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9"/>
                <w:sz w:val="21"/>
                <w:szCs w:val="21"/>
                <w14:textFill>
                  <w14:solidFill>
                    <w14:schemeClr w14:val="tx1"/>
                  </w14:solidFill>
                </w14:textFill>
              </w:rPr>
              <w:t>目标：</w:t>
            </w:r>
            <w:r>
              <w:rPr>
                <w:rFonts w:hint="default" w:ascii="Times New Roman" w:hAnsi="Times New Roman" w:eastAsia="宋体" w:cs="Times New Roman"/>
                <w:color w:val="000000" w:themeColor="text1"/>
                <w:kern w:val="0"/>
                <w:szCs w:val="21"/>
                <w14:textFill>
                  <w14:solidFill>
                    <w14:schemeClr w14:val="tx1"/>
                  </w14:solidFill>
                </w14:textFill>
              </w:rPr>
              <w:t>缸房院</w:t>
            </w:r>
            <w:r>
              <w:rPr>
                <w:rFonts w:hint="eastAsia" w:ascii="Times New Roman" w:hAnsi="Times New Roman" w:cs="Times New Roman"/>
                <w:color w:val="000000" w:themeColor="text1"/>
                <w:spacing w:val="-9"/>
                <w:sz w:val="21"/>
                <w:szCs w:val="21"/>
                <w:lang w:eastAsia="zh-CN"/>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泄漏点周围的</w:t>
            </w:r>
          </w:p>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地下水和土壤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6" w:hRule="atLeast"/>
          <w:jc w:val="center"/>
        </w:trPr>
        <w:tc>
          <w:tcPr>
            <w:tcW w:w="1215"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罐区</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二</w:t>
            </w:r>
          </w:p>
        </w:tc>
        <w:tc>
          <w:tcPr>
            <w:tcW w:w="1445"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3"/>
                <w:sz w:val="21"/>
                <w:szCs w:val="21"/>
                <w14:textFill>
                  <w14:solidFill>
                    <w14:schemeClr w14:val="tx1"/>
                  </w14:solidFill>
                </w14:textFill>
              </w:rPr>
              <w:t>000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rFonts w:hint="default" w:ascii="Times New Roman" w:hAnsi="Times New Roman" w:cs="Times New Roman"/>
                <w:color w:val="000000" w:themeColor="text1"/>
                <w:spacing w:val="-3"/>
                <w:sz w:val="21"/>
                <w:szCs w:val="21"/>
                <w14:textFill>
                  <w14:solidFill>
                    <w14:schemeClr w14:val="tx1"/>
                  </w14:solidFill>
                </w14:textFill>
              </w:rPr>
              <w:t>内浮顶</w:t>
            </w:r>
          </w:p>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柴油罐</w:t>
            </w:r>
          </w:p>
        </w:tc>
        <w:tc>
          <w:tcPr>
            <w:tcW w:w="1006"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柴油</w:t>
            </w:r>
          </w:p>
        </w:tc>
        <w:tc>
          <w:tcPr>
            <w:tcW w:w="973" w:type="dxa"/>
            <w:vMerge w:val="continue"/>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500"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6" w:hRule="atLeast"/>
          <w:jc w:val="center"/>
        </w:trPr>
        <w:tc>
          <w:tcPr>
            <w:tcW w:w="1215"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pacing w:val="-2"/>
                <w:sz w:val="21"/>
                <w:szCs w:val="21"/>
                <w14:textFill>
                  <w14:solidFill>
                    <w14:schemeClr w14:val="tx1"/>
                  </w14:solidFill>
                </w14:textFill>
              </w:rPr>
            </w:pPr>
            <w:r>
              <w:rPr>
                <w:rFonts w:hint="eastAsia"/>
                <w:color w:val="000000" w:themeColor="text1"/>
                <w:spacing w:val="-2"/>
                <w:sz w:val="21"/>
                <w:szCs w:val="21"/>
                <w:lang w:val="en-US" w:eastAsia="zh-CN"/>
                <w14:textFill>
                  <w14:solidFill>
                    <w14:schemeClr w14:val="tx1"/>
                  </w14:solidFill>
                </w14:textFill>
              </w:rPr>
              <w:t>油气回收装置</w:t>
            </w:r>
          </w:p>
        </w:tc>
        <w:tc>
          <w:tcPr>
            <w:tcW w:w="1445"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活性炭</w:t>
            </w:r>
          </w:p>
        </w:tc>
        <w:tc>
          <w:tcPr>
            <w:tcW w:w="1006"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eastAsia"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eastAsia" w:ascii="Times New Roman" w:hAnsi="Times New Roman" w:cs="Times New Roman"/>
                <w:color w:val="000000" w:themeColor="text1"/>
                <w:spacing w:val="-4"/>
                <w:sz w:val="21"/>
                <w:szCs w:val="21"/>
                <w:lang w:val="en-US" w:eastAsia="zh-CN"/>
                <w14:textFill>
                  <w14:solidFill>
                    <w14:schemeClr w14:val="tx1"/>
                  </w14:solidFill>
                </w14:textFill>
              </w:rPr>
              <w:t>油类物质</w:t>
            </w:r>
          </w:p>
        </w:tc>
        <w:tc>
          <w:tcPr>
            <w:tcW w:w="973" w:type="dxa"/>
            <w:vMerge w:val="continue"/>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500"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6" w:hRule="atLeast"/>
          <w:jc w:val="center"/>
        </w:trPr>
        <w:tc>
          <w:tcPr>
            <w:tcW w:w="1215" w:type="dxa"/>
            <w:shd w:val="clear" w:color="auto" w:fill="auto"/>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eastAsia="宋体" w:cs="Times New Roman"/>
                <w:color w:val="000000" w:themeColor="text1"/>
                <w:spacing w:val="-3"/>
                <w:kern w:val="0"/>
                <w:sz w:val="21"/>
                <w:szCs w:val="21"/>
                <w:lang w:val="en-US" w:eastAsia="en-US" w:bidi="ar-SA"/>
                <w14:textFill>
                  <w14:solidFill>
                    <w14:schemeClr w14:val="tx1"/>
                  </w14:solidFill>
                </w14:textFill>
              </w:rPr>
            </w:pPr>
            <w:r>
              <w:rPr>
                <w:rFonts w:hint="eastAsia"/>
                <w:color w:val="000000" w:themeColor="text1"/>
                <w:spacing w:val="-2"/>
                <w:sz w:val="21"/>
                <w:szCs w:val="21"/>
                <w:lang w:val="en-US" w:eastAsia="zh-CN"/>
                <w14:textFill>
                  <w14:solidFill>
                    <w14:schemeClr w14:val="tx1"/>
                  </w14:solidFill>
                </w14:textFill>
              </w:rPr>
              <w:t>污水池</w:t>
            </w:r>
          </w:p>
        </w:tc>
        <w:tc>
          <w:tcPr>
            <w:tcW w:w="1445"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污水</w:t>
            </w:r>
          </w:p>
        </w:tc>
        <w:tc>
          <w:tcPr>
            <w:tcW w:w="1006"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eastAsia" w:ascii="Times New Roman" w:hAnsi="Times New Roman" w:cs="Times New Roman"/>
                <w:color w:val="000000" w:themeColor="text1"/>
                <w:spacing w:val="-4"/>
                <w:sz w:val="21"/>
                <w:szCs w:val="21"/>
                <w:lang w:val="en-US" w:eastAsia="zh-CN"/>
                <w14:textFill>
                  <w14:solidFill>
                    <w14:schemeClr w14:val="tx1"/>
                  </w14:solidFill>
                </w14:textFill>
              </w:rPr>
              <w:t>COD、石油类</w:t>
            </w:r>
          </w:p>
        </w:tc>
        <w:tc>
          <w:tcPr>
            <w:tcW w:w="973" w:type="dxa"/>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泄漏</w:t>
            </w:r>
          </w:p>
        </w:tc>
        <w:tc>
          <w:tcPr>
            <w:tcW w:w="2500"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Arial"/>
                <w:color w:val="000000" w:themeColor="text1"/>
                <w:sz w:val="21"/>
                <w:szCs w:val="21"/>
                <w:lang w:val="en-US" w:eastAsia="zh-CN"/>
                <w14:textFill>
                  <w14:solidFill>
                    <w14:schemeClr w14:val="tx1"/>
                  </w14:solidFill>
                </w14:textFill>
              </w:rPr>
              <w:t>污水泄漏</w:t>
            </w:r>
            <w:r>
              <w:rPr>
                <w:color w:val="000000" w:themeColor="text1"/>
                <w:spacing w:val="-1"/>
                <w:sz w:val="21"/>
                <w:szCs w:val="21"/>
                <w14:textFill>
                  <w14:solidFill>
                    <w14:schemeClr w14:val="tx1"/>
                  </w14:solidFill>
                </w14:textFill>
              </w:rPr>
              <w:t>对</w:t>
            </w:r>
            <w:r>
              <w:rPr>
                <w:rFonts w:hint="eastAsia"/>
                <w:color w:val="000000" w:themeColor="text1"/>
                <w:spacing w:val="-1"/>
                <w:sz w:val="21"/>
                <w:szCs w:val="21"/>
                <w:lang w:val="en-US" w:eastAsia="zh-CN"/>
                <w14:textFill>
                  <w14:solidFill>
                    <w14:schemeClr w14:val="tx1"/>
                  </w14:solidFill>
                </w14:textFill>
              </w:rPr>
              <w:t>土壤、</w:t>
            </w:r>
            <w:r>
              <w:rPr>
                <w:color w:val="000000" w:themeColor="text1"/>
                <w:spacing w:val="-1"/>
                <w:sz w:val="21"/>
                <w:szCs w:val="21"/>
                <w14:textFill>
                  <w14:solidFill>
                    <w14:schemeClr w14:val="tx1"/>
                  </w14:solidFill>
                </w14:textFill>
              </w:rPr>
              <w:t>地下水环境造</w:t>
            </w:r>
            <w:r>
              <w:rPr>
                <w:color w:val="000000" w:themeColor="text1"/>
                <w:spacing w:val="-2"/>
                <w:sz w:val="21"/>
                <w:szCs w:val="21"/>
                <w14:textFill>
                  <w14:solidFill>
                    <w14:schemeClr w14:val="tx1"/>
                  </w14:solidFill>
                </w14:textFill>
              </w:rPr>
              <w:t>成污染。</w:t>
            </w:r>
          </w:p>
        </w:tc>
        <w:tc>
          <w:tcPr>
            <w:tcW w:w="1382"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泄漏点周围的</w:t>
            </w:r>
          </w:p>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地下水和土壤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6" w:hRule="atLeast"/>
          <w:jc w:val="center"/>
        </w:trPr>
        <w:tc>
          <w:tcPr>
            <w:tcW w:w="1215" w:type="dxa"/>
            <w:shd w:val="clear" w:color="auto" w:fill="auto"/>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eastAsia="宋体" w:cs="Times New Roman"/>
                <w:color w:val="000000" w:themeColor="text1"/>
                <w:spacing w:val="-3"/>
                <w:kern w:val="0"/>
                <w:sz w:val="21"/>
                <w:szCs w:val="21"/>
                <w:lang w:val="en-US" w:eastAsia="en-US" w:bidi="ar-SA"/>
                <w14:textFill>
                  <w14:solidFill>
                    <w14:schemeClr w14:val="tx1"/>
                  </w14:solidFill>
                </w14:textFill>
              </w:rPr>
            </w:pPr>
            <w:r>
              <w:rPr>
                <w:rFonts w:hint="eastAsia"/>
                <w:color w:val="000000" w:themeColor="text1"/>
                <w:spacing w:val="-2"/>
                <w:sz w:val="21"/>
                <w:szCs w:val="21"/>
                <w:lang w:val="en-US" w:eastAsia="zh-CN"/>
                <w14:textFill>
                  <w14:solidFill>
                    <w14:schemeClr w14:val="tx1"/>
                  </w14:solidFill>
                </w14:textFill>
              </w:rPr>
              <w:t>油气回收装置、危废库</w:t>
            </w:r>
          </w:p>
        </w:tc>
        <w:tc>
          <w:tcPr>
            <w:tcW w:w="1445"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eastAsia" w:ascii="Times New Roman" w:hAnsi="Times New Roman" w:eastAsia="宋体" w:cs="Times New Roman"/>
                <w:color w:val="000000" w:themeColor="text1"/>
                <w:spacing w:val="-3"/>
                <w:sz w:val="21"/>
                <w:szCs w:val="21"/>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活性炭、废活性炭</w:t>
            </w:r>
          </w:p>
        </w:tc>
        <w:tc>
          <w:tcPr>
            <w:tcW w:w="1006"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eastAsia" w:ascii="Times New Roman" w:hAnsi="Times New Roman" w:cs="Times New Roman"/>
                <w:color w:val="000000" w:themeColor="text1"/>
                <w:spacing w:val="-4"/>
                <w:sz w:val="21"/>
                <w:szCs w:val="21"/>
                <w:lang w:val="en-US" w:eastAsia="zh-CN"/>
                <w14:textFill>
                  <w14:solidFill>
                    <w14:schemeClr w14:val="tx1"/>
                  </w14:solidFill>
                </w14:textFill>
              </w:rPr>
              <w:t>油类物质</w:t>
            </w:r>
          </w:p>
        </w:tc>
        <w:tc>
          <w:tcPr>
            <w:tcW w:w="973" w:type="dxa"/>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火灾</w:t>
            </w:r>
          </w:p>
        </w:tc>
        <w:tc>
          <w:tcPr>
            <w:tcW w:w="2500"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pacing w:val="-4"/>
                <w:sz w:val="21"/>
                <w:szCs w:val="21"/>
                <w:lang w:val="en-US" w:eastAsia="zh-CN"/>
                <w14:textFill>
                  <w14:solidFill>
                    <w14:schemeClr w14:val="tx1"/>
                  </w14:solidFill>
                </w14:textFill>
              </w:rPr>
              <w:t>1、</w:t>
            </w:r>
            <w:r>
              <w:rPr>
                <w:rFonts w:hint="default" w:ascii="Times New Roman" w:hAnsi="Times New Roman" w:cs="Times New Roman"/>
                <w:color w:val="000000" w:themeColor="text1"/>
                <w:spacing w:val="-4"/>
                <w:sz w:val="21"/>
                <w:szCs w:val="21"/>
                <w14:textFill>
                  <w14:solidFill>
                    <w14:schemeClr w14:val="tx1"/>
                  </w14:solidFill>
                </w14:textFill>
              </w:rPr>
              <w:t>火灾产生</w:t>
            </w:r>
            <w:r>
              <w:rPr>
                <w:rFonts w:hint="default" w:ascii="Times New Roman" w:hAnsi="Times New Roman" w:cs="Times New Roman"/>
                <w:color w:val="000000" w:themeColor="text1"/>
                <w:spacing w:val="-1"/>
                <w:sz w:val="21"/>
                <w:szCs w:val="21"/>
                <w14:textFill>
                  <w14:solidFill>
                    <w14:schemeClr w14:val="tx1"/>
                  </w14:solidFill>
                </w14:textFill>
              </w:rPr>
              <w:t>含油消防事故水经雨水排放口进入地表水体；</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pacing w:val="-3"/>
                <w:sz w:val="21"/>
                <w:szCs w:val="21"/>
                <w14:textFill>
                  <w14:solidFill>
                    <w14:schemeClr w14:val="tx1"/>
                  </w14:solidFill>
                </w14:textFill>
              </w:rPr>
              <w:t>2</w:t>
            </w:r>
            <w:r>
              <w:rPr>
                <w:rFonts w:hint="default" w:ascii="Times New Roman" w:hAnsi="Times New Roman" w:cs="Times New Roman"/>
                <w:color w:val="000000" w:themeColor="text1"/>
                <w:spacing w:val="-3"/>
                <w:sz w:val="21"/>
                <w:szCs w:val="21"/>
                <w14:textFill>
                  <w14:solidFill>
                    <w14:schemeClr w14:val="tx1"/>
                  </w14:solidFill>
                </w14:textFill>
              </w:rPr>
              <w:t>、事故水渗入地下；</w:t>
            </w:r>
          </w:p>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pacing w:val="-6"/>
                <w:sz w:val="21"/>
                <w:szCs w:val="21"/>
                <w14:textFill>
                  <w14:solidFill>
                    <w14:schemeClr w14:val="tx1"/>
                  </w14:solidFill>
                </w14:textFill>
              </w:rPr>
              <w:t>3</w:t>
            </w:r>
            <w:r>
              <w:rPr>
                <w:rFonts w:hint="default" w:ascii="Times New Roman" w:hAnsi="Times New Roman" w:cs="Times New Roman"/>
                <w:color w:val="000000" w:themeColor="text1"/>
                <w:spacing w:val="-6"/>
                <w:sz w:val="21"/>
                <w:szCs w:val="21"/>
                <w14:textFill>
                  <w14:solidFill>
                    <w14:schemeClr w14:val="tx1"/>
                  </w14:solidFill>
                </w14:textFill>
              </w:rPr>
              <w:t>、油品火灾爆炸伴生</w:t>
            </w:r>
            <w:r>
              <w:rPr>
                <w:rFonts w:hint="default" w:ascii="Times New Roman" w:hAnsi="Times New Roman" w:eastAsia="Times New Roman" w:cs="Times New Roman"/>
                <w:color w:val="000000" w:themeColor="text1"/>
                <w:spacing w:val="-6"/>
                <w:sz w:val="21"/>
                <w:szCs w:val="21"/>
                <w14:textFill>
                  <w14:solidFill>
                    <w14:schemeClr w14:val="tx1"/>
                  </w14:solidFill>
                </w14:textFill>
              </w:rPr>
              <w:t>CO</w:t>
            </w:r>
            <w:r>
              <w:rPr>
                <w:rFonts w:hint="default" w:ascii="Times New Roman" w:hAnsi="Times New Roman" w:cs="Times New Roman"/>
                <w:color w:val="000000" w:themeColor="text1"/>
                <w:spacing w:val="-6"/>
                <w:sz w:val="21"/>
                <w:szCs w:val="21"/>
                <w14:textFill>
                  <w14:solidFill>
                    <w14:schemeClr w14:val="tx1"/>
                  </w14:solidFill>
                </w14:textFill>
              </w:rPr>
              <w:t>、</w:t>
            </w:r>
            <w:r>
              <w:rPr>
                <w:rFonts w:hint="default" w:ascii="Times New Roman" w:hAnsi="Times New Roman" w:eastAsia="Times New Roman" w:cs="Times New Roman"/>
                <w:color w:val="000000" w:themeColor="text1"/>
                <w:spacing w:val="-2"/>
                <w:sz w:val="21"/>
                <w:szCs w:val="21"/>
                <w14:textFill>
                  <w14:solidFill>
                    <w14:schemeClr w14:val="tx1"/>
                  </w14:solidFill>
                </w14:textFill>
              </w:rPr>
              <w:t>SO</w:t>
            </w:r>
            <w:r>
              <w:rPr>
                <w:rFonts w:hint="default" w:ascii="Times New Roman" w:hAnsi="Times New Roman" w:eastAsia="Times New Roman" w:cs="Times New Roman"/>
                <w:color w:val="000000" w:themeColor="text1"/>
                <w:spacing w:val="-2"/>
                <w:position w:val="-1"/>
                <w:sz w:val="21"/>
                <w:szCs w:val="21"/>
                <w:vertAlign w:val="subscript"/>
                <w14:textFill>
                  <w14:solidFill>
                    <w14:schemeClr w14:val="tx1"/>
                  </w14:solidFill>
                </w14:textFill>
              </w:rPr>
              <w:t>2</w:t>
            </w:r>
            <w:r>
              <w:rPr>
                <w:rFonts w:hint="default" w:ascii="Times New Roman" w:hAnsi="Times New Roman" w:cs="Times New Roman"/>
                <w:color w:val="000000" w:themeColor="text1"/>
                <w:spacing w:val="-2"/>
                <w:sz w:val="21"/>
                <w:szCs w:val="21"/>
                <w14:textFill>
                  <w14:solidFill>
                    <w14:schemeClr w14:val="tx1"/>
                  </w14:solidFill>
                </w14:textFill>
              </w:rPr>
              <w:t>有害气体进入大气环境</w:t>
            </w:r>
          </w:p>
        </w:tc>
        <w:tc>
          <w:tcPr>
            <w:tcW w:w="1382"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大气环境敏感</w:t>
            </w:r>
          </w:p>
          <w:p>
            <w:pPr>
              <w:pStyle w:val="96"/>
              <w:keepNext w:val="0"/>
              <w:keepLines w:val="0"/>
              <w:pageBreakBefore w:val="0"/>
              <w:widowControl w:val="0"/>
              <w:kinsoku/>
              <w:wordWrap/>
              <w:overflowPunct/>
              <w:topLinePunct w:val="0"/>
              <w:autoSpaceDE/>
              <w:autoSpaceDN/>
              <w:bidi w:val="0"/>
              <w:spacing w:beforeLines="0" w:afterLines="0" w:line="219" w:lineRule="auto"/>
              <w:ind w:left="0" w:right="0"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9"/>
                <w:sz w:val="21"/>
                <w:szCs w:val="21"/>
                <w14:textFill>
                  <w14:solidFill>
                    <w14:schemeClr w14:val="tx1"/>
                  </w14:solidFill>
                </w14:textFill>
              </w:rPr>
              <w:t>目标：</w:t>
            </w:r>
            <w:r>
              <w:rPr>
                <w:rFonts w:hint="default" w:ascii="Times New Roman" w:hAnsi="Times New Roman" w:eastAsia="宋体" w:cs="Times New Roman"/>
                <w:color w:val="000000" w:themeColor="text1"/>
                <w:kern w:val="0"/>
                <w:szCs w:val="21"/>
                <w14:textFill>
                  <w14:solidFill>
                    <w14:schemeClr w14:val="tx1"/>
                  </w14:solidFill>
                </w14:textFill>
              </w:rPr>
              <w:t>缸房院</w:t>
            </w:r>
            <w:r>
              <w:rPr>
                <w:rFonts w:hint="eastAsia" w:ascii="Times New Roman" w:hAnsi="Times New Roman" w:cs="Times New Roman"/>
                <w:color w:val="000000" w:themeColor="text1"/>
                <w:spacing w:val="-9"/>
                <w:sz w:val="21"/>
                <w:szCs w:val="21"/>
                <w:lang w:eastAsia="zh-CN"/>
                <w14:textFill>
                  <w14:solidFill>
                    <w14:schemeClr w14:val="tx1"/>
                  </w14:solidFill>
                </w14:textFill>
              </w:rPr>
              <w:t>；</w:t>
            </w:r>
          </w:p>
          <w:p>
            <w:pPr>
              <w:pStyle w:val="96"/>
              <w:keepNext w:val="0"/>
              <w:keepLines w:val="0"/>
              <w:pageBreakBefore w:val="0"/>
              <w:widowControl w:val="0"/>
              <w:kinsoku/>
              <w:wordWrap/>
              <w:overflowPunct/>
              <w:topLinePunct w:val="0"/>
              <w:autoSpaceDE/>
              <w:autoSpaceDN/>
              <w:bidi w:val="0"/>
              <w:spacing w:beforeLines="0" w:afterLines="0"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泄漏点周围的</w:t>
            </w:r>
          </w:p>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地下水和土壤</w:t>
            </w:r>
          </w:p>
        </w:tc>
      </w:tr>
    </w:tbl>
    <w:p>
      <w:pPr>
        <w:pStyle w:val="8"/>
        <w:spacing w:before="78" w:line="220" w:lineRule="auto"/>
        <w:ind w:left="0" w:leftChars="0" w:firstLine="0" w:firstLineChars="0"/>
        <w:outlineLvl w:val="0"/>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3"/>
          <w:sz w:val="28"/>
          <w:szCs w:val="28"/>
          <w14:textFill>
            <w14:solidFill>
              <w14:schemeClr w14:val="tx1"/>
            </w14:solidFill>
          </w14:textFill>
        </w:rPr>
        <w:t xml:space="preserve">5 </w:t>
      </w:r>
      <w:r>
        <w:rPr>
          <w:b/>
          <w:bCs/>
          <w:color w:val="000000" w:themeColor="text1"/>
          <w:spacing w:val="-3"/>
          <w:sz w:val="28"/>
          <w:szCs w:val="28"/>
          <w14:textFill>
            <w14:solidFill>
              <w14:schemeClr w14:val="tx1"/>
            </w14:solidFill>
          </w14:textFill>
        </w:rPr>
        <w:t>风险事故情形分析</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5.1 </w:t>
      </w:r>
      <w:r>
        <w:rPr>
          <w:b/>
          <w:bCs/>
          <w:color w:val="000000" w:themeColor="text1"/>
          <w:spacing w:val="6"/>
          <w:sz w:val="24"/>
          <w:szCs w:val="24"/>
          <w14:textFill>
            <w14:solidFill>
              <w14:schemeClr w14:val="tx1"/>
            </w14:solidFill>
          </w14:textFill>
        </w:rPr>
        <w:t>风险事故情形设定</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13"/>
        <w:textAlignment w:val="auto"/>
        <w:rPr>
          <w:color w:val="000000" w:themeColor="text1"/>
          <w:sz w:val="20"/>
          <w:szCs w:val="20"/>
          <w14:textFill>
            <w14:solidFill>
              <w14:schemeClr w14:val="tx1"/>
            </w14:solidFill>
          </w14:textFill>
        </w:rPr>
      </w:pPr>
      <w:r>
        <w:rPr>
          <w:color w:val="000000" w:themeColor="text1"/>
          <w:spacing w:val="8"/>
          <w:sz w:val="24"/>
          <w:szCs w:val="24"/>
          <w14:textFill>
            <w14:solidFill>
              <w14:schemeClr w14:val="tx1"/>
            </w14:solidFill>
          </w14:textFill>
        </w:rPr>
        <w:t>根据</w:t>
      </w:r>
      <w:r>
        <w:rPr>
          <w:rFonts w:ascii="Times New Roman" w:hAnsi="Times New Roman" w:eastAsia="Times New Roman" w:cs="Times New Roman"/>
          <w:color w:val="000000" w:themeColor="text1"/>
          <w:sz w:val="24"/>
          <w:szCs w:val="24"/>
          <w14:textFill>
            <w14:solidFill>
              <w14:schemeClr w14:val="tx1"/>
            </w14:solidFill>
          </w14:textFill>
        </w:rPr>
        <w:t>HJ</w:t>
      </w:r>
      <w:r>
        <w:rPr>
          <w:rFonts w:ascii="Times New Roman" w:hAnsi="Times New Roman" w:eastAsia="Times New Roman" w:cs="Times New Roman"/>
          <w:color w:val="000000" w:themeColor="text1"/>
          <w:spacing w:val="8"/>
          <w:sz w:val="24"/>
          <w:szCs w:val="24"/>
          <w14:textFill>
            <w14:solidFill>
              <w14:schemeClr w14:val="tx1"/>
            </w14:solidFill>
          </w14:textFill>
        </w:rPr>
        <w:t>169-2018</w:t>
      </w:r>
      <w:r>
        <w:rPr>
          <w:color w:val="000000" w:themeColor="text1"/>
          <w:spacing w:val="8"/>
          <w:sz w:val="24"/>
          <w:szCs w:val="24"/>
          <w14:textFill>
            <w14:solidFill>
              <w14:schemeClr w14:val="tx1"/>
            </w14:solidFill>
          </w14:textFill>
        </w:rPr>
        <w:t>中第</w:t>
      </w:r>
      <w:r>
        <w:rPr>
          <w:rFonts w:ascii="Times New Roman" w:hAnsi="Times New Roman" w:eastAsia="Times New Roman" w:cs="Times New Roman"/>
          <w:color w:val="000000" w:themeColor="text1"/>
          <w:spacing w:val="8"/>
          <w:sz w:val="24"/>
          <w:szCs w:val="24"/>
          <w14:textFill>
            <w14:solidFill>
              <w14:schemeClr w14:val="tx1"/>
            </w14:solidFill>
          </w14:textFill>
        </w:rPr>
        <w:t>8</w:t>
      </w:r>
      <w:r>
        <w:rPr>
          <w:color w:val="000000" w:themeColor="text1"/>
          <w:spacing w:val="8"/>
          <w:sz w:val="24"/>
          <w:szCs w:val="24"/>
          <w14:textFill>
            <w14:solidFill>
              <w14:schemeClr w14:val="tx1"/>
            </w14:solidFill>
          </w14:textFill>
        </w:rPr>
        <w:t>节中风险事故情形设定原则及内容，项目风险事故情形设定见</w:t>
      </w:r>
      <w:r>
        <w:rPr>
          <w:color w:val="000000" w:themeColor="text1"/>
          <w:spacing w:val="1"/>
          <w:sz w:val="24"/>
          <w:szCs w:val="24"/>
          <w14:textFill>
            <w14:solidFill>
              <w14:schemeClr w14:val="tx1"/>
            </w14:solidFill>
          </w14:textFill>
        </w:rPr>
        <w:t>下表：</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38"/>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5-1 </w:t>
      </w:r>
      <w:r>
        <w:rPr>
          <w:rFonts w:hint="eastAsia" w:eastAsia="宋体" w:cs="Times New Roman"/>
          <w:b/>
          <w:bCs/>
          <w:color w:val="000000" w:themeColor="text1"/>
          <w:sz w:val="21"/>
          <w:szCs w:val="21"/>
          <w:lang w:val="en-US" w:eastAsia="zh-CN"/>
          <w14:textFill>
            <w14:solidFill>
              <w14:schemeClr w14:val="tx1"/>
            </w14:solidFill>
          </w14:textFill>
        </w:rPr>
        <w:t xml:space="preserve"> </w:t>
      </w:r>
      <w:r>
        <w:rPr>
          <w:b/>
          <w:bCs/>
          <w:color w:val="000000" w:themeColor="text1"/>
          <w:spacing w:val="-1"/>
          <w:sz w:val="21"/>
          <w:szCs w:val="21"/>
          <w14:textFill>
            <w14:solidFill>
              <w14:schemeClr w14:val="tx1"/>
            </w14:solidFill>
          </w14:textFill>
        </w:rPr>
        <w:t>项目环境风险事故情形设定</w:t>
      </w:r>
    </w:p>
    <w:tbl>
      <w:tblPr>
        <w:tblStyle w:val="99"/>
        <w:tblW w:w="913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04"/>
        <w:gridCol w:w="2338"/>
        <w:gridCol w:w="2174"/>
        <w:gridCol w:w="1244"/>
        <w:gridCol w:w="217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jc w:val="center"/>
        </w:trPr>
        <w:tc>
          <w:tcPr>
            <w:tcW w:w="1204"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spacing w:before="32"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环境风险</w:t>
            </w:r>
          </w:p>
          <w:p>
            <w:pPr>
              <w:pStyle w:val="96"/>
              <w:keepNext w:val="0"/>
              <w:keepLines w:val="0"/>
              <w:pageBreakBefore w:val="0"/>
              <w:widowControl w:val="0"/>
              <w:kinsoku/>
              <w:wordWrap/>
              <w:overflowPunct/>
              <w:topLinePunct w:val="0"/>
              <w:autoSpaceDE/>
              <w:autoSpaceDN/>
              <w:bidi w:val="0"/>
              <w:spacing w:before="54"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类型</w:t>
            </w:r>
          </w:p>
        </w:tc>
        <w:tc>
          <w:tcPr>
            <w:tcW w:w="2338"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164"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危险单元</w:t>
            </w:r>
          </w:p>
        </w:tc>
        <w:tc>
          <w:tcPr>
            <w:tcW w:w="2174"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164"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主要风险源</w:t>
            </w:r>
          </w:p>
        </w:tc>
        <w:tc>
          <w:tcPr>
            <w:tcW w:w="1244"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164" w:line="220"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危险物质</w:t>
            </w:r>
          </w:p>
        </w:tc>
        <w:tc>
          <w:tcPr>
            <w:tcW w:w="2177" w:type="dxa"/>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164"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环境影响途径</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jc w:val="center"/>
        </w:trPr>
        <w:tc>
          <w:tcPr>
            <w:tcW w:w="1204" w:type="dxa"/>
            <w:vMerge w:val="restart"/>
            <w:tcBorders>
              <w:left w:val="nil"/>
              <w:bottom w:val="nil"/>
            </w:tcBorders>
            <w:vAlign w:val="center"/>
          </w:tcPr>
          <w:p>
            <w:pPr>
              <w:pStyle w:val="96"/>
              <w:keepNext w:val="0"/>
              <w:keepLines w:val="0"/>
              <w:pageBreakBefore w:val="0"/>
              <w:widowControl w:val="0"/>
              <w:kinsoku/>
              <w:wordWrap/>
              <w:overflowPunct/>
              <w:topLinePunct w:val="0"/>
              <w:autoSpaceDE/>
              <w:autoSpaceDN/>
              <w:bidi w:val="0"/>
              <w:spacing w:before="58" w:line="221"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泄漏</w:t>
            </w:r>
          </w:p>
        </w:tc>
        <w:tc>
          <w:tcPr>
            <w:tcW w:w="2338"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val="en-US" w:eastAsia="zh-CN"/>
                <w14:textFill>
                  <w14:solidFill>
                    <w14:schemeClr w14:val="tx1"/>
                  </w14:solidFill>
                </w14:textFill>
              </w:rPr>
              <w:t>罐区一</w:t>
            </w:r>
          </w:p>
        </w:tc>
        <w:tc>
          <w:tcPr>
            <w:tcW w:w="2174"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3"/>
                <w:sz w:val="21"/>
                <w:szCs w:val="21"/>
                <w14:textFill>
                  <w14:solidFill>
                    <w14:schemeClr w14:val="tx1"/>
                  </w14:solidFill>
                </w14:textFill>
              </w:rPr>
              <w:t>000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rFonts w:hint="default" w:ascii="Times New Roman" w:hAnsi="Times New Roman" w:cs="Times New Roman"/>
                <w:color w:val="000000" w:themeColor="text1"/>
                <w:spacing w:val="-3"/>
                <w:sz w:val="21"/>
                <w:szCs w:val="21"/>
                <w14:textFill>
                  <w14:solidFill>
                    <w14:schemeClr w14:val="tx1"/>
                  </w14:solidFill>
                </w14:textFill>
              </w:rPr>
              <w:t>内浮顶</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柴油储</w:t>
            </w:r>
            <w:r>
              <w:rPr>
                <w:rFonts w:hint="default" w:ascii="Times New Roman" w:hAnsi="Times New Roman" w:cs="Times New Roman"/>
                <w:color w:val="000000" w:themeColor="text1"/>
                <w:spacing w:val="-3"/>
                <w:sz w:val="21"/>
                <w:szCs w:val="21"/>
                <w14:textFill>
                  <w14:solidFill>
                    <w14:schemeClr w14:val="tx1"/>
                  </w14:solidFill>
                </w14:textFill>
              </w:rPr>
              <w:t>罐</w:t>
            </w:r>
            <w:r>
              <w:rPr>
                <w:rFonts w:hint="default" w:ascii="Times New Roman" w:hAnsi="Times New Roman" w:cs="Times New Roman"/>
                <w:color w:val="000000" w:themeColor="text1"/>
                <w:spacing w:val="-3"/>
                <w:sz w:val="21"/>
                <w:szCs w:val="21"/>
                <w:lang w:eastAsia="zh-CN"/>
                <w14:textFill>
                  <w14:solidFill>
                    <w14:schemeClr w14:val="tx1"/>
                  </w14:solidFill>
                </w14:textFill>
              </w:rPr>
              <w:t>、</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5</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rFonts w:hint="default" w:ascii="Times New Roman" w:hAnsi="Times New Roman" w:cs="Times New Roman"/>
                <w:color w:val="000000" w:themeColor="text1"/>
                <w:spacing w:val="-3"/>
                <w:sz w:val="21"/>
                <w:szCs w:val="21"/>
                <w14:textFill>
                  <w14:solidFill>
                    <w14:schemeClr w14:val="tx1"/>
                  </w14:solidFill>
                </w14:textFill>
              </w:rPr>
              <w:t>内浮顶</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汽油组分油储</w:t>
            </w:r>
            <w:r>
              <w:rPr>
                <w:rFonts w:hint="default" w:ascii="Times New Roman" w:hAnsi="Times New Roman" w:cs="Times New Roman"/>
                <w:color w:val="000000" w:themeColor="text1"/>
                <w:spacing w:val="-3"/>
                <w:sz w:val="21"/>
                <w:szCs w:val="21"/>
                <w14:textFill>
                  <w14:solidFill>
                    <w14:schemeClr w14:val="tx1"/>
                  </w14:solidFill>
                </w14:textFill>
              </w:rPr>
              <w:t>罐</w:t>
            </w:r>
          </w:p>
        </w:tc>
        <w:tc>
          <w:tcPr>
            <w:tcW w:w="1244"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lang w:val="en-US" w:eastAsia="zh-CN"/>
                <w14:textFill>
                  <w14:solidFill>
                    <w14:schemeClr w14:val="tx1"/>
                  </w14:solidFill>
                </w14:textFill>
              </w:rPr>
              <w:t>汽油组分油、柴油</w:t>
            </w:r>
          </w:p>
        </w:tc>
        <w:tc>
          <w:tcPr>
            <w:tcW w:w="2177" w:type="dxa"/>
            <w:vMerge w:val="restart"/>
            <w:tcBorders>
              <w:bottom w:val="nil"/>
              <w:right w:val="nil"/>
            </w:tcBorders>
            <w:vAlign w:val="center"/>
          </w:tcPr>
          <w:p>
            <w:pPr>
              <w:pStyle w:val="96"/>
              <w:keepNext w:val="0"/>
              <w:keepLines w:val="0"/>
              <w:pageBreakBefore w:val="0"/>
              <w:widowControl w:val="0"/>
              <w:kinsoku/>
              <w:wordWrap/>
              <w:overflowPunct/>
              <w:topLinePunct w:val="0"/>
              <w:autoSpaceDE/>
              <w:autoSpaceDN/>
              <w:bidi w:val="0"/>
              <w:spacing w:before="128" w:line="276"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pacing w:val="-5"/>
                <w:sz w:val="21"/>
                <w:szCs w:val="21"/>
                <w:lang w:val="en-US" w:eastAsia="zh-CN"/>
                <w14:textFill>
                  <w14:solidFill>
                    <w14:schemeClr w14:val="tx1"/>
                  </w14:solidFill>
                </w14:textFill>
              </w:rPr>
              <w:t>大气、</w:t>
            </w:r>
            <w:r>
              <w:rPr>
                <w:rFonts w:hint="default" w:ascii="Times New Roman" w:hAnsi="Times New Roman" w:cs="Times New Roman"/>
                <w:color w:val="000000" w:themeColor="text1"/>
                <w:spacing w:val="-5"/>
                <w:sz w:val="21"/>
                <w:szCs w:val="21"/>
                <w14:textFill>
                  <w14:solidFill>
                    <w14:schemeClr w14:val="tx1"/>
                  </w14:solidFill>
                </w14:textFill>
              </w:rPr>
              <w:t>地表水、地下水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4" w:hRule="atLeast"/>
          <w:jc w:val="center"/>
        </w:trPr>
        <w:tc>
          <w:tcPr>
            <w:tcW w:w="1204"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338"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罐区</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二</w:t>
            </w:r>
          </w:p>
        </w:tc>
        <w:tc>
          <w:tcPr>
            <w:tcW w:w="2174"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3"/>
                <w:sz w:val="21"/>
                <w:szCs w:val="21"/>
                <w14:textFill>
                  <w14:solidFill>
                    <w14:schemeClr w14:val="tx1"/>
                  </w14:solidFill>
                </w14:textFill>
              </w:rPr>
              <w:t>000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rFonts w:hint="default" w:ascii="Times New Roman" w:hAnsi="Times New Roman" w:cs="Times New Roman"/>
                <w:color w:val="000000" w:themeColor="text1"/>
                <w:spacing w:val="-3"/>
                <w:sz w:val="21"/>
                <w:szCs w:val="21"/>
                <w14:textFill>
                  <w14:solidFill>
                    <w14:schemeClr w14:val="tx1"/>
                  </w14:solidFill>
                </w14:textFill>
              </w:rPr>
              <w:t>内浮顶柴</w:t>
            </w:r>
            <w:r>
              <w:rPr>
                <w:rFonts w:hint="default" w:ascii="Times New Roman" w:hAnsi="Times New Roman" w:cs="Times New Roman"/>
                <w:color w:val="000000" w:themeColor="text1"/>
                <w:spacing w:val="-5"/>
                <w:sz w:val="21"/>
                <w:szCs w:val="21"/>
                <w14:textFill>
                  <w14:solidFill>
                    <w14:schemeClr w14:val="tx1"/>
                  </w14:solidFill>
                </w14:textFill>
              </w:rPr>
              <w:t>油罐</w:t>
            </w:r>
          </w:p>
        </w:tc>
        <w:tc>
          <w:tcPr>
            <w:tcW w:w="1244"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柴油</w:t>
            </w:r>
          </w:p>
        </w:tc>
        <w:tc>
          <w:tcPr>
            <w:tcW w:w="2177" w:type="dxa"/>
            <w:vMerge w:val="continue"/>
            <w:tcBorders>
              <w:top w:val="nil"/>
              <w:right w:val="nil"/>
            </w:tcBorders>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1" w:hRule="atLeast"/>
          <w:jc w:val="center"/>
        </w:trPr>
        <w:tc>
          <w:tcPr>
            <w:tcW w:w="1204" w:type="dxa"/>
            <w:vMerge w:val="restart"/>
            <w:tcBorders>
              <w:left w:val="nil"/>
              <w:bottom w:val="nil"/>
            </w:tcBorders>
            <w:vAlign w:val="center"/>
          </w:tcPr>
          <w:p>
            <w:pPr>
              <w:pStyle w:val="96"/>
              <w:keepNext w:val="0"/>
              <w:keepLines w:val="0"/>
              <w:pageBreakBefore w:val="0"/>
              <w:widowControl w:val="0"/>
              <w:kinsoku/>
              <w:wordWrap/>
              <w:overflowPunct/>
              <w:topLinePunct w:val="0"/>
              <w:autoSpaceDE/>
              <w:autoSpaceDN/>
              <w:bidi w:val="0"/>
              <w:spacing w:before="255" w:line="218"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14:textFill>
                  <w14:solidFill>
                    <w14:schemeClr w14:val="tx1"/>
                  </w14:solidFill>
                </w14:textFill>
              </w:rPr>
              <w:t>火灾爆炸</w:t>
            </w:r>
          </w:p>
        </w:tc>
        <w:tc>
          <w:tcPr>
            <w:tcW w:w="2338"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lang w:val="en-US" w:eastAsia="zh-CN"/>
                <w14:textFill>
                  <w14:solidFill>
                    <w14:schemeClr w14:val="tx1"/>
                  </w14:solidFill>
                </w14:textFill>
              </w:rPr>
              <w:t>罐区一</w:t>
            </w:r>
          </w:p>
        </w:tc>
        <w:tc>
          <w:tcPr>
            <w:tcW w:w="2174" w:type="dxa"/>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3"/>
                <w:sz w:val="21"/>
                <w:szCs w:val="21"/>
                <w14:textFill>
                  <w14:solidFill>
                    <w14:schemeClr w14:val="tx1"/>
                  </w14:solidFill>
                </w14:textFill>
              </w:rPr>
              <w:t>000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rFonts w:hint="default" w:ascii="Times New Roman" w:hAnsi="Times New Roman" w:cs="Times New Roman"/>
                <w:color w:val="000000" w:themeColor="text1"/>
                <w:spacing w:val="-3"/>
                <w:sz w:val="21"/>
                <w:szCs w:val="21"/>
                <w14:textFill>
                  <w14:solidFill>
                    <w14:schemeClr w14:val="tx1"/>
                  </w14:solidFill>
                </w14:textFill>
              </w:rPr>
              <w:t>内浮顶</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柴油储</w:t>
            </w:r>
            <w:r>
              <w:rPr>
                <w:rFonts w:hint="default" w:ascii="Times New Roman" w:hAnsi="Times New Roman" w:cs="Times New Roman"/>
                <w:color w:val="000000" w:themeColor="text1"/>
                <w:spacing w:val="-3"/>
                <w:sz w:val="21"/>
                <w:szCs w:val="21"/>
                <w14:textFill>
                  <w14:solidFill>
                    <w14:schemeClr w14:val="tx1"/>
                  </w14:solidFill>
                </w14:textFill>
              </w:rPr>
              <w:t>罐</w:t>
            </w:r>
            <w:r>
              <w:rPr>
                <w:rFonts w:hint="default" w:ascii="Times New Roman" w:hAnsi="Times New Roman" w:cs="Times New Roman"/>
                <w:color w:val="000000" w:themeColor="text1"/>
                <w:spacing w:val="-3"/>
                <w:sz w:val="21"/>
                <w:szCs w:val="21"/>
                <w:lang w:eastAsia="zh-CN"/>
                <w14:textFill>
                  <w14:solidFill>
                    <w14:schemeClr w14:val="tx1"/>
                  </w14:solidFill>
                </w14:textFill>
              </w:rPr>
              <w:t>、</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5</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rFonts w:hint="default" w:ascii="Times New Roman" w:hAnsi="Times New Roman" w:cs="Times New Roman"/>
                <w:color w:val="000000" w:themeColor="text1"/>
                <w:spacing w:val="-3"/>
                <w:sz w:val="21"/>
                <w:szCs w:val="21"/>
                <w14:textFill>
                  <w14:solidFill>
                    <w14:schemeClr w14:val="tx1"/>
                  </w14:solidFill>
                </w14:textFill>
              </w:rPr>
              <w:t>内浮顶</w:t>
            </w:r>
            <w:r>
              <w:rPr>
                <w:rFonts w:hint="default" w:ascii="Times New Roman" w:hAnsi="Times New Roman" w:cs="Times New Roman"/>
                <w:color w:val="000000" w:themeColor="text1"/>
                <w:spacing w:val="-3"/>
                <w:sz w:val="21"/>
                <w:szCs w:val="21"/>
                <w:lang w:val="en-US" w:eastAsia="zh-CN"/>
                <w14:textFill>
                  <w14:solidFill>
                    <w14:schemeClr w14:val="tx1"/>
                  </w14:solidFill>
                </w14:textFill>
              </w:rPr>
              <w:t>汽油组分油储</w:t>
            </w:r>
            <w:r>
              <w:rPr>
                <w:rFonts w:hint="default" w:ascii="Times New Roman" w:hAnsi="Times New Roman" w:cs="Times New Roman"/>
                <w:color w:val="000000" w:themeColor="text1"/>
                <w:spacing w:val="-3"/>
                <w:sz w:val="21"/>
                <w:szCs w:val="21"/>
                <w14:textFill>
                  <w14:solidFill>
                    <w14:schemeClr w14:val="tx1"/>
                  </w14:solidFill>
                </w14:textFill>
              </w:rPr>
              <w:t>罐</w:t>
            </w:r>
          </w:p>
        </w:tc>
        <w:tc>
          <w:tcPr>
            <w:tcW w:w="1244" w:type="dxa"/>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3"/>
                <w:sz w:val="21"/>
                <w:szCs w:val="21"/>
                <w:lang w:val="en-US" w:eastAsia="zh-CN"/>
                <w14:textFill>
                  <w14:solidFill>
                    <w14:schemeClr w14:val="tx1"/>
                  </w14:solidFill>
                </w14:textFill>
              </w:rPr>
              <w:t>汽油组分油、柴油</w:t>
            </w:r>
          </w:p>
        </w:tc>
        <w:tc>
          <w:tcPr>
            <w:tcW w:w="2177" w:type="dxa"/>
            <w:vMerge w:val="restart"/>
            <w:tcBorders>
              <w:bottom w:val="nil"/>
              <w:right w:val="nil"/>
            </w:tcBorders>
            <w:vAlign w:val="center"/>
          </w:tcPr>
          <w:p>
            <w:pPr>
              <w:pStyle w:val="96"/>
              <w:keepNext w:val="0"/>
              <w:keepLines w:val="0"/>
              <w:pageBreakBefore w:val="0"/>
              <w:widowControl w:val="0"/>
              <w:kinsoku/>
              <w:wordWrap/>
              <w:overflowPunct/>
              <w:topLinePunct w:val="0"/>
              <w:autoSpaceDE/>
              <w:autoSpaceDN/>
              <w:bidi w:val="0"/>
              <w:spacing w:before="255" w:line="219" w:lineRule="auto"/>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大气、地表水、地下水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jc w:val="center"/>
        </w:trPr>
        <w:tc>
          <w:tcPr>
            <w:tcW w:w="1204" w:type="dxa"/>
            <w:vMerge w:val="continue"/>
            <w:tcBorders>
              <w:top w:val="nil"/>
              <w:left w:val="nil"/>
              <w:bottom w:val="single" w:color="000000" w:sz="10" w:space="0"/>
            </w:tcBorders>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338"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罐区</w:t>
            </w:r>
            <w:r>
              <w:rPr>
                <w:rFonts w:hint="default" w:ascii="Times New Roman" w:hAnsi="Times New Roman" w:cs="Times New Roman"/>
                <w:color w:val="000000" w:themeColor="text1"/>
                <w:spacing w:val="-2"/>
                <w:sz w:val="21"/>
                <w:szCs w:val="21"/>
                <w:lang w:val="en-US" w:eastAsia="zh-CN"/>
                <w14:textFill>
                  <w14:solidFill>
                    <w14:schemeClr w14:val="tx1"/>
                  </w14:solidFill>
                </w14:textFill>
              </w:rPr>
              <w:t>二</w:t>
            </w:r>
          </w:p>
        </w:tc>
        <w:tc>
          <w:tcPr>
            <w:tcW w:w="2174"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19"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3"/>
                <w:sz w:val="21"/>
                <w:szCs w:val="21"/>
                <w14:textFill>
                  <w14:solidFill>
                    <w14:schemeClr w14:val="tx1"/>
                  </w14:solidFill>
                </w14:textFill>
              </w:rPr>
              <w:t>000</w:t>
            </w: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m³</w:t>
            </w:r>
            <w:r>
              <w:rPr>
                <w:rFonts w:hint="default" w:ascii="Times New Roman" w:hAnsi="Times New Roman" w:cs="Times New Roman"/>
                <w:color w:val="000000" w:themeColor="text1"/>
                <w:spacing w:val="-3"/>
                <w:sz w:val="21"/>
                <w:szCs w:val="21"/>
                <w14:textFill>
                  <w14:solidFill>
                    <w14:schemeClr w14:val="tx1"/>
                  </w14:solidFill>
                </w14:textFill>
              </w:rPr>
              <w:t>内浮顶柴</w:t>
            </w:r>
            <w:r>
              <w:rPr>
                <w:rFonts w:hint="default" w:ascii="Times New Roman" w:hAnsi="Times New Roman" w:cs="Times New Roman"/>
                <w:color w:val="000000" w:themeColor="text1"/>
                <w:spacing w:val="-5"/>
                <w:sz w:val="21"/>
                <w:szCs w:val="21"/>
                <w14:textFill>
                  <w14:solidFill>
                    <w14:schemeClr w14:val="tx1"/>
                  </w14:solidFill>
                </w14:textFill>
              </w:rPr>
              <w:t>油罐</w:t>
            </w:r>
          </w:p>
        </w:tc>
        <w:tc>
          <w:tcPr>
            <w:tcW w:w="1244"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20" w:lineRule="auto"/>
              <w:ind w:left="0" w:leftChars="0" w:right="0" w:righ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柴油</w:t>
            </w:r>
          </w:p>
        </w:tc>
        <w:tc>
          <w:tcPr>
            <w:tcW w:w="2177" w:type="dxa"/>
            <w:vMerge w:val="continue"/>
            <w:tcBorders>
              <w:top w:val="nil"/>
              <w:bottom w:val="single" w:color="000000" w:sz="10" w:space="0"/>
              <w:right w:val="nil"/>
            </w:tcBorders>
            <w:vAlign w:val="center"/>
          </w:tcPr>
          <w:p>
            <w:pPr>
              <w:keepNext w:val="0"/>
              <w:keepLines w:val="0"/>
              <w:pageBreakBefore w:val="0"/>
              <w:widowControl w:val="0"/>
              <w:kinsoku/>
              <w:wordWrap/>
              <w:overflowPunct/>
              <w:topLinePunct w:val="0"/>
              <w:autoSpaceDE/>
              <w:autoSpaceDN/>
              <w:bidi w:val="0"/>
              <w:ind w:left="0" w:righ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bl>
    <w:p>
      <w:pPr>
        <w:pStyle w:val="8"/>
        <w:spacing w:before="130" w:line="228" w:lineRule="auto"/>
        <w:ind w:left="115"/>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4"/>
          <w:szCs w:val="24"/>
          <w14:textFill>
            <w14:solidFill>
              <w14:schemeClr w14:val="tx1"/>
            </w14:solidFill>
          </w14:textFill>
        </w:rPr>
        <w:t xml:space="preserve">5.2 </w:t>
      </w:r>
      <w:r>
        <w:rPr>
          <w:b/>
          <w:bCs/>
          <w:color w:val="000000" w:themeColor="text1"/>
          <w:spacing w:val="5"/>
          <w:sz w:val="24"/>
          <w:szCs w:val="24"/>
          <w14:textFill>
            <w14:solidFill>
              <w14:schemeClr w14:val="tx1"/>
            </w14:solidFill>
          </w14:textFill>
        </w:rPr>
        <w:t>源项分析</w:t>
      </w:r>
    </w:p>
    <w:p>
      <w:pPr>
        <w:pStyle w:val="8"/>
        <w:spacing w:before="221" w:line="226" w:lineRule="auto"/>
        <w:ind w:left="115"/>
        <w:rPr>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5.2.1 </w:t>
      </w:r>
      <w:r>
        <w:rPr>
          <w:b/>
          <w:bCs/>
          <w:color w:val="000000" w:themeColor="text1"/>
          <w:spacing w:val="6"/>
          <w:sz w:val="24"/>
          <w:szCs w:val="24"/>
          <w14:textFill>
            <w14:solidFill>
              <w14:schemeClr w14:val="tx1"/>
            </w14:solidFill>
          </w14:textFill>
        </w:rPr>
        <w:t>火灾伴生</w:t>
      </w:r>
      <w:r>
        <w:rPr>
          <w:rFonts w:ascii="Times New Roman" w:hAnsi="Times New Roman" w:eastAsia="Times New Roman" w:cs="Times New Roman"/>
          <w:b/>
          <w:bCs/>
          <w:color w:val="000000" w:themeColor="text1"/>
          <w:spacing w:val="6"/>
          <w:sz w:val="24"/>
          <w:szCs w:val="24"/>
          <w14:textFill>
            <w14:solidFill>
              <w14:schemeClr w14:val="tx1"/>
            </w14:solidFill>
          </w14:textFill>
        </w:rPr>
        <w:t>/</w:t>
      </w:r>
      <w:r>
        <w:rPr>
          <w:b/>
          <w:bCs/>
          <w:color w:val="000000" w:themeColor="text1"/>
          <w:spacing w:val="6"/>
          <w:sz w:val="24"/>
          <w:szCs w:val="24"/>
          <w14:textFill>
            <w14:solidFill>
              <w14:schemeClr w14:val="tx1"/>
            </w14:solidFill>
          </w14:textFill>
        </w:rPr>
        <w:t>次生污染物产生量估算</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65"/>
        <w:jc w:val="both"/>
        <w:textAlignment w:val="auto"/>
        <w:rPr>
          <w:color w:val="000000" w:themeColor="text1"/>
          <w:sz w:val="24"/>
          <w:szCs w:val="24"/>
          <w14:textFill>
            <w14:solidFill>
              <w14:schemeClr w14:val="tx1"/>
            </w14:solidFill>
          </w14:textFill>
        </w:rPr>
      </w:pPr>
      <w:r>
        <w:rPr>
          <w:color w:val="000000" w:themeColor="text1"/>
          <w:spacing w:val="1"/>
          <w:sz w:val="24"/>
          <w:szCs w:val="24"/>
          <w14:textFill>
            <w14:solidFill>
              <w14:schemeClr w14:val="tx1"/>
            </w14:solidFill>
          </w14:textFill>
        </w:rPr>
        <w:t>计</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算</w:t>
      </w:r>
      <w:r>
        <w:rPr>
          <w:rFonts w:hint="eastAsia" w:ascii="Times New Roman" w:hAnsi="Times New Roman" w:eastAsia="宋体" w:cs="Times New Roman"/>
          <w:color w:val="000000" w:themeColor="text1"/>
          <w:spacing w:val="1"/>
          <w:sz w:val="24"/>
          <w:szCs w:val="24"/>
          <w:lang w:val="en-US" w:eastAsia="zh-CN"/>
          <w14:textFill>
            <w14:solidFill>
              <w14:schemeClr w14:val="tx1"/>
            </w14:solidFill>
          </w14:textFill>
        </w:rPr>
        <w:t>500m³汽油</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组分</w:t>
      </w:r>
      <w:r>
        <w:rPr>
          <w:rFonts w:hint="default" w:ascii="Times New Roman" w:hAnsi="Times New Roman" w:cs="Times New Roman"/>
          <w:color w:val="000000" w:themeColor="text1"/>
          <w:spacing w:val="1"/>
          <w:sz w:val="24"/>
          <w:szCs w:val="24"/>
          <w14:textFill>
            <w14:solidFill>
              <w14:schemeClr w14:val="tx1"/>
            </w14:solidFill>
          </w14:textFill>
        </w:rPr>
        <w:t>油内浮顶罐罐顶发生火灾时，次生污染物</w:t>
      </w:r>
      <w:r>
        <w:rPr>
          <w:rFonts w:hint="default" w:ascii="Times New Roman" w:hAnsi="Times New Roman" w:cs="Times New Roman"/>
          <w:color w:val="000000" w:themeColor="text1"/>
          <w:spacing w:val="-59"/>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z w:val="24"/>
          <w:szCs w:val="24"/>
          <w14:textFill>
            <w14:solidFill>
              <w14:schemeClr w14:val="tx1"/>
            </w14:solidFill>
          </w14:textFill>
        </w:rPr>
        <w:t>CO</w:t>
      </w:r>
      <w:r>
        <w:rPr>
          <w:rFonts w:hint="default" w:ascii="Times New Roman" w:hAnsi="Times New Roman" w:cs="Times New Roman"/>
          <w:color w:val="000000" w:themeColor="text1"/>
          <w:spacing w:val="1"/>
          <w:sz w:val="24"/>
          <w:szCs w:val="24"/>
          <w14:textFill>
            <w14:solidFill>
              <w14:schemeClr w14:val="tx1"/>
            </w14:solidFill>
          </w14:textFill>
        </w:rPr>
        <w:t>、</w:t>
      </w:r>
      <w:r>
        <w:rPr>
          <w:rFonts w:hint="default" w:ascii="Times New Roman" w:hAnsi="Times New Roman" w:eastAsia="Times New Roman" w:cs="Times New Roman"/>
          <w:color w:val="000000" w:themeColor="text1"/>
          <w:sz w:val="24"/>
          <w:szCs w:val="24"/>
          <w14:textFill>
            <w14:solidFill>
              <w14:schemeClr w14:val="tx1"/>
            </w14:solidFill>
          </w14:textFill>
        </w:rPr>
        <w:t>SO</w:t>
      </w:r>
      <w:r>
        <w:rPr>
          <w:rFonts w:hint="default" w:ascii="Times New Roman" w:hAnsi="Times New Roman" w:eastAsia="Times New Roman" w:cs="Times New Roman"/>
          <w:color w:val="000000" w:themeColor="text1"/>
          <w:spacing w:val="1"/>
          <w:position w:val="-1"/>
          <w:sz w:val="24"/>
          <w:szCs w:val="24"/>
          <w:vertAlign w:val="subscript"/>
          <w14:textFill>
            <w14:solidFill>
              <w14:schemeClr w14:val="tx1"/>
            </w14:solidFill>
          </w14:textFill>
        </w:rPr>
        <w:t>2</w:t>
      </w:r>
      <w:r>
        <w:rPr>
          <w:rFonts w:hint="default" w:ascii="Times New Roman" w:hAnsi="Times New Roman" w:cs="Times New Roman"/>
          <w:color w:val="000000" w:themeColor="text1"/>
          <w:spacing w:val="1"/>
          <w:sz w:val="24"/>
          <w:szCs w:val="24"/>
          <w14:textFill>
            <w14:solidFill>
              <w14:schemeClr w14:val="tx1"/>
            </w14:solidFill>
          </w14:textFill>
        </w:rPr>
        <w:t>产生量；计算</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2</w:t>
      </w:r>
      <w:r>
        <w:rPr>
          <w:rFonts w:hint="default" w:ascii="Times New Roman" w:hAnsi="Times New Roman" w:eastAsia="Times New Roman" w:cs="Times New Roman"/>
          <w:color w:val="000000" w:themeColor="text1"/>
          <w:spacing w:val="1"/>
          <w:sz w:val="24"/>
          <w:szCs w:val="24"/>
          <w14:textFill>
            <w14:solidFill>
              <w14:schemeClr w14:val="tx1"/>
            </w14:solidFill>
          </w14:textFill>
        </w:rPr>
        <w:t>00</w:t>
      </w:r>
      <w:r>
        <w:rPr>
          <w:rFonts w:hint="default" w:ascii="Times New Roman" w:hAnsi="Times New Roman" w:eastAsia="Times New Roman" w:cs="Times New Roman"/>
          <w:color w:val="000000" w:themeColor="text1"/>
          <w:sz w:val="24"/>
          <w:szCs w:val="24"/>
          <w14:textFill>
            <w14:solidFill>
              <w14:schemeClr w14:val="tx1"/>
            </w14:solidFill>
          </w14:textFill>
        </w:rPr>
        <w:t>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m³</w:t>
      </w:r>
      <w:r>
        <w:rPr>
          <w:rFonts w:hint="default" w:ascii="Times New Roman" w:hAnsi="Times New Roman" w:cs="Times New Roman"/>
          <w:color w:val="000000" w:themeColor="text1"/>
          <w:spacing w:val="9"/>
          <w:sz w:val="24"/>
          <w:szCs w:val="24"/>
          <w14:textFill>
            <w14:solidFill>
              <w14:schemeClr w14:val="tx1"/>
            </w14:solidFill>
          </w14:textFill>
        </w:rPr>
        <w:t>柴油内浮顶罐罐</w:t>
      </w:r>
      <w:r>
        <w:rPr>
          <w:color w:val="000000" w:themeColor="text1"/>
          <w:spacing w:val="9"/>
          <w:sz w:val="24"/>
          <w:szCs w:val="24"/>
          <w14:textFill>
            <w14:solidFill>
              <w14:schemeClr w14:val="tx1"/>
            </w14:solidFill>
          </w14:textFill>
        </w:rPr>
        <w:t>顶发生火灾时，次生污染物</w:t>
      </w:r>
      <w:r>
        <w:rPr>
          <w:color w:val="000000" w:themeColor="text1"/>
          <w:spacing w:val="-40"/>
          <w:sz w:val="24"/>
          <w:szCs w:val="24"/>
          <w14:textFill>
            <w14:solidFill>
              <w14:schemeClr w14:val="tx1"/>
            </w14:solidFill>
          </w14:textFill>
        </w:rPr>
        <w:t xml:space="preserve"> </w:t>
      </w:r>
      <w:r>
        <w:rPr>
          <w:rFonts w:ascii="Times New Roman" w:hAnsi="Times New Roman" w:eastAsia="Times New Roman" w:cs="Times New Roman"/>
          <w:color w:val="000000" w:themeColor="text1"/>
          <w:sz w:val="24"/>
          <w:szCs w:val="24"/>
          <w14:textFill>
            <w14:solidFill>
              <w14:schemeClr w14:val="tx1"/>
            </w14:solidFill>
          </w14:textFill>
        </w:rPr>
        <w:t>CO</w:t>
      </w:r>
      <w:r>
        <w:rPr>
          <w:color w:val="000000" w:themeColor="text1"/>
          <w:spacing w:val="9"/>
          <w:sz w:val="24"/>
          <w:szCs w:val="24"/>
          <w14:textFill>
            <w14:solidFill>
              <w14:schemeClr w14:val="tx1"/>
            </w14:solidFill>
          </w14:textFill>
        </w:rPr>
        <w:t>产生量。</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w:t>
      </w:r>
      <w:r>
        <w:rPr>
          <w:rFonts w:ascii="Times New Roman" w:hAnsi="Times New Roman" w:eastAsia="Times New Roman" w:cs="Times New Roman"/>
          <w:color w:val="000000" w:themeColor="text1"/>
          <w:spacing w:val="7"/>
          <w:sz w:val="24"/>
          <w:szCs w:val="24"/>
          <w14:textFill>
            <w14:solidFill>
              <w14:schemeClr w14:val="tx1"/>
            </w14:solidFill>
          </w14:textFill>
        </w:rPr>
        <w:t>1</w:t>
      </w:r>
      <w:r>
        <w:rPr>
          <w:color w:val="000000" w:themeColor="text1"/>
          <w:spacing w:val="7"/>
          <w:sz w:val="24"/>
          <w:szCs w:val="24"/>
          <w14:textFill>
            <w14:solidFill>
              <w14:schemeClr w14:val="tx1"/>
            </w14:solidFill>
          </w14:textFill>
        </w:rPr>
        <w:t>）</w:t>
      </w:r>
      <w:r>
        <w:rPr>
          <w:rFonts w:hint="eastAsia"/>
          <w:color w:val="000000" w:themeColor="text1"/>
          <w:spacing w:val="7"/>
          <w:sz w:val="24"/>
          <w:szCs w:val="24"/>
          <w:lang w:eastAsia="zh-CN"/>
          <w14:textFill>
            <w14:solidFill>
              <w14:schemeClr w14:val="tx1"/>
            </w14:solidFill>
          </w14:textFill>
        </w:rPr>
        <w:t>汽油组分油</w:t>
      </w:r>
      <w:r>
        <w:rPr>
          <w:color w:val="000000" w:themeColor="text1"/>
          <w:spacing w:val="7"/>
          <w:sz w:val="24"/>
          <w:szCs w:val="24"/>
          <w14:textFill>
            <w14:solidFill>
              <w14:schemeClr w14:val="tx1"/>
            </w14:solidFill>
          </w14:textFill>
        </w:rPr>
        <w:t>、柴油燃烧速度速度</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①</w:t>
      </w:r>
      <w:r>
        <w:rPr>
          <w:rFonts w:hint="eastAsia"/>
          <w:color w:val="000000" w:themeColor="text1"/>
          <w:spacing w:val="8"/>
          <w:sz w:val="24"/>
          <w:szCs w:val="24"/>
          <w:lang w:eastAsia="zh-CN"/>
          <w14:textFill>
            <w14:solidFill>
              <w14:schemeClr w14:val="tx1"/>
            </w14:solidFill>
          </w14:textFill>
        </w:rPr>
        <w:t>汽油组分油</w:t>
      </w:r>
      <w:r>
        <w:rPr>
          <w:color w:val="000000" w:themeColor="text1"/>
          <w:spacing w:val="8"/>
          <w:sz w:val="24"/>
          <w:szCs w:val="24"/>
          <w14:textFill>
            <w14:solidFill>
              <w14:schemeClr w14:val="tx1"/>
            </w14:solidFill>
          </w14:textFill>
        </w:rPr>
        <w:t>燃烧速度</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color w:val="000000" w:themeColor="text1"/>
          <w:sz w:val="20"/>
          <w:szCs w:val="20"/>
          <w14:textFill>
            <w14:solidFill>
              <w14:schemeClr w14:val="tx1"/>
            </w14:solidFill>
          </w14:textFill>
        </w:rPr>
      </w:pPr>
      <w:r>
        <w:rPr>
          <w:color w:val="000000" w:themeColor="text1"/>
          <w:spacing w:val="9"/>
          <w:sz w:val="24"/>
          <w:szCs w:val="24"/>
          <w14:textFill>
            <w14:solidFill>
              <w14:schemeClr w14:val="tx1"/>
            </w14:solidFill>
          </w14:textFill>
        </w:rPr>
        <w:t>根据《安全评价》第三版，</w:t>
      </w:r>
      <w:r>
        <w:rPr>
          <w:rFonts w:hint="eastAsia"/>
          <w:color w:val="000000" w:themeColor="text1"/>
          <w:spacing w:val="9"/>
          <w:sz w:val="24"/>
          <w:szCs w:val="24"/>
          <w:lang w:eastAsia="zh-CN"/>
          <w14:textFill>
            <w14:solidFill>
              <w14:schemeClr w14:val="tx1"/>
            </w14:solidFill>
          </w14:textFill>
        </w:rPr>
        <w:t>汽油组分油</w:t>
      </w:r>
      <w:r>
        <w:rPr>
          <w:color w:val="000000" w:themeColor="text1"/>
          <w:spacing w:val="9"/>
          <w:sz w:val="24"/>
          <w:szCs w:val="24"/>
          <w14:textFill>
            <w14:solidFill>
              <w14:schemeClr w14:val="tx1"/>
            </w14:solidFill>
          </w14:textFill>
        </w:rPr>
        <w:t>沸点高于环境温度，因此，燃烧速度计算公式如下：</w:t>
      </w:r>
    </w:p>
    <w:p>
      <w:pPr>
        <w:spacing w:before="125" w:line="190" w:lineRule="auto"/>
        <w:ind w:left="2973"/>
        <w:rPr>
          <w:rFonts w:ascii="Cambria Math" w:hAnsi="Cambria Math" w:eastAsia="Cambria Math" w:cs="Cambria Math"/>
          <w:color w:val="000000" w:themeColor="text1"/>
          <w:sz w:val="24"/>
          <w:szCs w:val="24"/>
          <w14:textFill>
            <w14:solidFill>
              <w14:schemeClr w14:val="tx1"/>
            </w14:solidFill>
          </w14:textFill>
        </w:rPr>
      </w:pPr>
      <w:r>
        <w:rPr>
          <w:rFonts w:ascii="Cambria Math" w:hAnsi="Cambria Math" w:eastAsia="Cambria Math" w:cs="Cambria Math"/>
          <w:color w:val="000000" w:themeColor="text1"/>
          <w:spacing w:val="-2"/>
          <w:sz w:val="24"/>
          <w:szCs w:val="24"/>
          <w14:textFill>
            <w14:solidFill>
              <w14:schemeClr w14:val="tx1"/>
            </w14:solidFill>
          </w14:textFill>
        </w:rPr>
        <w:t>dm       0.001Hc</w:t>
      </w:r>
    </w:p>
    <w:p>
      <w:pPr>
        <w:spacing w:before="25" w:line="346" w:lineRule="exact"/>
        <w:ind w:left="2953"/>
        <w:rPr>
          <w:color w:val="000000" w:themeColor="text1"/>
          <w14:textFill>
            <w14:solidFill>
              <w14:schemeClr w14:val="tx1"/>
            </w14:solidFill>
          </w14:textFill>
        </w:rPr>
      </w:pPr>
      <w:r>
        <w:rPr>
          <w:color w:val="000000" w:themeColor="text1"/>
          <w:position w:val="-7"/>
          <w14:textFill>
            <w14:solidFill>
              <w14:schemeClr w14:val="tx1"/>
            </w14:solidFill>
          </w14:textFill>
        </w:rPr>
        <w:drawing>
          <wp:inline distT="0" distB="0" distL="0" distR="0">
            <wp:extent cx="1660525" cy="219710"/>
            <wp:effectExtent l="0" t="0" r="0" b="0"/>
            <wp:docPr id="66" name="IM 64"/>
            <wp:cNvGraphicFramePr/>
            <a:graphic xmlns:a="http://schemas.openxmlformats.org/drawingml/2006/main">
              <a:graphicData uri="http://schemas.openxmlformats.org/drawingml/2006/picture">
                <pic:pic xmlns:pic="http://schemas.openxmlformats.org/drawingml/2006/picture">
                  <pic:nvPicPr>
                    <pic:cNvPr id="66" name="IM 64"/>
                    <pic:cNvPicPr/>
                  </pic:nvPicPr>
                  <pic:blipFill>
                    <a:blip r:embed="rId152"/>
                    <a:stretch>
                      <a:fillRect/>
                    </a:stretch>
                  </pic:blipFill>
                  <pic:spPr>
                    <a:xfrm>
                      <a:off x="0" y="0"/>
                      <a:ext cx="1660550" cy="219919"/>
                    </a:xfrm>
                    <a:prstGeom prst="rect">
                      <a:avLst/>
                    </a:prstGeom>
                  </pic:spPr>
                </pic:pic>
              </a:graphicData>
            </a:graphic>
          </wp:inline>
        </w:drawing>
      </w:r>
    </w:p>
    <w:p>
      <w:pPr>
        <w:pStyle w:val="8"/>
        <w:spacing w:before="182"/>
        <w:ind w:left="720"/>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式中：</w:t>
      </w:r>
      <w:r>
        <w:rPr>
          <w:color w:val="000000" w:themeColor="text1"/>
          <w:position w:val="-14"/>
          <w:sz w:val="24"/>
          <w:szCs w:val="24"/>
          <w14:textFill>
            <w14:solidFill>
              <w14:schemeClr w14:val="tx1"/>
            </w14:solidFill>
          </w14:textFill>
        </w:rPr>
        <w:drawing>
          <wp:inline distT="0" distB="0" distL="0" distR="0">
            <wp:extent cx="201295" cy="301625"/>
            <wp:effectExtent l="0" t="0" r="0" b="0"/>
            <wp:docPr id="67" name="IM 66"/>
            <wp:cNvGraphicFramePr/>
            <a:graphic xmlns:a="http://schemas.openxmlformats.org/drawingml/2006/main">
              <a:graphicData uri="http://schemas.openxmlformats.org/drawingml/2006/picture">
                <pic:pic xmlns:pic="http://schemas.openxmlformats.org/drawingml/2006/picture">
                  <pic:nvPicPr>
                    <pic:cNvPr id="67" name="IM 66"/>
                    <pic:cNvPicPr/>
                  </pic:nvPicPr>
                  <pic:blipFill>
                    <a:blip r:embed="rId153"/>
                    <a:stretch>
                      <a:fillRect/>
                    </a:stretch>
                  </pic:blipFill>
                  <pic:spPr>
                    <a:xfrm>
                      <a:off x="0" y="0"/>
                      <a:ext cx="201549" cy="302155"/>
                    </a:xfrm>
                    <a:prstGeom prst="rect">
                      <a:avLst/>
                    </a:prstGeom>
                  </pic:spPr>
                </pic:pic>
              </a:graphicData>
            </a:graphic>
          </wp:inline>
        </w:drawing>
      </w:r>
      <w:r>
        <w:rPr>
          <w:color w:val="000000" w:themeColor="text1"/>
          <w:spacing w:val="4"/>
          <w:sz w:val="24"/>
          <w:szCs w:val="24"/>
          <w14:textFill>
            <w14:solidFill>
              <w14:schemeClr w14:val="tx1"/>
            </w14:solidFill>
          </w14:textFill>
        </w:rPr>
        <w:t>——液体单位表面积燃烧速度，</w:t>
      </w:r>
      <w:r>
        <w:rPr>
          <w:rFonts w:ascii="Times New Roman" w:hAnsi="Times New Roman" w:eastAsia="Times New Roman" w:cs="Times New Roman"/>
          <w:color w:val="000000" w:themeColor="text1"/>
          <w:sz w:val="24"/>
          <w:szCs w:val="24"/>
          <w14:textFill>
            <w14:solidFill>
              <w14:schemeClr w14:val="tx1"/>
            </w14:solidFill>
          </w14:textFill>
        </w:rPr>
        <w:t>kg</w:t>
      </w:r>
      <w:r>
        <w:rPr>
          <w:rFonts w:ascii="Times New Roman" w:hAnsi="Times New Roman" w:eastAsia="Times New Roman" w:cs="Times New Roman"/>
          <w:color w:val="000000" w:themeColor="text1"/>
          <w:spacing w:val="4"/>
          <w:sz w:val="24"/>
          <w:szCs w:val="24"/>
          <w14:textFill>
            <w14:solidFill>
              <w14:schemeClr w14:val="tx1"/>
            </w14:solidFill>
          </w14:textFill>
        </w:rPr>
        <w:t>/m</w:t>
      </w:r>
      <w:r>
        <w:rPr>
          <w:rFonts w:ascii="Times New Roman" w:hAnsi="Times New Roman" w:eastAsia="Times New Roman" w:cs="Times New Roman"/>
          <w:color w:val="000000" w:themeColor="text1"/>
          <w:spacing w:val="4"/>
          <w:position w:val="6"/>
          <w:sz w:val="24"/>
          <w:szCs w:val="24"/>
          <w14:textFill>
            <w14:solidFill>
              <w14:schemeClr w14:val="tx1"/>
            </w14:solidFill>
          </w14:textFill>
        </w:rPr>
        <w:t xml:space="preserve">2  </w:t>
      </w:r>
      <w:r>
        <w:rPr>
          <w:color w:val="000000" w:themeColor="text1"/>
          <w:spacing w:val="4"/>
          <w:sz w:val="24"/>
          <w:szCs w:val="24"/>
          <w14:textFill>
            <w14:solidFill>
              <w14:schemeClr w14:val="tx1"/>
            </w14:solidFill>
          </w14:textFill>
        </w:rPr>
        <w:t>·</w:t>
      </w:r>
      <w:r>
        <w:rPr>
          <w:rFonts w:ascii="Times New Roman" w:hAnsi="Times New Roman" w:eastAsia="Times New Roman" w:cs="Times New Roman"/>
          <w:color w:val="000000" w:themeColor="text1"/>
          <w:spacing w:val="4"/>
          <w:sz w:val="24"/>
          <w:szCs w:val="24"/>
          <w14:textFill>
            <w14:solidFill>
              <w14:schemeClr w14:val="tx1"/>
            </w14:solidFill>
          </w14:textFill>
        </w:rPr>
        <w:t>s</w:t>
      </w:r>
      <w:r>
        <w:rPr>
          <w:color w:val="000000" w:themeColor="text1"/>
          <w:spacing w:val="4"/>
          <w:sz w:val="24"/>
          <w:szCs w:val="24"/>
          <w14:textFill>
            <w14:solidFill>
              <w14:schemeClr w14:val="tx1"/>
            </w14:solidFill>
          </w14:textFill>
        </w:rPr>
        <w:t>；</w:t>
      </w:r>
    </w:p>
    <w:p>
      <w:pPr>
        <w:pStyle w:val="8"/>
        <w:spacing w:before="172" w:line="228" w:lineRule="auto"/>
        <w:ind w:left="1268"/>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z w:val="24"/>
          <w:szCs w:val="24"/>
          <w14:textFill>
            <w14:solidFill>
              <w14:schemeClr w14:val="tx1"/>
            </w14:solidFill>
          </w14:textFill>
        </w:rPr>
        <w:t>T</w:t>
      </w:r>
      <w:r>
        <w:rPr>
          <w:rFonts w:ascii="Times New Roman" w:hAnsi="Times New Roman" w:eastAsia="Times New Roman" w:cs="Times New Roman"/>
          <w:color w:val="000000" w:themeColor="text1"/>
          <w:position w:val="-1"/>
          <w:sz w:val="24"/>
          <w:szCs w:val="24"/>
          <w14:textFill>
            <w14:solidFill>
              <w14:schemeClr w14:val="tx1"/>
            </w14:solidFill>
          </w14:textFill>
        </w:rPr>
        <w:t>a</w:t>
      </w:r>
      <w:r>
        <w:rPr>
          <w:color w:val="000000" w:themeColor="text1"/>
          <w:spacing w:val="8"/>
          <w:sz w:val="24"/>
          <w:szCs w:val="24"/>
          <w14:textFill>
            <w14:solidFill>
              <w14:schemeClr w14:val="tx1"/>
            </w14:solidFill>
          </w14:textFill>
        </w:rPr>
        <w:t>——环境温度，</w:t>
      </w:r>
      <w:r>
        <w:rPr>
          <w:rFonts w:ascii="Times New Roman" w:hAnsi="Times New Roman" w:eastAsia="Times New Roman" w:cs="Times New Roman"/>
          <w:color w:val="000000" w:themeColor="text1"/>
          <w:spacing w:val="8"/>
          <w:sz w:val="24"/>
          <w:szCs w:val="24"/>
          <w14:textFill>
            <w14:solidFill>
              <w14:schemeClr w14:val="tx1"/>
            </w14:solidFill>
          </w14:textFill>
        </w:rPr>
        <w:t>K</w:t>
      </w:r>
      <w:r>
        <w:rPr>
          <w:color w:val="000000" w:themeColor="text1"/>
          <w:spacing w:val="8"/>
          <w:sz w:val="24"/>
          <w:szCs w:val="24"/>
          <w14:textFill>
            <w14:solidFill>
              <w14:schemeClr w14:val="tx1"/>
            </w14:solidFill>
          </w14:textFill>
        </w:rPr>
        <w:t>；</w:t>
      </w:r>
    </w:p>
    <w:p>
      <w:pPr>
        <w:pStyle w:val="8"/>
        <w:spacing w:before="161" w:line="228" w:lineRule="auto"/>
        <w:ind w:left="1268"/>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z w:val="24"/>
          <w:szCs w:val="24"/>
          <w14:textFill>
            <w14:solidFill>
              <w14:schemeClr w14:val="tx1"/>
            </w14:solidFill>
          </w14:textFill>
        </w:rPr>
        <w:t>T</w:t>
      </w:r>
      <w:r>
        <w:rPr>
          <w:rFonts w:ascii="Times New Roman" w:hAnsi="Times New Roman" w:eastAsia="Times New Roman" w:cs="Times New Roman"/>
          <w:color w:val="000000" w:themeColor="text1"/>
          <w:position w:val="-1"/>
          <w:sz w:val="24"/>
          <w:szCs w:val="24"/>
          <w14:textFill>
            <w14:solidFill>
              <w14:schemeClr w14:val="tx1"/>
            </w14:solidFill>
          </w14:textFill>
        </w:rPr>
        <w:t>b</w:t>
      </w:r>
      <w:r>
        <w:rPr>
          <w:color w:val="000000" w:themeColor="text1"/>
          <w:spacing w:val="9"/>
          <w:sz w:val="24"/>
          <w:szCs w:val="24"/>
          <w14:textFill>
            <w14:solidFill>
              <w14:schemeClr w14:val="tx1"/>
            </w14:solidFill>
          </w14:textFill>
        </w:rPr>
        <w:t>——液体的沸点，</w:t>
      </w:r>
      <w:r>
        <w:rPr>
          <w:rFonts w:ascii="Times New Roman" w:hAnsi="Times New Roman" w:eastAsia="Times New Roman" w:cs="Times New Roman"/>
          <w:color w:val="000000" w:themeColor="text1"/>
          <w:spacing w:val="9"/>
          <w:sz w:val="24"/>
          <w:szCs w:val="24"/>
          <w14:textFill>
            <w14:solidFill>
              <w14:schemeClr w14:val="tx1"/>
            </w14:solidFill>
          </w14:textFill>
        </w:rPr>
        <w:t>K</w:t>
      </w:r>
      <w:r>
        <w:rPr>
          <w:color w:val="000000" w:themeColor="text1"/>
          <w:spacing w:val="9"/>
          <w:sz w:val="24"/>
          <w:szCs w:val="24"/>
          <w14:textFill>
            <w14:solidFill>
              <w14:schemeClr w14:val="tx1"/>
            </w14:solidFill>
          </w14:textFill>
        </w:rPr>
        <w:t>；</w:t>
      </w:r>
    </w:p>
    <w:p>
      <w:pPr>
        <w:pStyle w:val="8"/>
        <w:spacing w:before="160" w:line="222" w:lineRule="auto"/>
        <w:ind w:left="1269"/>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z w:val="24"/>
          <w:szCs w:val="24"/>
          <w14:textFill>
            <w14:solidFill>
              <w14:schemeClr w14:val="tx1"/>
            </w14:solidFill>
          </w14:textFill>
        </w:rPr>
        <w:t>C</w:t>
      </w:r>
      <w:r>
        <w:rPr>
          <w:rFonts w:ascii="Times New Roman" w:hAnsi="Times New Roman" w:eastAsia="Times New Roman" w:cs="Times New Roman"/>
          <w:color w:val="000000" w:themeColor="text1"/>
          <w:position w:val="-1"/>
          <w:sz w:val="24"/>
          <w:szCs w:val="24"/>
          <w14:textFill>
            <w14:solidFill>
              <w14:schemeClr w14:val="tx1"/>
            </w14:solidFill>
          </w14:textFill>
        </w:rPr>
        <w:t>p</w:t>
      </w:r>
      <w:r>
        <w:rPr>
          <w:color w:val="000000" w:themeColor="text1"/>
          <w:spacing w:val="4"/>
          <w:sz w:val="24"/>
          <w:szCs w:val="24"/>
          <w14:textFill>
            <w14:solidFill>
              <w14:schemeClr w14:val="tx1"/>
            </w14:solidFill>
          </w14:textFill>
        </w:rPr>
        <w:t>——液体的定压比热容，</w:t>
      </w:r>
      <w:r>
        <w:rPr>
          <w:rFonts w:ascii="Times New Roman" w:hAnsi="Times New Roman" w:eastAsia="Times New Roman" w:cs="Times New Roman"/>
          <w:color w:val="000000" w:themeColor="text1"/>
          <w:spacing w:val="4"/>
          <w:sz w:val="24"/>
          <w:szCs w:val="24"/>
          <w14:textFill>
            <w14:solidFill>
              <w14:schemeClr w14:val="tx1"/>
            </w14:solidFill>
          </w14:textFill>
        </w:rPr>
        <w:t>J/</w:t>
      </w:r>
      <w:r>
        <w:rPr>
          <w:rFonts w:ascii="Times New Roman" w:hAnsi="Times New Roman" w:eastAsia="Times New Roman" w:cs="Times New Roman"/>
          <w:color w:val="000000" w:themeColor="text1"/>
          <w:sz w:val="24"/>
          <w:szCs w:val="24"/>
          <w14:textFill>
            <w14:solidFill>
              <w14:schemeClr w14:val="tx1"/>
            </w14:solidFill>
          </w14:textFill>
        </w:rPr>
        <w:t>kg</w:t>
      </w:r>
      <w:r>
        <w:rPr>
          <w:rFonts w:ascii="Times New Roman" w:hAnsi="Times New Roman" w:eastAsia="Times New Roman" w:cs="Times New Roman"/>
          <w:color w:val="000000" w:themeColor="text1"/>
          <w:spacing w:val="33"/>
          <w:sz w:val="24"/>
          <w:szCs w:val="24"/>
          <w14:textFill>
            <w14:solidFill>
              <w14:schemeClr w14:val="tx1"/>
            </w14:solidFill>
          </w14:textFill>
        </w:rPr>
        <w:t xml:space="preserve"> </w:t>
      </w:r>
      <w:r>
        <w:rPr>
          <w:color w:val="000000" w:themeColor="text1"/>
          <w:spacing w:val="4"/>
          <w:sz w:val="24"/>
          <w:szCs w:val="24"/>
          <w14:textFill>
            <w14:solidFill>
              <w14:schemeClr w14:val="tx1"/>
            </w14:solidFill>
          </w14:textFill>
        </w:rPr>
        <w:t>·</w:t>
      </w:r>
      <w:r>
        <w:rPr>
          <w:rFonts w:ascii="Times New Roman" w:hAnsi="Times New Roman" w:eastAsia="Times New Roman" w:cs="Times New Roman"/>
          <w:color w:val="000000" w:themeColor="text1"/>
          <w:spacing w:val="4"/>
          <w:sz w:val="24"/>
          <w:szCs w:val="24"/>
          <w14:textFill>
            <w14:solidFill>
              <w14:schemeClr w14:val="tx1"/>
            </w14:solidFill>
          </w14:textFill>
        </w:rPr>
        <w:t>K</w:t>
      </w:r>
      <w:r>
        <w:rPr>
          <w:color w:val="000000" w:themeColor="text1"/>
          <w:spacing w:val="4"/>
          <w:sz w:val="24"/>
          <w:szCs w:val="24"/>
          <w14:textFill>
            <w14:solidFill>
              <w14:schemeClr w14:val="tx1"/>
            </w14:solidFill>
          </w14:textFill>
        </w:rPr>
        <w:t>；</w:t>
      </w:r>
    </w:p>
    <w:p>
      <w:pPr>
        <w:pStyle w:val="8"/>
        <w:spacing w:before="168" w:line="221" w:lineRule="auto"/>
        <w:ind w:left="1265"/>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z w:val="24"/>
          <w:szCs w:val="24"/>
          <w14:textFill>
            <w14:solidFill>
              <w14:schemeClr w14:val="tx1"/>
            </w14:solidFill>
          </w14:textFill>
        </w:rPr>
        <w:t>H</w:t>
      </w:r>
      <w:r>
        <w:rPr>
          <w:rFonts w:ascii="Times New Roman" w:hAnsi="Times New Roman" w:eastAsia="Times New Roman" w:cs="Times New Roman"/>
          <w:color w:val="000000" w:themeColor="text1"/>
          <w:position w:val="-1"/>
          <w:sz w:val="24"/>
          <w:szCs w:val="24"/>
          <w14:textFill>
            <w14:solidFill>
              <w14:schemeClr w14:val="tx1"/>
            </w14:solidFill>
          </w14:textFill>
        </w:rPr>
        <w:t>c</w:t>
      </w:r>
      <w:r>
        <w:rPr>
          <w:color w:val="000000" w:themeColor="text1"/>
          <w:spacing w:val="9"/>
          <w:sz w:val="24"/>
          <w:szCs w:val="24"/>
          <w14:textFill>
            <w14:solidFill>
              <w14:schemeClr w14:val="tx1"/>
            </w14:solidFill>
          </w14:textFill>
        </w:rPr>
        <w:t>——液体燃烧热，</w:t>
      </w:r>
      <w:r>
        <w:rPr>
          <w:rFonts w:ascii="Times New Roman" w:hAnsi="Times New Roman" w:eastAsia="Times New Roman" w:cs="Times New Roman"/>
          <w:color w:val="000000" w:themeColor="text1"/>
          <w:spacing w:val="9"/>
          <w:sz w:val="24"/>
          <w:szCs w:val="24"/>
          <w14:textFill>
            <w14:solidFill>
              <w14:schemeClr w14:val="tx1"/>
            </w14:solidFill>
          </w14:textFill>
        </w:rPr>
        <w:t>J/</w:t>
      </w:r>
      <w:r>
        <w:rPr>
          <w:rFonts w:ascii="Times New Roman" w:hAnsi="Times New Roman" w:eastAsia="Times New Roman" w:cs="Times New Roman"/>
          <w:color w:val="000000" w:themeColor="text1"/>
          <w:sz w:val="24"/>
          <w:szCs w:val="24"/>
          <w14:textFill>
            <w14:solidFill>
              <w14:schemeClr w14:val="tx1"/>
            </w14:solidFill>
          </w14:textFill>
        </w:rPr>
        <w:t>kg</w:t>
      </w:r>
      <w:r>
        <w:rPr>
          <w:color w:val="000000" w:themeColor="text1"/>
          <w:spacing w:val="9"/>
          <w:sz w:val="24"/>
          <w:szCs w:val="24"/>
          <w14:textFill>
            <w14:solidFill>
              <w14:schemeClr w14:val="tx1"/>
            </w14:solidFill>
          </w14:textFill>
        </w:rPr>
        <w:t>；</w:t>
      </w:r>
    </w:p>
    <w:p>
      <w:pPr>
        <w:pStyle w:val="8"/>
        <w:spacing w:before="171" w:line="222" w:lineRule="auto"/>
        <w:ind w:left="1160"/>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z w:val="24"/>
          <w:szCs w:val="24"/>
          <w14:textFill>
            <w14:solidFill>
              <w14:schemeClr w14:val="tx1"/>
            </w14:solidFill>
          </w14:textFill>
        </w:rPr>
        <w:t>H</w:t>
      </w:r>
      <w:r>
        <w:rPr>
          <w:rFonts w:ascii="Times New Roman" w:hAnsi="Times New Roman" w:eastAsia="Times New Roman" w:cs="Times New Roman"/>
          <w:color w:val="000000" w:themeColor="text1"/>
          <w:position w:val="-1"/>
          <w:sz w:val="24"/>
          <w:szCs w:val="24"/>
          <w14:textFill>
            <w14:solidFill>
              <w14:schemeClr w14:val="tx1"/>
            </w14:solidFill>
          </w14:textFill>
        </w:rPr>
        <w:t>vap</w:t>
      </w:r>
      <w:r>
        <w:rPr>
          <w:color w:val="000000" w:themeColor="text1"/>
          <w:spacing w:val="9"/>
          <w:sz w:val="24"/>
          <w:szCs w:val="24"/>
          <w14:textFill>
            <w14:solidFill>
              <w14:schemeClr w14:val="tx1"/>
            </w14:solidFill>
          </w14:textFill>
        </w:rPr>
        <w:t>——液体在常压沸点下的蒸发热（汽化热</w:t>
      </w:r>
      <w:r>
        <w:rPr>
          <w:color w:val="000000" w:themeColor="text1"/>
          <w:spacing w:val="19"/>
          <w:sz w:val="24"/>
          <w:szCs w:val="24"/>
          <w14:textFill>
            <w14:solidFill>
              <w14:schemeClr w14:val="tx1"/>
            </w14:solidFill>
          </w14:textFill>
        </w:rPr>
        <w:t>），</w:t>
      </w:r>
      <w:r>
        <w:rPr>
          <w:rFonts w:ascii="Times New Roman" w:hAnsi="Times New Roman" w:eastAsia="Times New Roman" w:cs="Times New Roman"/>
          <w:color w:val="000000" w:themeColor="text1"/>
          <w:spacing w:val="9"/>
          <w:sz w:val="24"/>
          <w:szCs w:val="24"/>
          <w14:textFill>
            <w14:solidFill>
              <w14:schemeClr w14:val="tx1"/>
            </w14:solidFill>
          </w14:textFill>
        </w:rPr>
        <w:t>J/</w:t>
      </w:r>
      <w:r>
        <w:rPr>
          <w:rFonts w:ascii="Times New Roman" w:hAnsi="Times New Roman" w:eastAsia="Times New Roman" w:cs="Times New Roman"/>
          <w:color w:val="000000" w:themeColor="text1"/>
          <w:sz w:val="24"/>
          <w:szCs w:val="24"/>
          <w14:textFill>
            <w14:solidFill>
              <w14:schemeClr w14:val="tx1"/>
            </w14:solidFill>
          </w14:textFill>
        </w:rPr>
        <w:t>kg</w:t>
      </w:r>
      <w:r>
        <w:rPr>
          <w:color w:val="000000" w:themeColor="text1"/>
          <w:spacing w:val="9"/>
          <w:sz w:val="24"/>
          <w:szCs w:val="24"/>
          <w14:textFill>
            <w14:solidFill>
              <w14:schemeClr w14:val="tx1"/>
            </w14:solidFill>
          </w14:textFill>
        </w:rPr>
        <w:t>；</w:t>
      </w:r>
    </w:p>
    <w:p>
      <w:pPr>
        <w:pStyle w:val="8"/>
        <w:spacing w:before="167" w:line="227" w:lineRule="auto"/>
        <w:ind w:left="536"/>
        <w:rPr>
          <w:color w:val="000000" w:themeColor="text1"/>
          <w:sz w:val="20"/>
          <w:szCs w:val="20"/>
          <w14:textFill>
            <w14:solidFill>
              <w14:schemeClr w14:val="tx1"/>
            </w14:solidFill>
          </w14:textFill>
        </w:rPr>
      </w:pPr>
      <w:r>
        <w:rPr>
          <w:rFonts w:hint="eastAsia"/>
          <w:color w:val="000000" w:themeColor="text1"/>
          <w:spacing w:val="9"/>
          <w:sz w:val="24"/>
          <w:szCs w:val="24"/>
          <w:lang w:eastAsia="zh-CN"/>
          <w14:textFill>
            <w14:solidFill>
              <w14:schemeClr w14:val="tx1"/>
            </w14:solidFill>
          </w14:textFill>
        </w:rPr>
        <w:t>汽油组分油</w:t>
      </w:r>
      <w:r>
        <w:rPr>
          <w:color w:val="000000" w:themeColor="text1"/>
          <w:spacing w:val="9"/>
          <w:sz w:val="24"/>
          <w:szCs w:val="24"/>
          <w14:textFill>
            <w14:solidFill>
              <w14:schemeClr w14:val="tx1"/>
            </w14:solidFill>
          </w14:textFill>
        </w:rPr>
        <w:t>单位表面积燃烧速度计算参数及结果见下表。</w:t>
      </w:r>
    </w:p>
    <w:p>
      <w:pPr>
        <w:pStyle w:val="8"/>
        <w:spacing w:before="197" w:line="219" w:lineRule="auto"/>
        <w:ind w:left="114"/>
        <w:jc w:val="center"/>
        <w:rPr>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38"/>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5-2  </w:t>
      </w:r>
      <w:r>
        <w:rPr>
          <w:b/>
          <w:bCs/>
          <w:color w:val="000000" w:themeColor="text1"/>
          <w:spacing w:val="-1"/>
          <w:sz w:val="21"/>
          <w:szCs w:val="21"/>
          <w14:textFill>
            <w14:solidFill>
              <w14:schemeClr w14:val="tx1"/>
            </w14:solidFill>
          </w14:textFill>
        </w:rPr>
        <w:t>计算参数及结果一览表</w:t>
      </w:r>
    </w:p>
    <w:tbl>
      <w:tblPr>
        <w:tblStyle w:val="99"/>
        <w:tblW w:w="852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48"/>
        <w:gridCol w:w="782"/>
        <w:gridCol w:w="782"/>
        <w:gridCol w:w="1420"/>
        <w:gridCol w:w="1556"/>
        <w:gridCol w:w="1246"/>
        <w:gridCol w:w="148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1" w:hRule="atLeast"/>
          <w:jc w:val="center"/>
        </w:trPr>
        <w:tc>
          <w:tcPr>
            <w:tcW w:w="1248" w:type="dxa"/>
            <w:vMerge w:val="restart"/>
            <w:tcBorders>
              <w:top w:val="single" w:color="000000" w:sz="10" w:space="0"/>
              <w:left w:val="nil"/>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参数</w:t>
            </w:r>
          </w:p>
        </w:tc>
        <w:tc>
          <w:tcPr>
            <w:tcW w:w="782"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T</w:t>
            </w:r>
            <w:r>
              <w:rPr>
                <w:rFonts w:ascii="Times New Roman" w:hAnsi="Times New Roman" w:eastAsia="Times New Roman" w:cs="Times New Roman"/>
                <w:color w:val="000000" w:themeColor="text1"/>
                <w:spacing w:val="-2"/>
                <w:position w:val="-1"/>
                <w:sz w:val="21"/>
                <w:szCs w:val="21"/>
                <w14:textFill>
                  <w14:solidFill>
                    <w14:schemeClr w14:val="tx1"/>
                  </w14:solidFill>
                </w14:textFill>
              </w:rPr>
              <w:t>a</w:t>
            </w:r>
          </w:p>
        </w:tc>
        <w:tc>
          <w:tcPr>
            <w:tcW w:w="782"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Tb</w:t>
            </w:r>
          </w:p>
        </w:tc>
        <w:tc>
          <w:tcPr>
            <w:tcW w:w="1420"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C</w:t>
            </w:r>
            <w:r>
              <w:rPr>
                <w:rFonts w:ascii="Times New Roman" w:hAnsi="Times New Roman" w:eastAsia="Times New Roman" w:cs="Times New Roman"/>
                <w:color w:val="000000" w:themeColor="text1"/>
                <w:spacing w:val="-3"/>
                <w:position w:val="-1"/>
                <w:sz w:val="21"/>
                <w:szCs w:val="21"/>
                <w14:textFill>
                  <w14:solidFill>
                    <w14:schemeClr w14:val="tx1"/>
                  </w14:solidFill>
                </w14:textFill>
              </w:rPr>
              <w:t>p</w:t>
            </w:r>
          </w:p>
        </w:tc>
        <w:tc>
          <w:tcPr>
            <w:tcW w:w="1556"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H</w:t>
            </w:r>
            <w:r>
              <w:rPr>
                <w:rFonts w:ascii="Times New Roman" w:hAnsi="Times New Roman" w:eastAsia="Times New Roman" w:cs="Times New Roman"/>
                <w:color w:val="000000" w:themeColor="text1"/>
                <w:spacing w:val="-2"/>
                <w:position w:val="-1"/>
                <w:sz w:val="21"/>
                <w:szCs w:val="21"/>
                <w14:textFill>
                  <w14:solidFill>
                    <w14:schemeClr w14:val="tx1"/>
                  </w14:solidFill>
                </w14:textFill>
              </w:rPr>
              <w:t>c</w:t>
            </w:r>
          </w:p>
        </w:tc>
        <w:tc>
          <w:tcPr>
            <w:tcW w:w="1246"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Hvap</w:t>
            </w:r>
          </w:p>
        </w:tc>
        <w:tc>
          <w:tcPr>
            <w:tcW w:w="1488" w:type="dxa"/>
            <w:tcBorders>
              <w:top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dm/dt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7" w:hRule="atLeast"/>
          <w:jc w:val="center"/>
        </w:trPr>
        <w:tc>
          <w:tcPr>
            <w:tcW w:w="1248"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Arial"/>
                <w:color w:val="000000" w:themeColor="text1"/>
                <w:sz w:val="21"/>
                <w:szCs w:val="21"/>
                <w14:textFill>
                  <w14:solidFill>
                    <w14:schemeClr w14:val="tx1"/>
                  </w14:solidFill>
                </w14:textFill>
              </w:rPr>
            </w:pPr>
          </w:p>
        </w:tc>
        <w:tc>
          <w:tcPr>
            <w:tcW w:w="782"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K</w:t>
            </w:r>
          </w:p>
        </w:tc>
        <w:tc>
          <w:tcPr>
            <w:tcW w:w="782"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K</w:t>
            </w:r>
          </w:p>
        </w:tc>
        <w:tc>
          <w:tcPr>
            <w:tcW w:w="1420"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J/(kg</w:t>
            </w:r>
            <w:r>
              <w:rPr>
                <w:color w:val="000000" w:themeColor="text1"/>
                <w:spacing w:val="-1"/>
                <w:sz w:val="21"/>
                <w:szCs w:val="21"/>
                <w14:textFill>
                  <w14:solidFill>
                    <w14:schemeClr w14:val="tx1"/>
                  </w14:solidFill>
                </w14:textFill>
              </w:rPr>
              <w:t>•</w:t>
            </w:r>
            <w:r>
              <w:rPr>
                <w:rFonts w:ascii="Times New Roman" w:hAnsi="Times New Roman" w:eastAsia="Times New Roman" w:cs="Times New Roman"/>
                <w:color w:val="000000" w:themeColor="text1"/>
                <w:spacing w:val="-1"/>
                <w:sz w:val="21"/>
                <w:szCs w:val="21"/>
                <w14:textFill>
                  <w14:solidFill>
                    <w14:schemeClr w14:val="tx1"/>
                  </w14:solidFill>
                </w14:textFill>
              </w:rPr>
              <w:t>K)</w:t>
            </w:r>
          </w:p>
        </w:tc>
        <w:tc>
          <w:tcPr>
            <w:tcW w:w="1556"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J/kg</w:t>
            </w:r>
          </w:p>
        </w:tc>
        <w:tc>
          <w:tcPr>
            <w:tcW w:w="1246"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J/kg</w:t>
            </w:r>
          </w:p>
        </w:tc>
        <w:tc>
          <w:tcPr>
            <w:tcW w:w="1488" w:type="dxa"/>
            <w:tcBorders>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14:textFill>
                  <w14:solidFill>
                    <w14:schemeClr w14:val="tx1"/>
                  </w14:solidFill>
                </w14:textFill>
              </w:rPr>
              <w:t>kg/</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35"/>
                <w:sz w:val="21"/>
                <w:szCs w:val="21"/>
                <w14:textFill>
                  <w14:solidFill>
                    <w14:schemeClr w14:val="tx1"/>
                  </w14:solidFill>
                </w14:textFill>
              </w:rPr>
              <w:t>·</w:t>
            </w:r>
            <w:r>
              <w:rPr>
                <w:rFonts w:hint="default" w:ascii="Times New Roman" w:hAnsi="Times New Roman" w:eastAsia="Times New Roman" w:cs="Times New Roman"/>
                <w:color w:val="000000" w:themeColor="text1"/>
                <w:spacing w:val="-35"/>
                <w:sz w:val="21"/>
                <w:szCs w:val="21"/>
                <w14:textFill>
                  <w14:solidFill>
                    <w14:schemeClr w14:val="tx1"/>
                  </w14:solidFill>
                </w14:textFill>
              </w:rPr>
              <w:t>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1248"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pacing w:val="-3"/>
                <w:sz w:val="21"/>
                <w:szCs w:val="21"/>
                <w:lang w:eastAsia="zh-CN"/>
                <w14:textFill>
                  <w14:solidFill>
                    <w14:schemeClr w14:val="tx1"/>
                  </w14:solidFill>
                </w14:textFill>
              </w:rPr>
              <w:t>汽油组分油</w:t>
            </w:r>
          </w:p>
        </w:tc>
        <w:tc>
          <w:tcPr>
            <w:tcW w:w="782"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298</w:t>
            </w:r>
          </w:p>
        </w:tc>
        <w:tc>
          <w:tcPr>
            <w:tcW w:w="782"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683</w:t>
            </w:r>
          </w:p>
        </w:tc>
        <w:tc>
          <w:tcPr>
            <w:tcW w:w="1420"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2072</w:t>
            </w:r>
          </w:p>
        </w:tc>
        <w:tc>
          <w:tcPr>
            <w:tcW w:w="1556"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39378238</w:t>
            </w:r>
          </w:p>
        </w:tc>
        <w:tc>
          <w:tcPr>
            <w:tcW w:w="1246"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474000</w:t>
            </w:r>
          </w:p>
        </w:tc>
        <w:tc>
          <w:tcPr>
            <w:tcW w:w="1488"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1"/>
                <w:sz w:val="21"/>
                <w:szCs w:val="21"/>
                <w14:textFill>
                  <w14:solidFill>
                    <w14:schemeClr w14:val="tx1"/>
                  </w14:solidFill>
                </w14:textFill>
              </w:rPr>
              <w:t>0.031</w:t>
            </w:r>
          </w:p>
        </w:tc>
      </w:tr>
    </w:tbl>
    <w:p>
      <w:pPr>
        <w:pStyle w:val="8"/>
        <w:spacing w:before="130" w:line="225" w:lineRule="auto"/>
        <w:ind w:left="534"/>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②柴油燃烧速率</w:t>
      </w:r>
    </w:p>
    <w:p>
      <w:pPr>
        <w:pStyle w:val="8"/>
        <w:spacing w:before="224" w:line="221" w:lineRule="auto"/>
        <w:ind w:left="536"/>
        <w:rPr>
          <w:color w:val="000000" w:themeColor="text1"/>
          <w:spacing w:val="2"/>
          <w:sz w:val="24"/>
          <w:szCs w:val="24"/>
          <w14:textFill>
            <w14:solidFill>
              <w14:schemeClr w14:val="tx1"/>
            </w14:solidFill>
          </w14:textFill>
        </w:rPr>
      </w:pPr>
      <w:r>
        <w:rPr>
          <w:color w:val="000000" w:themeColor="text1"/>
          <w:spacing w:val="3"/>
          <w:sz w:val="24"/>
          <w:szCs w:val="24"/>
          <w14:textFill>
            <w14:solidFill>
              <w14:schemeClr w14:val="tx1"/>
            </w14:solidFill>
          </w14:textFill>
        </w:rPr>
        <w:t>通过查阅《化工安全技术手册》，柴油的燃烧速率为</w:t>
      </w:r>
      <w:r>
        <w:rPr>
          <w:color w:val="000000" w:themeColor="text1"/>
          <w:spacing w:val="-40"/>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3"/>
          <w:sz w:val="24"/>
          <w:szCs w:val="24"/>
          <w14:textFill>
            <w14:solidFill>
              <w14:schemeClr w14:val="tx1"/>
            </w14:solidFill>
          </w14:textFill>
        </w:rPr>
        <w:t xml:space="preserve">0.014 </w:t>
      </w:r>
      <w:r>
        <w:rPr>
          <w:rFonts w:ascii="Times New Roman" w:hAnsi="Times New Roman" w:eastAsia="Times New Roman" w:cs="Times New Roman"/>
          <w:color w:val="000000" w:themeColor="text1"/>
          <w:sz w:val="24"/>
          <w:szCs w:val="24"/>
          <w14:textFill>
            <w14:solidFill>
              <w14:schemeClr w14:val="tx1"/>
            </w14:solidFill>
          </w14:textFill>
        </w:rPr>
        <w:t>kg</w:t>
      </w:r>
      <w:r>
        <w:rPr>
          <w:rFonts w:ascii="Times New Roman" w:hAnsi="Times New Roman" w:eastAsia="Times New Roman" w:cs="Times New Roman"/>
          <w:color w:val="000000" w:themeColor="text1"/>
          <w:spacing w:val="3"/>
          <w:sz w:val="24"/>
          <w:szCs w:val="24"/>
          <w14:textFill>
            <w14:solidFill>
              <w14:schemeClr w14:val="tx1"/>
            </w14:solidFill>
          </w14:textFill>
        </w:rPr>
        <w:t>/</w:t>
      </w:r>
      <w:r>
        <w:rPr>
          <w:rFonts w:hint="eastAsia" w:eastAsia="宋体" w:cs="Times New Roman"/>
          <w:color w:val="000000" w:themeColor="text1"/>
          <w:spacing w:val="3"/>
          <w:sz w:val="24"/>
          <w:szCs w:val="24"/>
          <w:lang w:val="en-US" w:eastAsia="zh-CN"/>
          <w14:textFill>
            <w14:solidFill>
              <w14:schemeClr w14:val="tx1"/>
            </w14:solidFill>
          </w14:textFill>
        </w:rPr>
        <w:t>㎡</w:t>
      </w:r>
      <w:r>
        <w:rPr>
          <w:color w:val="000000" w:themeColor="text1"/>
          <w:spacing w:val="2"/>
          <w:sz w:val="24"/>
          <w:szCs w:val="24"/>
          <w14:textFill>
            <w14:solidFill>
              <w14:schemeClr w14:val="tx1"/>
            </w14:solidFill>
          </w14:textFill>
        </w:rPr>
        <w:t>·</w:t>
      </w:r>
      <w:r>
        <w:rPr>
          <w:rFonts w:ascii="Times New Roman" w:hAnsi="Times New Roman" w:eastAsia="Times New Roman" w:cs="Times New Roman"/>
          <w:color w:val="000000" w:themeColor="text1"/>
          <w:spacing w:val="2"/>
          <w:sz w:val="24"/>
          <w:szCs w:val="24"/>
          <w14:textFill>
            <w14:solidFill>
              <w14:schemeClr w14:val="tx1"/>
            </w14:solidFill>
          </w14:textFill>
        </w:rPr>
        <w:t>s</w:t>
      </w:r>
      <w:r>
        <w:rPr>
          <w:color w:val="000000" w:themeColor="text1"/>
          <w:spacing w:val="2"/>
          <w:sz w:val="24"/>
          <w:szCs w:val="24"/>
          <w14:textFill>
            <w14:solidFill>
              <w14:schemeClr w14:val="tx1"/>
            </w14:solidFill>
          </w14:textFill>
        </w:rPr>
        <w:t>。</w:t>
      </w:r>
    </w:p>
    <w:p>
      <w:pPr>
        <w:pStyle w:val="8"/>
        <w:spacing w:before="224" w:line="221" w:lineRule="auto"/>
        <w:ind w:left="536"/>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w:t>
      </w:r>
      <w:r>
        <w:rPr>
          <w:rFonts w:ascii="Times New Roman" w:hAnsi="Times New Roman" w:eastAsia="Times New Roman" w:cs="Times New Roman"/>
          <w:color w:val="000000" w:themeColor="text1"/>
          <w:spacing w:val="8"/>
          <w:sz w:val="24"/>
          <w:szCs w:val="24"/>
          <w14:textFill>
            <w14:solidFill>
              <w14:schemeClr w14:val="tx1"/>
            </w14:solidFill>
          </w14:textFill>
        </w:rPr>
        <w:t>2</w:t>
      </w:r>
      <w:r>
        <w:rPr>
          <w:color w:val="000000" w:themeColor="text1"/>
          <w:spacing w:val="8"/>
          <w:sz w:val="24"/>
          <w:szCs w:val="24"/>
          <w14:textFill>
            <w14:solidFill>
              <w14:schemeClr w14:val="tx1"/>
            </w14:solidFill>
          </w14:textFill>
        </w:rPr>
        <w:t>）火灾次生</w:t>
      </w:r>
      <w:r>
        <w:rPr>
          <w:rFonts w:ascii="Times New Roman" w:hAnsi="Times New Roman" w:eastAsia="Times New Roman" w:cs="Times New Roman"/>
          <w:color w:val="000000" w:themeColor="text1"/>
          <w:sz w:val="24"/>
          <w:szCs w:val="24"/>
          <w14:textFill>
            <w14:solidFill>
              <w14:schemeClr w14:val="tx1"/>
            </w14:solidFill>
          </w14:textFill>
        </w:rPr>
        <w:t>CO</w:t>
      </w:r>
      <w:r>
        <w:rPr>
          <w:color w:val="000000" w:themeColor="text1"/>
          <w:spacing w:val="8"/>
          <w:sz w:val="24"/>
          <w:szCs w:val="24"/>
          <w14:textFill>
            <w14:solidFill>
              <w14:schemeClr w14:val="tx1"/>
            </w14:solidFill>
          </w14:textFill>
        </w:rPr>
        <w:t>产生量核算</w:t>
      </w:r>
    </w:p>
    <w:p>
      <w:pPr>
        <w:pStyle w:val="8"/>
        <w:spacing w:before="161" w:line="228" w:lineRule="auto"/>
        <w:ind w:left="536"/>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根据</w:t>
      </w:r>
      <w:r>
        <w:rPr>
          <w:rFonts w:ascii="Times New Roman" w:hAnsi="Times New Roman" w:eastAsia="Times New Roman" w:cs="Times New Roman"/>
          <w:color w:val="000000" w:themeColor="text1"/>
          <w:sz w:val="24"/>
          <w:szCs w:val="24"/>
          <w14:textFill>
            <w14:solidFill>
              <w14:schemeClr w14:val="tx1"/>
            </w14:solidFill>
          </w14:textFill>
        </w:rPr>
        <w:t>HJ</w:t>
      </w:r>
      <w:r>
        <w:rPr>
          <w:rFonts w:ascii="Times New Roman" w:hAnsi="Times New Roman" w:eastAsia="Times New Roman" w:cs="Times New Roman"/>
          <w:color w:val="000000" w:themeColor="text1"/>
          <w:spacing w:val="7"/>
          <w:sz w:val="24"/>
          <w:szCs w:val="24"/>
          <w14:textFill>
            <w14:solidFill>
              <w14:schemeClr w14:val="tx1"/>
            </w14:solidFill>
          </w14:textFill>
        </w:rPr>
        <w:t>169-2018</w:t>
      </w:r>
      <w:r>
        <w:rPr>
          <w:color w:val="000000" w:themeColor="text1"/>
          <w:spacing w:val="7"/>
          <w:sz w:val="24"/>
          <w:szCs w:val="24"/>
          <w14:textFill>
            <w14:solidFill>
              <w14:schemeClr w14:val="tx1"/>
            </w14:solidFill>
          </w14:textFill>
        </w:rPr>
        <w:t>，油品火灾伴生</w:t>
      </w:r>
      <w:r>
        <w:rPr>
          <w:rFonts w:ascii="Times New Roman" w:hAnsi="Times New Roman" w:eastAsia="Times New Roman" w:cs="Times New Roman"/>
          <w:color w:val="000000" w:themeColor="text1"/>
          <w:spacing w:val="7"/>
          <w:sz w:val="24"/>
          <w:szCs w:val="24"/>
          <w14:textFill>
            <w14:solidFill>
              <w14:schemeClr w14:val="tx1"/>
            </w14:solidFill>
          </w14:textFill>
        </w:rPr>
        <w:t>/</w:t>
      </w:r>
      <w:r>
        <w:rPr>
          <w:color w:val="000000" w:themeColor="text1"/>
          <w:spacing w:val="7"/>
          <w:sz w:val="24"/>
          <w:szCs w:val="24"/>
          <w14:textFill>
            <w14:solidFill>
              <w14:schemeClr w14:val="tx1"/>
            </w14:solidFill>
          </w14:textFill>
        </w:rPr>
        <w:t>次生</w:t>
      </w:r>
      <w:r>
        <w:rPr>
          <w:rFonts w:ascii="Times New Roman" w:hAnsi="Times New Roman" w:eastAsia="Times New Roman" w:cs="Times New Roman"/>
          <w:color w:val="000000" w:themeColor="text1"/>
          <w:sz w:val="24"/>
          <w:szCs w:val="24"/>
          <w14:textFill>
            <w14:solidFill>
              <w14:schemeClr w14:val="tx1"/>
            </w14:solidFill>
          </w14:textFill>
        </w:rPr>
        <w:t>CO</w:t>
      </w:r>
      <w:r>
        <w:rPr>
          <w:color w:val="000000" w:themeColor="text1"/>
          <w:spacing w:val="7"/>
          <w:sz w:val="24"/>
          <w:szCs w:val="24"/>
          <w14:textFill>
            <w14:solidFill>
              <w14:schemeClr w14:val="tx1"/>
            </w14:solidFill>
          </w14:textFill>
        </w:rPr>
        <w:t>产生量，计算公式如下：</w:t>
      </w:r>
    </w:p>
    <w:p>
      <w:pPr>
        <w:spacing w:before="111" w:line="281" w:lineRule="exact"/>
        <w:ind w:left="3631"/>
        <w:rPr>
          <w:rFonts w:ascii="Times New Roman" w:hAnsi="Times New Roman" w:eastAsia="Times New Roman" w:cs="Times New Roman"/>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position w:val="4"/>
          <w:sz w:val="24"/>
          <w:szCs w:val="24"/>
          <w14:textFill>
            <w14:solidFill>
              <w14:schemeClr w14:val="tx1"/>
            </w14:solidFill>
          </w14:textFill>
        </w:rPr>
        <w:t>G</w:t>
      </w:r>
      <w:r>
        <w:rPr>
          <w:rFonts w:ascii="Times New Roman" w:hAnsi="Times New Roman" w:eastAsia="Times New Roman" w:cs="Times New Roman"/>
          <w:color w:val="000000" w:themeColor="text1"/>
          <w:position w:val="3"/>
          <w:sz w:val="24"/>
          <w:szCs w:val="24"/>
          <w:vertAlign w:val="subscript"/>
          <w14:textFill>
            <w14:solidFill>
              <w14:schemeClr w14:val="tx1"/>
            </w14:solidFill>
          </w14:textFill>
        </w:rPr>
        <w:t>CO</w:t>
      </w:r>
      <w:r>
        <w:rPr>
          <w:rFonts w:ascii="Times New Roman" w:hAnsi="Times New Roman" w:eastAsia="Times New Roman" w:cs="Times New Roman"/>
          <w:color w:val="000000" w:themeColor="text1"/>
          <w:spacing w:val="10"/>
          <w:position w:val="4"/>
          <w:sz w:val="24"/>
          <w:szCs w:val="24"/>
          <w14:textFill>
            <w14:solidFill>
              <w14:schemeClr w14:val="tx1"/>
            </w14:solidFill>
          </w14:textFill>
        </w:rPr>
        <w:t>=2330</w:t>
      </w:r>
      <w:r>
        <w:rPr>
          <w:rFonts w:ascii="Times New Roman" w:hAnsi="Times New Roman" w:eastAsia="Times New Roman" w:cs="Times New Roman"/>
          <w:color w:val="000000" w:themeColor="text1"/>
          <w:position w:val="4"/>
          <w:sz w:val="24"/>
          <w:szCs w:val="24"/>
          <w14:textFill>
            <w14:solidFill>
              <w14:schemeClr w14:val="tx1"/>
            </w14:solidFill>
          </w14:textFill>
        </w:rPr>
        <w:t>qCQ</w:t>
      </w:r>
    </w:p>
    <w:p>
      <w:pPr>
        <w:pStyle w:val="8"/>
        <w:spacing w:before="133" w:line="221" w:lineRule="auto"/>
        <w:ind w:left="854"/>
        <w:rPr>
          <w:color w:val="000000" w:themeColor="text1"/>
          <w:sz w:val="20"/>
          <w:szCs w:val="20"/>
          <w14:textFill>
            <w14:solidFill>
              <w14:schemeClr w14:val="tx1"/>
            </w14:solidFill>
          </w14:textFill>
        </w:rPr>
      </w:pPr>
      <w:r>
        <w:rPr>
          <w:color w:val="000000" w:themeColor="text1"/>
          <w:spacing w:val="9"/>
          <w:sz w:val="24"/>
          <w:szCs w:val="24"/>
          <w14:textFill>
            <w14:solidFill>
              <w14:schemeClr w14:val="tx1"/>
            </w14:solidFill>
          </w14:textFill>
        </w:rPr>
        <w:t>式中：</w:t>
      </w:r>
      <w:r>
        <w:rPr>
          <w:rFonts w:ascii="Times New Roman" w:hAnsi="Times New Roman" w:eastAsia="Times New Roman" w:cs="Times New Roman"/>
          <w:color w:val="000000" w:themeColor="text1"/>
          <w:sz w:val="24"/>
          <w:szCs w:val="24"/>
          <w14:textFill>
            <w14:solidFill>
              <w14:schemeClr w14:val="tx1"/>
            </w14:solidFill>
          </w14:textFill>
        </w:rPr>
        <w:t>G</w:t>
      </w:r>
      <w:r>
        <w:rPr>
          <w:rFonts w:ascii="Times New Roman" w:hAnsi="Times New Roman" w:eastAsia="Times New Roman" w:cs="Times New Roman"/>
          <w:color w:val="000000" w:themeColor="text1"/>
          <w:position w:val="-1"/>
          <w:sz w:val="24"/>
          <w:szCs w:val="24"/>
          <w:vertAlign w:val="subscript"/>
          <w14:textFill>
            <w14:solidFill>
              <w14:schemeClr w14:val="tx1"/>
            </w14:solidFill>
          </w14:textFill>
        </w:rPr>
        <w:t>CO</w:t>
      </w:r>
      <w:r>
        <w:rPr>
          <w:color w:val="000000" w:themeColor="text1"/>
          <w:spacing w:val="9"/>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CO</w:t>
      </w:r>
      <w:r>
        <w:rPr>
          <w:rFonts w:ascii="Times New Roman" w:hAnsi="Times New Roman" w:eastAsia="Times New Roman" w:cs="Times New Roman"/>
          <w:color w:val="000000" w:themeColor="text1"/>
          <w:spacing w:val="9"/>
          <w:sz w:val="24"/>
          <w:szCs w:val="24"/>
          <w14:textFill>
            <w14:solidFill>
              <w14:schemeClr w14:val="tx1"/>
            </w14:solidFill>
          </w14:textFill>
        </w:rPr>
        <w:t xml:space="preserve"> </w:t>
      </w:r>
      <w:r>
        <w:rPr>
          <w:color w:val="000000" w:themeColor="text1"/>
          <w:spacing w:val="9"/>
          <w:sz w:val="24"/>
          <w:szCs w:val="24"/>
          <w14:textFill>
            <w14:solidFill>
              <w14:schemeClr w14:val="tx1"/>
            </w14:solidFill>
          </w14:textFill>
        </w:rPr>
        <w:t>产生量，</w:t>
      </w:r>
      <w:r>
        <w:rPr>
          <w:rFonts w:ascii="Times New Roman" w:hAnsi="Times New Roman" w:eastAsia="Times New Roman" w:cs="Times New Roman"/>
          <w:color w:val="000000" w:themeColor="text1"/>
          <w:sz w:val="24"/>
          <w:szCs w:val="24"/>
          <w14:textFill>
            <w14:solidFill>
              <w14:schemeClr w14:val="tx1"/>
            </w14:solidFill>
          </w14:textFill>
        </w:rPr>
        <w:t>kg</w:t>
      </w:r>
      <w:r>
        <w:rPr>
          <w:rFonts w:ascii="Times New Roman" w:hAnsi="Times New Roman" w:eastAsia="Times New Roman" w:cs="Times New Roman"/>
          <w:color w:val="000000" w:themeColor="text1"/>
          <w:spacing w:val="9"/>
          <w:sz w:val="24"/>
          <w:szCs w:val="24"/>
          <w14:textFill>
            <w14:solidFill>
              <w14:schemeClr w14:val="tx1"/>
            </w14:solidFill>
          </w14:textFill>
        </w:rPr>
        <w:t>/s</w:t>
      </w:r>
      <w:r>
        <w:rPr>
          <w:color w:val="000000" w:themeColor="text1"/>
          <w:spacing w:val="9"/>
          <w:sz w:val="24"/>
          <w:szCs w:val="24"/>
          <w14:textFill>
            <w14:solidFill>
              <w14:schemeClr w14:val="tx1"/>
            </w14:solidFill>
          </w14:textFill>
        </w:rPr>
        <w:t>；</w:t>
      </w:r>
    </w:p>
    <w:p>
      <w:pPr>
        <w:pStyle w:val="8"/>
        <w:spacing w:before="168" w:line="228" w:lineRule="auto"/>
        <w:ind w:left="1481"/>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8"/>
          <w:sz w:val="24"/>
          <w:szCs w:val="24"/>
          <w14:textFill>
            <w14:solidFill>
              <w14:schemeClr w14:val="tx1"/>
            </w14:solidFill>
          </w14:textFill>
        </w:rPr>
        <w:t>C</w:t>
      </w:r>
      <w:r>
        <w:rPr>
          <w:color w:val="000000" w:themeColor="text1"/>
          <w:spacing w:val="8"/>
          <w:sz w:val="24"/>
          <w:szCs w:val="24"/>
          <w14:textFill>
            <w14:solidFill>
              <w14:schemeClr w14:val="tx1"/>
            </w14:solidFill>
          </w14:textFill>
        </w:rPr>
        <w:t>——物质中碳的质量百分比含量；</w:t>
      </w:r>
    </w:p>
    <w:p>
      <w:pPr>
        <w:pStyle w:val="8"/>
        <w:spacing w:before="161" w:line="221" w:lineRule="auto"/>
        <w:ind w:left="1480"/>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9"/>
          <w:sz w:val="24"/>
          <w:szCs w:val="24"/>
          <w14:textFill>
            <w14:solidFill>
              <w14:schemeClr w14:val="tx1"/>
            </w14:solidFill>
          </w14:textFill>
        </w:rPr>
        <w:t>q</w:t>
      </w:r>
      <w:r>
        <w:rPr>
          <w:color w:val="000000" w:themeColor="text1"/>
          <w:spacing w:val="9"/>
          <w:sz w:val="24"/>
          <w:szCs w:val="24"/>
          <w14:textFill>
            <w14:solidFill>
              <w14:schemeClr w14:val="tx1"/>
            </w14:solidFill>
          </w14:textFill>
        </w:rPr>
        <w:t>——化学不完全燃烧值，取</w:t>
      </w:r>
      <w:r>
        <w:rPr>
          <w:color w:val="000000" w:themeColor="text1"/>
          <w:spacing w:val="-18"/>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9"/>
          <w:sz w:val="24"/>
          <w:szCs w:val="24"/>
          <w14:textFill>
            <w14:solidFill>
              <w14:schemeClr w14:val="tx1"/>
            </w14:solidFill>
          </w14:textFill>
        </w:rPr>
        <w:t>1.5</w:t>
      </w:r>
      <w:r>
        <w:rPr>
          <w:color w:val="000000" w:themeColor="text1"/>
          <w:spacing w:val="9"/>
          <w:sz w:val="24"/>
          <w:szCs w:val="24"/>
          <w14:textFill>
            <w14:solidFill>
              <w14:schemeClr w14:val="tx1"/>
            </w14:solidFill>
          </w14:textFill>
        </w:rPr>
        <w:t>％</w:t>
      </w:r>
      <w:r>
        <w:rPr>
          <w:rFonts w:ascii="Times New Roman" w:hAnsi="Times New Roman" w:eastAsia="Times New Roman" w:cs="Times New Roman"/>
          <w:color w:val="000000" w:themeColor="text1"/>
          <w:spacing w:val="9"/>
          <w:sz w:val="24"/>
          <w:szCs w:val="24"/>
          <w14:textFill>
            <w14:solidFill>
              <w14:schemeClr w14:val="tx1"/>
            </w14:solidFill>
          </w14:textFill>
        </w:rPr>
        <w:t>-6.0</w:t>
      </w:r>
      <w:r>
        <w:rPr>
          <w:color w:val="000000" w:themeColor="text1"/>
          <w:spacing w:val="9"/>
          <w:sz w:val="24"/>
          <w:szCs w:val="24"/>
          <w14:textFill>
            <w14:solidFill>
              <w14:schemeClr w14:val="tx1"/>
            </w14:solidFill>
          </w14:textFill>
        </w:rPr>
        <w:t>%;</w:t>
      </w:r>
    </w:p>
    <w:p>
      <w:pPr>
        <w:pStyle w:val="8"/>
        <w:spacing w:before="168" w:line="221" w:lineRule="auto"/>
        <w:ind w:left="1375"/>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7"/>
          <w:sz w:val="24"/>
          <w:szCs w:val="24"/>
          <w14:textFill>
            <w14:solidFill>
              <w14:schemeClr w14:val="tx1"/>
            </w14:solidFill>
          </w14:textFill>
        </w:rPr>
        <w:t>Q</w:t>
      </w:r>
      <w:r>
        <w:rPr>
          <w:color w:val="000000" w:themeColor="text1"/>
          <w:spacing w:val="7"/>
          <w:sz w:val="24"/>
          <w:szCs w:val="24"/>
          <w14:textFill>
            <w14:solidFill>
              <w14:schemeClr w14:val="tx1"/>
            </w14:solidFill>
          </w14:textFill>
        </w:rPr>
        <w:t>——参与燃烧的物质量，</w:t>
      </w:r>
      <w:r>
        <w:rPr>
          <w:rFonts w:ascii="Times New Roman" w:hAnsi="Times New Roman" w:eastAsia="Times New Roman" w:cs="Times New Roman"/>
          <w:color w:val="000000" w:themeColor="text1"/>
          <w:spacing w:val="7"/>
          <w:sz w:val="24"/>
          <w:szCs w:val="24"/>
          <w14:textFill>
            <w14:solidFill>
              <w14:schemeClr w14:val="tx1"/>
            </w14:solidFill>
          </w14:textFill>
        </w:rPr>
        <w:t>t/s</w:t>
      </w:r>
      <w:r>
        <w:rPr>
          <w:color w:val="000000" w:themeColor="text1"/>
          <w:spacing w:val="7"/>
          <w:sz w:val="24"/>
          <w:szCs w:val="24"/>
          <w14:textFill>
            <w14:solidFill>
              <w14:schemeClr w14:val="tx1"/>
            </w14:solidFill>
          </w14:textFill>
        </w:rPr>
        <w:t>；</w:t>
      </w:r>
    </w:p>
    <w:p>
      <w:pPr>
        <w:pStyle w:val="8"/>
        <w:spacing w:before="171" w:line="228" w:lineRule="auto"/>
        <w:ind w:left="535"/>
        <w:rPr>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z w:val="24"/>
          <w:szCs w:val="24"/>
          <w14:textFill>
            <w14:solidFill>
              <w14:schemeClr w14:val="tx1"/>
            </w14:solidFill>
          </w14:textFill>
        </w:rPr>
        <w:t>CO</w:t>
      </w:r>
      <w:r>
        <w:rPr>
          <w:color w:val="000000" w:themeColor="text1"/>
          <w:spacing w:val="9"/>
          <w:sz w:val="24"/>
          <w:szCs w:val="24"/>
          <w14:textFill>
            <w14:solidFill>
              <w14:schemeClr w14:val="tx1"/>
            </w14:solidFill>
          </w14:textFill>
        </w:rPr>
        <w:t>产生量计算参数及结果见下表。</w:t>
      </w:r>
    </w:p>
    <w:p>
      <w:pPr>
        <w:pStyle w:val="8"/>
        <w:spacing w:before="196" w:line="219" w:lineRule="auto"/>
        <w:ind w:left="114"/>
        <w:jc w:val="center"/>
        <w:rPr>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38"/>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5-3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计算参数及结果一览表</w:t>
      </w:r>
    </w:p>
    <w:tbl>
      <w:tblPr>
        <w:tblStyle w:val="99"/>
        <w:tblW w:w="841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39"/>
        <w:gridCol w:w="1075"/>
        <w:gridCol w:w="1046"/>
        <w:gridCol w:w="1009"/>
        <w:gridCol w:w="1122"/>
        <w:gridCol w:w="1260"/>
        <w:gridCol w:w="106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7" w:hRule="atLeast"/>
          <w:jc w:val="center"/>
        </w:trPr>
        <w:tc>
          <w:tcPr>
            <w:tcW w:w="1839" w:type="dxa"/>
            <w:vMerge w:val="restart"/>
            <w:tcBorders>
              <w:top w:val="single" w:color="000000" w:sz="10" w:space="0"/>
              <w:left w:val="nil"/>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参数</w:t>
            </w:r>
          </w:p>
        </w:tc>
        <w:tc>
          <w:tcPr>
            <w:tcW w:w="1075" w:type="dxa"/>
            <w:tcBorders>
              <w:top w:val="single" w:color="000000" w:sz="10" w:space="0"/>
            </w:tcBorders>
            <w:vAlign w:val="top"/>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dm/dt</w:t>
            </w:r>
          </w:p>
        </w:tc>
        <w:tc>
          <w:tcPr>
            <w:tcW w:w="1046" w:type="dxa"/>
            <w:tcBorders>
              <w:top w:val="single" w:color="000000" w:sz="10" w:space="0"/>
            </w:tcBorders>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燃烧面积</w:t>
            </w:r>
          </w:p>
        </w:tc>
        <w:tc>
          <w:tcPr>
            <w:tcW w:w="1009" w:type="dxa"/>
            <w:tcBorders>
              <w:top w:val="single" w:color="000000" w:sz="10" w:space="0"/>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color w:val="000000" w:themeColor="text1"/>
                <w:sz w:val="21"/>
                <w:szCs w:val="21"/>
                <w14:textFill>
                  <w14:solidFill>
                    <w14:schemeClr w14:val="tx1"/>
                  </w14:solidFill>
                </w14:textFill>
              </w:rPr>
              <w:t>Q</w:t>
            </w:r>
          </w:p>
        </w:tc>
        <w:tc>
          <w:tcPr>
            <w:tcW w:w="1122"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14:textFill>
                  <w14:solidFill>
                    <w14:schemeClr w14:val="tx1"/>
                  </w14:solidFill>
                </w14:textFill>
              </w:rPr>
              <w:t>C</w:t>
            </w:r>
          </w:p>
        </w:tc>
        <w:tc>
          <w:tcPr>
            <w:tcW w:w="1260"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position w:val="1"/>
                <w:sz w:val="21"/>
                <w:szCs w:val="21"/>
                <w14:textFill>
                  <w14:solidFill>
                    <w14:schemeClr w14:val="tx1"/>
                  </w14:solidFill>
                </w14:textFill>
              </w:rPr>
              <w:t>q</w:t>
            </w:r>
          </w:p>
        </w:tc>
        <w:tc>
          <w:tcPr>
            <w:tcW w:w="1068" w:type="dxa"/>
            <w:tcBorders>
              <w:top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14:textFill>
                  <w14:solidFill>
                    <w14:schemeClr w14:val="tx1"/>
                  </w14:solidFill>
                </w14:textFill>
              </w:rPr>
              <w:t>G</w:t>
            </w:r>
            <w:r>
              <w:rPr>
                <w:rFonts w:hint="default" w:ascii="Times New Roman" w:hAnsi="Times New Roman" w:eastAsia="Times New Roman" w:cs="Times New Roman"/>
                <w:color w:val="000000" w:themeColor="text1"/>
                <w:sz w:val="21"/>
                <w:szCs w:val="21"/>
                <w:vertAlign w:val="subscript"/>
                <w14:textFill>
                  <w14:solidFill>
                    <w14:schemeClr w14:val="tx1"/>
                  </w14:solidFill>
                </w14:textFill>
              </w:rPr>
              <w:t>CO</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1839"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075"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14:textFill>
                  <w14:solidFill>
                    <w14:schemeClr w14:val="tx1"/>
                  </w14:solidFill>
                </w14:textFill>
              </w:rPr>
              <w:t>kg/</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35"/>
                <w:sz w:val="21"/>
                <w:szCs w:val="21"/>
                <w14:textFill>
                  <w14:solidFill>
                    <w14:schemeClr w14:val="tx1"/>
                  </w14:solidFill>
                </w14:textFill>
              </w:rPr>
              <w:t>·</w:t>
            </w:r>
            <w:r>
              <w:rPr>
                <w:rFonts w:hint="default" w:ascii="Times New Roman" w:hAnsi="Times New Roman" w:eastAsia="Times New Roman" w:cs="Times New Roman"/>
                <w:color w:val="000000" w:themeColor="text1"/>
                <w:spacing w:val="-35"/>
                <w:sz w:val="21"/>
                <w:szCs w:val="21"/>
                <w14:textFill>
                  <w14:solidFill>
                    <w14:schemeClr w14:val="tx1"/>
                  </w14:solidFill>
                </w14:textFill>
              </w:rPr>
              <w:t>s</w:t>
            </w:r>
          </w:p>
        </w:tc>
        <w:tc>
          <w:tcPr>
            <w:tcW w:w="1046" w:type="dxa"/>
            <w:vAlign w:val="top"/>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eastAsia" w:ascii="Times New Roman" w:hAnsi="Times New Roman" w:eastAsia="宋体" w:cs="Times New Roman"/>
                <w:color w:val="000000" w:themeColor="text1"/>
                <w:position w:val="-1"/>
                <w:sz w:val="21"/>
                <w:szCs w:val="21"/>
                <w:lang w:eastAsia="zh-CN"/>
                <w14:textFill>
                  <w14:solidFill>
                    <w14:schemeClr w14:val="tx1"/>
                  </w14:solidFill>
                </w14:textFill>
              </w:rPr>
            </w:pPr>
            <w:r>
              <w:rPr>
                <w:rFonts w:hint="eastAsia" w:ascii="Times New Roman" w:hAnsi="Times New Roman" w:eastAsia="宋体" w:cs="Times New Roman"/>
                <w:color w:val="000000" w:themeColor="text1"/>
                <w:position w:val="-2"/>
                <w:sz w:val="21"/>
                <w:szCs w:val="21"/>
                <w:lang w:val="en-US" w:eastAsia="zh-CN"/>
                <w14:textFill>
                  <w14:solidFill>
                    <w14:schemeClr w14:val="tx1"/>
                  </w14:solidFill>
                </w14:textFill>
              </w:rPr>
              <w:t>㎡</w:t>
            </w:r>
          </w:p>
        </w:tc>
        <w:tc>
          <w:tcPr>
            <w:tcW w:w="1009"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color w:val="000000" w:themeColor="text1"/>
                <w:spacing w:val="-1"/>
                <w:sz w:val="21"/>
                <w:szCs w:val="21"/>
                <w14:textFill>
                  <w14:solidFill>
                    <w14:schemeClr w14:val="tx1"/>
                  </w14:solidFill>
                </w14:textFill>
              </w:rPr>
              <w:t>t/s</w:t>
            </w:r>
          </w:p>
        </w:tc>
        <w:tc>
          <w:tcPr>
            <w:tcW w:w="1122" w:type="dxa"/>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position w:val="-1"/>
                <w:sz w:val="21"/>
                <w:szCs w:val="21"/>
                <w14:textFill>
                  <w14:solidFill>
                    <w14:schemeClr w14:val="tx1"/>
                  </w14:solidFill>
                </w14:textFill>
              </w:rPr>
            </w:pPr>
            <w:r>
              <w:rPr>
                <w:rFonts w:hint="default" w:ascii="Times New Roman" w:hAnsi="Times New Roman" w:eastAsia="Times New Roman" w:cs="Times New Roman"/>
                <w:color w:val="000000" w:themeColor="text1"/>
                <w:position w:val="-1"/>
                <w:sz w:val="21"/>
                <w:szCs w:val="21"/>
                <w14:textFill>
                  <w14:solidFill>
                    <w14:schemeClr w14:val="tx1"/>
                  </w14:solidFill>
                </w14:textFill>
              </w:rPr>
              <w:t>-</w:t>
            </w:r>
          </w:p>
        </w:tc>
        <w:tc>
          <w:tcPr>
            <w:tcW w:w="1260"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position w:val="-1"/>
                <w:sz w:val="21"/>
                <w:szCs w:val="21"/>
                <w14:textFill>
                  <w14:solidFill>
                    <w14:schemeClr w14:val="tx1"/>
                  </w14:solidFill>
                </w14:textFill>
              </w:rPr>
              <w:t>-</w:t>
            </w:r>
          </w:p>
        </w:tc>
        <w:tc>
          <w:tcPr>
            <w:tcW w:w="1068"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pacing w:val="-1"/>
                <w:sz w:val="21"/>
                <w:szCs w:val="21"/>
                <w14:textFill>
                  <w14:solidFill>
                    <w14:schemeClr w14:val="tx1"/>
                  </w14:solidFill>
                </w14:textFill>
              </w:rPr>
              <w:t>kg/s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1839" w:type="dxa"/>
            <w:tcBorders>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汽油组分油</w:t>
            </w:r>
          </w:p>
        </w:tc>
        <w:tc>
          <w:tcPr>
            <w:tcW w:w="1075" w:type="dxa"/>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0.031</w:t>
            </w:r>
          </w:p>
        </w:tc>
        <w:tc>
          <w:tcPr>
            <w:tcW w:w="1046" w:type="dxa"/>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45.3</w:t>
            </w:r>
          </w:p>
        </w:tc>
        <w:tc>
          <w:tcPr>
            <w:tcW w:w="1009" w:type="dxa"/>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 xml:space="preserve">0.0014 </w:t>
            </w:r>
          </w:p>
        </w:tc>
        <w:tc>
          <w:tcPr>
            <w:tcW w:w="1122" w:type="dxa"/>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85%</w:t>
            </w:r>
          </w:p>
        </w:tc>
        <w:tc>
          <w:tcPr>
            <w:tcW w:w="1260" w:type="dxa"/>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5%</w:t>
            </w:r>
          </w:p>
        </w:tc>
        <w:tc>
          <w:tcPr>
            <w:tcW w:w="1068"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eastAsia="Times New Roman" w:cs="Times New Roman"/>
                <w:color w:val="000000" w:themeColor="text1"/>
                <w:sz w:val="21"/>
                <w:szCs w:val="21"/>
                <w:lang w:val="en-US" w:eastAsia="zh-CN"/>
                <w14:textFill>
                  <w14:solidFill>
                    <w14:schemeClr w14:val="tx1"/>
                  </w14:solidFill>
                </w14:textFill>
              </w:rPr>
              <w:t xml:space="preserve">0.14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1839"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柴油</w:t>
            </w:r>
          </w:p>
        </w:tc>
        <w:tc>
          <w:tcPr>
            <w:tcW w:w="1075"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0.014</w:t>
            </w:r>
          </w:p>
        </w:tc>
        <w:tc>
          <w:tcPr>
            <w:tcW w:w="1046"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lang w:val="en-US"/>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138.9</w:t>
            </w:r>
          </w:p>
        </w:tc>
        <w:tc>
          <w:tcPr>
            <w:tcW w:w="1009" w:type="dxa"/>
            <w:tcBorders>
              <w:bottom w:val="single" w:color="000000" w:sz="10" w:space="0"/>
            </w:tcBorders>
            <w:shd w:val="clear" w:color="auto" w:fill="auto"/>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 xml:space="preserve">0.0019 </w:t>
            </w:r>
          </w:p>
        </w:tc>
        <w:tc>
          <w:tcPr>
            <w:tcW w:w="1122"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85%</w:t>
            </w:r>
          </w:p>
        </w:tc>
        <w:tc>
          <w:tcPr>
            <w:tcW w:w="1260"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lang w:val="en-US" w:eastAsia="zh-CN"/>
                <w14:textFill>
                  <w14:solidFill>
                    <w14:schemeClr w14:val="tx1"/>
                  </w14:solidFill>
                </w14:textFill>
              </w:rPr>
              <w:t>5%</w:t>
            </w:r>
          </w:p>
        </w:tc>
        <w:tc>
          <w:tcPr>
            <w:tcW w:w="1068"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z w:val="21"/>
                <w:szCs w:val="21"/>
                <w14:textFill>
                  <w14:solidFill>
                    <w14:schemeClr w14:val="tx1"/>
                  </w14:solidFill>
                </w14:textFill>
              </w:rPr>
            </w:pPr>
            <w:r>
              <w:rPr>
                <w:rFonts w:hint="eastAsia" w:ascii="Times New Roman" w:hAnsi="Times New Roman" w:eastAsia="Times New Roman" w:cs="Times New Roman"/>
                <w:color w:val="000000" w:themeColor="text1"/>
                <w:sz w:val="21"/>
                <w:szCs w:val="21"/>
                <w:lang w:val="en-US" w:eastAsia="zh-CN"/>
                <w14:textFill>
                  <w14:solidFill>
                    <w14:schemeClr w14:val="tx1"/>
                  </w14:solidFill>
                </w14:textFill>
              </w:rPr>
              <w:t xml:space="preserve">0.19 </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pacing w:val="6"/>
          <w:sz w:val="24"/>
          <w:szCs w:val="24"/>
          <w14:textFill>
            <w14:solidFill>
              <w14:schemeClr w14:val="tx1"/>
            </w14:solidFill>
          </w14:textFill>
        </w:rPr>
        <w:t>3</w:t>
      </w:r>
      <w:r>
        <w:rPr>
          <w:color w:val="000000" w:themeColor="text1"/>
          <w:spacing w:val="6"/>
          <w:sz w:val="24"/>
          <w:szCs w:val="24"/>
          <w14:textFill>
            <w14:solidFill>
              <w14:schemeClr w14:val="tx1"/>
            </w14:solidFill>
          </w14:textFill>
        </w:rPr>
        <w:t>）火灾次生</w:t>
      </w:r>
      <w:r>
        <w:rPr>
          <w:rFonts w:ascii="Times New Roman" w:hAnsi="Times New Roman" w:eastAsia="Times New Roman" w:cs="Times New Roman"/>
          <w:color w:val="000000" w:themeColor="text1"/>
          <w:sz w:val="24"/>
          <w:szCs w:val="24"/>
          <w14:textFill>
            <w14:solidFill>
              <w14:schemeClr w14:val="tx1"/>
            </w14:solidFill>
          </w14:textFill>
        </w:rPr>
        <w:t>SO</w:t>
      </w:r>
      <w:r>
        <w:rPr>
          <w:rFonts w:ascii="Times New Roman" w:hAnsi="Times New Roman" w:eastAsia="Times New Roman" w:cs="Times New Roman"/>
          <w:color w:val="000000" w:themeColor="text1"/>
          <w:spacing w:val="6"/>
          <w:position w:val="-1"/>
          <w:sz w:val="24"/>
          <w:szCs w:val="24"/>
          <w:vertAlign w:val="subscript"/>
          <w14:textFill>
            <w14:solidFill>
              <w14:schemeClr w14:val="tx1"/>
            </w14:solidFill>
          </w14:textFill>
        </w:rPr>
        <w:t>2</w:t>
      </w:r>
      <w:r>
        <w:rPr>
          <w:color w:val="000000" w:themeColor="text1"/>
          <w:spacing w:val="6"/>
          <w:sz w:val="24"/>
          <w:szCs w:val="24"/>
          <w14:textFill>
            <w14:solidFill>
              <w14:schemeClr w14:val="tx1"/>
            </w14:solidFill>
          </w14:textFill>
        </w:rPr>
        <w:t>产生量核算</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根据</w:t>
      </w:r>
      <w:r>
        <w:rPr>
          <w:rFonts w:ascii="Times New Roman" w:hAnsi="Times New Roman" w:eastAsia="Times New Roman" w:cs="Times New Roman"/>
          <w:color w:val="000000" w:themeColor="text1"/>
          <w:sz w:val="24"/>
          <w:szCs w:val="24"/>
          <w14:textFill>
            <w14:solidFill>
              <w14:schemeClr w14:val="tx1"/>
            </w14:solidFill>
          </w14:textFill>
        </w:rPr>
        <w:t>HJ</w:t>
      </w:r>
      <w:r>
        <w:rPr>
          <w:rFonts w:ascii="Times New Roman" w:hAnsi="Times New Roman" w:eastAsia="Times New Roman" w:cs="Times New Roman"/>
          <w:color w:val="000000" w:themeColor="text1"/>
          <w:spacing w:val="7"/>
          <w:sz w:val="24"/>
          <w:szCs w:val="24"/>
          <w14:textFill>
            <w14:solidFill>
              <w14:schemeClr w14:val="tx1"/>
            </w14:solidFill>
          </w14:textFill>
        </w:rPr>
        <w:t>169-2018</w:t>
      </w:r>
      <w:r>
        <w:rPr>
          <w:color w:val="000000" w:themeColor="text1"/>
          <w:spacing w:val="7"/>
          <w:sz w:val="24"/>
          <w:szCs w:val="24"/>
          <w14:textFill>
            <w14:solidFill>
              <w14:schemeClr w14:val="tx1"/>
            </w14:solidFill>
          </w14:textFill>
        </w:rPr>
        <w:t>，油品火灾伴生</w:t>
      </w:r>
      <w:r>
        <w:rPr>
          <w:rFonts w:ascii="Times New Roman" w:hAnsi="Times New Roman" w:eastAsia="Times New Roman" w:cs="Times New Roman"/>
          <w:color w:val="000000" w:themeColor="text1"/>
          <w:spacing w:val="7"/>
          <w:sz w:val="24"/>
          <w:szCs w:val="24"/>
          <w14:textFill>
            <w14:solidFill>
              <w14:schemeClr w14:val="tx1"/>
            </w14:solidFill>
          </w14:textFill>
        </w:rPr>
        <w:t>/</w:t>
      </w:r>
      <w:r>
        <w:rPr>
          <w:color w:val="000000" w:themeColor="text1"/>
          <w:spacing w:val="7"/>
          <w:sz w:val="24"/>
          <w:szCs w:val="24"/>
          <w14:textFill>
            <w14:solidFill>
              <w14:schemeClr w14:val="tx1"/>
            </w14:solidFill>
          </w14:textFill>
        </w:rPr>
        <w:t>次生</w:t>
      </w:r>
      <w:r>
        <w:rPr>
          <w:rFonts w:ascii="Times New Roman" w:hAnsi="Times New Roman" w:eastAsia="Times New Roman" w:cs="Times New Roman"/>
          <w:color w:val="000000" w:themeColor="text1"/>
          <w:sz w:val="24"/>
          <w:szCs w:val="24"/>
          <w14:textFill>
            <w14:solidFill>
              <w14:schemeClr w14:val="tx1"/>
            </w14:solidFill>
          </w14:textFill>
        </w:rPr>
        <w:t>SO</w:t>
      </w:r>
      <w:r>
        <w:rPr>
          <w:rFonts w:ascii="Times New Roman" w:hAnsi="Times New Roman" w:eastAsia="Times New Roman" w:cs="Times New Roman"/>
          <w:color w:val="000000" w:themeColor="text1"/>
          <w:spacing w:val="7"/>
          <w:position w:val="-1"/>
          <w:sz w:val="24"/>
          <w:szCs w:val="24"/>
          <w:vertAlign w:val="subscript"/>
          <w14:textFill>
            <w14:solidFill>
              <w14:schemeClr w14:val="tx1"/>
            </w14:solidFill>
          </w14:textFill>
        </w:rPr>
        <w:t>2</w:t>
      </w:r>
      <w:r>
        <w:rPr>
          <w:color w:val="000000" w:themeColor="text1"/>
          <w:spacing w:val="7"/>
          <w:sz w:val="24"/>
          <w:szCs w:val="24"/>
          <w14:textFill>
            <w14:solidFill>
              <w14:schemeClr w14:val="tx1"/>
            </w14:solidFill>
          </w14:textFill>
        </w:rPr>
        <w:t>产</w:t>
      </w:r>
      <w:r>
        <w:rPr>
          <w:color w:val="000000" w:themeColor="text1"/>
          <w:spacing w:val="6"/>
          <w:sz w:val="24"/>
          <w:szCs w:val="24"/>
          <w14:textFill>
            <w14:solidFill>
              <w14:schemeClr w14:val="tx1"/>
            </w14:solidFill>
          </w14:textFill>
        </w:rPr>
        <w:t>生量，计算公式如下：</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960" w:firstLineChars="400"/>
        <w:textAlignment w:val="auto"/>
        <w:rPr>
          <w:rFonts w:ascii="Times New Roman" w:hAnsi="Times New Roman" w:eastAsia="Times New Roman" w:cs="Times New Roman"/>
          <w:color w:val="000000" w:themeColor="text1"/>
          <w:sz w:val="24"/>
          <w:szCs w:val="24"/>
          <w14:textFill>
            <w14:solidFill>
              <w14:schemeClr w14:val="tx1"/>
            </w14:solidFill>
          </w14:textFill>
        </w:rPr>
      </w:pPr>
      <w:r>
        <w:rPr>
          <w:rFonts w:ascii="Cambria Math" w:hAnsi="Cambria Math" w:eastAsia="Cambria Math" w:cs="Cambria Math"/>
          <w:color w:val="000000" w:themeColor="text1"/>
          <w:position w:val="4"/>
          <w:sz w:val="24"/>
          <w:szCs w:val="24"/>
          <w14:textFill>
            <w14:solidFill>
              <w14:schemeClr w14:val="tx1"/>
            </w14:solidFill>
          </w14:textFill>
        </w:rPr>
        <w:t>G</w:t>
      </w:r>
      <w:r>
        <w:rPr>
          <w:rFonts w:ascii="Cambria Math" w:hAnsi="Cambria Math" w:eastAsia="Cambria Math" w:cs="Cambria Math"/>
          <w:color w:val="000000" w:themeColor="text1"/>
          <w:position w:val="-1"/>
          <w:sz w:val="24"/>
          <w:szCs w:val="24"/>
          <w:vertAlign w:val="subscript"/>
          <w14:textFill>
            <w14:solidFill>
              <w14:schemeClr w14:val="tx1"/>
            </w14:solidFill>
          </w14:textFill>
        </w:rPr>
        <w:t>SO</w:t>
      </w:r>
      <w:r>
        <w:rPr>
          <w:rFonts w:ascii="Cambria Math" w:hAnsi="Cambria Math" w:eastAsia="Cambria Math" w:cs="Cambria Math"/>
          <w:color w:val="000000" w:themeColor="text1"/>
          <w:spacing w:val="7"/>
          <w:position w:val="-1"/>
          <w:sz w:val="24"/>
          <w:szCs w:val="24"/>
          <w:vertAlign w:val="subscript"/>
          <w14:textFill>
            <w14:solidFill>
              <w14:schemeClr w14:val="tx1"/>
            </w14:solidFill>
          </w14:textFill>
        </w:rPr>
        <w:t>2</w:t>
      </w:r>
      <w:r>
        <w:rPr>
          <w:rFonts w:ascii="Times New Roman" w:hAnsi="Times New Roman" w:eastAsia="Times New Roman" w:cs="Times New Roman"/>
          <w:color w:val="000000" w:themeColor="text1"/>
          <w:spacing w:val="7"/>
          <w:position w:val="3"/>
          <w:sz w:val="24"/>
          <w:szCs w:val="24"/>
          <w14:textFill>
            <w14:solidFill>
              <w14:schemeClr w14:val="tx1"/>
            </w14:solidFill>
          </w14:textFill>
        </w:rPr>
        <w:t>=2B</w:t>
      </w:r>
      <w:r>
        <w:rPr>
          <w:color w:val="000000" w:themeColor="text1"/>
          <w:spacing w:val="7"/>
          <w:position w:val="3"/>
          <w:sz w:val="24"/>
          <w:szCs w:val="24"/>
          <w14:textFill>
            <w14:solidFill>
              <w14:schemeClr w14:val="tx1"/>
            </w14:solidFill>
          </w14:textFill>
        </w:rPr>
        <w:t>×</w:t>
      </w:r>
      <w:r>
        <w:rPr>
          <w:rFonts w:ascii="Times New Roman" w:hAnsi="Times New Roman" w:eastAsia="Times New Roman" w:cs="Times New Roman"/>
          <w:color w:val="000000" w:themeColor="text1"/>
          <w:spacing w:val="7"/>
          <w:position w:val="3"/>
          <w:sz w:val="24"/>
          <w:szCs w:val="24"/>
          <w14:textFill>
            <w14:solidFill>
              <w14:schemeClr w14:val="tx1"/>
            </w14:solidFill>
          </w14:textFill>
        </w:rPr>
        <w:t>S</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774" w:firstLineChars="300"/>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式中：</w:t>
      </w:r>
      <w:r>
        <w:rPr>
          <w:rFonts w:ascii="Cambria Math" w:hAnsi="Cambria Math" w:eastAsia="Cambria Math" w:cs="Cambria Math"/>
          <w:color w:val="000000" w:themeColor="text1"/>
          <w:sz w:val="24"/>
          <w:szCs w:val="24"/>
          <w14:textFill>
            <w14:solidFill>
              <w14:schemeClr w14:val="tx1"/>
            </w14:solidFill>
          </w14:textFill>
        </w:rPr>
        <w:t>G</w:t>
      </w:r>
      <w:r>
        <w:rPr>
          <w:rFonts w:ascii="Cambria Math" w:hAnsi="Cambria Math" w:eastAsia="Cambria Math" w:cs="Cambria Math"/>
          <w:color w:val="000000" w:themeColor="text1"/>
          <w:position w:val="-5"/>
          <w:sz w:val="24"/>
          <w:szCs w:val="24"/>
          <w:vertAlign w:val="subscript"/>
          <w14:textFill>
            <w14:solidFill>
              <w14:schemeClr w14:val="tx1"/>
            </w14:solidFill>
          </w14:textFill>
        </w:rPr>
        <w:t>SO</w:t>
      </w:r>
      <w:r>
        <w:rPr>
          <w:rFonts w:ascii="Cambria Math" w:hAnsi="Cambria Math" w:eastAsia="Cambria Math" w:cs="Cambria Math"/>
          <w:color w:val="000000" w:themeColor="text1"/>
          <w:spacing w:val="9"/>
          <w:position w:val="-5"/>
          <w:sz w:val="24"/>
          <w:szCs w:val="24"/>
          <w:vertAlign w:val="subscript"/>
          <w14:textFill>
            <w14:solidFill>
              <w14:schemeClr w14:val="tx1"/>
            </w14:solidFill>
          </w14:textFill>
        </w:rPr>
        <w:t>2</w:t>
      </w:r>
      <w:r>
        <w:rPr>
          <w:color w:val="000000" w:themeColor="text1"/>
          <w:spacing w:val="9"/>
          <w:sz w:val="24"/>
          <w:szCs w:val="24"/>
          <w14:textFill>
            <w14:solidFill>
              <w14:schemeClr w14:val="tx1"/>
            </w14:solidFill>
          </w14:textFill>
        </w:rPr>
        <w:t>——二氧化硫排放速率，</w:t>
      </w:r>
      <w:r>
        <w:rPr>
          <w:rFonts w:ascii="Times New Roman" w:hAnsi="Times New Roman" w:eastAsia="Times New Roman" w:cs="Times New Roman"/>
          <w:color w:val="000000" w:themeColor="text1"/>
          <w:sz w:val="24"/>
          <w:szCs w:val="24"/>
          <w14:textFill>
            <w14:solidFill>
              <w14:schemeClr w14:val="tx1"/>
            </w14:solidFill>
          </w14:textFill>
        </w:rPr>
        <w:t>kg</w:t>
      </w:r>
      <w:r>
        <w:rPr>
          <w:rFonts w:ascii="Times New Roman" w:hAnsi="Times New Roman" w:eastAsia="Times New Roman" w:cs="Times New Roman"/>
          <w:color w:val="000000" w:themeColor="text1"/>
          <w:spacing w:val="9"/>
          <w:sz w:val="24"/>
          <w:szCs w:val="24"/>
          <w14:textFill>
            <w14:solidFill>
              <w14:schemeClr w14:val="tx1"/>
            </w14:solidFill>
          </w14:textFill>
        </w:rPr>
        <w:t>/s</w:t>
      </w:r>
      <w:r>
        <w:rPr>
          <w:color w:val="000000" w:themeColor="text1"/>
          <w:spacing w:val="9"/>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1536" w:firstLineChars="600"/>
        <w:textAlignment w:val="auto"/>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8"/>
          <w:sz w:val="24"/>
          <w:szCs w:val="24"/>
          <w14:textFill>
            <w14:solidFill>
              <w14:schemeClr w14:val="tx1"/>
            </w14:solidFill>
          </w14:textFill>
        </w:rPr>
        <w:t>B</w:t>
      </w:r>
      <w:r>
        <w:rPr>
          <w:color w:val="000000" w:themeColor="text1"/>
          <w:spacing w:val="8"/>
          <w:sz w:val="24"/>
          <w:szCs w:val="24"/>
          <w14:textFill>
            <w14:solidFill>
              <w14:schemeClr w14:val="tx1"/>
            </w14:solidFill>
          </w14:textFill>
        </w:rPr>
        <w:t>——物质燃烧量，</w:t>
      </w:r>
      <w:r>
        <w:rPr>
          <w:rFonts w:ascii="Times New Roman" w:hAnsi="Times New Roman" w:eastAsia="Times New Roman" w:cs="Times New Roman"/>
          <w:color w:val="000000" w:themeColor="text1"/>
          <w:sz w:val="24"/>
          <w:szCs w:val="24"/>
          <w14:textFill>
            <w14:solidFill>
              <w14:schemeClr w14:val="tx1"/>
            </w14:solidFill>
          </w14:textFill>
        </w:rPr>
        <w:t>kg</w:t>
      </w:r>
      <w:r>
        <w:rPr>
          <w:rFonts w:ascii="Times New Roman" w:hAnsi="Times New Roman" w:eastAsia="Times New Roman" w:cs="Times New Roman"/>
          <w:color w:val="000000" w:themeColor="text1"/>
          <w:spacing w:val="8"/>
          <w:sz w:val="24"/>
          <w:szCs w:val="24"/>
          <w14:textFill>
            <w14:solidFill>
              <w14:schemeClr w14:val="tx1"/>
            </w14:solidFill>
          </w14:textFill>
        </w:rPr>
        <w:t>/s</w:t>
      </w:r>
      <w:r>
        <w:rPr>
          <w:color w:val="000000" w:themeColor="text1"/>
          <w:spacing w:val="8"/>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1524" w:firstLineChars="600"/>
        <w:textAlignment w:val="auto"/>
        <w:rPr>
          <w:color w:val="000000" w:themeColor="text1"/>
          <w:sz w:val="24"/>
          <w:szCs w:val="24"/>
          <w14:textFill>
            <w14:solidFill>
              <w14:schemeClr w14:val="tx1"/>
            </w14:solidFill>
          </w14:textFill>
        </w:rPr>
      </w:pPr>
      <w:r>
        <w:rPr>
          <w:rFonts w:ascii="Times New Roman" w:hAnsi="Times New Roman" w:eastAsia="Times New Roman" w:cs="Times New Roman"/>
          <w:color w:val="000000" w:themeColor="text1"/>
          <w:spacing w:val="7"/>
          <w:sz w:val="24"/>
          <w:szCs w:val="24"/>
          <w14:textFill>
            <w14:solidFill>
              <w14:schemeClr w14:val="tx1"/>
            </w14:solidFill>
          </w14:textFill>
        </w:rPr>
        <w:t>S</w:t>
      </w:r>
      <w:r>
        <w:rPr>
          <w:color w:val="000000" w:themeColor="text1"/>
          <w:spacing w:val="7"/>
          <w:sz w:val="24"/>
          <w:szCs w:val="24"/>
          <w14:textFill>
            <w14:solidFill>
              <w14:schemeClr w14:val="tx1"/>
            </w14:solidFill>
          </w14:textFill>
        </w:rPr>
        <w:t>——物质硫含量，</w:t>
      </w:r>
      <w:r>
        <w:rPr>
          <w:rFonts w:ascii="Times New Roman" w:hAnsi="Times New Roman" w:eastAsia="Times New Roman" w:cs="Times New Roman"/>
          <w:color w:val="000000" w:themeColor="text1"/>
          <w:spacing w:val="7"/>
          <w:sz w:val="24"/>
          <w:szCs w:val="24"/>
          <w14:textFill>
            <w14:solidFill>
              <w14:schemeClr w14:val="tx1"/>
            </w14:solidFill>
          </w14:textFill>
        </w:rPr>
        <w:t>%</w:t>
      </w:r>
      <w:r>
        <w:rPr>
          <w:color w:val="000000" w:themeColor="text1"/>
          <w:spacing w:val="7"/>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720" w:firstLineChars="300"/>
        <w:textAlignment w:val="auto"/>
        <w:rPr>
          <w:color w:val="000000" w:themeColor="text1"/>
          <w:sz w:val="20"/>
          <w:szCs w:val="20"/>
          <w14:textFill>
            <w14:solidFill>
              <w14:schemeClr w14:val="tx1"/>
            </w14:solidFill>
          </w14:textFill>
        </w:rPr>
      </w:pPr>
      <w:r>
        <w:rPr>
          <w:rFonts w:ascii="Times New Roman" w:hAnsi="Times New Roman" w:eastAsia="Times New Roman" w:cs="Times New Roman"/>
          <w:color w:val="000000" w:themeColor="text1"/>
          <w:sz w:val="24"/>
          <w:szCs w:val="24"/>
          <w14:textFill>
            <w14:solidFill>
              <w14:schemeClr w14:val="tx1"/>
            </w14:solidFill>
          </w14:textFill>
        </w:rPr>
        <w:t>SO</w:t>
      </w:r>
      <w:r>
        <w:rPr>
          <w:rFonts w:ascii="Times New Roman" w:hAnsi="Times New Roman" w:eastAsia="Times New Roman" w:cs="Times New Roman"/>
          <w:color w:val="000000" w:themeColor="text1"/>
          <w:spacing w:val="8"/>
          <w:position w:val="-1"/>
          <w:sz w:val="24"/>
          <w:szCs w:val="24"/>
          <w:vertAlign w:val="subscript"/>
          <w14:textFill>
            <w14:solidFill>
              <w14:schemeClr w14:val="tx1"/>
            </w14:solidFill>
          </w14:textFill>
        </w:rPr>
        <w:t>2</w:t>
      </w:r>
      <w:r>
        <w:rPr>
          <w:color w:val="000000" w:themeColor="text1"/>
          <w:spacing w:val="8"/>
          <w:sz w:val="24"/>
          <w:szCs w:val="24"/>
          <w14:textFill>
            <w14:solidFill>
              <w14:schemeClr w14:val="tx1"/>
            </w14:solidFill>
          </w14:textFill>
        </w:rPr>
        <w:t>产生量计算参数及结果见下表。</w:t>
      </w:r>
    </w:p>
    <w:p>
      <w:pPr>
        <w:pStyle w:val="8"/>
        <w:spacing w:before="196" w:line="219" w:lineRule="auto"/>
        <w:ind w:left="114"/>
        <w:jc w:val="center"/>
        <w:rPr>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38"/>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5-4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计算参数及结果一览表</w:t>
      </w:r>
    </w:p>
    <w:tbl>
      <w:tblPr>
        <w:tblStyle w:val="99"/>
        <w:tblW w:w="852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49"/>
        <w:gridCol w:w="1411"/>
        <w:gridCol w:w="1703"/>
        <w:gridCol w:w="1558"/>
        <w:gridCol w:w="1275"/>
        <w:gridCol w:w="132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1" w:hRule="atLeast"/>
          <w:jc w:val="center"/>
        </w:trPr>
        <w:tc>
          <w:tcPr>
            <w:tcW w:w="1249" w:type="dxa"/>
            <w:vMerge w:val="restart"/>
            <w:tcBorders>
              <w:top w:val="single" w:color="000000" w:sz="10" w:space="0"/>
              <w:left w:val="nil"/>
              <w:bottom w:val="nil"/>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参数</w:t>
            </w:r>
          </w:p>
        </w:tc>
        <w:tc>
          <w:tcPr>
            <w:tcW w:w="1411"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dm/dt</w:t>
            </w:r>
          </w:p>
        </w:tc>
        <w:tc>
          <w:tcPr>
            <w:tcW w:w="1703"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燃烧面积</w:t>
            </w:r>
          </w:p>
        </w:tc>
        <w:tc>
          <w:tcPr>
            <w:tcW w:w="1558"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B</w:t>
            </w:r>
          </w:p>
        </w:tc>
        <w:tc>
          <w:tcPr>
            <w:tcW w:w="1275" w:type="dxa"/>
            <w:tcBorders>
              <w:top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S</w:t>
            </w:r>
          </w:p>
        </w:tc>
        <w:tc>
          <w:tcPr>
            <w:tcW w:w="1326" w:type="dxa"/>
            <w:tcBorders>
              <w:top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G</w:t>
            </w:r>
            <w:r>
              <w:rPr>
                <w:rFonts w:hint="default" w:ascii="Times New Roman" w:hAnsi="Times New Roman" w:eastAsia="Times New Roman" w:cs="Times New Roman"/>
                <w:color w:val="000000" w:themeColor="text1"/>
                <w:spacing w:val="-2"/>
                <w:sz w:val="21"/>
                <w:szCs w:val="21"/>
                <w:vertAlign w:val="subscript"/>
                <w14:textFill>
                  <w14:solidFill>
                    <w14:schemeClr w14:val="tx1"/>
                  </w14:solidFill>
                </w14:textFill>
              </w:rPr>
              <w:t>SO2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7" w:hRule="atLeast"/>
          <w:jc w:val="center"/>
        </w:trPr>
        <w:tc>
          <w:tcPr>
            <w:tcW w:w="1249"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p>
        </w:tc>
        <w:tc>
          <w:tcPr>
            <w:tcW w:w="1411" w:type="dxa"/>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kg/</w:t>
            </w: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w:t>
            </w:r>
            <w:r>
              <w:rPr>
                <w:rFonts w:hint="default" w:ascii="Times New Roman" w:hAnsi="Times New Roman" w:eastAsia="Times New Roman" w:cs="Times New Roman"/>
                <w:color w:val="000000" w:themeColor="text1"/>
                <w:spacing w:val="-2"/>
                <w:sz w:val="21"/>
                <w:szCs w:val="21"/>
                <w14:textFill>
                  <w14:solidFill>
                    <w14:schemeClr w14:val="tx1"/>
                  </w14:solidFill>
                </w14:textFill>
              </w:rPr>
              <w:t>·s</w:t>
            </w:r>
          </w:p>
        </w:tc>
        <w:tc>
          <w:tcPr>
            <w:tcW w:w="1703" w:type="dxa"/>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eastAsia" w:ascii="Times New Roman" w:hAnsi="Times New Roman" w:eastAsia="宋体" w:cs="Times New Roman"/>
                <w:color w:val="000000" w:themeColor="text1"/>
                <w:spacing w:val="-2"/>
                <w:sz w:val="21"/>
                <w:szCs w:val="21"/>
                <w:lang w:eastAsia="zh-CN"/>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w:t>
            </w:r>
          </w:p>
        </w:tc>
        <w:tc>
          <w:tcPr>
            <w:tcW w:w="1558" w:type="dxa"/>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kg/s</w:t>
            </w:r>
          </w:p>
        </w:tc>
        <w:tc>
          <w:tcPr>
            <w:tcW w:w="1275" w:type="dxa"/>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w:t>
            </w:r>
          </w:p>
        </w:tc>
        <w:tc>
          <w:tcPr>
            <w:tcW w:w="1326"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kg/s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jc w:val="center"/>
        </w:trPr>
        <w:tc>
          <w:tcPr>
            <w:tcW w:w="1249" w:type="dxa"/>
            <w:tcBorders>
              <w:left w:val="nil"/>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燃料油</w:t>
            </w:r>
          </w:p>
        </w:tc>
        <w:tc>
          <w:tcPr>
            <w:tcW w:w="1411"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0.031</w:t>
            </w:r>
          </w:p>
        </w:tc>
        <w:tc>
          <w:tcPr>
            <w:tcW w:w="1703"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000000" w:themeColor="text1"/>
                <w:spacing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45.3</w:t>
            </w:r>
          </w:p>
        </w:tc>
        <w:tc>
          <w:tcPr>
            <w:tcW w:w="1558"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000000" w:themeColor="text1"/>
                <w:spacing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1.40</w:t>
            </w:r>
          </w:p>
        </w:tc>
        <w:tc>
          <w:tcPr>
            <w:tcW w:w="1275"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Times New Roman" w:cs="Times New Roman"/>
                <w:color w:val="000000" w:themeColor="text1"/>
                <w:spacing w:val="-2"/>
                <w:sz w:val="21"/>
                <w:szCs w:val="21"/>
                <w14:textFill>
                  <w14:solidFill>
                    <w14:schemeClr w14:val="tx1"/>
                  </w14:solidFill>
                </w14:textFill>
              </w:rPr>
            </w:pPr>
            <w:r>
              <w:rPr>
                <w:rFonts w:hint="default" w:ascii="Times New Roman" w:hAnsi="Times New Roman" w:eastAsia="Times New Roman" w:cs="Times New Roman"/>
                <w:color w:val="000000" w:themeColor="text1"/>
                <w:spacing w:val="-2"/>
                <w:sz w:val="21"/>
                <w:szCs w:val="21"/>
                <w14:textFill>
                  <w14:solidFill>
                    <w14:schemeClr w14:val="tx1"/>
                  </w14:solidFill>
                </w14:textFill>
              </w:rPr>
              <w:t>0.5</w:t>
            </w:r>
          </w:p>
        </w:tc>
        <w:tc>
          <w:tcPr>
            <w:tcW w:w="1326"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000000" w:themeColor="text1"/>
                <w:spacing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0.014</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w:t>
      </w:r>
      <w:r>
        <w:rPr>
          <w:rFonts w:ascii="Times New Roman" w:hAnsi="Times New Roman" w:eastAsia="Times New Roman" w:cs="Times New Roman"/>
          <w:color w:val="000000" w:themeColor="text1"/>
          <w:spacing w:val="7"/>
          <w:sz w:val="24"/>
          <w:szCs w:val="24"/>
          <w14:textFill>
            <w14:solidFill>
              <w14:schemeClr w14:val="tx1"/>
            </w14:solidFill>
          </w14:textFill>
        </w:rPr>
        <w:t>4</w:t>
      </w:r>
      <w:r>
        <w:rPr>
          <w:color w:val="000000" w:themeColor="text1"/>
          <w:spacing w:val="7"/>
          <w:sz w:val="24"/>
          <w:szCs w:val="24"/>
          <w14:textFill>
            <w14:solidFill>
              <w14:schemeClr w14:val="tx1"/>
            </w14:solidFill>
          </w14:textFill>
        </w:rPr>
        <w:t>）事故废气源强汇总</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0"/>
          <w:szCs w:val="20"/>
          <w14:textFill>
            <w14:solidFill>
              <w14:schemeClr w14:val="tx1"/>
            </w14:solidFill>
          </w14:textFill>
        </w:rPr>
      </w:pPr>
      <w:r>
        <w:rPr>
          <w:color w:val="000000" w:themeColor="text1"/>
          <w:spacing w:val="7"/>
          <w:sz w:val="24"/>
          <w:szCs w:val="24"/>
          <w14:textFill>
            <w14:solidFill>
              <w14:schemeClr w14:val="tx1"/>
            </w14:solidFill>
          </w14:textFill>
        </w:rPr>
        <w:t>具体情况见下表：</w:t>
      </w:r>
    </w:p>
    <w:p>
      <w:pPr>
        <w:pStyle w:val="8"/>
        <w:spacing w:before="157" w:line="212" w:lineRule="auto"/>
        <w:ind w:left="114"/>
        <w:jc w:val="center"/>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38"/>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5-5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项目废气源强一览表</w:t>
      </w:r>
    </w:p>
    <w:tbl>
      <w:tblPr>
        <w:tblStyle w:val="99"/>
        <w:tblW w:w="852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01"/>
        <w:gridCol w:w="1432"/>
        <w:gridCol w:w="1906"/>
        <w:gridCol w:w="238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2801"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风险源</w:t>
            </w:r>
          </w:p>
        </w:tc>
        <w:tc>
          <w:tcPr>
            <w:tcW w:w="1432"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事故情形</w:t>
            </w:r>
          </w:p>
        </w:tc>
        <w:tc>
          <w:tcPr>
            <w:tcW w:w="1906"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危险物质</w:t>
            </w:r>
          </w:p>
        </w:tc>
        <w:tc>
          <w:tcPr>
            <w:tcW w:w="2383" w:type="dxa"/>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释放速率</w:t>
            </w:r>
            <w:r>
              <w:rPr>
                <w:rFonts w:ascii="Times New Roman" w:hAnsi="Times New Roman" w:eastAsia="Times New Roman" w:cs="Times New Roman"/>
                <w:color w:val="000000" w:themeColor="text1"/>
                <w:spacing w:val="-1"/>
                <w:sz w:val="21"/>
                <w:szCs w:val="21"/>
                <w14:textFill>
                  <w14:solidFill>
                    <w14:schemeClr w14:val="tx1"/>
                  </w14:solidFill>
                </w14:textFill>
              </w:rPr>
              <w:t>/(kg/s)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801" w:type="dxa"/>
            <w:vMerge w:val="restart"/>
            <w:tcBorders>
              <w:left w:val="nil"/>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500m³汽油</w:t>
            </w:r>
            <w:r>
              <w:rPr>
                <w:rFonts w:hint="eastAsia"/>
                <w:color w:val="000000" w:themeColor="text1"/>
                <w:spacing w:val="-2"/>
                <w:sz w:val="21"/>
                <w:szCs w:val="21"/>
                <w:lang w:val="en-US" w:eastAsia="zh-CN"/>
                <w14:textFill>
                  <w14:solidFill>
                    <w14:schemeClr w14:val="tx1"/>
                  </w14:solidFill>
                </w14:textFill>
              </w:rPr>
              <w:t>组分油</w:t>
            </w:r>
            <w:r>
              <w:rPr>
                <w:color w:val="000000" w:themeColor="text1"/>
                <w:spacing w:val="-2"/>
                <w:sz w:val="21"/>
                <w:szCs w:val="21"/>
                <w14:textFill>
                  <w14:solidFill>
                    <w14:schemeClr w14:val="tx1"/>
                  </w14:solidFill>
                </w14:textFill>
              </w:rPr>
              <w:t>储罐</w:t>
            </w:r>
          </w:p>
        </w:tc>
        <w:tc>
          <w:tcPr>
            <w:tcW w:w="1432" w:type="dxa"/>
            <w:vMerge w:val="restart"/>
            <w:tcBorders>
              <w:bottom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火灾爆炸</w:t>
            </w:r>
          </w:p>
        </w:tc>
        <w:tc>
          <w:tcPr>
            <w:tcW w:w="1906"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CO</w:t>
            </w:r>
          </w:p>
        </w:tc>
        <w:tc>
          <w:tcPr>
            <w:tcW w:w="2383"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pacing w:val="-6"/>
                <w:sz w:val="21"/>
                <w:szCs w:val="21"/>
                <w:lang w:val="en-US" w:eastAsia="zh-CN"/>
                <w14:textFill>
                  <w14:solidFill>
                    <w14:schemeClr w14:val="tx1"/>
                  </w14:solidFill>
                </w14:textFill>
              </w:rPr>
              <w:t>0.14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jc w:val="center"/>
        </w:trPr>
        <w:tc>
          <w:tcPr>
            <w:tcW w:w="2801"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Arial"/>
                <w:color w:val="000000" w:themeColor="text1"/>
                <w:sz w:val="21"/>
                <w:szCs w:val="21"/>
                <w14:textFill>
                  <w14:solidFill>
                    <w14:schemeClr w14:val="tx1"/>
                  </w14:solidFill>
                </w14:textFill>
              </w:rPr>
            </w:pPr>
          </w:p>
        </w:tc>
        <w:tc>
          <w:tcPr>
            <w:tcW w:w="1432" w:type="dxa"/>
            <w:vMerge w:val="continue"/>
            <w:tcBorders>
              <w:top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Arial"/>
                <w:color w:val="000000" w:themeColor="text1"/>
                <w:sz w:val="21"/>
                <w:szCs w:val="21"/>
                <w14:textFill>
                  <w14:solidFill>
                    <w14:schemeClr w14:val="tx1"/>
                  </w14:solidFill>
                </w14:textFill>
              </w:rPr>
            </w:pPr>
          </w:p>
        </w:tc>
        <w:tc>
          <w:tcPr>
            <w:tcW w:w="1906" w:type="dxa"/>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3"/>
                <w:sz w:val="21"/>
                <w:szCs w:val="21"/>
                <w14:textFill>
                  <w14:solidFill>
                    <w14:schemeClr w14:val="tx1"/>
                  </w14:solidFill>
                </w14:textFill>
              </w:rPr>
              <w:t>SO</w:t>
            </w:r>
            <w:r>
              <w:rPr>
                <w:rFonts w:ascii="Times New Roman" w:hAnsi="Times New Roman" w:eastAsia="Times New Roman" w:cs="Times New Roman"/>
                <w:color w:val="000000" w:themeColor="text1"/>
                <w:spacing w:val="-3"/>
                <w:position w:val="-1"/>
                <w:sz w:val="21"/>
                <w:szCs w:val="21"/>
                <w:vertAlign w:val="subscript"/>
                <w14:textFill>
                  <w14:solidFill>
                    <w14:schemeClr w14:val="tx1"/>
                  </w14:solidFill>
                </w14:textFill>
              </w:rPr>
              <w:t>2</w:t>
            </w:r>
          </w:p>
        </w:tc>
        <w:tc>
          <w:tcPr>
            <w:tcW w:w="2383"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2"/>
                <w:sz w:val="21"/>
                <w:szCs w:val="21"/>
                <w14:textFill>
                  <w14:solidFill>
                    <w14:schemeClr w14:val="tx1"/>
                  </w14:solidFill>
                </w14:textFill>
              </w:rPr>
              <w:t>0.</w:t>
            </w:r>
            <w:r>
              <w:rPr>
                <w:rFonts w:hint="eastAsia" w:eastAsia="宋体" w:cs="Times New Roman"/>
                <w:color w:val="000000" w:themeColor="text1"/>
                <w:spacing w:val="-2"/>
                <w:sz w:val="21"/>
                <w:szCs w:val="21"/>
                <w:lang w:val="en-US" w:eastAsia="zh-CN"/>
                <w14:textFill>
                  <w14:solidFill>
                    <w14:schemeClr w14:val="tx1"/>
                  </w14:solidFill>
                </w14:textFill>
              </w:rPr>
              <w:t>0</w:t>
            </w:r>
            <w:r>
              <w:rPr>
                <w:rFonts w:ascii="Times New Roman" w:hAnsi="Times New Roman" w:eastAsia="Times New Roman" w:cs="Times New Roman"/>
                <w:color w:val="000000" w:themeColor="text1"/>
                <w:spacing w:val="-2"/>
                <w:sz w:val="21"/>
                <w:szCs w:val="21"/>
                <w14:textFill>
                  <w14:solidFill>
                    <w14:schemeClr w14:val="tx1"/>
                  </w14:solidFill>
                </w14:textFill>
              </w:rPr>
              <w:t>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 w:hRule="atLeast"/>
          <w:jc w:val="center"/>
        </w:trPr>
        <w:tc>
          <w:tcPr>
            <w:tcW w:w="2801" w:type="dxa"/>
            <w:tcBorders>
              <w:left w:val="nil"/>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2</w:t>
            </w:r>
            <w:r>
              <w:rPr>
                <w:rFonts w:ascii="Times New Roman" w:hAnsi="Times New Roman" w:eastAsia="Times New Roman" w:cs="Times New Roman"/>
                <w:color w:val="000000" w:themeColor="text1"/>
                <w:spacing w:val="-2"/>
                <w:sz w:val="21"/>
                <w:szCs w:val="21"/>
                <w14:textFill>
                  <w14:solidFill>
                    <w14:schemeClr w14:val="tx1"/>
                  </w14:solidFill>
                </w14:textFill>
              </w:rPr>
              <w:t>000</w:t>
            </w:r>
            <w:r>
              <w:rPr>
                <w:rFonts w:hint="eastAsia" w:ascii="Times New Roman" w:hAnsi="Times New Roman" w:eastAsia="宋体" w:cs="Times New Roman"/>
                <w:color w:val="000000" w:themeColor="text1"/>
                <w:spacing w:val="-2"/>
                <w:sz w:val="21"/>
                <w:szCs w:val="21"/>
                <w:lang w:val="en-US" w:eastAsia="zh-CN"/>
                <w14:textFill>
                  <w14:solidFill>
                    <w14:schemeClr w14:val="tx1"/>
                  </w14:solidFill>
                </w14:textFill>
              </w:rPr>
              <w:t>m³</w:t>
            </w:r>
            <w:r>
              <w:rPr>
                <w:color w:val="000000" w:themeColor="text1"/>
                <w:spacing w:val="-2"/>
                <w:sz w:val="21"/>
                <w:szCs w:val="21"/>
                <w14:textFill>
                  <w14:solidFill>
                    <w14:schemeClr w14:val="tx1"/>
                  </w14:solidFill>
                </w14:textFill>
              </w:rPr>
              <w:t>柴油</w:t>
            </w:r>
            <w:r>
              <w:rPr>
                <w:color w:val="000000" w:themeColor="text1"/>
                <w:spacing w:val="-35"/>
                <w:sz w:val="21"/>
                <w:szCs w:val="21"/>
                <w14:textFill>
                  <w14:solidFill>
                    <w14:schemeClr w14:val="tx1"/>
                  </w14:solidFill>
                </w14:textFill>
              </w:rPr>
              <w:t xml:space="preserve"> </w:t>
            </w:r>
            <w:r>
              <w:rPr>
                <w:color w:val="000000" w:themeColor="text1"/>
                <w:spacing w:val="-2"/>
                <w:sz w:val="21"/>
                <w:szCs w:val="21"/>
                <w14:textFill>
                  <w14:solidFill>
                    <w14:schemeClr w14:val="tx1"/>
                  </w14:solidFill>
                </w14:textFill>
              </w:rPr>
              <w:t>储罐</w:t>
            </w:r>
          </w:p>
        </w:tc>
        <w:tc>
          <w:tcPr>
            <w:tcW w:w="1432"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火灾爆炸</w:t>
            </w:r>
          </w:p>
        </w:tc>
        <w:tc>
          <w:tcPr>
            <w:tcW w:w="1906"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pacing w:val="-4"/>
                <w:sz w:val="21"/>
                <w:szCs w:val="21"/>
                <w14:textFill>
                  <w14:solidFill>
                    <w14:schemeClr w14:val="tx1"/>
                  </w14:solidFill>
                </w14:textFill>
              </w:rPr>
              <w:t>CO</w:t>
            </w:r>
          </w:p>
        </w:tc>
        <w:tc>
          <w:tcPr>
            <w:tcW w:w="2383"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pacing w:val="-1"/>
                <w:sz w:val="21"/>
                <w:szCs w:val="21"/>
                <w:lang w:val="en-US" w:eastAsia="zh-CN"/>
                <w14:textFill>
                  <w14:solidFill>
                    <w14:schemeClr w14:val="tx1"/>
                  </w14:solidFill>
                </w14:textFill>
              </w:rPr>
              <w:t>0.19</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4"/>
          <w:szCs w:val="24"/>
          <w14:textFill>
            <w14:solidFill>
              <w14:schemeClr w14:val="tx1"/>
            </w14:solidFill>
          </w14:textFill>
        </w:rPr>
        <w:t>5.2.</w:t>
      </w:r>
      <w:r>
        <w:rPr>
          <w:rFonts w:hint="eastAsia" w:eastAsia="宋体" w:cs="Times New Roman"/>
          <w:b/>
          <w:bCs/>
          <w:color w:val="000000" w:themeColor="text1"/>
          <w:spacing w:val="5"/>
          <w:sz w:val="24"/>
          <w:szCs w:val="24"/>
          <w:lang w:val="en-US" w:eastAsia="zh-CN"/>
          <w14:textFill>
            <w14:solidFill>
              <w14:schemeClr w14:val="tx1"/>
            </w14:solidFill>
          </w14:textFill>
        </w:rPr>
        <w:t xml:space="preserve">2 </w:t>
      </w:r>
      <w:r>
        <w:rPr>
          <w:b/>
          <w:bCs/>
          <w:color w:val="000000" w:themeColor="text1"/>
          <w:spacing w:val="5"/>
          <w:sz w:val="24"/>
          <w:szCs w:val="24"/>
          <w14:textFill>
            <w14:solidFill>
              <w14:schemeClr w14:val="tx1"/>
            </w14:solidFill>
          </w14:textFill>
        </w:rPr>
        <w:t>水体污染事故源强</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18"/>
        <w:textAlignment w:val="auto"/>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根据</w:t>
      </w:r>
      <w:r>
        <w:rPr>
          <w:rFonts w:ascii="Times New Roman" w:hAnsi="Times New Roman" w:eastAsia="Times New Roman" w:cs="Times New Roman"/>
          <w:color w:val="000000" w:themeColor="text1"/>
          <w:sz w:val="24"/>
          <w:szCs w:val="24"/>
          <w14:textFill>
            <w14:solidFill>
              <w14:schemeClr w14:val="tx1"/>
            </w14:solidFill>
          </w14:textFill>
        </w:rPr>
        <w:t>HJ</w:t>
      </w:r>
      <w:r>
        <w:rPr>
          <w:rFonts w:ascii="Times New Roman" w:hAnsi="Times New Roman" w:eastAsia="Times New Roman" w:cs="Times New Roman"/>
          <w:color w:val="000000" w:themeColor="text1"/>
          <w:spacing w:val="4"/>
          <w:sz w:val="24"/>
          <w:szCs w:val="24"/>
          <w14:textFill>
            <w14:solidFill>
              <w14:schemeClr w14:val="tx1"/>
            </w14:solidFill>
          </w14:textFill>
        </w:rPr>
        <w:t>169-2018</w:t>
      </w:r>
      <w:r>
        <w:rPr>
          <w:color w:val="000000" w:themeColor="text1"/>
          <w:spacing w:val="4"/>
          <w:sz w:val="24"/>
          <w:szCs w:val="24"/>
          <w14:textFill>
            <w14:solidFill>
              <w14:schemeClr w14:val="tx1"/>
            </w14:solidFill>
          </w14:textFill>
        </w:rPr>
        <w:t>规定：“水体污染事故源强应结合污染物释放量、消防用水量及雨水量等因素综合确定”。</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5"/>
          <w:sz w:val="24"/>
          <w:szCs w:val="24"/>
          <w14:textFill>
            <w14:solidFill>
              <w14:schemeClr w14:val="tx1"/>
            </w14:solidFill>
          </w14:textFill>
        </w:rPr>
        <w:t>参照《石油化工企业设计防火标准》（</w:t>
      </w:r>
      <w:r>
        <w:rPr>
          <w:rFonts w:ascii="Times New Roman" w:hAnsi="Times New Roman" w:eastAsia="Times New Roman" w:cs="Times New Roman"/>
          <w:color w:val="000000" w:themeColor="text1"/>
          <w:sz w:val="24"/>
          <w:szCs w:val="24"/>
          <w14:textFill>
            <w14:solidFill>
              <w14:schemeClr w14:val="tx1"/>
            </w14:solidFill>
          </w14:textFill>
        </w:rPr>
        <w:t>GB</w:t>
      </w:r>
      <w:r>
        <w:rPr>
          <w:rFonts w:ascii="Times New Roman" w:hAnsi="Times New Roman" w:eastAsia="Times New Roman" w:cs="Times New Roman"/>
          <w:color w:val="000000" w:themeColor="text1"/>
          <w:spacing w:val="5"/>
          <w:sz w:val="24"/>
          <w:szCs w:val="24"/>
          <w14:textFill>
            <w14:solidFill>
              <w14:schemeClr w14:val="tx1"/>
            </w14:solidFill>
          </w14:textFill>
        </w:rPr>
        <w:t>5016</w:t>
      </w:r>
      <w:r>
        <w:rPr>
          <w:rFonts w:ascii="Times New Roman" w:hAnsi="Times New Roman" w:eastAsia="宋体" w:cs="Times New Roman"/>
          <w:color w:val="000000" w:themeColor="text1"/>
          <w:spacing w:val="5"/>
          <w:sz w:val="24"/>
          <w:szCs w:val="24"/>
          <w14:textFill>
            <w14:solidFill>
              <w14:schemeClr w14:val="tx1"/>
            </w14:solidFill>
          </w14:textFill>
        </w:rPr>
        <w:t>0-2008）（2018年版），公司占地面积小于100ha，按1处厂区消防用水量最大处理。经初步估算，</w:t>
      </w:r>
      <w:r>
        <w:rPr>
          <w:rFonts w:hint="eastAsia" w:ascii="Times New Roman" w:hAnsi="Times New Roman" w:eastAsia="宋体" w:cs="Times New Roman"/>
          <w:color w:val="000000" w:themeColor="text1"/>
          <w:spacing w:val="5"/>
          <w:sz w:val="24"/>
          <w:szCs w:val="24"/>
          <w:lang w:val="en-US" w:eastAsia="zh-CN"/>
          <w14:textFill>
            <w14:solidFill>
              <w14:schemeClr w14:val="tx1"/>
            </w14:solidFill>
          </w14:textFill>
        </w:rPr>
        <w:t>2</w:t>
      </w:r>
      <w:r>
        <w:rPr>
          <w:rFonts w:ascii="Times New Roman" w:hAnsi="Times New Roman" w:eastAsia="宋体" w:cs="Times New Roman"/>
          <w:color w:val="000000" w:themeColor="text1"/>
          <w:spacing w:val="5"/>
          <w:sz w:val="24"/>
          <w:szCs w:val="24"/>
          <w14:textFill>
            <w14:solidFill>
              <w14:schemeClr w14:val="tx1"/>
            </w14:solidFill>
          </w14:textFill>
        </w:rPr>
        <w:t>000</w:t>
      </w:r>
      <w:r>
        <w:rPr>
          <w:rFonts w:hint="eastAsia" w:ascii="Times New Roman" w:hAnsi="Times New Roman" w:eastAsia="宋体" w:cs="Times New Roman"/>
          <w:color w:val="000000" w:themeColor="text1"/>
          <w:spacing w:val="5"/>
          <w:sz w:val="24"/>
          <w:szCs w:val="24"/>
          <w:lang w:eastAsia="zh-CN"/>
          <w14:textFill>
            <w14:solidFill>
              <w14:schemeClr w14:val="tx1"/>
            </w14:solidFill>
          </w14:textFill>
        </w:rPr>
        <w:t>m³</w:t>
      </w:r>
      <w:r>
        <w:rPr>
          <w:rFonts w:hint="eastAsia" w:ascii="Times New Roman" w:hAnsi="Times New Roman" w:eastAsia="宋体" w:cs="Times New Roman"/>
          <w:color w:val="000000" w:themeColor="text1"/>
          <w:spacing w:val="5"/>
          <w:sz w:val="24"/>
          <w:szCs w:val="24"/>
          <w:lang w:val="en-US" w:eastAsia="zh-CN"/>
          <w14:textFill>
            <w14:solidFill>
              <w14:schemeClr w14:val="tx1"/>
            </w14:solidFill>
          </w14:textFill>
        </w:rPr>
        <w:t>柴油</w:t>
      </w:r>
      <w:r>
        <w:rPr>
          <w:rFonts w:ascii="Times New Roman" w:hAnsi="Times New Roman" w:eastAsia="宋体" w:cs="Times New Roman"/>
          <w:color w:val="000000" w:themeColor="text1"/>
          <w:spacing w:val="5"/>
          <w:sz w:val="24"/>
          <w:szCs w:val="24"/>
          <w14:textFill>
            <w14:solidFill>
              <w14:schemeClr w14:val="tx1"/>
            </w14:solidFill>
          </w14:textFill>
        </w:rPr>
        <w:t>储罐</w:t>
      </w:r>
      <w:r>
        <w:rPr>
          <w:color w:val="000000" w:themeColor="text1"/>
          <w:spacing w:val="8"/>
          <w:sz w:val="24"/>
          <w:szCs w:val="24"/>
          <w14:textFill>
            <w14:solidFill>
              <w14:schemeClr w14:val="tx1"/>
            </w14:solidFill>
          </w14:textFill>
        </w:rPr>
        <w:t>发生火灾产生事故水量最大。</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事故废水进行核算公式为：</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总</w:t>
      </w: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1</w:t>
      </w: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2</w:t>
      </w: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3</w:t>
      </w:r>
      <w:r>
        <w:rPr>
          <w:color w:val="000000" w:themeColor="text1"/>
          <w:kern w:val="0"/>
          <w:sz w:val="24"/>
          <w:szCs w:val="21"/>
          <w:highlight w:val="none"/>
          <w14:textFill>
            <w14:solidFill>
              <w14:schemeClr w14:val="tx1"/>
            </w14:solidFill>
          </w14:textFill>
        </w:rPr>
        <w:t>）max +V</w:t>
      </w:r>
      <w:r>
        <w:rPr>
          <w:color w:val="000000" w:themeColor="text1"/>
          <w:kern w:val="0"/>
          <w:sz w:val="24"/>
          <w:szCs w:val="21"/>
          <w:highlight w:val="none"/>
          <w:vertAlign w:val="subscript"/>
          <w14:textFill>
            <w14:solidFill>
              <w14:schemeClr w14:val="tx1"/>
            </w14:solidFill>
          </w14:textFill>
        </w:rPr>
        <w:t>4</w:t>
      </w: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5</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式中：</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总</w:t>
      </w:r>
      <w:r>
        <w:rPr>
          <w:color w:val="000000" w:themeColor="text1"/>
          <w:kern w:val="0"/>
          <w:sz w:val="24"/>
          <w:szCs w:val="21"/>
          <w:highlight w:val="none"/>
          <w14:textFill>
            <w14:solidFill>
              <w14:schemeClr w14:val="tx1"/>
            </w14:solidFill>
          </w14:textFill>
        </w:rPr>
        <w:t>——事故缓冲设施总有效容积，m</w:t>
      </w:r>
      <w:r>
        <w:rPr>
          <w:color w:val="000000" w:themeColor="text1"/>
          <w:kern w:val="0"/>
          <w:sz w:val="24"/>
          <w:szCs w:val="21"/>
          <w:highlight w:val="none"/>
          <w:vertAlign w:val="superscript"/>
          <w14:textFill>
            <w14:solidFill>
              <w14:schemeClr w14:val="tx1"/>
            </w14:solidFill>
          </w14:textFill>
        </w:rPr>
        <w:t>3</w:t>
      </w:r>
      <w:r>
        <w:rPr>
          <w:color w:val="000000" w:themeColor="text1"/>
          <w:kern w:val="0"/>
          <w:sz w:val="24"/>
          <w:szCs w:val="21"/>
          <w:highlight w:val="none"/>
          <w14:textFill>
            <w14:solidFill>
              <w14:schemeClr w14:val="tx1"/>
            </w14:solidFill>
          </w14:textFill>
        </w:rPr>
        <w:t>；</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1</w:t>
      </w:r>
      <w:r>
        <w:rPr>
          <w:color w:val="000000" w:themeColor="text1"/>
          <w:kern w:val="0"/>
          <w:sz w:val="24"/>
          <w:szCs w:val="21"/>
          <w:highlight w:val="none"/>
          <w14:textFill>
            <w14:solidFill>
              <w14:schemeClr w14:val="tx1"/>
            </w14:solidFill>
          </w14:textFill>
        </w:rPr>
        <w:t>——收集系统范围内发生事故的物料量，储存相同物料的罐组按一个最大储罐计，装置物料量按存留最大物料量的一台反应器或中间储罐计；</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2</w:t>
      </w:r>
      <w:r>
        <w:rPr>
          <w:color w:val="000000" w:themeColor="text1"/>
          <w:kern w:val="0"/>
          <w:sz w:val="24"/>
          <w:szCs w:val="21"/>
          <w:highlight w:val="none"/>
          <w14:textFill>
            <w14:solidFill>
              <w14:schemeClr w14:val="tx1"/>
            </w14:solidFill>
          </w14:textFill>
        </w:rPr>
        <w:t>——发生事故的储罐或装置的消防水量，m</w:t>
      </w:r>
      <w:r>
        <w:rPr>
          <w:color w:val="000000" w:themeColor="text1"/>
          <w:kern w:val="0"/>
          <w:sz w:val="24"/>
          <w:szCs w:val="21"/>
          <w:highlight w:val="none"/>
          <w:vertAlign w:val="superscript"/>
          <w14:textFill>
            <w14:solidFill>
              <w14:schemeClr w14:val="tx1"/>
            </w14:solidFill>
          </w14:textFill>
        </w:rPr>
        <w:t>3</w:t>
      </w:r>
      <w:r>
        <w:rPr>
          <w:color w:val="000000" w:themeColor="text1"/>
          <w:kern w:val="0"/>
          <w:sz w:val="24"/>
          <w:szCs w:val="21"/>
          <w:highlight w:val="none"/>
          <w14:textFill>
            <w14:solidFill>
              <w14:schemeClr w14:val="tx1"/>
            </w14:solidFill>
          </w14:textFill>
        </w:rPr>
        <w:t>；</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3</w:t>
      </w:r>
      <w:r>
        <w:rPr>
          <w:color w:val="000000" w:themeColor="text1"/>
          <w:kern w:val="0"/>
          <w:sz w:val="24"/>
          <w:szCs w:val="21"/>
          <w:highlight w:val="none"/>
          <w14:textFill>
            <w14:solidFill>
              <w14:schemeClr w14:val="tx1"/>
            </w14:solidFill>
          </w14:textFill>
        </w:rPr>
        <w:t>——发生事故时可以转输到其他储存或处理设施的物料量，m</w:t>
      </w:r>
      <w:r>
        <w:rPr>
          <w:color w:val="000000" w:themeColor="text1"/>
          <w:kern w:val="0"/>
          <w:sz w:val="24"/>
          <w:szCs w:val="21"/>
          <w:highlight w:val="none"/>
          <w:vertAlign w:val="superscript"/>
          <w14:textFill>
            <w14:solidFill>
              <w14:schemeClr w14:val="tx1"/>
            </w14:solidFill>
          </w14:textFill>
        </w:rPr>
        <w:t>3</w:t>
      </w:r>
      <w:r>
        <w:rPr>
          <w:color w:val="000000" w:themeColor="text1"/>
          <w:kern w:val="0"/>
          <w:sz w:val="24"/>
          <w:szCs w:val="21"/>
          <w:highlight w:val="none"/>
          <w14:textFill>
            <w14:solidFill>
              <w14:schemeClr w14:val="tx1"/>
            </w14:solidFill>
          </w14:textFill>
        </w:rPr>
        <w:t>；</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4</w:t>
      </w:r>
      <w:r>
        <w:rPr>
          <w:color w:val="000000" w:themeColor="text1"/>
          <w:kern w:val="0"/>
          <w:sz w:val="24"/>
          <w:szCs w:val="21"/>
          <w:highlight w:val="none"/>
          <w14:textFill>
            <w14:solidFill>
              <w14:schemeClr w14:val="tx1"/>
            </w14:solidFill>
          </w14:textFill>
        </w:rPr>
        <w:t>——发生事故时仍必须进入该收集系统的生产废水量，m</w:t>
      </w:r>
      <w:r>
        <w:rPr>
          <w:color w:val="000000" w:themeColor="text1"/>
          <w:kern w:val="0"/>
          <w:sz w:val="24"/>
          <w:szCs w:val="21"/>
          <w:highlight w:val="none"/>
          <w:vertAlign w:val="superscript"/>
          <w14:textFill>
            <w14:solidFill>
              <w14:schemeClr w14:val="tx1"/>
            </w14:solidFill>
          </w14:textFill>
        </w:rPr>
        <w:t>3</w:t>
      </w:r>
      <w:r>
        <w:rPr>
          <w:color w:val="000000" w:themeColor="text1"/>
          <w:kern w:val="0"/>
          <w:sz w:val="24"/>
          <w:szCs w:val="21"/>
          <w:highlight w:val="none"/>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pacing w:val="8"/>
          <w:sz w:val="24"/>
          <w:szCs w:val="24"/>
          <w14:textFill>
            <w14:solidFill>
              <w14:schemeClr w14:val="tx1"/>
            </w14:solidFill>
          </w14:textFill>
        </w:rPr>
      </w:pPr>
      <w:r>
        <w:rPr>
          <w:color w:val="000000" w:themeColor="text1"/>
          <w:kern w:val="0"/>
          <w:sz w:val="24"/>
          <w:szCs w:val="21"/>
          <w:highlight w:val="none"/>
          <w14:textFill>
            <w14:solidFill>
              <w14:schemeClr w14:val="tx1"/>
            </w14:solidFill>
          </w14:textFill>
        </w:rPr>
        <w:t>V</w:t>
      </w:r>
      <w:r>
        <w:rPr>
          <w:color w:val="000000" w:themeColor="text1"/>
          <w:kern w:val="0"/>
          <w:sz w:val="24"/>
          <w:szCs w:val="21"/>
          <w:highlight w:val="none"/>
          <w:vertAlign w:val="subscript"/>
          <w14:textFill>
            <w14:solidFill>
              <w14:schemeClr w14:val="tx1"/>
            </w14:solidFill>
          </w14:textFill>
        </w:rPr>
        <w:t>5</w:t>
      </w:r>
      <w:r>
        <w:rPr>
          <w:color w:val="000000" w:themeColor="text1"/>
          <w:kern w:val="0"/>
          <w:sz w:val="24"/>
          <w:szCs w:val="21"/>
          <w:highlight w:val="none"/>
          <w14:textFill>
            <w14:solidFill>
              <w14:schemeClr w14:val="tx1"/>
            </w14:solidFill>
          </w14:textFill>
        </w:rPr>
        <w:t>——发生事故时可能进入该收集系统的降雨量，m</w:t>
      </w:r>
      <w:r>
        <w:rPr>
          <w:color w:val="000000" w:themeColor="text1"/>
          <w:kern w:val="0"/>
          <w:sz w:val="24"/>
          <w:szCs w:val="21"/>
          <w:highlight w:val="none"/>
          <w:vertAlign w:val="superscript"/>
          <w14:textFill>
            <w14:solidFill>
              <w14:schemeClr w14:val="tx1"/>
            </w14:solidFill>
          </w14:textFill>
        </w:rPr>
        <w:t>3</w:t>
      </w:r>
      <w:r>
        <w:rPr>
          <w:color w:val="000000" w:themeColor="text1"/>
          <w:kern w:val="0"/>
          <w:sz w:val="24"/>
          <w:szCs w:val="21"/>
          <w:highlight w:val="none"/>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rFonts w:hint="eastAsia"/>
          <w:color w:val="000000" w:themeColor="text1"/>
          <w:spacing w:val="8"/>
          <w:sz w:val="24"/>
          <w:szCs w:val="24"/>
          <w:lang w:val="en-US" w:eastAsia="zh-CN"/>
          <w14:textFill>
            <w14:solidFill>
              <w14:schemeClr w14:val="tx1"/>
            </w14:solidFill>
          </w14:textFill>
        </w:rPr>
        <w:t>V1</w:t>
      </w:r>
      <w:r>
        <w:rPr>
          <w:color w:val="000000" w:themeColor="text1"/>
          <w:spacing w:val="8"/>
          <w:sz w:val="24"/>
          <w:szCs w:val="24"/>
          <w14:textFill>
            <w14:solidFill>
              <w14:schemeClr w14:val="tx1"/>
            </w14:solidFill>
          </w14:textFill>
        </w:rPr>
        <w:t>：物料泄漏量，按照储罐全部泄漏计，为</w:t>
      </w:r>
      <w:r>
        <w:rPr>
          <w:rFonts w:hint="eastAsia" w:eastAsia="宋体" w:cs="Times New Roman"/>
          <w:color w:val="000000" w:themeColor="text1"/>
          <w:spacing w:val="8"/>
          <w:sz w:val="24"/>
          <w:szCs w:val="24"/>
          <w:lang w:val="en-US" w:eastAsia="zh-CN"/>
          <w14:textFill>
            <w14:solidFill>
              <w14:schemeClr w14:val="tx1"/>
            </w14:solidFill>
          </w14:textFill>
        </w:rPr>
        <w:t>20</w:t>
      </w:r>
      <w:r>
        <w:rPr>
          <w:rFonts w:ascii="Times New Roman" w:hAnsi="Times New Roman" w:eastAsia="Times New Roman" w:cs="Times New Roman"/>
          <w:color w:val="000000" w:themeColor="text1"/>
          <w:spacing w:val="8"/>
          <w:sz w:val="24"/>
          <w:szCs w:val="24"/>
          <w14:textFill>
            <w14:solidFill>
              <w14:schemeClr w14:val="tx1"/>
            </w14:solidFill>
          </w14:textFill>
        </w:rPr>
        <w:t>00</w:t>
      </w:r>
      <w:r>
        <w:rPr>
          <w:rFonts w:hint="eastAsia" w:eastAsia="宋体" w:cs="Times New Roman"/>
          <w:color w:val="000000" w:themeColor="text1"/>
          <w:spacing w:val="8"/>
          <w:sz w:val="24"/>
          <w:szCs w:val="24"/>
          <w:lang w:eastAsia="zh-CN"/>
          <w14:textFill>
            <w14:solidFill>
              <w14:schemeClr w14:val="tx1"/>
            </w14:solidFill>
          </w14:textFill>
        </w:rPr>
        <w:t>m³</w:t>
      </w:r>
      <w:r>
        <w:rPr>
          <w:color w:val="000000" w:themeColor="text1"/>
          <w:spacing w:val="8"/>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1"/>
        <w:textAlignment w:val="auto"/>
        <w:rPr>
          <w:color w:val="000000" w:themeColor="text1"/>
          <w:sz w:val="24"/>
          <w:szCs w:val="24"/>
          <w14:textFill>
            <w14:solidFill>
              <w14:schemeClr w14:val="tx1"/>
            </w14:solidFill>
          </w14:textFill>
        </w:rPr>
      </w:pPr>
      <w:r>
        <w:rPr>
          <w:rFonts w:hint="eastAsia"/>
          <w:color w:val="000000" w:themeColor="text1"/>
          <w:spacing w:val="8"/>
          <w:sz w:val="24"/>
          <w:szCs w:val="24"/>
          <w:lang w:val="en-US" w:eastAsia="zh-CN"/>
          <w14:textFill>
            <w14:solidFill>
              <w14:schemeClr w14:val="tx1"/>
            </w14:solidFill>
          </w14:textFill>
        </w:rPr>
        <w:t>V2：</w:t>
      </w:r>
      <w:r>
        <w:rPr>
          <w:color w:val="000000" w:themeColor="text1"/>
          <w:spacing w:val="8"/>
          <w:sz w:val="24"/>
          <w:szCs w:val="24"/>
          <w14:textFill>
            <w14:solidFill>
              <w14:schemeClr w14:val="tx1"/>
            </w14:solidFill>
          </w14:textFill>
        </w:rPr>
        <w:t>消防用水量</w:t>
      </w:r>
      <w:r>
        <w:rPr>
          <w:rFonts w:hint="eastAsia"/>
          <w:color w:val="000000" w:themeColor="text1"/>
          <w:spacing w:val="8"/>
          <w:sz w:val="24"/>
          <w:szCs w:val="24"/>
          <w14:textFill>
            <w14:solidFill>
              <w14:schemeClr w14:val="tx1"/>
            </w14:solidFill>
          </w14:textFill>
        </w:rPr>
        <w:t>依据《建筑设计防火规范（2018版修订）》（GB50016）及《消防给水及消火栓系统技术规范》（GB50974-2014）中相关规定，室外消防用水量为25L/s，火灾延续时间按3.0h计，则消防总用水量为</w:t>
      </w:r>
      <w:r>
        <w:rPr>
          <w:rFonts w:hint="eastAsia"/>
          <w:color w:val="000000" w:themeColor="text1"/>
          <w:spacing w:val="8"/>
          <w:sz w:val="24"/>
          <w:szCs w:val="24"/>
          <w:lang w:val="en-US" w:eastAsia="zh-CN"/>
          <w14:textFill>
            <w14:solidFill>
              <w14:schemeClr w14:val="tx1"/>
            </w14:solidFill>
          </w14:textFill>
        </w:rPr>
        <w:t>270m³</w:t>
      </w:r>
      <w:r>
        <w:rPr>
          <w:rFonts w:hint="eastAsia"/>
          <w:color w:val="000000" w:themeColor="text1"/>
          <w:spacing w:val="8"/>
          <w:sz w:val="24"/>
          <w:szCs w:val="24"/>
          <w14:textFill>
            <w14:solidFill>
              <w14:schemeClr w14:val="tx1"/>
            </w14:solidFill>
          </w14:textFill>
        </w:rPr>
        <w:t>。即本项目最大消防废水量</w:t>
      </w:r>
      <w:r>
        <w:rPr>
          <w:rFonts w:hint="eastAsia"/>
          <w:color w:val="000000" w:themeColor="text1"/>
          <w:spacing w:val="8"/>
          <w:sz w:val="24"/>
          <w:szCs w:val="24"/>
          <w:lang w:val="en-US" w:eastAsia="zh-CN"/>
          <w14:textFill>
            <w14:solidFill>
              <w14:schemeClr w14:val="tx1"/>
            </w14:solidFill>
          </w14:textFill>
        </w:rPr>
        <w:t>为270m³</w:t>
      </w:r>
      <w:r>
        <w:rPr>
          <w:color w:val="000000" w:themeColor="text1"/>
          <w:spacing w:val="3"/>
          <w:sz w:val="24"/>
          <w:szCs w:val="24"/>
          <w14:textFill>
            <w14:solidFill>
              <w14:schemeClr w14:val="tx1"/>
            </w14:solidFill>
          </w14:textFill>
        </w:rPr>
        <w:t>。</w:t>
      </w:r>
    </w:p>
    <w:p>
      <w:pPr>
        <w:spacing w:line="360" w:lineRule="auto"/>
        <w:ind w:firstLine="480" w:firstLineChars="200"/>
        <w:rPr>
          <w:rFonts w:hint="eastAsia" w:eastAsia="宋体"/>
          <w:color w:val="000000" w:themeColor="text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V3：</w:t>
      </w:r>
      <w:r>
        <w:rPr>
          <w:color w:val="000000" w:themeColor="text1"/>
          <w:kern w:val="0"/>
          <w:sz w:val="24"/>
          <w:highlight w:val="none"/>
          <w14:textFill>
            <w14:solidFill>
              <w14:schemeClr w14:val="tx1"/>
            </w14:solidFill>
          </w14:textFill>
        </w:rPr>
        <w:t>按最不利</w:t>
      </w:r>
      <w:r>
        <w:rPr>
          <w:color w:val="000000" w:themeColor="text1"/>
          <w:kern w:val="0"/>
          <w:sz w:val="24"/>
          <w:szCs w:val="24"/>
          <w:highlight w:val="none"/>
          <w14:textFill>
            <w14:solidFill>
              <w14:schemeClr w14:val="tx1"/>
            </w14:solidFill>
          </w14:textFill>
        </w:rPr>
        <w:t>因素考虑， 可以转输到其他储存或处理设施的物料量V3按0m</w:t>
      </w:r>
      <w:r>
        <w:rPr>
          <w:color w:val="000000" w:themeColor="text1"/>
          <w:kern w:val="0"/>
          <w:sz w:val="24"/>
          <w:szCs w:val="24"/>
          <w:highlight w:val="none"/>
          <w:vertAlign w:val="superscript"/>
          <w14:textFill>
            <w14:solidFill>
              <w14:schemeClr w14:val="tx1"/>
            </w14:solidFill>
          </w14:textFill>
        </w:rPr>
        <w:t>3</w:t>
      </w:r>
      <w:r>
        <w:rPr>
          <w:color w:val="000000" w:themeColor="text1"/>
          <w:kern w:val="0"/>
          <w:sz w:val="24"/>
          <w:szCs w:val="24"/>
          <w:highlight w:val="none"/>
          <w14:textFill>
            <w14:solidFill>
              <w14:schemeClr w14:val="tx1"/>
            </w14:solidFill>
          </w14:textFill>
        </w:rPr>
        <w:t>计算。</w:t>
      </w:r>
    </w:p>
    <w:p>
      <w:pPr>
        <w:widowControl/>
        <w:spacing w:line="360" w:lineRule="auto"/>
        <w:ind w:firstLine="480" w:firstLineChars="200"/>
        <w:rPr>
          <w:rFonts w:hint="eastAsia"/>
          <w:color w:val="000000" w:themeColor="text1"/>
          <w:sz w:val="24"/>
          <w:szCs w:val="24"/>
          <w:lang w:val="en-US" w:eastAsia="zh-CN"/>
          <w14:textFill>
            <w14:solidFill>
              <w14:schemeClr w14:val="tx1"/>
            </w14:solidFill>
          </w14:textFill>
        </w:rPr>
      </w:pPr>
      <w:r>
        <w:rPr>
          <w:color w:val="000000" w:themeColor="text1"/>
          <w:kern w:val="0"/>
          <w:sz w:val="24"/>
          <w:szCs w:val="24"/>
          <w:highlight w:val="none"/>
          <w14:textFill>
            <w14:solidFill>
              <w14:schemeClr w14:val="tx1"/>
            </w14:solidFill>
          </w14:textFill>
        </w:rPr>
        <w:t>V</w:t>
      </w:r>
      <w:r>
        <w:rPr>
          <w:color w:val="000000" w:themeColor="text1"/>
          <w:kern w:val="0"/>
          <w:sz w:val="24"/>
          <w:szCs w:val="24"/>
          <w:highlight w:val="none"/>
          <w:vertAlign w:val="subscript"/>
          <w14:textFill>
            <w14:solidFill>
              <w14:schemeClr w14:val="tx1"/>
            </w14:solidFill>
          </w14:textFill>
        </w:rPr>
        <w:t>4</w:t>
      </w:r>
      <w:r>
        <w:rPr>
          <w:rFonts w:hint="eastAsia"/>
          <w:color w:val="000000" w:themeColor="text1"/>
          <w:kern w:val="0"/>
          <w:sz w:val="24"/>
          <w:szCs w:val="24"/>
          <w:highlight w:val="none"/>
          <w:lang w:eastAsia="zh-CN"/>
          <w14:textFill>
            <w14:solidFill>
              <w14:schemeClr w14:val="tx1"/>
            </w14:solidFill>
          </w14:textFill>
        </w:rPr>
        <w:t>：</w:t>
      </w:r>
      <w:r>
        <w:rPr>
          <w:color w:val="000000" w:themeColor="text1"/>
          <w:kern w:val="0"/>
          <w:sz w:val="24"/>
          <w:szCs w:val="24"/>
          <w:highlight w:val="none"/>
          <w14:textFill>
            <w14:solidFill>
              <w14:schemeClr w14:val="tx1"/>
            </w14:solidFill>
          </w14:textFill>
        </w:rPr>
        <w:t>发生事故时仍必须进入该收集系统的生产废水量取0。</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1"/>
        <w:textAlignment w:val="auto"/>
        <w:rPr>
          <w:color w:val="000000" w:themeColor="text1"/>
          <w:sz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V5：厂区设初期雨水池，</w:t>
      </w:r>
      <w:r>
        <w:rPr>
          <w:color w:val="000000" w:themeColor="text1"/>
          <w:spacing w:val="7"/>
          <w:sz w:val="24"/>
          <w:szCs w:val="24"/>
          <w14:textFill>
            <w14:solidFill>
              <w14:schemeClr w14:val="tx1"/>
            </w14:solidFill>
          </w14:textFill>
        </w:rPr>
        <w:t>罐区</w:t>
      </w:r>
      <w:r>
        <w:rPr>
          <w:rFonts w:hint="eastAsia"/>
          <w:color w:val="000000" w:themeColor="text1"/>
          <w:spacing w:val="7"/>
          <w:sz w:val="24"/>
          <w:szCs w:val="24"/>
          <w:lang w:val="en-US" w:eastAsia="zh-CN"/>
          <w14:textFill>
            <w14:solidFill>
              <w14:schemeClr w14:val="tx1"/>
            </w14:solidFill>
          </w14:textFill>
        </w:rPr>
        <w:t>二</w:t>
      </w:r>
      <w:r>
        <w:rPr>
          <w:color w:val="000000" w:themeColor="text1"/>
          <w:spacing w:val="7"/>
          <w:sz w:val="24"/>
          <w:szCs w:val="24"/>
          <w14:textFill>
            <w14:solidFill>
              <w14:schemeClr w14:val="tx1"/>
            </w14:solidFill>
          </w14:textFill>
        </w:rPr>
        <w:t>事故时，其他罐区的截止阀门关闭，不会有其他罐区</w:t>
      </w:r>
      <w:r>
        <w:rPr>
          <w:rFonts w:hint="eastAsia"/>
          <w:color w:val="000000" w:themeColor="text1"/>
          <w:spacing w:val="7"/>
          <w:sz w:val="24"/>
          <w:szCs w:val="24"/>
          <w:lang w:val="en-US" w:eastAsia="zh-CN"/>
          <w14:textFill>
            <w14:solidFill>
              <w14:schemeClr w14:val="tx1"/>
            </w14:solidFill>
          </w14:textFill>
        </w:rPr>
        <w:t>或其他区域</w:t>
      </w:r>
      <w:r>
        <w:rPr>
          <w:color w:val="000000" w:themeColor="text1"/>
          <w:spacing w:val="7"/>
          <w:sz w:val="24"/>
          <w:szCs w:val="24"/>
          <w14:textFill>
            <w14:solidFill>
              <w14:schemeClr w14:val="tx1"/>
            </w14:solidFill>
          </w14:textFill>
        </w:rPr>
        <w:t>等的雨水进</w:t>
      </w:r>
      <w:r>
        <w:rPr>
          <w:color w:val="000000" w:themeColor="text1"/>
          <w:spacing w:val="11"/>
          <w:sz w:val="24"/>
          <w:szCs w:val="24"/>
          <w14:textFill>
            <w14:solidFill>
              <w14:schemeClr w14:val="tx1"/>
            </w14:solidFill>
          </w14:textFill>
        </w:rPr>
        <w:t>入收集系统，雨水量仅为罐区</w:t>
      </w:r>
      <w:r>
        <w:rPr>
          <w:rFonts w:hint="eastAsia"/>
          <w:color w:val="000000" w:themeColor="text1"/>
          <w:spacing w:val="11"/>
          <w:sz w:val="24"/>
          <w:szCs w:val="24"/>
          <w:lang w:val="en-US" w:eastAsia="zh-CN"/>
          <w14:textFill>
            <w14:solidFill>
              <w14:schemeClr w14:val="tx1"/>
            </w14:solidFill>
          </w14:textFill>
        </w:rPr>
        <w:t>二</w:t>
      </w:r>
      <w:r>
        <w:rPr>
          <w:color w:val="000000" w:themeColor="text1"/>
          <w:spacing w:val="11"/>
          <w:sz w:val="24"/>
          <w:szCs w:val="24"/>
          <w14:textFill>
            <w14:solidFill>
              <w14:schemeClr w14:val="tx1"/>
            </w14:solidFill>
          </w14:textFill>
        </w:rPr>
        <w:t>的雨水量</w:t>
      </w:r>
      <w:r>
        <w:rPr>
          <w:color w:val="000000" w:themeColor="text1"/>
          <w:spacing w:val="8"/>
          <w:sz w:val="24"/>
          <w:szCs w:val="24"/>
          <w14:textFill>
            <w14:solidFill>
              <w14:schemeClr w14:val="tx1"/>
            </w14:solidFill>
          </w14:textFill>
        </w:rPr>
        <w:t>，罐区</w:t>
      </w:r>
      <w:r>
        <w:rPr>
          <w:rFonts w:hint="eastAsia"/>
          <w:color w:val="000000" w:themeColor="text1"/>
          <w:spacing w:val="8"/>
          <w:sz w:val="24"/>
          <w:szCs w:val="24"/>
          <w:lang w:val="en-US" w:eastAsia="zh-CN"/>
          <w14:textFill>
            <w14:solidFill>
              <w14:schemeClr w14:val="tx1"/>
            </w14:solidFill>
          </w14:textFill>
        </w:rPr>
        <w:t>二</w:t>
      </w:r>
      <w:r>
        <w:rPr>
          <w:color w:val="000000" w:themeColor="text1"/>
          <w:spacing w:val="8"/>
          <w:sz w:val="24"/>
          <w:szCs w:val="24"/>
          <w14:textFill>
            <w14:solidFill>
              <w14:schemeClr w14:val="tx1"/>
            </w14:solidFill>
          </w14:textFill>
        </w:rPr>
        <w:t>汇水面积</w:t>
      </w:r>
      <w:r>
        <w:rPr>
          <w:color w:val="000000" w:themeColor="text1"/>
          <w:spacing w:val="7"/>
          <w:sz w:val="24"/>
          <w:szCs w:val="24"/>
          <w14:textFill>
            <w14:solidFill>
              <w14:schemeClr w14:val="tx1"/>
            </w14:solidFill>
          </w14:textFill>
        </w:rPr>
        <w:t>为</w:t>
      </w:r>
      <w:r>
        <w:rPr>
          <w:rFonts w:ascii="Times New Roman" w:hAnsi="Times New Roman" w:eastAsia="Times New Roman" w:cs="Times New Roman"/>
          <w:color w:val="000000" w:themeColor="text1"/>
          <w:spacing w:val="7"/>
          <w:sz w:val="24"/>
          <w:szCs w:val="24"/>
          <w14:textFill>
            <w14:solidFill>
              <w14:schemeClr w14:val="tx1"/>
            </w14:solidFill>
          </w14:textFill>
        </w:rPr>
        <w:t>0.</w:t>
      </w:r>
      <w:r>
        <w:rPr>
          <w:rFonts w:hint="eastAsia" w:eastAsia="宋体" w:cs="Times New Roman"/>
          <w:color w:val="000000" w:themeColor="text1"/>
          <w:spacing w:val="7"/>
          <w:sz w:val="24"/>
          <w:szCs w:val="24"/>
          <w:lang w:val="en-US" w:eastAsia="zh-CN"/>
          <w14:textFill>
            <w14:solidFill>
              <w14:schemeClr w14:val="tx1"/>
            </w14:solidFill>
          </w14:textFill>
        </w:rPr>
        <w:t>3057</w:t>
      </w:r>
      <w:r>
        <w:rPr>
          <w:rFonts w:ascii="Times New Roman" w:hAnsi="Times New Roman" w:eastAsia="Times New Roman" w:cs="Times New Roman"/>
          <w:color w:val="000000" w:themeColor="text1"/>
          <w:sz w:val="24"/>
          <w:szCs w:val="24"/>
          <w14:textFill>
            <w14:solidFill>
              <w14:schemeClr w14:val="tx1"/>
            </w14:solidFill>
          </w14:textFill>
        </w:rPr>
        <w:t>ha</w:t>
      </w:r>
      <w:r>
        <w:rPr>
          <w:color w:val="000000" w:themeColor="text1"/>
          <w:spacing w:val="7"/>
          <w:sz w:val="24"/>
          <w:szCs w:val="24"/>
          <w14:textFill>
            <w14:solidFill>
              <w14:schemeClr w14:val="tx1"/>
            </w14:solidFill>
          </w14:textFill>
        </w:rPr>
        <w:t>。</w:t>
      </w:r>
      <w:r>
        <w:rPr>
          <w:color w:val="000000" w:themeColor="text1"/>
          <w:sz w:val="24"/>
          <w14:textFill>
            <w14:solidFill>
              <w14:schemeClr w14:val="tx1"/>
            </w14:solidFill>
          </w14:textFill>
        </w:rPr>
        <w:t>雨水量按照以下经验公式计算：</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V=10qF=10×</w:t>
      </w:r>
      <w:r>
        <w:rPr>
          <w:rFonts w:hint="eastAsia"/>
          <w:color w:val="000000" w:themeColor="text1"/>
          <w:sz w:val="24"/>
          <w:lang w:val="en-US" w:eastAsia="zh-CN"/>
          <w14:textFill>
            <w14:solidFill>
              <w14:schemeClr w14:val="tx1"/>
            </w14:solidFill>
          </w14:textFill>
        </w:rPr>
        <w:t>361.7/90</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0.3057</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12.3</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p>
    <w:p>
      <w:pPr>
        <w:spacing w:line="360" w:lineRule="auto"/>
        <w:ind w:firstLine="480" w:firstLineChars="200"/>
        <w:rPr>
          <w:color w:val="000000" w:themeColor="text1"/>
          <w:sz w:val="24"/>
          <w14:textFill>
            <w14:solidFill>
              <w14:schemeClr w14:val="tx1"/>
            </w14:solidFill>
          </w14:textFill>
        </w:rPr>
      </w:pPr>
      <w:bookmarkStart w:id="11" w:name="_Hlk46395296"/>
      <w:bookmarkEnd w:id="11"/>
      <w:r>
        <w:rPr>
          <w:color w:val="000000" w:themeColor="text1"/>
          <w:sz w:val="24"/>
          <w14:textFill>
            <w14:solidFill>
              <w14:schemeClr w14:val="tx1"/>
            </w14:solidFill>
          </w14:textFill>
        </w:rPr>
        <w:t>q‐降雨强度，按平均日降雨量，mm；q=qa/n（年均降雨量/年均降雨日数），</w:t>
      </w:r>
      <w:r>
        <w:rPr>
          <w:rFonts w:hint="eastAsia"/>
          <w:color w:val="000000" w:themeColor="text1"/>
          <w:sz w:val="24"/>
          <w:lang w:val="en-US" w:eastAsia="zh-CN"/>
          <w14:textFill>
            <w14:solidFill>
              <w14:schemeClr w14:val="tx1"/>
            </w14:solidFill>
          </w14:textFill>
        </w:rPr>
        <w:t>伊金霍洛旗</w:t>
      </w:r>
      <w:r>
        <w:rPr>
          <w:color w:val="000000" w:themeColor="text1"/>
          <w:sz w:val="24"/>
          <w14:textFill>
            <w14:solidFill>
              <w14:schemeClr w14:val="tx1"/>
            </w14:solidFill>
          </w14:textFill>
        </w:rPr>
        <w:t>降水多年平均为36</w:t>
      </w: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.7mm，汛期为</w:t>
      </w:r>
      <w:r>
        <w:rPr>
          <w:rFonts w:hint="eastAsia"/>
          <w:color w:val="000000" w:themeColor="text1"/>
          <w:sz w:val="24"/>
          <w:lang w:val="en-US" w:eastAsia="zh-CN"/>
          <w14:textFill>
            <w14:solidFill>
              <w14:schemeClr w14:val="tx1"/>
            </w14:solidFill>
          </w14:textFill>
        </w:rPr>
        <w:t>7</w:t>
      </w:r>
      <w:r>
        <w:rPr>
          <w:color w:val="000000" w:themeColor="text1"/>
          <w:sz w:val="24"/>
          <w14:textFill>
            <w14:solidFill>
              <w14:schemeClr w14:val="tx1"/>
            </w14:solidFill>
          </w14:textFill>
        </w:rPr>
        <w:t>-9月份，q=3.08mm。</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9"/>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F‐必须进入事故废水收集系统的雨水汇水面积，</w:t>
      </w:r>
      <w:r>
        <w:rPr>
          <w:color w:val="000000" w:themeColor="text1"/>
          <w:spacing w:val="8"/>
          <w:sz w:val="24"/>
          <w:szCs w:val="24"/>
          <w14:textFill>
            <w14:solidFill>
              <w14:schemeClr w14:val="tx1"/>
            </w14:solidFill>
          </w14:textFill>
        </w:rPr>
        <w:t>罐区</w:t>
      </w:r>
      <w:r>
        <w:rPr>
          <w:rFonts w:hint="eastAsia"/>
          <w:color w:val="000000" w:themeColor="text1"/>
          <w:spacing w:val="8"/>
          <w:sz w:val="24"/>
          <w:szCs w:val="24"/>
          <w:lang w:val="en-US" w:eastAsia="zh-CN"/>
          <w14:textFill>
            <w14:solidFill>
              <w14:schemeClr w14:val="tx1"/>
            </w14:solidFill>
          </w14:textFill>
        </w:rPr>
        <w:t>二</w:t>
      </w:r>
      <w:r>
        <w:rPr>
          <w:color w:val="000000" w:themeColor="text1"/>
          <w:spacing w:val="8"/>
          <w:sz w:val="24"/>
          <w:szCs w:val="24"/>
          <w14:textFill>
            <w14:solidFill>
              <w14:schemeClr w14:val="tx1"/>
            </w14:solidFill>
          </w14:textFill>
        </w:rPr>
        <w:t>汇水面积</w:t>
      </w:r>
      <w:r>
        <w:rPr>
          <w:color w:val="000000" w:themeColor="text1"/>
          <w:spacing w:val="7"/>
          <w:sz w:val="24"/>
          <w:szCs w:val="24"/>
          <w14:textFill>
            <w14:solidFill>
              <w14:schemeClr w14:val="tx1"/>
            </w14:solidFill>
          </w14:textFill>
        </w:rPr>
        <w:t>为</w:t>
      </w:r>
      <w:r>
        <w:rPr>
          <w:rFonts w:ascii="Times New Roman" w:hAnsi="Times New Roman" w:eastAsia="Times New Roman" w:cs="Times New Roman"/>
          <w:color w:val="000000" w:themeColor="text1"/>
          <w:spacing w:val="7"/>
          <w:sz w:val="24"/>
          <w:szCs w:val="24"/>
          <w14:textFill>
            <w14:solidFill>
              <w14:schemeClr w14:val="tx1"/>
            </w14:solidFill>
          </w14:textFill>
        </w:rPr>
        <w:t>0.</w:t>
      </w:r>
      <w:r>
        <w:rPr>
          <w:rFonts w:hint="eastAsia" w:eastAsia="宋体" w:cs="Times New Roman"/>
          <w:color w:val="000000" w:themeColor="text1"/>
          <w:spacing w:val="7"/>
          <w:sz w:val="24"/>
          <w:szCs w:val="24"/>
          <w:lang w:val="en-US" w:eastAsia="zh-CN"/>
          <w14:textFill>
            <w14:solidFill>
              <w14:schemeClr w14:val="tx1"/>
            </w14:solidFill>
          </w14:textFill>
        </w:rPr>
        <w:t>3057</w:t>
      </w:r>
      <w:r>
        <w:rPr>
          <w:rFonts w:ascii="Times New Roman" w:hAnsi="Times New Roman" w:eastAsia="Times New Roman" w:cs="Times New Roman"/>
          <w:color w:val="000000" w:themeColor="text1"/>
          <w:sz w:val="24"/>
          <w:szCs w:val="24"/>
          <w14:textFill>
            <w14:solidFill>
              <w14:schemeClr w14:val="tx1"/>
            </w14:solidFill>
          </w14:textFill>
        </w:rPr>
        <w:t>h</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rFonts w:hint="default" w:eastAsia="宋体"/>
          <w:color w:val="000000" w:themeColor="text1"/>
          <w:spacing w:val="7"/>
          <w:sz w:val="24"/>
          <w:szCs w:val="24"/>
          <w:lang w:val="en-US" w:eastAsia="zh-CN"/>
          <w14:textFill>
            <w14:solidFill>
              <w14:schemeClr w14:val="tx1"/>
            </w14:solidFill>
          </w14:textFill>
        </w:rPr>
      </w:pPr>
      <w:r>
        <w:rPr>
          <w:rFonts w:hint="eastAsia"/>
          <w:color w:val="000000" w:themeColor="text1"/>
          <w:spacing w:val="7"/>
          <w:sz w:val="24"/>
          <w:szCs w:val="24"/>
          <w:lang w:val="en-US" w:eastAsia="zh-CN"/>
          <w14:textFill>
            <w14:solidFill>
              <w14:schemeClr w14:val="tx1"/>
            </w14:solidFill>
          </w14:textFill>
        </w:rPr>
        <w:t>V总=2000m³+270m³-0+0+12.3m³=2282.3m³。</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pacing w:val="6"/>
          <w:sz w:val="24"/>
          <w:szCs w:val="24"/>
          <w14:textFill>
            <w14:solidFill>
              <w14:schemeClr w14:val="tx1"/>
            </w14:solidFill>
          </w14:textFill>
        </w:rPr>
      </w:pPr>
      <w:r>
        <w:rPr>
          <w:color w:val="000000" w:themeColor="text1"/>
          <w:spacing w:val="7"/>
          <w:sz w:val="24"/>
          <w:szCs w:val="24"/>
          <w14:textFill>
            <w14:solidFill>
              <w14:schemeClr w14:val="tx1"/>
            </w14:solidFill>
          </w14:textFill>
        </w:rPr>
        <w:t>则项目最大事故水源强为</w:t>
      </w:r>
      <w:r>
        <w:rPr>
          <w:rFonts w:hint="eastAsia" w:cs="Times New Roman"/>
          <w:color w:val="000000" w:themeColor="text1"/>
          <w:spacing w:val="7"/>
          <w:sz w:val="24"/>
          <w:szCs w:val="24"/>
          <w:lang w:val="en-US" w:eastAsia="zh-CN"/>
          <w14:textFill>
            <w14:solidFill>
              <w14:schemeClr w14:val="tx1"/>
            </w14:solidFill>
          </w14:textFill>
        </w:rPr>
        <w:t>2282.3</w:t>
      </w:r>
      <w:r>
        <w:rPr>
          <w:rFonts w:hint="eastAsia" w:eastAsia="宋体" w:cs="Times New Roman"/>
          <w:color w:val="000000" w:themeColor="text1"/>
          <w:spacing w:val="7"/>
          <w:sz w:val="24"/>
          <w:szCs w:val="24"/>
          <w:lang w:eastAsia="zh-CN"/>
          <w14:textFill>
            <w14:solidFill>
              <w14:schemeClr w14:val="tx1"/>
            </w14:solidFill>
          </w14:textFill>
        </w:rPr>
        <w:t>m³</w:t>
      </w:r>
      <w:r>
        <w:rPr>
          <w:color w:val="000000" w:themeColor="text1"/>
          <w:spacing w:val="7"/>
          <w:sz w:val="24"/>
          <w:szCs w:val="24"/>
          <w14:textFill>
            <w14:solidFill>
              <w14:schemeClr w14:val="tx1"/>
            </w14:solidFill>
          </w14:textFill>
        </w:rPr>
        <w:t>，废水中主要污</w:t>
      </w:r>
      <w:r>
        <w:rPr>
          <w:color w:val="000000" w:themeColor="text1"/>
          <w:spacing w:val="6"/>
          <w:sz w:val="24"/>
          <w:szCs w:val="24"/>
          <w14:textFill>
            <w14:solidFill>
              <w14:schemeClr w14:val="tx1"/>
            </w14:solidFill>
          </w14:textFill>
        </w:rPr>
        <w:t>染物石油类。</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rFonts w:hint="eastAsia"/>
          <w:color w:val="000000" w:themeColor="text1"/>
          <w:spacing w:val="6"/>
          <w:sz w:val="24"/>
          <w:szCs w:val="24"/>
          <w:lang w:val="en-US" w:eastAsia="zh-CN"/>
          <w14:textFill>
            <w14:solidFill>
              <w14:schemeClr w14:val="tx1"/>
            </w14:solidFill>
          </w14:textFill>
        </w:rPr>
      </w:pPr>
      <w:r>
        <w:rPr>
          <w:rFonts w:hint="eastAsia" w:ascii="Times New Roman" w:hAnsi="Times New Roman" w:eastAsia="Times New Roman" w:cs="Times New Roman"/>
          <w:b/>
          <w:bCs/>
          <w:color w:val="000000" w:themeColor="text1"/>
          <w:spacing w:val="5"/>
          <w:sz w:val="24"/>
          <w:szCs w:val="24"/>
          <w:lang w:val="en-US" w:eastAsia="zh-CN"/>
          <w14:textFill>
            <w14:solidFill>
              <w14:schemeClr w14:val="tx1"/>
            </w14:solidFill>
          </w14:textFill>
        </w:rPr>
        <w:t>5.2.3 油品泄露事故源强</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选择储罐区储存量最大的</w:t>
      </w:r>
      <w:r>
        <w:rPr>
          <w:rFonts w:hint="eastAsia"/>
          <w:color w:val="000000" w:themeColor="text1"/>
          <w:kern w:val="0"/>
          <w:sz w:val="24"/>
          <w:szCs w:val="21"/>
          <w:highlight w:val="none"/>
          <w14:textFill>
            <w14:solidFill>
              <w14:schemeClr w14:val="tx1"/>
            </w14:solidFill>
          </w14:textFill>
        </w:rPr>
        <w:t>调和罐（产品罐）</w:t>
      </w:r>
      <w:r>
        <w:rPr>
          <w:color w:val="000000" w:themeColor="text1"/>
          <w:kern w:val="0"/>
          <w:sz w:val="24"/>
          <w:szCs w:val="21"/>
          <w:highlight w:val="none"/>
          <w14:textFill>
            <w14:solidFill>
              <w14:schemeClr w14:val="tx1"/>
            </w14:solidFill>
          </w14:textFill>
        </w:rPr>
        <w:t>，以单个</w:t>
      </w:r>
      <w:r>
        <w:rPr>
          <w:rFonts w:hint="eastAsia"/>
          <w:color w:val="000000" w:themeColor="text1"/>
          <w:kern w:val="0"/>
          <w:sz w:val="24"/>
          <w:szCs w:val="21"/>
          <w:highlight w:val="none"/>
          <w:lang w:val="en-US" w:eastAsia="zh-CN"/>
          <w14:textFill>
            <w14:solidFill>
              <w14:schemeClr w14:val="tx1"/>
            </w14:solidFill>
          </w14:textFill>
        </w:rPr>
        <w:t>20</w:t>
      </w:r>
      <w:r>
        <w:rPr>
          <w:rFonts w:hint="eastAsia"/>
          <w:color w:val="000000" w:themeColor="text1"/>
          <w:kern w:val="0"/>
          <w:sz w:val="24"/>
          <w:szCs w:val="21"/>
          <w:highlight w:val="none"/>
          <w14:textFill>
            <w14:solidFill>
              <w14:schemeClr w14:val="tx1"/>
            </w14:solidFill>
          </w14:textFill>
        </w:rPr>
        <w:t>00</w:t>
      </w:r>
      <w:r>
        <w:rPr>
          <w:color w:val="000000" w:themeColor="text1"/>
          <w:kern w:val="0"/>
          <w:sz w:val="24"/>
          <w:szCs w:val="21"/>
          <w:highlight w:val="none"/>
          <w14:textFill>
            <w14:solidFill>
              <w14:schemeClr w14:val="tx1"/>
            </w14:solidFill>
          </w14:textFill>
        </w:rPr>
        <w:t>m</w:t>
      </w:r>
      <w:r>
        <w:rPr>
          <w:color w:val="000000" w:themeColor="text1"/>
          <w:kern w:val="0"/>
          <w:sz w:val="24"/>
          <w:szCs w:val="21"/>
          <w:highlight w:val="none"/>
          <w:vertAlign w:val="superscript"/>
          <w14:textFill>
            <w14:solidFill>
              <w14:schemeClr w14:val="tx1"/>
            </w14:solidFill>
          </w14:textFill>
        </w:rPr>
        <w:t>3</w:t>
      </w:r>
      <w:r>
        <w:rPr>
          <w:color w:val="000000" w:themeColor="text1"/>
          <w:kern w:val="0"/>
          <w:sz w:val="24"/>
          <w:szCs w:val="21"/>
          <w:highlight w:val="none"/>
          <w14:textFill>
            <w14:solidFill>
              <w14:schemeClr w14:val="tx1"/>
            </w14:solidFill>
          </w14:textFill>
        </w:rPr>
        <w:t>储罐泄漏为例。</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液体泄漏采用风险导则附录F推荐的柏努利方程计算液体泄漏速度Q</w:t>
      </w:r>
      <w:r>
        <w:rPr>
          <w:color w:val="000000" w:themeColor="text1"/>
          <w:kern w:val="0"/>
          <w:sz w:val="24"/>
          <w:szCs w:val="21"/>
          <w:highlight w:val="none"/>
          <w:vertAlign w:val="subscript"/>
          <w14:textFill>
            <w14:solidFill>
              <w14:schemeClr w14:val="tx1"/>
            </w14:solidFill>
          </w14:textFill>
        </w:rPr>
        <w:t>L</w:t>
      </w:r>
      <w:r>
        <w:rPr>
          <w:color w:val="000000" w:themeColor="text1"/>
          <w:kern w:val="0"/>
          <w:sz w:val="24"/>
          <w:szCs w:val="21"/>
          <w:highlight w:val="none"/>
          <w14:textFill>
            <w14:solidFill>
              <w14:schemeClr w14:val="tx1"/>
            </w14:solidFill>
          </w14:textFill>
        </w:rPr>
        <w:t>：</w:t>
      </w:r>
    </w:p>
    <w:p>
      <w:pPr>
        <w:widowControl/>
        <w:spacing w:line="360" w:lineRule="auto"/>
        <w:ind w:firstLine="480" w:firstLineChars="20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795905" cy="678180"/>
            <wp:effectExtent l="0" t="0" r="4445" b="7620"/>
            <wp:docPr id="6"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12"/>
                    <pic:cNvPicPr>
                      <a:picLocks noChangeAspect="true"/>
                    </pic:cNvPicPr>
                  </pic:nvPicPr>
                  <pic:blipFill>
                    <a:blip r:embed="rId154"/>
                    <a:stretch>
                      <a:fillRect/>
                    </a:stretch>
                  </pic:blipFill>
                  <pic:spPr>
                    <a:xfrm>
                      <a:off x="0" y="0"/>
                      <a:ext cx="2795905" cy="678180"/>
                    </a:xfrm>
                    <a:prstGeom prst="rect">
                      <a:avLst/>
                    </a:prstGeom>
                    <a:noFill/>
                    <a:ln>
                      <a:noFill/>
                    </a:ln>
                  </pic:spPr>
                </pic:pic>
              </a:graphicData>
            </a:graphic>
          </wp:inline>
        </w:drawing>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式中：</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QL—液体泄漏速度，kg/s</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见表6.2-1；</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Cd—液体泄漏系数，取0.65；</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A—裂口面积，m</w:t>
      </w:r>
      <w:r>
        <w:rPr>
          <w:color w:val="000000" w:themeColor="text1"/>
          <w:kern w:val="0"/>
          <w:sz w:val="24"/>
          <w:szCs w:val="21"/>
          <w:highlight w:val="none"/>
          <w:vertAlign w:val="superscript"/>
          <w14:textFill>
            <w14:solidFill>
              <w14:schemeClr w14:val="tx1"/>
            </w14:solidFill>
          </w14:textFill>
        </w:rPr>
        <w:t>2</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取储罐φ10mm孔</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即7.85×10</w:t>
      </w:r>
      <w:r>
        <w:rPr>
          <w:color w:val="000000" w:themeColor="text1"/>
          <w:kern w:val="0"/>
          <w:sz w:val="24"/>
          <w:szCs w:val="21"/>
          <w:highlight w:val="none"/>
          <w:vertAlign w:val="superscript"/>
          <w14:textFill>
            <w14:solidFill>
              <w14:schemeClr w14:val="tx1"/>
            </w14:solidFill>
          </w14:textFill>
        </w:rPr>
        <w:t>-5</w:t>
      </w:r>
      <w:r>
        <w:rPr>
          <w:color w:val="000000" w:themeColor="text1"/>
          <w:kern w:val="0"/>
          <w:sz w:val="24"/>
          <w:szCs w:val="21"/>
          <w:highlight w:val="none"/>
          <w14:textFill>
            <w14:solidFill>
              <w14:schemeClr w14:val="tx1"/>
            </w14:solidFill>
          </w14:textFill>
        </w:rPr>
        <w:t>m</w:t>
      </w:r>
      <w:r>
        <w:rPr>
          <w:color w:val="000000" w:themeColor="text1"/>
          <w:kern w:val="0"/>
          <w:sz w:val="24"/>
          <w:szCs w:val="21"/>
          <w:highlight w:val="none"/>
          <w:vertAlign w:val="superscript"/>
          <w14:textFill>
            <w14:solidFill>
              <w14:schemeClr w14:val="tx1"/>
            </w14:solidFill>
          </w14:textFill>
        </w:rPr>
        <w:t>2</w:t>
      </w:r>
      <w:r>
        <w:rPr>
          <w:color w:val="000000" w:themeColor="text1"/>
          <w:kern w:val="0"/>
          <w:sz w:val="24"/>
          <w:szCs w:val="21"/>
          <w:highlight w:val="none"/>
          <w14:textFill>
            <w14:solidFill>
              <w14:schemeClr w14:val="tx1"/>
            </w14:solidFill>
          </w14:textFill>
        </w:rPr>
        <w:t>；</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ρ—液体的密度（kg/m</w:t>
      </w:r>
      <w:r>
        <w:rPr>
          <w:color w:val="000000" w:themeColor="text1"/>
          <w:kern w:val="0"/>
          <w:sz w:val="24"/>
          <w:szCs w:val="21"/>
          <w:highlight w:val="none"/>
          <w:vertAlign w:val="superscript"/>
          <w14:textFill>
            <w14:solidFill>
              <w14:schemeClr w14:val="tx1"/>
            </w14:solidFill>
          </w14:textFill>
        </w:rPr>
        <w:t>3</w:t>
      </w:r>
      <w:r>
        <w:rPr>
          <w:color w:val="000000" w:themeColor="text1"/>
          <w:kern w:val="0"/>
          <w:sz w:val="24"/>
          <w:szCs w:val="21"/>
          <w:highlight w:val="none"/>
          <w14:textFill>
            <w14:solidFill>
              <w14:schemeClr w14:val="tx1"/>
            </w14:solidFill>
          </w14:textFill>
        </w:rPr>
        <w:t>）</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见表6.2-1；</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P—容器内介质压力</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Pa</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均常压储存，取1.01325×10</w:t>
      </w:r>
      <w:r>
        <w:rPr>
          <w:color w:val="000000" w:themeColor="text1"/>
          <w:kern w:val="0"/>
          <w:sz w:val="24"/>
          <w:szCs w:val="21"/>
          <w:highlight w:val="none"/>
          <w:vertAlign w:val="superscript"/>
          <w14:textFill>
            <w14:solidFill>
              <w14:schemeClr w14:val="tx1"/>
            </w14:solidFill>
          </w14:textFill>
        </w:rPr>
        <w:t>5</w:t>
      </w:r>
      <w:r>
        <w:rPr>
          <w:color w:val="000000" w:themeColor="text1"/>
          <w:kern w:val="0"/>
          <w:sz w:val="24"/>
          <w:szCs w:val="21"/>
          <w:highlight w:val="none"/>
          <w14:textFill>
            <w14:solidFill>
              <w14:schemeClr w14:val="tx1"/>
            </w14:solidFill>
          </w14:textFill>
        </w:rPr>
        <w:t>Pa；</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P</w:t>
      </w:r>
      <w:r>
        <w:rPr>
          <w:color w:val="000000" w:themeColor="text1"/>
          <w:kern w:val="0"/>
          <w:sz w:val="24"/>
          <w:szCs w:val="21"/>
          <w:highlight w:val="none"/>
          <w:vertAlign w:val="subscript"/>
          <w14:textFill>
            <w14:solidFill>
              <w14:schemeClr w14:val="tx1"/>
            </w14:solidFill>
          </w14:textFill>
        </w:rPr>
        <w:t>0</w:t>
      </w:r>
      <w:r>
        <w:rPr>
          <w:color w:val="000000" w:themeColor="text1"/>
          <w:kern w:val="0"/>
          <w:sz w:val="24"/>
          <w:szCs w:val="21"/>
          <w:highlight w:val="none"/>
          <w14:textFill>
            <w14:solidFill>
              <w14:schemeClr w14:val="tx1"/>
            </w14:solidFill>
          </w14:textFill>
        </w:rPr>
        <w:t>—环境压力</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101325Pa；</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g—重力加速度</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9.81m/s</w:t>
      </w:r>
      <w:r>
        <w:rPr>
          <w:color w:val="000000" w:themeColor="text1"/>
          <w:kern w:val="0"/>
          <w:sz w:val="24"/>
          <w:szCs w:val="21"/>
          <w:highlight w:val="none"/>
          <w:vertAlign w:val="superscript"/>
          <w14:textFill>
            <w14:solidFill>
              <w14:schemeClr w14:val="tx1"/>
            </w14:solidFill>
          </w14:textFill>
        </w:rPr>
        <w:t>2</w:t>
      </w:r>
      <w:r>
        <w:rPr>
          <w:color w:val="000000" w:themeColor="text1"/>
          <w:kern w:val="0"/>
          <w:sz w:val="24"/>
          <w:szCs w:val="21"/>
          <w:highlight w:val="none"/>
          <w14:textFill>
            <w14:solidFill>
              <w14:schemeClr w14:val="tx1"/>
            </w14:solidFill>
          </w14:textFill>
        </w:rPr>
        <w:t>；</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h—裂口之上液位高度</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m</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见表</w:t>
      </w:r>
      <w:r>
        <w:rPr>
          <w:rFonts w:hint="eastAsia"/>
          <w:color w:val="000000" w:themeColor="text1"/>
          <w:kern w:val="0"/>
          <w:sz w:val="24"/>
          <w:szCs w:val="21"/>
          <w:highlight w:val="none"/>
          <w:lang w:val="en-US" w:eastAsia="zh-CN"/>
          <w14:textFill>
            <w14:solidFill>
              <w14:schemeClr w14:val="tx1"/>
            </w14:solidFill>
          </w14:textFill>
        </w:rPr>
        <w:t>5-6</w:t>
      </w:r>
      <w:r>
        <w:rPr>
          <w:color w:val="000000" w:themeColor="text1"/>
          <w:kern w:val="0"/>
          <w:sz w:val="24"/>
          <w:szCs w:val="21"/>
          <w:highlight w:val="none"/>
          <w14:textFill>
            <w14:solidFill>
              <w14:schemeClr w14:val="tx1"/>
            </w14:solidFill>
          </w14:textFill>
        </w:rPr>
        <w:t>；</w:t>
      </w:r>
    </w:p>
    <w:p>
      <w:pPr>
        <w:pStyle w:val="57"/>
        <w:adjustRightInd/>
        <w:snapToGrid/>
        <w:spacing w:beforeLines="0" w:afterLines="0" w:line="240" w:lineRule="auto"/>
        <w:textAlignment w:val="baseline"/>
        <w:rPr>
          <w:rFonts w:ascii="Times New Roman"/>
          <w:b/>
          <w:color w:val="000000" w:themeColor="text1"/>
          <w:kern w:val="28"/>
          <w:highlight w:val="none"/>
          <w14:textFill>
            <w14:solidFill>
              <w14:schemeClr w14:val="tx1"/>
            </w14:solidFill>
          </w14:textFill>
        </w:rPr>
      </w:pPr>
      <w:r>
        <w:rPr>
          <w:rFonts w:ascii="Times New Roman"/>
          <w:b/>
          <w:color w:val="000000" w:themeColor="text1"/>
          <w:kern w:val="28"/>
          <w:highlight w:val="none"/>
          <w14:textFill>
            <w14:solidFill>
              <w14:schemeClr w14:val="tx1"/>
            </w14:solidFill>
          </w14:textFill>
        </w:rPr>
        <w:t>表</w:t>
      </w:r>
      <w:r>
        <w:rPr>
          <w:rFonts w:hint="eastAsia" w:ascii="Times New Roman"/>
          <w:b/>
          <w:color w:val="000000" w:themeColor="text1"/>
          <w:kern w:val="28"/>
          <w:highlight w:val="none"/>
          <w:lang w:val="en-US" w:eastAsia="zh-CN"/>
          <w14:textFill>
            <w14:solidFill>
              <w14:schemeClr w14:val="tx1"/>
            </w14:solidFill>
          </w14:textFill>
        </w:rPr>
        <w:t>5-6</w:t>
      </w:r>
      <w:r>
        <w:rPr>
          <w:rFonts w:ascii="Times New Roman"/>
          <w:b/>
          <w:color w:val="000000" w:themeColor="text1"/>
          <w:kern w:val="28"/>
          <w:highlight w:val="none"/>
          <w14:textFill>
            <w14:solidFill>
              <w14:schemeClr w14:val="tx1"/>
            </w14:solidFill>
          </w14:textFill>
        </w:rPr>
        <w:t xml:space="preserve"> </w:t>
      </w:r>
      <w:r>
        <w:rPr>
          <w:rFonts w:hint="eastAsia" w:ascii="Times New Roman"/>
          <w:b/>
          <w:color w:val="000000" w:themeColor="text1"/>
          <w:kern w:val="28"/>
          <w:highlight w:val="none"/>
          <w:lang w:val="en-US" w:eastAsia="zh-CN"/>
          <w14:textFill>
            <w14:solidFill>
              <w14:schemeClr w14:val="tx1"/>
            </w14:solidFill>
          </w14:textFill>
        </w:rPr>
        <w:t xml:space="preserve"> </w:t>
      </w:r>
      <w:r>
        <w:rPr>
          <w:rFonts w:ascii="Times New Roman"/>
          <w:b/>
          <w:color w:val="000000" w:themeColor="text1"/>
          <w:kern w:val="28"/>
          <w:highlight w:val="none"/>
          <w14:textFill>
            <w14:solidFill>
              <w14:schemeClr w14:val="tx1"/>
            </w14:solidFill>
          </w14:textFill>
        </w:rPr>
        <w:t>危险物质液体泄漏量估算一览表</w:t>
      </w:r>
    </w:p>
    <w:tbl>
      <w:tblPr>
        <w:tblStyle w:val="9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99"/>
        <w:gridCol w:w="809"/>
        <w:gridCol w:w="1343"/>
        <w:gridCol w:w="1267"/>
        <w:gridCol w:w="1055"/>
        <w:gridCol w:w="1060"/>
        <w:gridCol w:w="1247"/>
        <w:gridCol w:w="1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危险物质</w:t>
            </w:r>
          </w:p>
        </w:tc>
        <w:tc>
          <w:tcPr>
            <w:tcW w:w="4243" w:type="pct"/>
            <w:gridSpan w:val="7"/>
            <w:tcBorders>
              <w:tl2br w:val="nil"/>
              <w:tr2bl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3"/>
                <w:sz w:val="21"/>
                <w:szCs w:val="21"/>
                <w:highlight w:val="none"/>
                <w14:textFill>
                  <w14:solidFill>
                    <w14:schemeClr w14:val="tx1"/>
                  </w14:solidFill>
                </w14:textFill>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pacing w:val="13"/>
                <w:sz w:val="21"/>
                <w:szCs w:val="21"/>
                <w:highlight w:val="none"/>
                <w14:textFill>
                  <w14:solidFill>
                    <w14:schemeClr w14:val="tx1"/>
                  </w14:solidFill>
                </w14:textFill>
              </w:rPr>
            </w:pPr>
          </w:p>
        </w:tc>
        <w:tc>
          <w:tcPr>
            <w:tcW w:w="4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z w:val="21"/>
                <w:szCs w:val="21"/>
                <w:highlight w:val="none"/>
                <w14:textFill>
                  <w14:solidFill>
                    <w14:schemeClr w14:val="tx1"/>
                  </w14:solidFill>
                </w14:textFill>
              </w:rPr>
            </w:pPr>
            <w:r>
              <w:rPr>
                <w:color w:val="000000" w:themeColor="text1"/>
                <w:spacing w:val="1"/>
                <w:sz w:val="21"/>
                <w:szCs w:val="21"/>
                <w:highlight w:val="none"/>
                <w14:textFill>
                  <w14:solidFill>
                    <w14:schemeClr w14:val="tx1"/>
                  </w14:solidFill>
                </w14:textFill>
              </w:rPr>
              <w:t>C</w:t>
            </w:r>
            <w:r>
              <w:rPr>
                <w:color w:val="000000" w:themeColor="text1"/>
                <w:spacing w:val="1"/>
                <w:position w:val="-1"/>
                <w:sz w:val="21"/>
                <w:szCs w:val="21"/>
                <w:highlight w:val="none"/>
                <w14:textFill>
                  <w14:solidFill>
                    <w14:schemeClr w14:val="tx1"/>
                  </w14:solidFill>
                </w14:textFill>
              </w:rPr>
              <w:t>d</w:t>
            </w:r>
          </w:p>
        </w:tc>
        <w:tc>
          <w:tcPr>
            <w:tcW w:w="726" w:type="pct"/>
            <w:tcBorders>
              <w:tl2br w:val="nil"/>
              <w:tr2bl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4"/>
                <w:sz w:val="21"/>
                <w:szCs w:val="21"/>
                <w:highlight w:val="none"/>
                <w14:textFill>
                  <w14:solidFill>
                    <w14:schemeClr w14:val="tx1"/>
                  </w14:solidFill>
                </w14:textFill>
              </w:rPr>
              <w:t>A/（</w:t>
            </w:r>
            <w:r>
              <w:rPr>
                <w:rFonts w:hint="eastAsia" w:ascii="Times New Roman" w:hAnsi="Times New Roman" w:cs="Times New Roman"/>
                <w:color w:val="000000" w:themeColor="text1"/>
                <w:spacing w:val="-15"/>
                <w:sz w:val="21"/>
                <w:szCs w:val="21"/>
                <w:highlight w:val="none"/>
                <w:lang w:eastAsia="zh-CN"/>
                <w14:textFill>
                  <w14:solidFill>
                    <w14:schemeClr w14:val="tx1"/>
                  </w14:solidFill>
                </w14:textFill>
              </w:rPr>
              <w:t>m</w:t>
            </w:r>
            <w:r>
              <w:rPr>
                <w:rFonts w:hint="eastAsia" w:ascii="Times New Roman" w:hAnsi="Times New Roman" w:cs="Times New Roman"/>
                <w:color w:val="000000" w:themeColor="text1"/>
                <w:spacing w:val="-15"/>
                <w:sz w:val="21"/>
                <w:szCs w:val="21"/>
                <w:highlight w:val="none"/>
                <w:vertAlign w:val="superscript"/>
                <w:lang w:eastAsia="zh-CN"/>
                <w14:textFill>
                  <w14:solidFill>
                    <w14:schemeClr w14:val="tx1"/>
                  </w14:solidFill>
                </w14:textFill>
              </w:rPr>
              <w:t>2</w:t>
            </w:r>
            <w:r>
              <w:rPr>
                <w:rFonts w:ascii="Times New Roman" w:hAnsi="Times New Roman" w:cs="Times New Roman"/>
                <w:color w:val="000000" w:themeColor="text1"/>
                <w:spacing w:val="4"/>
                <w:sz w:val="21"/>
                <w:szCs w:val="21"/>
                <w:highlight w:val="none"/>
                <w14:textFill>
                  <w14:solidFill>
                    <w14:schemeClr w14:val="tx1"/>
                  </w14:solidFill>
                </w14:textFill>
              </w:rPr>
              <w:t>）</w:t>
            </w:r>
          </w:p>
        </w:tc>
        <w:tc>
          <w:tcPr>
            <w:tcW w:w="685" w:type="pct"/>
            <w:tcBorders>
              <w:tl2br w:val="nil"/>
              <w:tr2bl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15"/>
                <w:sz w:val="21"/>
                <w:szCs w:val="21"/>
                <w:highlight w:val="none"/>
                <w14:textFill>
                  <w14:solidFill>
                    <w14:schemeClr w14:val="tx1"/>
                  </w14:solidFill>
                </w14:textFill>
              </w:rPr>
              <w:t>ρ（kg/</w:t>
            </w:r>
            <w:r>
              <w:rPr>
                <w:rFonts w:hint="eastAsia" w:ascii="Times New Roman" w:hAnsi="Times New Roman" w:cs="Times New Roman"/>
                <w:color w:val="000000" w:themeColor="text1"/>
                <w:spacing w:val="-15"/>
                <w:sz w:val="21"/>
                <w:szCs w:val="21"/>
                <w:highlight w:val="none"/>
                <w:lang w:eastAsia="zh-CN"/>
                <w14:textFill>
                  <w14:solidFill>
                    <w14:schemeClr w14:val="tx1"/>
                  </w14:solidFill>
                </w14:textFill>
              </w:rPr>
              <w:t>m</w:t>
            </w:r>
            <w:r>
              <w:rPr>
                <w:rFonts w:hint="eastAsia" w:ascii="Times New Roman" w:hAnsi="Times New Roman" w:cs="Times New Roman"/>
                <w:color w:val="000000" w:themeColor="text1"/>
                <w:spacing w:val="-15"/>
                <w:sz w:val="21"/>
                <w:szCs w:val="21"/>
                <w:highlight w:val="none"/>
                <w:vertAlign w:val="superscript"/>
                <w:lang w:eastAsia="zh-CN"/>
                <w14:textFill>
                  <w14:solidFill>
                    <w14:schemeClr w14:val="tx1"/>
                  </w14:solidFill>
                </w14:textFill>
              </w:rPr>
              <w:t>3</w:t>
            </w:r>
            <w:r>
              <w:rPr>
                <w:rFonts w:ascii="Times New Roman" w:hAnsi="Times New Roman" w:cs="Times New Roman"/>
                <w:color w:val="000000" w:themeColor="text1"/>
                <w:spacing w:val="4"/>
                <w:sz w:val="21"/>
                <w:szCs w:val="21"/>
                <w:highlight w:val="none"/>
                <w14:textFill>
                  <w14:solidFill>
                    <w14:schemeClr w14:val="tx1"/>
                  </w14:solidFill>
                </w14:textFill>
              </w:rPr>
              <w:t>）</w:t>
            </w:r>
          </w:p>
        </w:tc>
        <w:tc>
          <w:tcPr>
            <w:tcW w:w="570" w:type="pct"/>
            <w:tcBorders>
              <w:tl2br w:val="nil"/>
              <w:tr2bl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5"/>
                <w:sz w:val="21"/>
                <w:szCs w:val="21"/>
                <w:highlight w:val="none"/>
                <w14:textFill>
                  <w14:solidFill>
                    <w14:schemeClr w14:val="tx1"/>
                  </w14:solidFill>
                </w14:textFill>
              </w:rPr>
              <w:t>P/（</w:t>
            </w:r>
            <w:r>
              <w:rPr>
                <w:rFonts w:ascii="Times New Roman" w:hAnsi="Times New Roman" w:cs="Times New Roman"/>
                <w:color w:val="000000" w:themeColor="text1"/>
                <w:sz w:val="21"/>
                <w:szCs w:val="21"/>
                <w:highlight w:val="none"/>
                <w14:textFill>
                  <w14:solidFill>
                    <w14:schemeClr w14:val="tx1"/>
                  </w14:solidFill>
                </w14:textFill>
              </w:rPr>
              <w:t>Pa</w:t>
            </w:r>
            <w:r>
              <w:rPr>
                <w:rFonts w:ascii="Times New Roman" w:hAnsi="Times New Roman" w:cs="Times New Roman"/>
                <w:color w:val="000000" w:themeColor="text1"/>
                <w:spacing w:val="5"/>
                <w:sz w:val="21"/>
                <w:szCs w:val="21"/>
                <w:highlight w:val="none"/>
                <w14:textFill>
                  <w14:solidFill>
                    <w14:schemeClr w14:val="tx1"/>
                  </w14:solidFill>
                </w14:textFill>
              </w:rPr>
              <w:t>）</w:t>
            </w:r>
          </w:p>
        </w:tc>
        <w:tc>
          <w:tcPr>
            <w:tcW w:w="573" w:type="pct"/>
            <w:tcBorders>
              <w:tl2br w:val="nil"/>
              <w:tr2bl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3"/>
                <w:sz w:val="21"/>
                <w:szCs w:val="21"/>
                <w:highlight w:val="none"/>
                <w14:textFill>
                  <w14:solidFill>
                    <w14:schemeClr w14:val="tx1"/>
                  </w14:solidFill>
                </w14:textFill>
              </w:rPr>
              <w:t>P</w:t>
            </w:r>
            <w:r>
              <w:rPr>
                <w:rFonts w:ascii="Times New Roman" w:hAnsi="Times New Roman" w:cs="Times New Roman"/>
                <w:color w:val="000000" w:themeColor="text1"/>
                <w:spacing w:val="3"/>
                <w:position w:val="-1"/>
                <w:sz w:val="21"/>
                <w:szCs w:val="21"/>
                <w:highlight w:val="none"/>
                <w14:textFill>
                  <w14:solidFill>
                    <w14:schemeClr w14:val="tx1"/>
                  </w14:solidFill>
                </w14:textFill>
              </w:rPr>
              <w:t>0</w:t>
            </w:r>
            <w:r>
              <w:rPr>
                <w:rFonts w:ascii="Times New Roman" w:hAnsi="Times New Roman" w:cs="Times New Roman"/>
                <w:color w:val="000000" w:themeColor="text1"/>
                <w:spacing w:val="3"/>
                <w:sz w:val="21"/>
                <w:szCs w:val="21"/>
                <w:highlight w:val="none"/>
                <w14:textFill>
                  <w14:solidFill>
                    <w14:schemeClr w14:val="tx1"/>
                  </w14:solidFill>
                </w14:textFill>
              </w:rPr>
              <w:t>/（</w:t>
            </w:r>
            <w:r>
              <w:rPr>
                <w:rFonts w:ascii="Times New Roman" w:hAnsi="Times New Roman" w:cs="Times New Roman"/>
                <w:color w:val="000000" w:themeColor="text1"/>
                <w:sz w:val="21"/>
                <w:szCs w:val="21"/>
                <w:highlight w:val="none"/>
                <w14:textFill>
                  <w14:solidFill>
                    <w14:schemeClr w14:val="tx1"/>
                  </w14:solidFill>
                </w14:textFill>
              </w:rPr>
              <w:t>Pa</w:t>
            </w:r>
            <w:r>
              <w:rPr>
                <w:rFonts w:ascii="Times New Roman" w:hAnsi="Times New Roman" w:cs="Times New Roman"/>
                <w:color w:val="000000" w:themeColor="text1"/>
                <w:spacing w:val="3"/>
                <w:sz w:val="21"/>
                <w:szCs w:val="21"/>
                <w:highlight w:val="none"/>
                <w14:textFill>
                  <w14:solidFill>
                    <w14:schemeClr w14:val="tx1"/>
                  </w14:solidFill>
                </w14:textFill>
              </w:rPr>
              <w:t>）</w:t>
            </w:r>
          </w:p>
        </w:tc>
        <w:tc>
          <w:tcPr>
            <w:tcW w:w="674" w:type="pct"/>
            <w:tcBorders>
              <w:tl2br w:val="nil"/>
              <w:tr2bl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3"/>
                <w:sz w:val="21"/>
                <w:szCs w:val="21"/>
                <w:highlight w:val="none"/>
                <w14:textFill>
                  <w14:solidFill>
                    <w14:schemeClr w14:val="tx1"/>
                  </w14:solidFill>
                </w14:textFill>
              </w:rPr>
              <w:t>g（m/s</w:t>
            </w:r>
            <w:r>
              <w:rPr>
                <w:rFonts w:hint="eastAsia" w:ascii="Times New Roman" w:hAnsi="Times New Roman" w:cs="Times New Roman"/>
                <w:color w:val="000000" w:themeColor="text1"/>
                <w:spacing w:val="-15"/>
                <w:sz w:val="21"/>
                <w:szCs w:val="21"/>
                <w:highlight w:val="none"/>
                <w:vertAlign w:val="superscript"/>
                <w:lang w:eastAsia="zh-CN"/>
                <w14:textFill>
                  <w14:solidFill>
                    <w14:schemeClr w14:val="tx1"/>
                  </w14:solidFill>
                </w14:textFill>
              </w:rPr>
              <w:t>2</w:t>
            </w:r>
            <w:r>
              <w:rPr>
                <w:rFonts w:ascii="Times New Roman" w:hAnsi="Times New Roman" w:cs="Times New Roman"/>
                <w:color w:val="000000" w:themeColor="text1"/>
                <w:spacing w:val="3"/>
                <w:sz w:val="21"/>
                <w:szCs w:val="21"/>
                <w:highlight w:val="none"/>
                <w14:textFill>
                  <w14:solidFill>
                    <w14:schemeClr w14:val="tx1"/>
                  </w14:solidFill>
                </w14:textFill>
              </w:rPr>
              <w:t>）</w:t>
            </w:r>
          </w:p>
        </w:tc>
        <w:tc>
          <w:tcPr>
            <w:tcW w:w="576" w:type="pct"/>
            <w:tcBorders>
              <w:tl2br w:val="nil"/>
              <w:tr2bl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4"/>
                <w:sz w:val="21"/>
                <w:szCs w:val="21"/>
                <w:highlight w:val="none"/>
                <w14:textFill>
                  <w14:solidFill>
                    <w14:schemeClr w14:val="tx1"/>
                  </w14:solidFill>
                </w14:textFill>
              </w:rPr>
              <w:t>h/（m）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pacing w:val="13"/>
                <w:sz w:val="21"/>
                <w:szCs w:val="21"/>
                <w:highlight w:val="none"/>
                <w14:textFill>
                  <w14:solidFill>
                    <w14:schemeClr w14:val="tx1"/>
                  </w14:solidFill>
                </w14:textFill>
              </w:rPr>
            </w:pPr>
            <w:r>
              <w:rPr>
                <w:rFonts w:hint="eastAsia"/>
                <w:color w:val="000000" w:themeColor="text1"/>
                <w:spacing w:val="13"/>
                <w:sz w:val="21"/>
                <w:szCs w:val="21"/>
                <w:highlight w:val="none"/>
                <w14:textFill>
                  <w14:solidFill>
                    <w14:schemeClr w14:val="tx1"/>
                  </w14:solidFill>
                </w14:textFill>
              </w:rPr>
              <w:t>产品燃料油</w:t>
            </w:r>
          </w:p>
        </w:tc>
        <w:tc>
          <w:tcPr>
            <w:tcW w:w="4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z w:val="21"/>
                <w:szCs w:val="21"/>
                <w:highlight w:val="none"/>
                <w14:textFill>
                  <w14:solidFill>
                    <w14:schemeClr w14:val="tx1"/>
                  </w14:solidFill>
                </w14:textFill>
              </w:rPr>
            </w:pPr>
            <w:r>
              <w:rPr>
                <w:color w:val="000000" w:themeColor="text1"/>
                <w:spacing w:val="2"/>
                <w:sz w:val="21"/>
                <w:szCs w:val="21"/>
                <w:highlight w:val="none"/>
                <w14:textFill>
                  <w14:solidFill>
                    <w14:schemeClr w14:val="tx1"/>
                  </w14:solidFill>
                </w14:textFill>
              </w:rPr>
              <w:t>0.65</w:t>
            </w:r>
          </w:p>
        </w:tc>
        <w:tc>
          <w:tcPr>
            <w:tcW w:w="72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7.85×</w:t>
            </w:r>
            <w:r>
              <w:rPr>
                <w:color w:val="000000" w:themeColor="text1"/>
                <w:spacing w:val="-23"/>
                <w:sz w:val="21"/>
                <w:szCs w:val="21"/>
                <w:highlight w:val="none"/>
                <w14:textFill>
                  <w14:solidFill>
                    <w14:schemeClr w14:val="tx1"/>
                  </w14:solidFill>
                </w14:textFill>
              </w:rPr>
              <w:t xml:space="preserve"> </w:t>
            </w:r>
            <w:r>
              <w:rPr>
                <w:color w:val="000000" w:themeColor="text1"/>
                <w:sz w:val="21"/>
                <w:szCs w:val="21"/>
                <w:highlight w:val="none"/>
                <w14:textFill>
                  <w14:solidFill>
                    <w14:schemeClr w14:val="tx1"/>
                  </w14:solidFill>
                </w14:textFill>
              </w:rPr>
              <w:t>10</w:t>
            </w:r>
            <w:r>
              <w:rPr>
                <w:rFonts w:hint="eastAsia"/>
                <w:color w:val="000000" w:themeColor="text1"/>
                <w:sz w:val="21"/>
                <w:szCs w:val="21"/>
                <w:highlight w:val="none"/>
                <w:vertAlign w:val="superscript"/>
                <w14:textFill>
                  <w14:solidFill>
                    <w14:schemeClr w14:val="tx1"/>
                  </w14:solidFill>
                </w14:textFill>
              </w:rPr>
              <w:t>-5</w:t>
            </w:r>
          </w:p>
        </w:tc>
        <w:tc>
          <w:tcPr>
            <w:tcW w:w="6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840</w:t>
            </w:r>
          </w:p>
        </w:tc>
        <w:tc>
          <w:tcPr>
            <w:tcW w:w="5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101325</w:t>
            </w:r>
          </w:p>
        </w:tc>
        <w:tc>
          <w:tcPr>
            <w:tcW w:w="57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101325</w:t>
            </w:r>
          </w:p>
        </w:tc>
        <w:tc>
          <w:tcPr>
            <w:tcW w:w="6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z w:val="21"/>
                <w:szCs w:val="21"/>
                <w:highlight w:val="none"/>
                <w14:textFill>
                  <w14:solidFill>
                    <w14:schemeClr w14:val="tx1"/>
                  </w14:solidFill>
                </w14:textFill>
              </w:rPr>
            </w:pPr>
            <w:r>
              <w:rPr>
                <w:color w:val="000000" w:themeColor="text1"/>
                <w:spacing w:val="2"/>
                <w:sz w:val="21"/>
                <w:szCs w:val="21"/>
                <w:highlight w:val="none"/>
                <w14:textFill>
                  <w14:solidFill>
                    <w14:schemeClr w14:val="tx1"/>
                  </w14:solidFill>
                </w14:textFill>
              </w:rPr>
              <w:t>9.81</w:t>
            </w:r>
          </w:p>
        </w:tc>
        <w:tc>
          <w:tcPr>
            <w:tcW w:w="5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z w:val="21"/>
                <w:szCs w:val="21"/>
                <w:highlight w:val="none"/>
                <w14:textFill>
                  <w14:solidFill>
                    <w14:schemeClr w14:val="tx1"/>
                  </w14:solidFill>
                </w14:textFill>
              </w:rPr>
            </w:pPr>
            <w:r>
              <w:rPr>
                <w:rFonts w:hint="eastAsia"/>
                <w:color w:val="000000" w:themeColor="text1"/>
                <w:spacing w:val="-8"/>
                <w:sz w:val="21"/>
                <w:szCs w:val="21"/>
                <w:highlight w:val="none"/>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Q</w:t>
            </w:r>
            <w:r>
              <w:rPr>
                <w:color w:val="000000" w:themeColor="text1"/>
                <w:position w:val="-1"/>
                <w:sz w:val="21"/>
                <w:szCs w:val="21"/>
                <w:highlight w:val="none"/>
                <w14:textFill>
                  <w14:solidFill>
                    <w14:schemeClr w14:val="tx1"/>
                  </w14:solidFill>
                </w14:textFill>
              </w:rPr>
              <w:t>L</w:t>
            </w:r>
            <w:r>
              <w:rPr>
                <w:color w:val="000000" w:themeColor="text1"/>
                <w:spacing w:val="6"/>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kg</w:t>
            </w:r>
            <w:r>
              <w:rPr>
                <w:color w:val="000000" w:themeColor="text1"/>
                <w:spacing w:val="6"/>
                <w:sz w:val="21"/>
                <w:szCs w:val="21"/>
                <w:highlight w:val="none"/>
                <w14:textFill>
                  <w14:solidFill>
                    <w14:schemeClr w14:val="tx1"/>
                  </w14:solidFill>
                </w14:textFill>
              </w:rPr>
              <w:t>/s</w:t>
            </w:r>
          </w:p>
        </w:tc>
        <w:tc>
          <w:tcPr>
            <w:tcW w:w="4243" w:type="pct"/>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color w:val="000000" w:themeColor="text1"/>
                <w:spacing w:val="3"/>
                <w:sz w:val="21"/>
                <w:szCs w:val="21"/>
                <w:highlight w:val="none"/>
                <w14:textFill>
                  <w14:solidFill>
                    <w14:schemeClr w14:val="tx1"/>
                  </w14:solidFill>
                </w14:textFill>
              </w:rPr>
              <w:t>0.</w:t>
            </w:r>
            <w:r>
              <w:rPr>
                <w:rFonts w:hint="eastAsia"/>
                <w:color w:val="000000" w:themeColor="text1"/>
                <w:spacing w:val="3"/>
                <w:sz w:val="21"/>
                <w:szCs w:val="21"/>
                <w:highlight w:val="none"/>
                <w:lang w:val="en-US" w:eastAsia="zh-CN"/>
                <w14:textFill>
                  <w14:solidFill>
                    <w14:schemeClr w14:val="tx1"/>
                  </w14:solidFill>
                </w14:textFill>
              </w:rPr>
              <w:t>658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color w:val="000000" w:themeColor="text1"/>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20</w:t>
            </w:r>
            <w:r>
              <w:rPr>
                <w:color w:val="000000" w:themeColor="text1"/>
                <w:sz w:val="21"/>
                <w:szCs w:val="21"/>
                <w:highlight w:val="none"/>
                <w14:textFill>
                  <w14:solidFill>
                    <w14:schemeClr w14:val="tx1"/>
                  </w14:solidFill>
                </w14:textFill>
              </w:rPr>
              <w:t>minQ</w:t>
            </w:r>
            <w:r>
              <w:rPr>
                <w:color w:val="000000" w:themeColor="text1"/>
                <w:position w:val="-1"/>
                <w:sz w:val="21"/>
                <w:szCs w:val="21"/>
                <w:highlight w:val="none"/>
                <w14:textFill>
                  <w14:solidFill>
                    <w14:schemeClr w14:val="tx1"/>
                  </w14:solidFill>
                </w14:textFill>
              </w:rPr>
              <w:t>L</w:t>
            </w:r>
            <w:r>
              <w:rPr>
                <w:color w:val="000000" w:themeColor="text1"/>
                <w:spacing w:val="13"/>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kg</w:t>
            </w:r>
          </w:p>
        </w:tc>
        <w:tc>
          <w:tcPr>
            <w:tcW w:w="4243" w:type="pct"/>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pacing w:val="3"/>
                <w:sz w:val="21"/>
                <w:szCs w:val="21"/>
                <w:highlight w:val="none"/>
                <w:lang w:val="en-US" w:eastAsia="zh-CN"/>
                <w14:textFill>
                  <w14:solidFill>
                    <w14:schemeClr w14:val="tx1"/>
                  </w14:solidFill>
                </w14:textFill>
              </w:rPr>
              <w:t>789.6</w:t>
            </w:r>
          </w:p>
        </w:tc>
      </w:tr>
    </w:tbl>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液体泄漏的蒸发分为闪蒸蒸发、热量蒸发和质量蒸发三种，其蒸发总量为这三种蒸发之和。</w:t>
      </w:r>
      <w:r>
        <w:rPr>
          <w:rFonts w:hint="eastAsia"/>
          <w:color w:val="000000" w:themeColor="text1"/>
          <w:kern w:val="0"/>
          <w:sz w:val="24"/>
          <w:szCs w:val="21"/>
          <w:highlight w:val="none"/>
          <w:lang w:val="en-US" w:eastAsia="zh-CN"/>
          <w14:textFill>
            <w14:solidFill>
              <w14:schemeClr w14:val="tx1"/>
            </w14:solidFill>
          </w14:textFill>
        </w:rPr>
        <w:t>柴</w:t>
      </w:r>
      <w:r>
        <w:rPr>
          <w:rFonts w:hint="eastAsia"/>
          <w:color w:val="000000" w:themeColor="text1"/>
          <w:kern w:val="0"/>
          <w:sz w:val="24"/>
          <w:szCs w:val="21"/>
          <w:highlight w:val="none"/>
          <w14:textFill>
            <w14:solidFill>
              <w14:schemeClr w14:val="tx1"/>
            </w14:solidFill>
          </w14:textFill>
        </w:rPr>
        <w:t>油</w:t>
      </w:r>
      <w:r>
        <w:rPr>
          <w:color w:val="000000" w:themeColor="text1"/>
          <w:kern w:val="0"/>
          <w:sz w:val="24"/>
          <w:szCs w:val="21"/>
          <w:highlight w:val="none"/>
          <w14:textFill>
            <w14:solidFill>
              <w14:schemeClr w14:val="tx1"/>
            </w14:solidFill>
          </w14:textFill>
        </w:rPr>
        <w:t>常压下沸点均大于环境气温，不会产生闪蒸蒸发、热量蒸发。由液池表面气流运动使液体蒸发，称之为质量蒸发。</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质量蒸发速度Q</w:t>
      </w:r>
      <w:r>
        <w:rPr>
          <w:color w:val="000000" w:themeColor="text1"/>
          <w:kern w:val="0"/>
          <w:sz w:val="24"/>
          <w:szCs w:val="21"/>
          <w:highlight w:val="none"/>
          <w:vertAlign w:val="subscript"/>
          <w14:textFill>
            <w14:solidFill>
              <w14:schemeClr w14:val="tx1"/>
            </w14:solidFill>
          </w14:textFill>
        </w:rPr>
        <w:t>3</w:t>
      </w:r>
      <w:r>
        <w:rPr>
          <w:color w:val="000000" w:themeColor="text1"/>
          <w:kern w:val="0"/>
          <w:sz w:val="24"/>
          <w:szCs w:val="21"/>
          <w:highlight w:val="none"/>
          <w14:textFill>
            <w14:solidFill>
              <w14:schemeClr w14:val="tx1"/>
            </w14:solidFill>
          </w14:textFill>
        </w:rPr>
        <w:t>按下式计算：</w:t>
      </w:r>
    </w:p>
    <w:p>
      <w:pPr>
        <w:spacing w:before="55" w:line="211" w:lineRule="auto"/>
        <w:ind w:left="638"/>
        <w:rPr>
          <w:color w:val="000000" w:themeColor="text1"/>
          <w:kern w:val="0"/>
          <w:sz w:val="24"/>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27245" cy="483235"/>
            <wp:effectExtent l="0" t="0" r="1905" b="12065"/>
            <wp:docPr id="12"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true"/>
                    </pic:cNvPicPr>
                  </pic:nvPicPr>
                  <pic:blipFill>
                    <a:blip r:embed="rId155"/>
                    <a:stretch>
                      <a:fillRect/>
                    </a:stretch>
                  </pic:blipFill>
                  <pic:spPr>
                    <a:xfrm>
                      <a:off x="0" y="0"/>
                      <a:ext cx="4627245" cy="483235"/>
                    </a:xfrm>
                    <a:prstGeom prst="rect">
                      <a:avLst/>
                    </a:prstGeom>
                    <a:noFill/>
                    <a:ln>
                      <a:noFill/>
                    </a:ln>
                  </pic:spPr>
                </pic:pic>
              </a:graphicData>
            </a:graphic>
          </wp:inline>
        </w:drawing>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rFonts w:hint="eastAsia"/>
          <w:color w:val="000000" w:themeColor="text1"/>
          <w:kern w:val="0"/>
          <w:sz w:val="24"/>
          <w:szCs w:val="21"/>
          <w:highlight w:val="none"/>
          <w14:textFill>
            <w14:solidFill>
              <w14:schemeClr w14:val="tx1"/>
            </w14:solidFill>
          </w14:textFill>
        </w:rPr>
      </w:pPr>
      <w:r>
        <w:rPr>
          <w:rFonts w:hint="eastAsia"/>
          <w:color w:val="000000" w:themeColor="text1"/>
          <w:kern w:val="0"/>
          <w:sz w:val="24"/>
          <w:szCs w:val="21"/>
          <w:highlight w:val="none"/>
          <w14:textFill>
            <w14:solidFill>
              <w14:schemeClr w14:val="tx1"/>
            </w14:solidFill>
          </w14:textFill>
        </w:rPr>
        <w:t>式中：</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Q</w:t>
      </w:r>
      <w:r>
        <w:rPr>
          <w:color w:val="000000" w:themeColor="text1"/>
          <w:kern w:val="0"/>
          <w:sz w:val="24"/>
          <w:szCs w:val="21"/>
          <w:highlight w:val="none"/>
          <w:vertAlign w:val="subscript"/>
          <w14:textFill>
            <w14:solidFill>
              <w14:schemeClr w14:val="tx1"/>
            </w14:solidFill>
          </w14:textFill>
        </w:rPr>
        <w:t>3</w:t>
      </w:r>
      <w:r>
        <w:rPr>
          <w:color w:val="000000" w:themeColor="text1"/>
          <w:kern w:val="0"/>
          <w:sz w:val="24"/>
          <w:szCs w:val="21"/>
          <w:highlight w:val="none"/>
          <w14:textFill>
            <w14:solidFill>
              <w14:schemeClr w14:val="tx1"/>
            </w14:solidFill>
          </w14:textFill>
        </w:rPr>
        <w:t>—</w:t>
      </w:r>
      <w:r>
        <w:rPr>
          <w:rFonts w:hint="eastAsia"/>
          <w:color w:val="000000" w:themeColor="text1"/>
          <w:kern w:val="0"/>
          <w:sz w:val="24"/>
          <w:szCs w:val="21"/>
          <w:highlight w:val="none"/>
          <w14:textFill>
            <w14:solidFill>
              <w14:schemeClr w14:val="tx1"/>
            </w14:solidFill>
          </w14:textFill>
        </w:rPr>
        <w:t>质量蒸发速度，</w:t>
      </w:r>
      <w:r>
        <w:rPr>
          <w:color w:val="000000" w:themeColor="text1"/>
          <w:kern w:val="0"/>
          <w:sz w:val="24"/>
          <w:szCs w:val="21"/>
          <w:highlight w:val="none"/>
          <w14:textFill>
            <w14:solidFill>
              <w14:schemeClr w14:val="tx1"/>
            </w14:solidFill>
          </w14:textFill>
        </w:rPr>
        <w:t>kg/s</w:t>
      </w:r>
      <w:r>
        <w:rPr>
          <w:rFonts w:hint="eastAsia"/>
          <w:color w:val="000000" w:themeColor="text1"/>
          <w:kern w:val="0"/>
          <w:sz w:val="24"/>
          <w:szCs w:val="21"/>
          <w:highlight w:val="none"/>
          <w14:textFill>
            <w14:solidFill>
              <w14:schemeClr w14:val="tx1"/>
            </w14:solidFill>
          </w14:textFill>
        </w:rPr>
        <w:t xml:space="preserve">； </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a,n—</w:t>
      </w:r>
      <w:r>
        <w:rPr>
          <w:rFonts w:hint="eastAsia"/>
          <w:color w:val="000000" w:themeColor="text1"/>
          <w:kern w:val="0"/>
          <w:sz w:val="24"/>
          <w:szCs w:val="21"/>
          <w:highlight w:val="none"/>
          <w14:textFill>
            <w14:solidFill>
              <w14:schemeClr w14:val="tx1"/>
            </w14:solidFill>
          </w14:textFill>
        </w:rPr>
        <w:t>大气稳定度系数，本次选择</w:t>
      </w:r>
      <w:r>
        <w:rPr>
          <w:color w:val="000000" w:themeColor="text1"/>
          <w:kern w:val="0"/>
          <w:sz w:val="24"/>
          <w:szCs w:val="21"/>
          <w:highlight w:val="none"/>
          <w14:textFill>
            <w14:solidFill>
              <w14:schemeClr w14:val="tx1"/>
            </w14:solidFill>
          </w14:textFill>
        </w:rPr>
        <w:t>F</w:t>
      </w:r>
      <w:r>
        <w:rPr>
          <w:rFonts w:hint="eastAsia"/>
          <w:color w:val="000000" w:themeColor="text1"/>
          <w:kern w:val="0"/>
          <w:sz w:val="24"/>
          <w:szCs w:val="21"/>
          <w:highlight w:val="none"/>
          <w14:textFill>
            <w14:solidFill>
              <w14:schemeClr w14:val="tx1"/>
            </w14:solidFill>
          </w14:textFill>
        </w:rPr>
        <w:t xml:space="preserve">类稳定度条件进行计算； </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p—</w:t>
      </w:r>
      <w:r>
        <w:rPr>
          <w:rFonts w:hint="eastAsia"/>
          <w:color w:val="000000" w:themeColor="text1"/>
          <w:kern w:val="0"/>
          <w:sz w:val="24"/>
          <w:szCs w:val="21"/>
          <w:highlight w:val="none"/>
          <w14:textFill>
            <w14:solidFill>
              <w14:schemeClr w14:val="tx1"/>
            </w14:solidFill>
          </w14:textFill>
        </w:rPr>
        <w:t>液体表面蒸气压，</w:t>
      </w:r>
      <w:r>
        <w:rPr>
          <w:color w:val="000000" w:themeColor="text1"/>
          <w:kern w:val="0"/>
          <w:sz w:val="24"/>
          <w:szCs w:val="21"/>
          <w:highlight w:val="none"/>
          <w14:textFill>
            <w14:solidFill>
              <w14:schemeClr w14:val="tx1"/>
            </w14:solidFill>
          </w14:textFill>
        </w:rPr>
        <w:t>Pa</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600Pa</w:t>
      </w:r>
      <w:r>
        <w:rPr>
          <w:rFonts w:hint="eastAsia"/>
          <w:color w:val="000000" w:themeColor="text1"/>
          <w:kern w:val="0"/>
          <w:sz w:val="24"/>
          <w:szCs w:val="21"/>
          <w:highlight w:val="none"/>
          <w14:textFill>
            <w14:solidFill>
              <w14:schemeClr w14:val="tx1"/>
            </w14:solidFill>
          </w14:textFill>
        </w:rPr>
        <w:t xml:space="preserve">； </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M—</w:t>
      </w:r>
      <w:r>
        <w:rPr>
          <w:rFonts w:hint="eastAsia"/>
          <w:color w:val="000000" w:themeColor="text1"/>
          <w:kern w:val="0"/>
          <w:sz w:val="24"/>
          <w:szCs w:val="21"/>
          <w:highlight w:val="none"/>
          <w14:textFill>
            <w14:solidFill>
              <w14:schemeClr w14:val="tx1"/>
            </w14:solidFill>
          </w14:textFill>
        </w:rPr>
        <w:t>摩尔质量，</w:t>
      </w:r>
      <w:r>
        <w:rPr>
          <w:color w:val="000000" w:themeColor="text1"/>
          <w:kern w:val="0"/>
          <w:sz w:val="24"/>
          <w:szCs w:val="21"/>
          <w:highlight w:val="none"/>
          <w14:textFill>
            <w14:solidFill>
              <w14:schemeClr w14:val="tx1"/>
            </w14:solidFill>
          </w14:textFill>
        </w:rPr>
        <w:t>kg/mol</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0.22</w:t>
      </w:r>
      <w:r>
        <w:rPr>
          <w:rFonts w:hint="eastAsia"/>
          <w:color w:val="000000" w:themeColor="text1"/>
          <w:kern w:val="0"/>
          <w:sz w:val="24"/>
          <w:szCs w:val="21"/>
          <w:highlight w:val="none"/>
          <w14:textFill>
            <w14:solidFill>
              <w14:schemeClr w14:val="tx1"/>
            </w14:solidFill>
          </w14:textFill>
        </w:rPr>
        <w:t xml:space="preserve">； </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R—</w:t>
      </w:r>
      <w:r>
        <w:rPr>
          <w:rFonts w:hint="eastAsia"/>
          <w:color w:val="000000" w:themeColor="text1"/>
          <w:kern w:val="0"/>
          <w:sz w:val="24"/>
          <w:szCs w:val="21"/>
          <w:highlight w:val="none"/>
          <w14:textFill>
            <w14:solidFill>
              <w14:schemeClr w14:val="tx1"/>
            </w14:solidFill>
          </w14:textFill>
        </w:rPr>
        <w:t>气体常数；</w:t>
      </w:r>
      <w:r>
        <w:rPr>
          <w:color w:val="000000" w:themeColor="text1"/>
          <w:kern w:val="0"/>
          <w:sz w:val="24"/>
          <w:szCs w:val="21"/>
          <w:highlight w:val="none"/>
          <w14:textFill>
            <w14:solidFill>
              <w14:schemeClr w14:val="tx1"/>
            </w14:solidFill>
          </w14:textFill>
        </w:rPr>
        <w:t>J/mol·k</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8.314</w:t>
      </w:r>
      <w:r>
        <w:rPr>
          <w:rFonts w:hint="eastAsia"/>
          <w:color w:val="000000" w:themeColor="text1"/>
          <w:kern w:val="0"/>
          <w:sz w:val="24"/>
          <w:szCs w:val="21"/>
          <w:highlight w:val="none"/>
          <w14:textFill>
            <w14:solidFill>
              <w14:schemeClr w14:val="tx1"/>
            </w14:solidFill>
          </w14:textFill>
        </w:rPr>
        <w:t xml:space="preserve">； </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T</w:t>
      </w:r>
      <w:r>
        <w:rPr>
          <w:color w:val="000000" w:themeColor="text1"/>
          <w:kern w:val="0"/>
          <w:sz w:val="24"/>
          <w:szCs w:val="21"/>
          <w:highlight w:val="none"/>
          <w:vertAlign w:val="subscript"/>
          <w14:textFill>
            <w14:solidFill>
              <w14:schemeClr w14:val="tx1"/>
            </w14:solidFill>
          </w14:textFill>
        </w:rPr>
        <w:t>0</w:t>
      </w:r>
      <w:r>
        <w:rPr>
          <w:color w:val="000000" w:themeColor="text1"/>
          <w:kern w:val="0"/>
          <w:sz w:val="24"/>
          <w:szCs w:val="21"/>
          <w:highlight w:val="none"/>
          <w14:textFill>
            <w14:solidFill>
              <w14:schemeClr w14:val="tx1"/>
            </w14:solidFill>
          </w14:textFill>
        </w:rPr>
        <w:t>—</w:t>
      </w:r>
      <w:r>
        <w:rPr>
          <w:rFonts w:hint="eastAsia"/>
          <w:color w:val="000000" w:themeColor="text1"/>
          <w:kern w:val="0"/>
          <w:sz w:val="24"/>
          <w:szCs w:val="21"/>
          <w:highlight w:val="none"/>
          <w14:textFill>
            <w14:solidFill>
              <w14:schemeClr w14:val="tx1"/>
            </w14:solidFill>
          </w14:textFill>
        </w:rPr>
        <w:t>环境温度，</w:t>
      </w:r>
      <w:r>
        <w:rPr>
          <w:color w:val="000000" w:themeColor="text1"/>
          <w:kern w:val="0"/>
          <w:sz w:val="24"/>
          <w:szCs w:val="21"/>
          <w:highlight w:val="none"/>
          <w14:textFill>
            <w14:solidFill>
              <w14:schemeClr w14:val="tx1"/>
            </w14:solidFill>
          </w14:textFill>
        </w:rPr>
        <w:t>k</w:t>
      </w:r>
      <w:r>
        <w:rPr>
          <w:rFonts w:hint="eastAsia"/>
          <w:color w:val="000000" w:themeColor="text1"/>
          <w:kern w:val="0"/>
          <w:sz w:val="24"/>
          <w:szCs w:val="21"/>
          <w:highlight w:val="none"/>
          <w14:textFill>
            <w14:solidFill>
              <w14:schemeClr w14:val="tx1"/>
            </w14:solidFill>
          </w14:textFill>
        </w:rPr>
        <w:t xml:space="preserve">，取 </w:t>
      </w:r>
      <w:r>
        <w:rPr>
          <w:color w:val="000000" w:themeColor="text1"/>
          <w:kern w:val="0"/>
          <w:sz w:val="24"/>
          <w:szCs w:val="21"/>
          <w:highlight w:val="none"/>
          <w14:textFill>
            <w14:solidFill>
              <w14:schemeClr w14:val="tx1"/>
            </w14:solidFill>
          </w14:textFill>
        </w:rPr>
        <w:t>25</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298K</w:t>
      </w:r>
      <w:r>
        <w:rPr>
          <w:rFonts w:hint="eastAsia"/>
          <w:color w:val="000000" w:themeColor="text1"/>
          <w:kern w:val="0"/>
          <w:sz w:val="24"/>
          <w:szCs w:val="21"/>
          <w:highlight w:val="none"/>
          <w14:textFill>
            <w14:solidFill>
              <w14:schemeClr w14:val="tx1"/>
            </w14:solidFill>
          </w14:textFill>
        </w:rPr>
        <w:t xml:space="preserve">； </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u—</w:t>
      </w:r>
      <w:r>
        <w:rPr>
          <w:rFonts w:hint="eastAsia"/>
          <w:color w:val="000000" w:themeColor="text1"/>
          <w:kern w:val="0"/>
          <w:sz w:val="24"/>
          <w:szCs w:val="21"/>
          <w:highlight w:val="none"/>
          <w14:textFill>
            <w14:solidFill>
              <w14:schemeClr w14:val="tx1"/>
            </w14:solidFill>
          </w14:textFill>
        </w:rPr>
        <w:t>风速，</w:t>
      </w:r>
      <w:r>
        <w:rPr>
          <w:color w:val="000000" w:themeColor="text1"/>
          <w:kern w:val="0"/>
          <w:sz w:val="24"/>
          <w:szCs w:val="21"/>
          <w:highlight w:val="none"/>
          <w14:textFill>
            <w14:solidFill>
              <w14:schemeClr w14:val="tx1"/>
            </w14:solidFill>
          </w14:textFill>
        </w:rPr>
        <w:t>m/s</w:t>
      </w:r>
      <w:r>
        <w:rPr>
          <w:rFonts w:hint="eastAsia"/>
          <w:color w:val="000000" w:themeColor="text1"/>
          <w:kern w:val="0"/>
          <w:sz w:val="24"/>
          <w:szCs w:val="21"/>
          <w:highlight w:val="none"/>
          <w14:textFill>
            <w14:solidFill>
              <w14:schemeClr w14:val="tx1"/>
            </w14:solidFill>
          </w14:textFill>
        </w:rPr>
        <w:t>，</w:t>
      </w:r>
      <w:r>
        <w:rPr>
          <w:color w:val="000000" w:themeColor="text1"/>
          <w:kern w:val="0"/>
          <w:sz w:val="24"/>
          <w:szCs w:val="21"/>
          <w:highlight w:val="none"/>
          <w14:textFill>
            <w14:solidFill>
              <w14:schemeClr w14:val="tx1"/>
            </w14:solidFill>
          </w14:textFill>
        </w:rPr>
        <w:t>1.5m/s</w:t>
      </w:r>
      <w:r>
        <w:rPr>
          <w:rFonts w:hint="eastAsia"/>
          <w:color w:val="000000" w:themeColor="text1"/>
          <w:kern w:val="0"/>
          <w:sz w:val="24"/>
          <w:szCs w:val="21"/>
          <w:highlight w:val="none"/>
          <w14:textFill>
            <w14:solidFill>
              <w14:schemeClr w14:val="tx1"/>
            </w14:solidFill>
          </w14:textFill>
        </w:rPr>
        <w:t xml:space="preserve">； </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r—</w:t>
      </w:r>
      <w:r>
        <w:rPr>
          <w:rFonts w:hint="eastAsia"/>
          <w:color w:val="000000" w:themeColor="text1"/>
          <w:kern w:val="0"/>
          <w:sz w:val="24"/>
          <w:szCs w:val="21"/>
          <w:highlight w:val="none"/>
          <w14:textFill>
            <w14:solidFill>
              <w14:schemeClr w14:val="tx1"/>
            </w14:solidFill>
          </w14:textFill>
        </w:rPr>
        <w:t>液池半径，</w:t>
      </w:r>
      <w:r>
        <w:rPr>
          <w:color w:val="000000" w:themeColor="text1"/>
          <w:kern w:val="0"/>
          <w:sz w:val="24"/>
          <w:szCs w:val="21"/>
          <w:highlight w:val="none"/>
          <w14:textFill>
            <w14:solidFill>
              <w14:schemeClr w14:val="tx1"/>
            </w14:solidFill>
          </w14:textFill>
        </w:rPr>
        <w:t>m</w:t>
      </w:r>
      <w:r>
        <w:rPr>
          <w:rFonts w:hint="eastAsia"/>
          <w:color w:val="000000" w:themeColor="text1"/>
          <w:kern w:val="0"/>
          <w:sz w:val="24"/>
          <w:szCs w:val="21"/>
          <w:highlight w:val="none"/>
          <w14:textFill>
            <w14:solidFill>
              <w14:schemeClr w14:val="tx1"/>
            </w14:solidFill>
          </w14:textFill>
        </w:rPr>
        <w:t>；8.5</w:t>
      </w:r>
      <w:r>
        <w:rPr>
          <w:color w:val="000000" w:themeColor="text1"/>
          <w:kern w:val="0"/>
          <w:sz w:val="24"/>
          <w:szCs w:val="21"/>
          <w:highlight w:val="none"/>
          <w14:textFill>
            <w14:solidFill>
              <w14:schemeClr w14:val="tx1"/>
            </w14:solidFill>
          </w14:textFill>
        </w:rPr>
        <w:t>m</w:t>
      </w:r>
      <w:r>
        <w:rPr>
          <w:rFonts w:hint="eastAsia"/>
          <w:color w:val="000000" w:themeColor="text1"/>
          <w:kern w:val="0"/>
          <w:sz w:val="24"/>
          <w:szCs w:val="21"/>
          <w:highlight w:val="none"/>
          <w14:textFill>
            <w14:solidFill>
              <w14:schemeClr w14:val="tx1"/>
            </w14:solidFill>
          </w14:textFill>
        </w:rPr>
        <w:t xml:space="preserve">。 </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rFonts w:hint="eastAsia"/>
          <w:color w:val="000000" w:themeColor="text1"/>
          <w:kern w:val="0"/>
          <w:sz w:val="24"/>
          <w:szCs w:val="21"/>
          <w:highlight w:val="none"/>
          <w14:textFill>
            <w14:solidFill>
              <w14:schemeClr w14:val="tx1"/>
            </w14:solidFill>
          </w14:textFill>
        </w:rPr>
        <w:t>液体蒸汽总量按下式计算：</w:t>
      </w:r>
    </w:p>
    <w:p>
      <w:pPr>
        <w:spacing w:before="140" w:line="323" w:lineRule="exact"/>
        <w:ind w:left="3823"/>
        <w:rPr>
          <w:rFonts w:eastAsia="Times New Roman"/>
          <w:color w:val="000000" w:themeColor="text1"/>
          <w:sz w:val="15"/>
          <w:szCs w:val="15"/>
          <w:highlight w:val="none"/>
          <w14:textFill>
            <w14:solidFill>
              <w14:schemeClr w14:val="tx1"/>
            </w14:solidFill>
          </w14:textFill>
        </w:rPr>
      </w:pPr>
      <w:r>
        <w:rPr>
          <w:rFonts w:eastAsia="Times New Roman"/>
          <w:color w:val="000000" w:themeColor="text1"/>
          <w:position w:val="4"/>
          <w:sz w:val="24"/>
          <w:highlight w:val="none"/>
          <w14:textFill>
            <w14:solidFill>
              <w14:schemeClr w14:val="tx1"/>
            </w14:solidFill>
          </w14:textFill>
        </w:rPr>
        <w:t>Wp=Q</w:t>
      </w:r>
      <w:r>
        <w:rPr>
          <w:rFonts w:eastAsia="Times New Roman"/>
          <w:color w:val="000000" w:themeColor="text1"/>
          <w:position w:val="3"/>
          <w:sz w:val="15"/>
          <w:szCs w:val="15"/>
          <w:highlight w:val="none"/>
          <w14:textFill>
            <w14:solidFill>
              <w14:schemeClr w14:val="tx1"/>
            </w14:solidFill>
          </w14:textFill>
        </w:rPr>
        <w:t>3</w:t>
      </w:r>
      <w:r>
        <w:rPr>
          <w:rFonts w:eastAsia="Times New Roman"/>
          <w:color w:val="000000" w:themeColor="text1"/>
          <w:position w:val="4"/>
          <w:sz w:val="24"/>
          <w:highlight w:val="none"/>
          <w14:textFill>
            <w14:solidFill>
              <w14:schemeClr w14:val="tx1"/>
            </w14:solidFill>
          </w14:textFill>
        </w:rPr>
        <w:t>t</w:t>
      </w:r>
      <w:r>
        <w:rPr>
          <w:rFonts w:eastAsia="Times New Roman"/>
          <w:color w:val="000000" w:themeColor="text1"/>
          <w:position w:val="3"/>
          <w:sz w:val="15"/>
          <w:szCs w:val="15"/>
          <w:highlight w:val="none"/>
          <w14:textFill>
            <w14:solidFill>
              <w14:schemeClr w14:val="tx1"/>
            </w14:solidFill>
          </w14:textFill>
        </w:rPr>
        <w:t>3</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式中：</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Wp—液体蒸发总量，kg；</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Q</w:t>
      </w:r>
      <w:r>
        <w:rPr>
          <w:color w:val="000000" w:themeColor="text1"/>
          <w:kern w:val="0"/>
          <w:sz w:val="24"/>
          <w:szCs w:val="21"/>
          <w:highlight w:val="none"/>
          <w:vertAlign w:val="subscript"/>
          <w14:textFill>
            <w14:solidFill>
              <w14:schemeClr w14:val="tx1"/>
            </w14:solidFill>
          </w14:textFill>
        </w:rPr>
        <w:t>3</w:t>
      </w:r>
      <w:r>
        <w:rPr>
          <w:color w:val="000000" w:themeColor="text1"/>
          <w:kern w:val="0"/>
          <w:sz w:val="24"/>
          <w:szCs w:val="21"/>
          <w:highlight w:val="none"/>
          <w14:textFill>
            <w14:solidFill>
              <w14:schemeClr w14:val="tx1"/>
            </w14:solidFill>
          </w14:textFill>
        </w:rPr>
        <w:t>—质量蒸发速度，kg/s；</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t</w:t>
      </w:r>
      <w:r>
        <w:rPr>
          <w:color w:val="000000" w:themeColor="text1"/>
          <w:kern w:val="0"/>
          <w:sz w:val="24"/>
          <w:szCs w:val="21"/>
          <w:highlight w:val="none"/>
          <w:vertAlign w:val="subscript"/>
          <w14:textFill>
            <w14:solidFill>
              <w14:schemeClr w14:val="tx1"/>
            </w14:solidFill>
          </w14:textFill>
        </w:rPr>
        <w:t>3</w:t>
      </w:r>
      <w:r>
        <w:rPr>
          <w:color w:val="000000" w:themeColor="text1"/>
          <w:kern w:val="0"/>
          <w:sz w:val="24"/>
          <w:szCs w:val="21"/>
          <w:highlight w:val="none"/>
          <w14:textFill>
            <w14:solidFill>
              <w14:schemeClr w14:val="tx1"/>
            </w14:solidFill>
          </w14:textFill>
        </w:rPr>
        <w:t>—从液体泄漏到液体全部处理完毕的时间，s。</w:t>
      </w:r>
    </w:p>
    <w:p>
      <w:pPr>
        <w:widowControl/>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液池蒸发模式参数见表</w:t>
      </w:r>
      <w:r>
        <w:rPr>
          <w:rFonts w:hint="eastAsia"/>
          <w:color w:val="000000" w:themeColor="text1"/>
          <w:kern w:val="0"/>
          <w:sz w:val="24"/>
          <w:szCs w:val="21"/>
          <w:highlight w:val="none"/>
          <w:lang w:val="en-US" w:eastAsia="zh-CN"/>
          <w14:textFill>
            <w14:solidFill>
              <w14:schemeClr w14:val="tx1"/>
            </w14:solidFill>
          </w14:textFill>
        </w:rPr>
        <w:t>5-7</w:t>
      </w:r>
      <w:r>
        <w:rPr>
          <w:color w:val="000000" w:themeColor="text1"/>
          <w:kern w:val="0"/>
          <w:sz w:val="24"/>
          <w:szCs w:val="21"/>
          <w:highlight w:val="none"/>
          <w14:textFill>
            <w14:solidFill>
              <w14:schemeClr w14:val="tx1"/>
            </w14:solidFill>
          </w14:textFill>
        </w:rPr>
        <w:t>。</w:t>
      </w:r>
    </w:p>
    <w:p>
      <w:pPr>
        <w:pStyle w:val="57"/>
        <w:adjustRightInd/>
        <w:snapToGrid/>
        <w:spacing w:beforeLines="0" w:afterLines="0" w:line="240" w:lineRule="auto"/>
        <w:textAlignment w:val="baseline"/>
        <w:rPr>
          <w:rFonts w:ascii="Times New Roman"/>
          <w:b/>
          <w:color w:val="000000" w:themeColor="text1"/>
          <w:kern w:val="28"/>
          <w:highlight w:val="none"/>
          <w14:textFill>
            <w14:solidFill>
              <w14:schemeClr w14:val="tx1"/>
            </w14:solidFill>
          </w14:textFill>
        </w:rPr>
      </w:pPr>
      <w:r>
        <w:rPr>
          <w:rFonts w:ascii="Times New Roman"/>
          <w:b/>
          <w:color w:val="000000" w:themeColor="text1"/>
          <w:kern w:val="28"/>
          <w:highlight w:val="none"/>
          <w14:textFill>
            <w14:solidFill>
              <w14:schemeClr w14:val="tx1"/>
            </w14:solidFill>
          </w14:textFill>
        </w:rPr>
        <w:t>表</w:t>
      </w:r>
      <w:r>
        <w:rPr>
          <w:rFonts w:hint="eastAsia" w:ascii="Times New Roman"/>
          <w:b/>
          <w:color w:val="000000" w:themeColor="text1"/>
          <w:kern w:val="28"/>
          <w:highlight w:val="none"/>
          <w:lang w:val="en-US" w:eastAsia="zh-CN"/>
          <w14:textFill>
            <w14:solidFill>
              <w14:schemeClr w14:val="tx1"/>
            </w14:solidFill>
          </w14:textFill>
        </w:rPr>
        <w:t>5-7</w:t>
      </w:r>
      <w:r>
        <w:rPr>
          <w:rFonts w:hint="eastAsia" w:ascii="Times New Roman"/>
          <w:b/>
          <w:color w:val="000000" w:themeColor="text1"/>
          <w:kern w:val="28"/>
          <w:highlight w:val="none"/>
          <w14:textFill>
            <w14:solidFill>
              <w14:schemeClr w14:val="tx1"/>
            </w14:solidFill>
          </w14:textFill>
        </w:rPr>
        <w:t xml:space="preserve"> </w:t>
      </w:r>
      <w:r>
        <w:rPr>
          <w:rFonts w:hint="eastAsia" w:ascii="Times New Roman"/>
          <w:b/>
          <w:color w:val="000000" w:themeColor="text1"/>
          <w:kern w:val="28"/>
          <w:highlight w:val="none"/>
          <w:lang w:val="en-US" w:eastAsia="zh-CN"/>
          <w14:textFill>
            <w14:solidFill>
              <w14:schemeClr w14:val="tx1"/>
            </w14:solidFill>
          </w14:textFill>
        </w:rPr>
        <w:t xml:space="preserve"> </w:t>
      </w:r>
      <w:r>
        <w:rPr>
          <w:rFonts w:ascii="Times New Roman"/>
          <w:b/>
          <w:color w:val="000000" w:themeColor="text1"/>
          <w:kern w:val="28"/>
          <w:highlight w:val="none"/>
          <w14:textFill>
            <w14:solidFill>
              <w14:schemeClr w14:val="tx1"/>
            </w14:solidFill>
          </w14:textFill>
        </w:rPr>
        <w:t>液池蒸发模式参数</w:t>
      </w:r>
    </w:p>
    <w:tbl>
      <w:tblPr>
        <w:tblStyle w:val="9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82"/>
        <w:gridCol w:w="3082"/>
        <w:gridCol w:w="3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稳定度条件</w:t>
            </w:r>
          </w:p>
        </w:tc>
        <w:tc>
          <w:tcPr>
            <w:tcW w:w="1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n</w:t>
            </w:r>
          </w:p>
        </w:tc>
        <w:tc>
          <w:tcPr>
            <w:tcW w:w="16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不稳定(A,B)</w:t>
            </w:r>
          </w:p>
        </w:tc>
        <w:tc>
          <w:tcPr>
            <w:tcW w:w="1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0.2</w:t>
            </w:r>
          </w:p>
        </w:tc>
        <w:tc>
          <w:tcPr>
            <w:tcW w:w="16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3.</w:t>
            </w:r>
            <w:r>
              <w:rPr>
                <w:rFonts w:hint="eastAsia"/>
                <w:color w:val="000000" w:themeColor="text1"/>
                <w:spacing w:val="13"/>
                <w:sz w:val="21"/>
                <w:szCs w:val="21"/>
                <w:highlight w:val="none"/>
                <w14:textFill>
                  <w14:solidFill>
                    <w14:schemeClr w14:val="tx1"/>
                  </w14:solidFill>
                </w14:textFill>
              </w:rPr>
              <w:t>848</w:t>
            </w:r>
            <w:r>
              <w:rPr>
                <w:color w:val="000000" w:themeColor="text1"/>
                <w:spacing w:val="13"/>
                <w:sz w:val="21"/>
                <w:szCs w:val="21"/>
                <w:highlight w:val="none"/>
                <w14:textFill>
                  <w14:solidFill>
                    <w14:schemeClr w14:val="tx1"/>
                  </w14:solidFill>
                </w14:textFill>
              </w:rPr>
              <w:t>×10</w:t>
            </w:r>
            <w:r>
              <w:rPr>
                <w:rFonts w:hint="eastAsia"/>
                <w:color w:val="000000" w:themeColor="text1"/>
                <w:spacing w:val="13"/>
                <w:sz w:val="21"/>
                <w:szCs w:val="21"/>
                <w:highlight w:val="none"/>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中性(D)</w:t>
            </w:r>
          </w:p>
        </w:tc>
        <w:tc>
          <w:tcPr>
            <w:tcW w:w="1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0.25</w:t>
            </w:r>
          </w:p>
        </w:tc>
        <w:tc>
          <w:tcPr>
            <w:tcW w:w="16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4.</w:t>
            </w:r>
            <w:r>
              <w:rPr>
                <w:rFonts w:hint="eastAsia"/>
                <w:color w:val="000000" w:themeColor="text1"/>
                <w:spacing w:val="13"/>
                <w:sz w:val="21"/>
                <w:szCs w:val="21"/>
                <w:highlight w:val="none"/>
                <w14:textFill>
                  <w14:solidFill>
                    <w14:schemeClr w14:val="tx1"/>
                  </w14:solidFill>
                </w14:textFill>
              </w:rPr>
              <w:t>712</w:t>
            </w:r>
            <w:r>
              <w:rPr>
                <w:color w:val="000000" w:themeColor="text1"/>
                <w:spacing w:val="13"/>
                <w:sz w:val="21"/>
                <w:szCs w:val="21"/>
                <w:highlight w:val="none"/>
                <w14:textFill>
                  <w14:solidFill>
                    <w14:schemeClr w14:val="tx1"/>
                  </w14:solidFill>
                </w14:textFill>
              </w:rPr>
              <w:t>×10</w:t>
            </w:r>
            <w:r>
              <w:rPr>
                <w:rFonts w:hint="eastAsia"/>
                <w:color w:val="000000" w:themeColor="text1"/>
                <w:spacing w:val="13"/>
                <w:sz w:val="21"/>
                <w:szCs w:val="21"/>
                <w:highlight w:val="none"/>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稳定(E,F)</w:t>
            </w:r>
          </w:p>
        </w:tc>
        <w:tc>
          <w:tcPr>
            <w:tcW w:w="16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0.3</w:t>
            </w:r>
          </w:p>
        </w:tc>
        <w:tc>
          <w:tcPr>
            <w:tcW w:w="16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5.</w:t>
            </w:r>
            <w:r>
              <w:rPr>
                <w:rFonts w:hint="eastAsia"/>
                <w:color w:val="000000" w:themeColor="text1"/>
                <w:spacing w:val="13"/>
                <w:sz w:val="21"/>
                <w:szCs w:val="21"/>
                <w:highlight w:val="none"/>
                <w14:textFill>
                  <w14:solidFill>
                    <w14:schemeClr w14:val="tx1"/>
                  </w14:solidFill>
                </w14:textFill>
              </w:rPr>
              <w:t>436</w:t>
            </w:r>
            <w:r>
              <w:rPr>
                <w:color w:val="000000" w:themeColor="text1"/>
                <w:spacing w:val="13"/>
                <w:sz w:val="21"/>
                <w:szCs w:val="21"/>
                <w:highlight w:val="none"/>
                <w14:textFill>
                  <w14:solidFill>
                    <w14:schemeClr w14:val="tx1"/>
                  </w14:solidFill>
                </w14:textFill>
              </w:rPr>
              <w:t>×10</w:t>
            </w:r>
            <w:r>
              <w:rPr>
                <w:rFonts w:hint="eastAsia"/>
                <w:color w:val="000000" w:themeColor="text1"/>
                <w:spacing w:val="13"/>
                <w:sz w:val="21"/>
                <w:szCs w:val="21"/>
                <w:highlight w:val="none"/>
                <w:vertAlign w:val="superscript"/>
                <w14:textFill>
                  <w14:solidFill>
                    <w14:schemeClr w14:val="tx1"/>
                  </w14:solidFill>
                </w14:textFill>
              </w:rPr>
              <w:t>-3</w:t>
            </w:r>
          </w:p>
        </w:tc>
      </w:tr>
    </w:tbl>
    <w:p>
      <w:pPr>
        <w:widowControl/>
        <w:spacing w:before="120" w:beforeLines="50"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选取最不利的气象条件进行蒸发量的计算，计算结果见表</w:t>
      </w:r>
      <w:r>
        <w:rPr>
          <w:rFonts w:hint="eastAsia"/>
          <w:color w:val="000000" w:themeColor="text1"/>
          <w:kern w:val="0"/>
          <w:sz w:val="24"/>
          <w:szCs w:val="21"/>
          <w:highlight w:val="none"/>
          <w:lang w:val="en-US" w:eastAsia="zh-CN"/>
          <w14:textFill>
            <w14:solidFill>
              <w14:schemeClr w14:val="tx1"/>
            </w14:solidFill>
          </w14:textFill>
        </w:rPr>
        <w:t>5-8</w:t>
      </w:r>
      <w:r>
        <w:rPr>
          <w:color w:val="000000" w:themeColor="text1"/>
          <w:kern w:val="0"/>
          <w:sz w:val="24"/>
          <w:szCs w:val="21"/>
          <w:highlight w:val="none"/>
          <w14:textFill>
            <w14:solidFill>
              <w14:schemeClr w14:val="tx1"/>
            </w14:solidFill>
          </w14:textFill>
        </w:rPr>
        <w:t>。</w:t>
      </w:r>
    </w:p>
    <w:p>
      <w:pPr>
        <w:pStyle w:val="57"/>
        <w:adjustRightInd/>
        <w:snapToGrid/>
        <w:spacing w:beforeLines="0" w:afterLines="0" w:line="240" w:lineRule="auto"/>
        <w:textAlignment w:val="baseline"/>
        <w:rPr>
          <w:rFonts w:ascii="Times New Roman"/>
          <w:b/>
          <w:color w:val="000000" w:themeColor="text1"/>
          <w:kern w:val="28"/>
          <w:highlight w:val="none"/>
          <w14:textFill>
            <w14:solidFill>
              <w14:schemeClr w14:val="tx1"/>
            </w14:solidFill>
          </w14:textFill>
        </w:rPr>
      </w:pPr>
      <w:r>
        <w:rPr>
          <w:rFonts w:ascii="Times New Roman"/>
          <w:b/>
          <w:color w:val="000000" w:themeColor="text1"/>
          <w:kern w:val="28"/>
          <w:highlight w:val="none"/>
          <w14:textFill>
            <w14:solidFill>
              <w14:schemeClr w14:val="tx1"/>
            </w14:solidFill>
          </w14:textFill>
        </w:rPr>
        <w:t>表</w:t>
      </w:r>
      <w:r>
        <w:rPr>
          <w:rFonts w:hint="eastAsia" w:ascii="Times New Roman"/>
          <w:b/>
          <w:color w:val="000000" w:themeColor="text1"/>
          <w:kern w:val="28"/>
          <w:highlight w:val="none"/>
          <w:lang w:val="en-US" w:eastAsia="zh-CN"/>
          <w14:textFill>
            <w14:solidFill>
              <w14:schemeClr w14:val="tx1"/>
            </w14:solidFill>
          </w14:textFill>
        </w:rPr>
        <w:t xml:space="preserve">5-8 </w:t>
      </w:r>
      <w:r>
        <w:rPr>
          <w:rFonts w:ascii="Times New Roman"/>
          <w:b/>
          <w:color w:val="000000" w:themeColor="text1"/>
          <w:kern w:val="28"/>
          <w:highlight w:val="none"/>
          <w14:textFill>
            <w14:solidFill>
              <w14:schemeClr w14:val="tx1"/>
            </w14:solidFill>
          </w14:textFill>
        </w:rPr>
        <w:t>质量蒸发计算结果</w:t>
      </w:r>
    </w:p>
    <w:tbl>
      <w:tblPr>
        <w:tblStyle w:val="9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18"/>
        <w:gridCol w:w="1319"/>
        <w:gridCol w:w="1101"/>
        <w:gridCol w:w="968"/>
        <w:gridCol w:w="968"/>
        <w:gridCol w:w="968"/>
        <w:gridCol w:w="968"/>
        <w:gridCol w:w="1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危险物质</w:t>
            </w:r>
          </w:p>
        </w:tc>
        <w:tc>
          <w:tcPr>
            <w:tcW w:w="7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项目</w:t>
            </w:r>
          </w:p>
        </w:tc>
        <w:tc>
          <w:tcPr>
            <w:tcW w:w="5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a</w:t>
            </w:r>
          </w:p>
        </w:tc>
        <w:tc>
          <w:tcPr>
            <w:tcW w:w="5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p</w:t>
            </w:r>
          </w:p>
        </w:tc>
        <w:tc>
          <w:tcPr>
            <w:tcW w:w="5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R</w:t>
            </w:r>
          </w:p>
        </w:tc>
        <w:tc>
          <w:tcPr>
            <w:tcW w:w="5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n</w:t>
            </w:r>
          </w:p>
        </w:tc>
        <w:tc>
          <w:tcPr>
            <w:tcW w:w="5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r</w:t>
            </w:r>
          </w:p>
        </w:tc>
        <w:tc>
          <w:tcPr>
            <w:tcW w:w="8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Q</w:t>
            </w:r>
            <w:r>
              <w:rPr>
                <w:color w:val="000000" w:themeColor="text1"/>
                <w:spacing w:val="13"/>
                <w:sz w:val="21"/>
                <w:szCs w:val="21"/>
                <w:highlight w:val="none"/>
                <w:vertAlign w:val="subscript"/>
                <w14:textFill>
                  <w14:solidFill>
                    <w14:schemeClr w14:val="tx1"/>
                  </w14:solidFill>
                </w14:textFill>
              </w:rPr>
              <w:t>3</w:t>
            </w:r>
            <w:r>
              <w:rPr>
                <w:color w:val="000000" w:themeColor="text1"/>
                <w:spacing w:val="13"/>
                <w:sz w:val="21"/>
                <w:szCs w:val="21"/>
                <w:highlight w:val="none"/>
                <w14:textFill>
                  <w14:solidFill>
                    <w14:schemeClr w14:val="tx1"/>
                  </w14:solidFill>
                </w14:textFill>
              </w:rPr>
              <w:t>（稳定F）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rFonts w:hint="eastAsia"/>
                <w:color w:val="000000" w:themeColor="text1"/>
                <w:spacing w:val="13"/>
                <w:sz w:val="21"/>
                <w:szCs w:val="21"/>
                <w:highlight w:val="none"/>
                <w:lang w:val="en-US" w:eastAsia="zh-CN"/>
                <w14:textFill>
                  <w14:solidFill>
                    <w14:schemeClr w14:val="tx1"/>
                  </w14:solidFill>
                </w14:textFill>
              </w:rPr>
              <w:t>柴</w:t>
            </w:r>
            <w:r>
              <w:rPr>
                <w:rFonts w:hint="eastAsia"/>
                <w:color w:val="000000" w:themeColor="text1"/>
                <w:spacing w:val="13"/>
                <w:sz w:val="21"/>
                <w:szCs w:val="21"/>
                <w:highlight w:val="none"/>
                <w14:textFill>
                  <w14:solidFill>
                    <w14:schemeClr w14:val="tx1"/>
                  </w14:solidFill>
                </w14:textFill>
              </w:rPr>
              <w:t>油</w:t>
            </w:r>
          </w:p>
        </w:tc>
        <w:tc>
          <w:tcPr>
            <w:tcW w:w="71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液池蒸发</w:t>
            </w:r>
          </w:p>
        </w:tc>
        <w:tc>
          <w:tcPr>
            <w:tcW w:w="5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0.00</w:t>
            </w:r>
            <w:r>
              <w:rPr>
                <w:rFonts w:hint="eastAsia"/>
                <w:color w:val="000000" w:themeColor="text1"/>
                <w:spacing w:val="13"/>
                <w:sz w:val="21"/>
                <w:szCs w:val="21"/>
                <w:highlight w:val="none"/>
                <w14:textFill>
                  <w14:solidFill>
                    <w14:schemeClr w14:val="tx1"/>
                  </w14:solidFill>
                </w14:textFill>
              </w:rPr>
              <w:t>5436</w:t>
            </w:r>
          </w:p>
        </w:tc>
        <w:tc>
          <w:tcPr>
            <w:tcW w:w="5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600</w:t>
            </w:r>
          </w:p>
        </w:tc>
        <w:tc>
          <w:tcPr>
            <w:tcW w:w="5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8.314</w:t>
            </w:r>
          </w:p>
        </w:tc>
        <w:tc>
          <w:tcPr>
            <w:tcW w:w="5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0.3</w:t>
            </w:r>
          </w:p>
        </w:tc>
        <w:tc>
          <w:tcPr>
            <w:tcW w:w="52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rFonts w:hint="eastAsia"/>
                <w:color w:val="000000" w:themeColor="text1"/>
                <w:spacing w:val="13"/>
                <w:sz w:val="21"/>
                <w:szCs w:val="21"/>
                <w:highlight w:val="none"/>
                <w14:textFill>
                  <w14:solidFill>
                    <w14:schemeClr w14:val="tx1"/>
                  </w14:solidFill>
                </w14:textFill>
              </w:rPr>
              <w:t>8.5</w:t>
            </w:r>
          </w:p>
        </w:tc>
        <w:tc>
          <w:tcPr>
            <w:tcW w:w="8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0.</w:t>
            </w:r>
            <w:r>
              <w:rPr>
                <w:rFonts w:hint="eastAsia"/>
                <w:color w:val="000000" w:themeColor="text1"/>
                <w:spacing w:val="13"/>
                <w:sz w:val="21"/>
                <w:szCs w:val="21"/>
                <w:highlight w:val="none"/>
                <w14:textFill>
                  <w14:solidFill>
                    <w14:schemeClr w14:val="tx1"/>
                  </w14:solidFill>
                </w14:textFill>
              </w:rPr>
              <w:t>512</w:t>
            </w:r>
          </w:p>
        </w:tc>
      </w:tr>
    </w:tbl>
    <w:p>
      <w:pPr>
        <w:widowControl/>
        <w:spacing w:before="120" w:beforeLines="50"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通过</w:t>
      </w:r>
      <w:r>
        <w:rPr>
          <w:rFonts w:hint="eastAsia"/>
          <w:color w:val="000000" w:themeColor="text1"/>
          <w:kern w:val="0"/>
          <w:sz w:val="24"/>
          <w:szCs w:val="21"/>
          <w:highlight w:val="none"/>
          <w:lang w:val="en-US" w:eastAsia="zh-CN"/>
          <w14:textFill>
            <w14:solidFill>
              <w14:schemeClr w14:val="tx1"/>
            </w14:solidFill>
          </w14:textFill>
        </w:rPr>
        <w:t>柴油</w:t>
      </w:r>
      <w:r>
        <w:rPr>
          <w:color w:val="000000" w:themeColor="text1"/>
          <w:kern w:val="0"/>
          <w:sz w:val="24"/>
          <w:szCs w:val="21"/>
          <w:highlight w:val="none"/>
          <w14:textFill>
            <w14:solidFill>
              <w14:schemeClr w14:val="tx1"/>
            </w14:solidFill>
          </w14:textFill>
        </w:rPr>
        <w:t>泄漏量和蒸发量的计算，确定的源强见表</w:t>
      </w:r>
      <w:r>
        <w:rPr>
          <w:rFonts w:hint="eastAsia"/>
          <w:color w:val="000000" w:themeColor="text1"/>
          <w:kern w:val="0"/>
          <w:sz w:val="24"/>
          <w:szCs w:val="21"/>
          <w:highlight w:val="none"/>
          <w:lang w:val="en-US" w:eastAsia="zh-CN"/>
          <w14:textFill>
            <w14:solidFill>
              <w14:schemeClr w14:val="tx1"/>
            </w14:solidFill>
          </w14:textFill>
        </w:rPr>
        <w:t>5-9</w:t>
      </w:r>
      <w:r>
        <w:rPr>
          <w:color w:val="000000" w:themeColor="text1"/>
          <w:kern w:val="0"/>
          <w:sz w:val="24"/>
          <w:szCs w:val="21"/>
          <w:highlight w:val="none"/>
          <w14:textFill>
            <w14:solidFill>
              <w14:schemeClr w14:val="tx1"/>
            </w14:solidFill>
          </w14:textFill>
        </w:rPr>
        <w:t>。</w:t>
      </w:r>
    </w:p>
    <w:p>
      <w:pPr>
        <w:pStyle w:val="57"/>
        <w:adjustRightInd/>
        <w:snapToGrid/>
        <w:spacing w:beforeLines="0" w:afterLines="0" w:line="240" w:lineRule="auto"/>
        <w:textAlignment w:val="baseline"/>
        <w:rPr>
          <w:rFonts w:ascii="Times New Roman"/>
          <w:b/>
          <w:color w:val="000000" w:themeColor="text1"/>
          <w:kern w:val="28"/>
          <w:highlight w:val="none"/>
          <w14:textFill>
            <w14:solidFill>
              <w14:schemeClr w14:val="tx1"/>
            </w14:solidFill>
          </w14:textFill>
        </w:rPr>
      </w:pPr>
      <w:r>
        <w:rPr>
          <w:rFonts w:ascii="Times New Roman"/>
          <w:b/>
          <w:color w:val="000000" w:themeColor="text1"/>
          <w:kern w:val="28"/>
          <w:highlight w:val="none"/>
          <w14:textFill>
            <w14:solidFill>
              <w14:schemeClr w14:val="tx1"/>
            </w14:solidFill>
          </w14:textFill>
        </w:rPr>
        <w:t>表</w:t>
      </w:r>
      <w:r>
        <w:rPr>
          <w:rFonts w:hint="eastAsia" w:ascii="Times New Roman"/>
          <w:b/>
          <w:color w:val="000000" w:themeColor="text1"/>
          <w:kern w:val="28"/>
          <w:highlight w:val="none"/>
          <w:lang w:val="en-US" w:eastAsia="zh-CN"/>
          <w14:textFill>
            <w14:solidFill>
              <w14:schemeClr w14:val="tx1"/>
            </w14:solidFill>
          </w14:textFill>
        </w:rPr>
        <w:t xml:space="preserve">5-9 </w:t>
      </w:r>
      <w:r>
        <w:rPr>
          <w:rFonts w:ascii="Times New Roman"/>
          <w:b/>
          <w:color w:val="000000" w:themeColor="text1"/>
          <w:kern w:val="28"/>
          <w:highlight w:val="none"/>
          <w14:textFill>
            <w14:solidFill>
              <w14:schemeClr w14:val="tx1"/>
            </w14:solidFill>
          </w14:textFill>
        </w:rPr>
        <w:t xml:space="preserve"> 源强统计表</w:t>
      </w:r>
    </w:p>
    <w:tbl>
      <w:tblPr>
        <w:tblStyle w:val="9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516"/>
        <w:gridCol w:w="3366"/>
        <w:gridCol w:w="3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6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危险物质</w:t>
            </w:r>
          </w:p>
        </w:tc>
        <w:tc>
          <w:tcPr>
            <w:tcW w:w="3639"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源项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6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p>
        </w:tc>
        <w:tc>
          <w:tcPr>
            <w:tcW w:w="18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蒸发量（kg/s）</w:t>
            </w:r>
          </w:p>
        </w:tc>
        <w:tc>
          <w:tcPr>
            <w:tcW w:w="18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泄漏时间（分钟）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rFonts w:hint="eastAsia"/>
                <w:color w:val="000000" w:themeColor="text1"/>
                <w:spacing w:val="13"/>
                <w:sz w:val="21"/>
                <w:szCs w:val="21"/>
                <w:highlight w:val="none"/>
                <w:lang w:val="en-US" w:eastAsia="zh-CN"/>
                <w14:textFill>
                  <w14:solidFill>
                    <w14:schemeClr w14:val="tx1"/>
                  </w14:solidFill>
                </w14:textFill>
              </w:rPr>
              <w:t>柴</w:t>
            </w:r>
            <w:r>
              <w:rPr>
                <w:color w:val="000000" w:themeColor="text1"/>
                <w:spacing w:val="13"/>
                <w:sz w:val="21"/>
                <w:szCs w:val="21"/>
                <w:highlight w:val="none"/>
                <w14:textFill>
                  <w14:solidFill>
                    <w14:schemeClr w14:val="tx1"/>
                  </w14:solidFill>
                </w14:textFill>
              </w:rPr>
              <w:t>油</w:t>
            </w:r>
          </w:p>
        </w:tc>
        <w:tc>
          <w:tcPr>
            <w:tcW w:w="18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0.512</w:t>
            </w:r>
          </w:p>
        </w:tc>
        <w:tc>
          <w:tcPr>
            <w:tcW w:w="18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000000" w:themeColor="text1"/>
                <w:spacing w:val="13"/>
                <w:sz w:val="21"/>
                <w:szCs w:val="21"/>
                <w:highlight w:val="none"/>
                <w14:textFill>
                  <w14:solidFill>
                    <w14:schemeClr w14:val="tx1"/>
                  </w14:solidFill>
                </w14:textFill>
              </w:rPr>
            </w:pPr>
            <w:r>
              <w:rPr>
                <w:color w:val="000000" w:themeColor="text1"/>
                <w:spacing w:val="13"/>
                <w:sz w:val="21"/>
                <w:szCs w:val="21"/>
                <w:highlight w:val="none"/>
                <w14:textFill>
                  <w14:solidFill>
                    <w14:schemeClr w14:val="tx1"/>
                  </w14:solidFill>
                </w14:textFill>
              </w:rPr>
              <w:t>20</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rFonts w:hint="eastAsia" w:eastAsia="宋体"/>
          <w:color w:val="000000" w:themeColor="text1"/>
          <w:sz w:val="24"/>
          <w:szCs w:val="24"/>
          <w:lang w:val="en-US" w:eastAsia="zh-CN"/>
          <w14:textFill>
            <w14:solidFill>
              <w14:schemeClr w14:val="tx1"/>
            </w14:solidFill>
          </w14:textFill>
        </w:rPr>
      </w:pPr>
      <w:r>
        <w:rPr>
          <w:color w:val="000000" w:themeColor="text1"/>
          <w:kern w:val="0"/>
          <w:sz w:val="24"/>
          <w:szCs w:val="21"/>
          <w:highlight w:val="none"/>
          <w14:textFill>
            <w14:solidFill>
              <w14:schemeClr w14:val="tx1"/>
            </w14:solidFill>
          </w14:textFill>
        </w:rPr>
        <w:t>经计算</w:t>
      </w:r>
      <w:r>
        <w:rPr>
          <w:rFonts w:hint="eastAsia"/>
          <w:color w:val="000000" w:themeColor="text1"/>
          <w:kern w:val="0"/>
          <w:sz w:val="24"/>
          <w:szCs w:val="21"/>
          <w:highlight w:val="none"/>
          <w:lang w:val="en-US" w:eastAsia="zh-CN"/>
          <w14:textFill>
            <w14:solidFill>
              <w14:schemeClr w14:val="tx1"/>
            </w14:solidFill>
          </w14:textFill>
        </w:rPr>
        <w:t>柴</w:t>
      </w:r>
      <w:r>
        <w:rPr>
          <w:rFonts w:hint="eastAsia"/>
          <w:color w:val="000000" w:themeColor="text1"/>
          <w:kern w:val="0"/>
          <w:sz w:val="24"/>
          <w:szCs w:val="21"/>
          <w:highlight w:val="none"/>
          <w14:textFill>
            <w14:solidFill>
              <w14:schemeClr w14:val="tx1"/>
            </w14:solidFill>
          </w14:textFill>
        </w:rPr>
        <w:t>油</w:t>
      </w:r>
      <w:r>
        <w:rPr>
          <w:color w:val="000000" w:themeColor="text1"/>
          <w:kern w:val="0"/>
          <w:sz w:val="24"/>
          <w:szCs w:val="21"/>
          <w:highlight w:val="none"/>
          <w14:textFill>
            <w14:solidFill>
              <w14:schemeClr w14:val="tx1"/>
            </w14:solidFill>
          </w14:textFill>
        </w:rPr>
        <w:t>泄漏速率为</w:t>
      </w:r>
      <w:r>
        <w:rPr>
          <w:rFonts w:hint="eastAsia"/>
          <w:color w:val="000000" w:themeColor="text1"/>
          <w:kern w:val="0"/>
          <w:sz w:val="24"/>
          <w:szCs w:val="21"/>
          <w:highlight w:val="none"/>
          <w14:textFill>
            <w14:solidFill>
              <w14:schemeClr w14:val="tx1"/>
            </w14:solidFill>
          </w14:textFill>
        </w:rPr>
        <w:t>0.512</w:t>
      </w:r>
      <w:r>
        <w:rPr>
          <w:color w:val="000000" w:themeColor="text1"/>
          <w:kern w:val="0"/>
          <w:sz w:val="24"/>
          <w:szCs w:val="21"/>
          <w:highlight w:val="none"/>
          <w14:textFill>
            <w14:solidFill>
              <w14:schemeClr w14:val="tx1"/>
            </w14:solidFill>
          </w14:textFill>
        </w:rPr>
        <w:t>kg/s，泄漏发生于单个罐体，罐内</w:t>
      </w:r>
      <w:r>
        <w:rPr>
          <w:rFonts w:hint="eastAsia"/>
          <w:color w:val="000000" w:themeColor="text1"/>
          <w:kern w:val="0"/>
          <w:sz w:val="24"/>
          <w:szCs w:val="21"/>
          <w:highlight w:val="none"/>
          <w:lang w:val="en-US" w:eastAsia="zh-CN"/>
          <w14:textFill>
            <w14:solidFill>
              <w14:schemeClr w14:val="tx1"/>
            </w14:solidFill>
          </w14:textFill>
        </w:rPr>
        <w:t>柴</w:t>
      </w:r>
      <w:r>
        <w:rPr>
          <w:rFonts w:hint="eastAsia"/>
          <w:color w:val="000000" w:themeColor="text1"/>
          <w:kern w:val="0"/>
          <w:sz w:val="24"/>
          <w:szCs w:val="21"/>
          <w:highlight w:val="none"/>
          <w14:textFill>
            <w14:solidFill>
              <w14:schemeClr w14:val="tx1"/>
            </w14:solidFill>
          </w14:textFill>
        </w:rPr>
        <w:t>油</w:t>
      </w:r>
      <w:r>
        <w:rPr>
          <w:color w:val="000000" w:themeColor="text1"/>
          <w:kern w:val="0"/>
          <w:sz w:val="24"/>
          <w:szCs w:val="21"/>
          <w:highlight w:val="none"/>
          <w14:textFill>
            <w14:solidFill>
              <w14:schemeClr w14:val="tx1"/>
            </w14:solidFill>
          </w14:textFill>
        </w:rPr>
        <w:t>储量为</w:t>
      </w:r>
      <w:r>
        <w:rPr>
          <w:rFonts w:hint="eastAsia"/>
          <w:color w:val="000000" w:themeColor="text1"/>
          <w:kern w:val="0"/>
          <w:sz w:val="24"/>
          <w:szCs w:val="21"/>
          <w:highlight w:val="none"/>
          <w:lang w:val="en-US" w:eastAsia="zh-CN"/>
          <w14:textFill>
            <w14:solidFill>
              <w14:schemeClr w14:val="tx1"/>
            </w14:solidFill>
          </w14:textFill>
        </w:rPr>
        <w:t>1428</w:t>
      </w:r>
      <w:r>
        <w:rPr>
          <w:color w:val="000000" w:themeColor="text1"/>
          <w:kern w:val="0"/>
          <w:sz w:val="24"/>
          <w:szCs w:val="21"/>
          <w:highlight w:val="none"/>
          <w14:textFill>
            <w14:solidFill>
              <w14:schemeClr w14:val="tx1"/>
            </w14:solidFill>
          </w14:textFill>
        </w:rPr>
        <w:t>t，则需要</w:t>
      </w:r>
      <w:r>
        <w:rPr>
          <w:rFonts w:hint="eastAsia"/>
          <w:color w:val="000000" w:themeColor="text1"/>
          <w:kern w:val="0"/>
          <w:sz w:val="24"/>
          <w:szCs w:val="21"/>
          <w:highlight w:val="none"/>
          <w:lang w:val="en-US" w:eastAsia="zh-CN"/>
          <w14:textFill>
            <w14:solidFill>
              <w14:schemeClr w14:val="tx1"/>
            </w14:solidFill>
          </w14:textFill>
        </w:rPr>
        <w:t>774.7</w:t>
      </w:r>
      <w:r>
        <w:rPr>
          <w:color w:val="000000" w:themeColor="text1"/>
          <w:kern w:val="0"/>
          <w:sz w:val="24"/>
          <w:szCs w:val="21"/>
          <w:highlight w:val="none"/>
          <w14:textFill>
            <w14:solidFill>
              <w14:schemeClr w14:val="tx1"/>
            </w14:solidFill>
          </w14:textFill>
        </w:rPr>
        <w:t>h可泄漏完全。当储罐发生泄漏，安全系统报警，20min之内泄漏点被发现并处理，则</w:t>
      </w:r>
      <w:r>
        <w:rPr>
          <w:rFonts w:hint="eastAsia"/>
          <w:color w:val="000000" w:themeColor="text1"/>
          <w:kern w:val="0"/>
          <w:sz w:val="24"/>
          <w:szCs w:val="21"/>
          <w:highlight w:val="none"/>
          <w:lang w:val="en-US" w:eastAsia="zh-CN"/>
          <w14:textFill>
            <w14:solidFill>
              <w14:schemeClr w14:val="tx1"/>
            </w14:solidFill>
          </w14:textFill>
        </w:rPr>
        <w:t>柴</w:t>
      </w:r>
      <w:r>
        <w:rPr>
          <w:rFonts w:hint="eastAsia"/>
          <w:color w:val="000000" w:themeColor="text1"/>
          <w:kern w:val="0"/>
          <w:sz w:val="24"/>
          <w:szCs w:val="21"/>
          <w:highlight w:val="none"/>
          <w14:textFill>
            <w14:solidFill>
              <w14:schemeClr w14:val="tx1"/>
            </w14:solidFill>
          </w14:textFill>
        </w:rPr>
        <w:t>油</w:t>
      </w:r>
      <w:r>
        <w:rPr>
          <w:color w:val="000000" w:themeColor="text1"/>
          <w:kern w:val="0"/>
          <w:sz w:val="24"/>
          <w:szCs w:val="21"/>
          <w:highlight w:val="none"/>
          <w14:textFill>
            <w14:solidFill>
              <w14:schemeClr w14:val="tx1"/>
            </w14:solidFill>
          </w14:textFill>
        </w:rPr>
        <w:t>最大</w:t>
      </w:r>
      <w:r>
        <w:rPr>
          <w:rFonts w:hint="eastAsia"/>
          <w:color w:val="000000" w:themeColor="text1"/>
          <w:kern w:val="0"/>
          <w:sz w:val="24"/>
          <w:szCs w:val="21"/>
          <w:highlight w:val="none"/>
          <w:lang w:val="en-US" w:eastAsia="zh-CN"/>
          <w14:textFill>
            <w14:solidFill>
              <w14:schemeClr w14:val="tx1"/>
            </w14:solidFill>
          </w14:textFill>
        </w:rPr>
        <w:t>蒸发</w:t>
      </w:r>
      <w:r>
        <w:rPr>
          <w:color w:val="000000" w:themeColor="text1"/>
          <w:kern w:val="0"/>
          <w:sz w:val="24"/>
          <w:szCs w:val="21"/>
          <w:highlight w:val="none"/>
          <w14:textFill>
            <w14:solidFill>
              <w14:schemeClr w14:val="tx1"/>
            </w14:solidFill>
          </w14:textFill>
        </w:rPr>
        <w:t>量为</w:t>
      </w:r>
      <w:r>
        <w:rPr>
          <w:rFonts w:hint="eastAsia"/>
          <w:color w:val="000000" w:themeColor="text1"/>
          <w:kern w:val="0"/>
          <w:sz w:val="24"/>
          <w:szCs w:val="21"/>
          <w:highlight w:val="none"/>
          <w14:textFill>
            <w14:solidFill>
              <w14:schemeClr w14:val="tx1"/>
            </w14:solidFill>
          </w14:textFill>
        </w:rPr>
        <w:t>614</w:t>
      </w:r>
      <w:r>
        <w:rPr>
          <w:color w:val="000000" w:themeColor="text1"/>
          <w:kern w:val="0"/>
          <w:sz w:val="24"/>
          <w:szCs w:val="21"/>
          <w:highlight w:val="none"/>
          <w14:textFill>
            <w14:solidFill>
              <w14:schemeClr w14:val="tx1"/>
            </w14:solidFill>
          </w14:textFill>
        </w:rPr>
        <w:t>kg</w:t>
      </w:r>
      <w:r>
        <w:rPr>
          <w:rFonts w:hint="eastAsia"/>
          <w:color w:val="000000" w:themeColor="text1"/>
          <w:spacing w:val="6"/>
          <w:sz w:val="24"/>
          <w:szCs w:val="24"/>
          <w:lang w:eastAsia="zh-CN"/>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0" w:firstLineChars="0"/>
        <w:textAlignment w:val="auto"/>
        <w:outlineLvl w:val="0"/>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3"/>
          <w:sz w:val="28"/>
          <w:szCs w:val="28"/>
          <w14:textFill>
            <w14:solidFill>
              <w14:schemeClr w14:val="tx1"/>
            </w14:solidFill>
          </w14:textFill>
        </w:rPr>
        <w:t>6</w:t>
      </w:r>
      <w:r>
        <w:rPr>
          <w:b/>
          <w:bCs/>
          <w:color w:val="000000" w:themeColor="text1"/>
          <w:spacing w:val="-3"/>
          <w:sz w:val="28"/>
          <w:szCs w:val="28"/>
          <w14:textFill>
            <w14:solidFill>
              <w14:schemeClr w14:val="tx1"/>
            </w14:solidFill>
          </w14:textFill>
        </w:rPr>
        <w:t>风险预测与评价</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7"/>
          <w:sz w:val="24"/>
          <w:szCs w:val="24"/>
          <w14:textFill>
            <w14:solidFill>
              <w14:schemeClr w14:val="tx1"/>
            </w14:solidFill>
          </w14:textFill>
        </w:rPr>
        <w:t>6.1</w:t>
      </w:r>
      <w:r>
        <w:rPr>
          <w:b/>
          <w:bCs/>
          <w:color w:val="000000" w:themeColor="text1"/>
          <w:spacing w:val="7"/>
          <w:sz w:val="24"/>
          <w:szCs w:val="24"/>
          <w14:textFill>
            <w14:solidFill>
              <w14:schemeClr w14:val="tx1"/>
            </w14:solidFill>
          </w14:textFill>
        </w:rPr>
        <w:t>有毒有害物质在大气中的扩散及评价</w:t>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3"/>
        <w:jc w:val="both"/>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项目油品发生火灾及爆炸后，燃烧烟气中次生污染物</w:t>
      </w:r>
      <w:r>
        <w:rPr>
          <w:rFonts w:ascii="Times New Roman" w:hAnsi="Times New Roman" w:eastAsia="Times New Roman" w:cs="Times New Roman"/>
          <w:color w:val="000000" w:themeColor="text1"/>
          <w:sz w:val="24"/>
          <w:szCs w:val="24"/>
          <w14:textFill>
            <w14:solidFill>
              <w14:schemeClr w14:val="tx1"/>
            </w14:solidFill>
          </w14:textFill>
        </w:rPr>
        <w:t>SO</w:t>
      </w:r>
      <w:r>
        <w:rPr>
          <w:rFonts w:ascii="Times New Roman" w:hAnsi="Times New Roman" w:eastAsia="Times New Roman" w:cs="Times New Roman"/>
          <w:color w:val="000000" w:themeColor="text1"/>
          <w:spacing w:val="9"/>
          <w:position w:val="-1"/>
          <w:sz w:val="24"/>
          <w:szCs w:val="24"/>
          <w:vertAlign w:val="subscript"/>
          <w14:textFill>
            <w14:solidFill>
              <w14:schemeClr w14:val="tx1"/>
            </w14:solidFill>
          </w14:textFill>
        </w:rPr>
        <w:t>2</w:t>
      </w:r>
      <w:r>
        <w:rPr>
          <w:color w:val="000000" w:themeColor="text1"/>
          <w:spacing w:val="9"/>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CO</w:t>
      </w:r>
      <w:r>
        <w:rPr>
          <w:color w:val="000000" w:themeColor="text1"/>
          <w:spacing w:val="9"/>
          <w:sz w:val="24"/>
          <w:szCs w:val="24"/>
          <w14:textFill>
            <w14:solidFill>
              <w14:schemeClr w14:val="tx1"/>
            </w14:solidFill>
          </w14:textFill>
        </w:rPr>
        <w:t>将在风的作用下在</w:t>
      </w:r>
      <w:r>
        <w:rPr>
          <w:color w:val="000000" w:themeColor="text1"/>
          <w:spacing w:val="10"/>
          <w:sz w:val="24"/>
          <w:szCs w:val="24"/>
          <w14:textFill>
            <w14:solidFill>
              <w14:schemeClr w14:val="tx1"/>
            </w14:solidFill>
          </w14:textFill>
        </w:rPr>
        <w:t>空气中迁移扩散，</w:t>
      </w:r>
      <w:r>
        <w:rPr>
          <w:rFonts w:ascii="Times New Roman" w:hAnsi="Times New Roman" w:eastAsia="Times New Roman" w:cs="Times New Roman"/>
          <w:color w:val="000000" w:themeColor="text1"/>
          <w:sz w:val="24"/>
          <w:szCs w:val="24"/>
          <w14:textFill>
            <w14:solidFill>
              <w14:schemeClr w14:val="tx1"/>
            </w14:solidFill>
          </w14:textFill>
        </w:rPr>
        <w:t>SO</w:t>
      </w:r>
      <w:r>
        <w:rPr>
          <w:rFonts w:ascii="Times New Roman" w:hAnsi="Times New Roman" w:eastAsia="Times New Roman" w:cs="Times New Roman"/>
          <w:color w:val="000000" w:themeColor="text1"/>
          <w:spacing w:val="10"/>
          <w:position w:val="-1"/>
          <w:sz w:val="24"/>
          <w:szCs w:val="24"/>
          <w:vertAlign w:val="subscript"/>
          <w14:textFill>
            <w14:solidFill>
              <w14:schemeClr w14:val="tx1"/>
            </w14:solidFill>
          </w14:textFill>
        </w:rPr>
        <w:t>2</w:t>
      </w:r>
      <w:r>
        <w:rPr>
          <w:color w:val="000000" w:themeColor="text1"/>
          <w:spacing w:val="10"/>
          <w:sz w:val="24"/>
          <w:szCs w:val="24"/>
          <w14:textFill>
            <w14:solidFill>
              <w14:schemeClr w14:val="tx1"/>
            </w14:solidFill>
          </w14:textFill>
        </w:rPr>
        <w:t>废气最大源强为</w:t>
      </w:r>
      <w:r>
        <w:rPr>
          <w:rFonts w:hint="eastAsia"/>
          <w:color w:val="000000" w:themeColor="text1"/>
          <w:spacing w:val="10"/>
          <w:sz w:val="24"/>
          <w:szCs w:val="24"/>
          <w:lang w:eastAsia="zh-CN"/>
          <w14:textFill>
            <w14:solidFill>
              <w14:schemeClr w14:val="tx1"/>
            </w14:solidFill>
          </w14:textFill>
        </w:rPr>
        <w:t>汽油组分油</w:t>
      </w:r>
      <w:r>
        <w:rPr>
          <w:color w:val="000000" w:themeColor="text1"/>
          <w:spacing w:val="10"/>
          <w:sz w:val="24"/>
          <w:szCs w:val="24"/>
          <w14:textFill>
            <w14:solidFill>
              <w14:schemeClr w14:val="tx1"/>
            </w14:solidFill>
          </w14:textFill>
        </w:rPr>
        <w:t>储罐火灾的</w:t>
      </w:r>
      <w:r>
        <w:rPr>
          <w:rFonts w:ascii="Times New Roman" w:hAnsi="Times New Roman" w:eastAsia="Times New Roman" w:cs="Times New Roman"/>
          <w:color w:val="000000" w:themeColor="text1"/>
          <w:spacing w:val="10"/>
          <w:sz w:val="24"/>
          <w:szCs w:val="24"/>
          <w14:textFill>
            <w14:solidFill>
              <w14:schemeClr w14:val="tx1"/>
            </w14:solidFill>
          </w14:textFill>
        </w:rPr>
        <w:t>0.</w:t>
      </w:r>
      <w:r>
        <w:rPr>
          <w:rFonts w:hint="eastAsia" w:eastAsia="宋体" w:cs="Times New Roman"/>
          <w:color w:val="000000" w:themeColor="text1"/>
          <w:spacing w:val="10"/>
          <w:sz w:val="24"/>
          <w:szCs w:val="24"/>
          <w:lang w:val="en-US" w:eastAsia="zh-CN"/>
          <w14:textFill>
            <w14:solidFill>
              <w14:schemeClr w14:val="tx1"/>
            </w14:solidFill>
          </w14:textFill>
        </w:rPr>
        <w:t>0</w:t>
      </w:r>
      <w:r>
        <w:rPr>
          <w:rFonts w:ascii="Times New Roman" w:hAnsi="Times New Roman" w:eastAsia="Times New Roman" w:cs="Times New Roman"/>
          <w:color w:val="000000" w:themeColor="text1"/>
          <w:spacing w:val="10"/>
          <w:sz w:val="24"/>
          <w:szCs w:val="24"/>
          <w14:textFill>
            <w14:solidFill>
              <w14:schemeClr w14:val="tx1"/>
            </w14:solidFill>
          </w14:textFill>
        </w:rPr>
        <w:t>14</w:t>
      </w:r>
      <w:r>
        <w:rPr>
          <w:rFonts w:ascii="Times New Roman" w:hAnsi="Times New Roman" w:eastAsia="Times New Roman" w:cs="Times New Roman"/>
          <w:color w:val="000000" w:themeColor="text1"/>
          <w:sz w:val="24"/>
          <w:szCs w:val="24"/>
          <w14:textFill>
            <w14:solidFill>
              <w14:schemeClr w14:val="tx1"/>
            </w14:solidFill>
          </w14:textFill>
        </w:rPr>
        <w:t>kg</w:t>
      </w:r>
      <w:r>
        <w:rPr>
          <w:rFonts w:ascii="Times New Roman" w:hAnsi="Times New Roman" w:eastAsia="Times New Roman" w:cs="Times New Roman"/>
          <w:color w:val="000000" w:themeColor="text1"/>
          <w:spacing w:val="10"/>
          <w:sz w:val="24"/>
          <w:szCs w:val="24"/>
          <w14:textFill>
            <w14:solidFill>
              <w14:schemeClr w14:val="tx1"/>
            </w14:solidFill>
          </w14:textFill>
        </w:rPr>
        <w:t>/s</w:t>
      </w:r>
      <w:r>
        <w:rPr>
          <w:color w:val="000000" w:themeColor="text1"/>
          <w:spacing w:val="10"/>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CO</w:t>
      </w:r>
      <w:r>
        <w:rPr>
          <w:color w:val="000000" w:themeColor="text1"/>
          <w:spacing w:val="10"/>
          <w:sz w:val="24"/>
          <w:szCs w:val="24"/>
          <w14:textFill>
            <w14:solidFill>
              <w14:schemeClr w14:val="tx1"/>
            </w14:solidFill>
          </w14:textFill>
        </w:rPr>
        <w:t>废气最大源强为</w:t>
      </w:r>
      <w:r>
        <w:rPr>
          <w:rFonts w:hint="eastAsia"/>
          <w:color w:val="000000" w:themeColor="text1"/>
          <w:spacing w:val="10"/>
          <w:sz w:val="24"/>
          <w:szCs w:val="24"/>
          <w:lang w:eastAsia="zh-CN"/>
          <w14:textFill>
            <w14:solidFill>
              <w14:schemeClr w14:val="tx1"/>
            </w14:solidFill>
          </w14:textFill>
        </w:rPr>
        <w:t>柴油储罐</w:t>
      </w:r>
      <w:r>
        <w:rPr>
          <w:color w:val="000000" w:themeColor="text1"/>
          <w:spacing w:val="4"/>
          <w:sz w:val="24"/>
          <w:szCs w:val="24"/>
          <w14:textFill>
            <w14:solidFill>
              <w14:schemeClr w14:val="tx1"/>
            </w14:solidFill>
          </w14:textFill>
        </w:rPr>
        <w:t>火灾的</w:t>
      </w:r>
      <w:r>
        <w:rPr>
          <w:rFonts w:hint="eastAsia" w:eastAsia="宋体" w:cs="Times New Roman"/>
          <w:color w:val="000000" w:themeColor="text1"/>
          <w:spacing w:val="4"/>
          <w:sz w:val="24"/>
          <w:szCs w:val="24"/>
          <w:lang w:val="en-US" w:eastAsia="zh-CN"/>
          <w14:textFill>
            <w14:solidFill>
              <w14:schemeClr w14:val="tx1"/>
            </w14:solidFill>
          </w14:textFill>
        </w:rPr>
        <w:t>0.19</w:t>
      </w:r>
      <w:r>
        <w:rPr>
          <w:rFonts w:ascii="Times New Roman" w:hAnsi="Times New Roman" w:eastAsia="Times New Roman" w:cs="Times New Roman"/>
          <w:color w:val="000000" w:themeColor="text1"/>
          <w:sz w:val="24"/>
          <w:szCs w:val="24"/>
          <w14:textFill>
            <w14:solidFill>
              <w14:schemeClr w14:val="tx1"/>
            </w14:solidFill>
          </w14:textFill>
        </w:rPr>
        <w:t>kg</w:t>
      </w:r>
      <w:r>
        <w:rPr>
          <w:rFonts w:ascii="Times New Roman" w:hAnsi="Times New Roman" w:eastAsia="Times New Roman" w:cs="Times New Roman"/>
          <w:color w:val="000000" w:themeColor="text1"/>
          <w:spacing w:val="4"/>
          <w:sz w:val="24"/>
          <w:szCs w:val="24"/>
          <w14:textFill>
            <w14:solidFill>
              <w14:schemeClr w14:val="tx1"/>
            </w14:solidFill>
          </w14:textFill>
        </w:rPr>
        <w:t>/s</w:t>
      </w:r>
      <w:r>
        <w:rPr>
          <w:color w:val="000000" w:themeColor="text1"/>
          <w:spacing w:val="6"/>
          <w:sz w:val="24"/>
          <w:szCs w:val="24"/>
          <w14:textFill>
            <w14:solidFill>
              <w14:schemeClr w14:val="tx1"/>
            </w14:solidFill>
          </w14:textFill>
        </w:rPr>
        <w:t>。</w:t>
      </w:r>
      <w:r>
        <w:commentReference w:id="105"/>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3"/>
        <w:jc w:val="both"/>
        <w:textAlignment w:val="auto"/>
        <w:rPr>
          <w:color w:val="FF0000"/>
          <w:spacing w:val="4"/>
          <w:sz w:val="24"/>
          <w:szCs w:val="24"/>
        </w:rPr>
      </w:pPr>
      <w:r>
        <w:rPr>
          <w:rFonts w:hint="eastAsia"/>
          <w:color w:val="FF0000"/>
          <w:spacing w:val="4"/>
          <w:sz w:val="24"/>
          <w:szCs w:val="24"/>
        </w:rPr>
        <w:t>事故发生后，最不利气象条件下下风向不同距离处</w:t>
      </w:r>
      <w:r>
        <w:rPr>
          <w:rFonts w:hint="eastAsia"/>
          <w:color w:val="FF0000"/>
          <w:spacing w:val="4"/>
          <w:sz w:val="24"/>
          <w:szCs w:val="24"/>
          <w:lang w:val="en-US" w:eastAsia="zh-CN"/>
        </w:rPr>
        <w:t>SO</w:t>
      </w:r>
      <w:r>
        <w:rPr>
          <w:rFonts w:hint="eastAsia"/>
          <w:color w:val="FF0000"/>
          <w:spacing w:val="4"/>
          <w:sz w:val="24"/>
          <w:szCs w:val="24"/>
          <w:vertAlign w:val="subscript"/>
          <w:lang w:val="en-US" w:eastAsia="zh-CN"/>
        </w:rPr>
        <w:t>2</w:t>
      </w:r>
      <w:r>
        <w:rPr>
          <w:rFonts w:hint="eastAsia"/>
          <w:color w:val="FF0000"/>
          <w:spacing w:val="4"/>
          <w:sz w:val="24"/>
          <w:szCs w:val="24"/>
        </w:rPr>
        <w:t>最大浓度详见图</w:t>
      </w:r>
      <w:r>
        <w:rPr>
          <w:rFonts w:hint="eastAsia"/>
          <w:color w:val="FF0000"/>
          <w:spacing w:val="4"/>
          <w:sz w:val="24"/>
          <w:szCs w:val="24"/>
          <w:lang w:val="en-US" w:eastAsia="zh-CN"/>
        </w:rPr>
        <w:t>6-1</w:t>
      </w:r>
      <w:r>
        <w:rPr>
          <w:rFonts w:hint="eastAsia"/>
          <w:color w:val="FF0000"/>
          <w:spacing w:val="4"/>
          <w:sz w:val="24"/>
          <w:szCs w:val="24"/>
        </w:rPr>
        <w:t>及表</w:t>
      </w:r>
      <w:r>
        <w:rPr>
          <w:rFonts w:hint="eastAsia"/>
          <w:color w:val="FF0000"/>
          <w:spacing w:val="4"/>
          <w:sz w:val="24"/>
          <w:szCs w:val="24"/>
          <w:lang w:val="en-US" w:eastAsia="zh-CN"/>
        </w:rPr>
        <w:t>6-1</w:t>
      </w:r>
      <w:r>
        <w:rPr>
          <w:rFonts w:hint="eastAsia"/>
          <w:color w:val="FF0000"/>
          <w:spacing w:val="4"/>
          <w:sz w:val="24"/>
          <w:szCs w:val="24"/>
        </w:rPr>
        <w:t>。</w:t>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3"/>
        <w:jc w:val="center"/>
        <w:textAlignment w:val="auto"/>
        <w:rPr>
          <w:rFonts w:hint="default" w:ascii="Times New Roman" w:hAnsi="Times New Roman" w:eastAsia="宋体" w:cs="Times New Roman"/>
          <w:color w:val="FF0000"/>
          <w:sz w:val="24"/>
          <w:szCs w:val="24"/>
          <w:lang w:val="en-US" w:eastAsia="zh-CN"/>
        </w:rPr>
      </w:pPr>
      <w:r>
        <w:rPr>
          <w:rFonts w:hint="eastAsia" w:eastAsia="宋体" w:cs="Times New Roman"/>
          <w:b/>
          <w:bCs/>
          <w:color w:val="FF0000"/>
          <w:sz w:val="24"/>
          <w:szCs w:val="24"/>
          <w:lang w:val="en-US" w:eastAsia="zh-CN"/>
        </w:rPr>
        <w:t>表6-1 下风向不同距离处</w:t>
      </w:r>
      <w:r>
        <w:rPr>
          <w:rFonts w:hint="eastAsia"/>
          <w:color w:val="FF0000"/>
          <w:spacing w:val="4"/>
          <w:sz w:val="24"/>
          <w:szCs w:val="24"/>
          <w:lang w:val="en-US" w:eastAsia="zh-CN"/>
        </w:rPr>
        <w:t>SO</w:t>
      </w:r>
      <w:r>
        <w:rPr>
          <w:rFonts w:hint="eastAsia"/>
          <w:color w:val="FF0000"/>
          <w:spacing w:val="4"/>
          <w:sz w:val="24"/>
          <w:szCs w:val="24"/>
          <w:vertAlign w:val="subscript"/>
          <w:lang w:val="en-US" w:eastAsia="zh-CN"/>
        </w:rPr>
        <w:t>2</w:t>
      </w:r>
      <w:r>
        <w:rPr>
          <w:rFonts w:hint="eastAsia" w:eastAsia="宋体" w:cs="Times New Roman"/>
          <w:b/>
          <w:bCs/>
          <w:color w:val="FF0000"/>
          <w:sz w:val="24"/>
          <w:szCs w:val="24"/>
          <w:lang w:val="en-US" w:eastAsia="zh-CN"/>
        </w:rPr>
        <w:t>最大浓度一览表</w:t>
      </w:r>
    </w:p>
    <w:tbl>
      <w:tblPr>
        <w:tblStyle w:val="27"/>
        <w:tblW w:w="923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64"/>
        <w:gridCol w:w="2712"/>
        <w:gridCol w:w="2705"/>
        <w:gridCol w:w="27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序号</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下风向距离(m)</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出现时间(s)</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浓度(mg/m³)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0.5</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10</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12</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13</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14</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15</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16</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17</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18</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19</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20</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110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22</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120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23</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130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24</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140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25</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150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26</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160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27</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170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28</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180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29</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190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30</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210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32</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220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33</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230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210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9.10844E-41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34</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240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210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7.89546E-37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35</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250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210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2.04983E-33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260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3.76917E-30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37</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270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1.55898E-27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38</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280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3.0564E-25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39</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290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3.24468E-23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40</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2.03707E-21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310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8.13735E-20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42</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320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2.19853E-18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43</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330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4.22899E-17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44</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340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6.04787E-16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45</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350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6.67107E-15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46</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5.85623E-14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47</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370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4.20292E-13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48</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380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2.52351E-12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49</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390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1.29313E-11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50</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5.75408E-11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410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2.25704E-10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52</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420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7.90751E-10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53</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430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2.50302E-09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54</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440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7.23121E-09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55</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450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1.92373E-08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56</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460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4.74993E-08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57</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470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1.09614E-07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58</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480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2.37889E-07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59</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490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4.88213E-07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60</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9.52166E-07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690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0.000100465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62</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780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0.001207732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63</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840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0.006066596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64</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0.01929786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65</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960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0.03430383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66</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1100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1020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0.04466518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67</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1200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1110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0.04893677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68</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1300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1170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0.04871461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69</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1400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1230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0.04617034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70</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1290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0.04289724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1600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1380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0.03966445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72</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1700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1440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0.03675947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73</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1800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1500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0.03412103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74</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1900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1560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0.03172553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75</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1620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0.02954703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76</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1980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0.0213918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77</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2310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0.01616305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78</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2640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0.01263034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79</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2970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0.01014146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80</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4500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3300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0.008329202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0.006952868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82</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0.004883698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83</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0.002778174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84</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6500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0.001395225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85</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0.000653667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86</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7500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0.00029594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87</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0.00013243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88</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5.9433E-05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89</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2.70003E-05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90</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9500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1.2488E-05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10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91</w:t>
            </w:r>
          </w:p>
        </w:tc>
        <w:tc>
          <w:tcPr>
            <w:tcW w:w="271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10000</w:t>
            </w:r>
          </w:p>
        </w:tc>
        <w:tc>
          <w:tcPr>
            <w:tcW w:w="2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3600</w:t>
            </w:r>
          </w:p>
        </w:tc>
        <w:tc>
          <w:tcPr>
            <w:tcW w:w="2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t>5.89995E-06</w:t>
            </w:r>
          </w:p>
        </w:tc>
      </w:tr>
    </w:tbl>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leftChars="0" w:right="0" w:firstLine="0" w:firstLineChars="0"/>
        <w:jc w:val="center"/>
        <w:textAlignment w:val="auto"/>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drawing>
          <wp:inline distT="0" distB="0" distL="114300" distR="114300">
            <wp:extent cx="5867400" cy="3358515"/>
            <wp:effectExtent l="0" t="0" r="0" b="13335"/>
            <wp:docPr id="9" name="图片 9" descr="下风向距离浓度曲线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descr="下风向距离浓度曲线图"/>
                    <pic:cNvPicPr>
                      <a:picLocks noChangeAspect="true"/>
                    </pic:cNvPicPr>
                  </pic:nvPicPr>
                  <pic:blipFill>
                    <a:blip r:embed="rId156"/>
                    <a:stretch>
                      <a:fillRect/>
                    </a:stretch>
                  </pic:blipFill>
                  <pic:spPr>
                    <a:xfrm>
                      <a:off x="0" y="0"/>
                      <a:ext cx="5867400" cy="3358515"/>
                    </a:xfrm>
                    <a:prstGeom prst="rect">
                      <a:avLst/>
                    </a:prstGeom>
                  </pic:spPr>
                </pic:pic>
              </a:graphicData>
            </a:graphic>
          </wp:inline>
        </w:drawing>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3"/>
        <w:jc w:val="center"/>
        <w:textAlignment w:val="auto"/>
        <w:rPr>
          <w:rFonts w:hint="eastAsia" w:ascii="Times New Roman" w:hAnsi="Times New Roman" w:eastAsia="宋体" w:cs="Times New Roman"/>
          <w:color w:val="FF0000"/>
          <w:sz w:val="24"/>
          <w:szCs w:val="24"/>
          <w:lang w:val="en-US" w:eastAsia="zh-CN"/>
        </w:rPr>
      </w:pPr>
      <w:r>
        <w:rPr>
          <w:rFonts w:ascii="Times New Roman"/>
          <w:b/>
          <w:color w:val="FF0000"/>
          <w:sz w:val="21"/>
          <w:szCs w:val="21"/>
        </w:rPr>
        <w:t>图</w:t>
      </w:r>
      <w:r>
        <w:rPr>
          <w:rFonts w:hint="eastAsia" w:ascii="Times New Roman"/>
          <w:b/>
          <w:color w:val="FF0000"/>
          <w:sz w:val="21"/>
          <w:szCs w:val="21"/>
          <w:lang w:val="en-US" w:eastAsia="zh-CN"/>
        </w:rPr>
        <w:t>6-1</w:t>
      </w:r>
      <w:r>
        <w:rPr>
          <w:rFonts w:ascii="Times New Roman"/>
          <w:b/>
          <w:color w:val="FF0000"/>
          <w:sz w:val="21"/>
          <w:szCs w:val="21"/>
        </w:rPr>
        <w:t xml:space="preserve"> 下风向不同距离处</w:t>
      </w:r>
      <w:r>
        <w:rPr>
          <w:rFonts w:hint="eastAsia" w:ascii="Times New Roman"/>
          <w:b/>
          <w:color w:val="FF0000"/>
          <w:sz w:val="21"/>
          <w:szCs w:val="21"/>
        </w:rPr>
        <w:t>SO</w:t>
      </w:r>
      <w:r>
        <w:rPr>
          <w:rFonts w:hint="eastAsia" w:ascii="Times New Roman"/>
          <w:b/>
          <w:color w:val="FF0000"/>
          <w:sz w:val="21"/>
          <w:szCs w:val="21"/>
          <w:vertAlign w:val="subscript"/>
        </w:rPr>
        <w:t>2</w:t>
      </w:r>
      <w:r>
        <w:rPr>
          <w:rFonts w:ascii="Times New Roman"/>
          <w:b/>
          <w:color w:val="FF0000"/>
          <w:sz w:val="21"/>
          <w:szCs w:val="21"/>
        </w:rPr>
        <w:t>最大浓度</w:t>
      </w:r>
      <w:r>
        <w:rPr>
          <w:rFonts w:hint="eastAsia" w:ascii="Times New Roman"/>
          <w:b/>
          <w:color w:val="FF0000"/>
          <w:sz w:val="21"/>
          <w:szCs w:val="21"/>
          <w:lang w:val="en-US" w:eastAsia="zh-CN"/>
        </w:rPr>
        <w:t>曲线图</w:t>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3"/>
        <w:jc w:val="both"/>
        <w:textAlignment w:val="auto"/>
        <w:rPr>
          <w:rFonts w:hint="eastAsia" w:eastAsia="宋体"/>
          <w:color w:val="FF0000"/>
          <w:spacing w:val="4"/>
          <w:sz w:val="24"/>
          <w:szCs w:val="24"/>
          <w:lang w:eastAsia="zh-CN"/>
        </w:rPr>
      </w:pPr>
      <w:r>
        <w:rPr>
          <w:rFonts w:hint="eastAsia"/>
          <w:color w:val="FF0000"/>
          <w:spacing w:val="4"/>
          <w:sz w:val="24"/>
          <w:szCs w:val="24"/>
          <w:lang w:val="en-US" w:eastAsia="zh-CN"/>
        </w:rPr>
        <w:t>SO</w:t>
      </w:r>
      <w:r>
        <w:rPr>
          <w:rFonts w:hint="eastAsia"/>
          <w:color w:val="FF0000"/>
          <w:spacing w:val="4"/>
          <w:sz w:val="24"/>
          <w:szCs w:val="24"/>
          <w:vertAlign w:val="subscript"/>
          <w:lang w:val="en-US" w:eastAsia="zh-CN"/>
        </w:rPr>
        <w:t>2</w:t>
      </w:r>
      <w:r>
        <w:rPr>
          <w:rFonts w:hint="eastAsia"/>
          <w:color w:val="FF0000"/>
          <w:spacing w:val="4"/>
          <w:sz w:val="24"/>
          <w:szCs w:val="24"/>
        </w:rPr>
        <w:t>计算结果的最小毒性浓度为:0mg/m³</w:t>
      </w:r>
      <w:r>
        <w:rPr>
          <w:rFonts w:hint="eastAsia"/>
          <w:color w:val="FF0000"/>
          <w:spacing w:val="4"/>
          <w:sz w:val="24"/>
          <w:szCs w:val="24"/>
          <w:lang w:eastAsia="zh-CN"/>
        </w:rPr>
        <w:t>，</w:t>
      </w:r>
      <w:r>
        <w:rPr>
          <w:rFonts w:hint="eastAsia"/>
          <w:color w:val="FF0000"/>
          <w:spacing w:val="4"/>
          <w:sz w:val="24"/>
          <w:szCs w:val="24"/>
        </w:rPr>
        <w:t>最大毒性浓度为:0.05mg/m³</w:t>
      </w:r>
      <w:r>
        <w:rPr>
          <w:rFonts w:hint="eastAsia"/>
          <w:color w:val="FF0000"/>
          <w:spacing w:val="4"/>
          <w:sz w:val="24"/>
          <w:szCs w:val="24"/>
          <w:lang w:eastAsia="zh-CN"/>
        </w:rPr>
        <w:t>，</w:t>
      </w:r>
      <w:r>
        <w:rPr>
          <w:rFonts w:hint="eastAsia"/>
          <w:color w:val="FF0000"/>
          <w:spacing w:val="4"/>
          <w:sz w:val="24"/>
          <w:szCs w:val="24"/>
        </w:rPr>
        <w:t>排放物的大气终点浓度(PAC-2)为2.0mg/m³</w:t>
      </w:r>
      <w:r>
        <w:rPr>
          <w:rFonts w:hint="eastAsia"/>
          <w:color w:val="FF0000"/>
          <w:spacing w:val="4"/>
          <w:sz w:val="24"/>
          <w:szCs w:val="24"/>
          <w:lang w:eastAsia="zh-CN"/>
        </w:rPr>
        <w:t>，</w:t>
      </w:r>
      <w:r>
        <w:rPr>
          <w:rFonts w:hint="eastAsia"/>
          <w:color w:val="FF0000"/>
          <w:spacing w:val="4"/>
          <w:sz w:val="24"/>
          <w:szCs w:val="24"/>
        </w:rPr>
        <w:t>大气终点浓度(PAC-3)为79.0mg/m³</w:t>
      </w:r>
      <w:r>
        <w:rPr>
          <w:rFonts w:hint="eastAsia"/>
          <w:color w:val="FF0000"/>
          <w:spacing w:val="4"/>
          <w:sz w:val="24"/>
          <w:szCs w:val="24"/>
          <w:lang w:eastAsia="zh-CN"/>
        </w:rPr>
        <w:t>，</w:t>
      </w:r>
      <w:r>
        <w:rPr>
          <w:rFonts w:hint="eastAsia"/>
          <w:color w:val="FF0000"/>
          <w:spacing w:val="4"/>
          <w:sz w:val="24"/>
          <w:szCs w:val="24"/>
        </w:rPr>
        <w:t>计算结果最大毒性浓度小于大气毒性终点浓度2(PAC-2)</w:t>
      </w:r>
      <w:r>
        <w:rPr>
          <w:rFonts w:hint="eastAsia"/>
          <w:color w:val="FF0000"/>
          <w:spacing w:val="4"/>
          <w:sz w:val="24"/>
          <w:szCs w:val="24"/>
          <w:lang w:eastAsia="zh-CN"/>
        </w:rPr>
        <w:t>。</w:t>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3"/>
        <w:jc w:val="both"/>
        <w:textAlignment w:val="auto"/>
        <w:rPr>
          <w:color w:val="FF0000"/>
          <w:spacing w:val="4"/>
          <w:sz w:val="24"/>
          <w:szCs w:val="24"/>
        </w:rPr>
      </w:pPr>
      <w:r>
        <w:rPr>
          <w:rFonts w:hint="eastAsia"/>
          <w:color w:val="FF0000"/>
          <w:spacing w:val="4"/>
          <w:sz w:val="24"/>
          <w:szCs w:val="24"/>
        </w:rPr>
        <w:t>事故发生后，最不利气象条件下下风向不同距离处一氧化碳最大浓度详见图</w:t>
      </w:r>
      <w:r>
        <w:rPr>
          <w:rFonts w:hint="eastAsia"/>
          <w:color w:val="FF0000"/>
          <w:spacing w:val="4"/>
          <w:sz w:val="24"/>
          <w:szCs w:val="24"/>
          <w:lang w:val="en-US" w:eastAsia="zh-CN"/>
        </w:rPr>
        <w:t>6-2</w:t>
      </w:r>
      <w:r>
        <w:rPr>
          <w:rFonts w:hint="eastAsia"/>
          <w:color w:val="FF0000"/>
          <w:spacing w:val="4"/>
          <w:sz w:val="24"/>
          <w:szCs w:val="24"/>
        </w:rPr>
        <w:t>及表</w:t>
      </w:r>
      <w:r>
        <w:rPr>
          <w:rFonts w:hint="eastAsia"/>
          <w:color w:val="FF0000"/>
          <w:spacing w:val="4"/>
          <w:sz w:val="24"/>
          <w:szCs w:val="24"/>
          <w:lang w:val="en-US" w:eastAsia="zh-CN"/>
        </w:rPr>
        <w:t>6-2</w:t>
      </w:r>
      <w:r>
        <w:rPr>
          <w:rFonts w:hint="eastAsia"/>
          <w:color w:val="FF0000"/>
          <w:spacing w:val="4"/>
          <w:sz w:val="24"/>
          <w:szCs w:val="24"/>
        </w:rPr>
        <w:t>。</w:t>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3"/>
        <w:jc w:val="center"/>
        <w:textAlignment w:val="auto"/>
        <w:rPr>
          <w:rFonts w:hint="eastAsia" w:eastAsia="宋体" w:cs="Times New Roman"/>
          <w:b/>
          <w:bCs/>
          <w:color w:val="FF0000"/>
          <w:sz w:val="24"/>
          <w:szCs w:val="24"/>
          <w:lang w:val="en-US" w:eastAsia="zh-CN"/>
        </w:rPr>
      </w:pPr>
      <w:r>
        <w:rPr>
          <w:rFonts w:hint="eastAsia" w:eastAsia="宋体" w:cs="Times New Roman"/>
          <w:b/>
          <w:bCs/>
          <w:color w:val="FF0000"/>
          <w:sz w:val="24"/>
          <w:szCs w:val="24"/>
          <w:lang w:val="en-US" w:eastAsia="zh-CN"/>
        </w:rPr>
        <w:t>表6-</w:t>
      </w:r>
      <w:r>
        <w:rPr>
          <w:rFonts w:hint="eastAsia" w:cs="Times New Roman"/>
          <w:b/>
          <w:bCs/>
          <w:color w:val="FF0000"/>
          <w:sz w:val="24"/>
          <w:szCs w:val="24"/>
          <w:lang w:val="en-US" w:eastAsia="zh-CN"/>
        </w:rPr>
        <w:t>2</w:t>
      </w:r>
      <w:r>
        <w:rPr>
          <w:rFonts w:hint="eastAsia" w:eastAsia="宋体" w:cs="Times New Roman"/>
          <w:b/>
          <w:bCs/>
          <w:color w:val="FF0000"/>
          <w:sz w:val="24"/>
          <w:szCs w:val="24"/>
          <w:lang w:val="en-US" w:eastAsia="zh-CN"/>
        </w:rPr>
        <w:t xml:space="preserve"> 下风向不同距离处</w:t>
      </w:r>
      <w:r>
        <w:rPr>
          <w:rFonts w:hint="eastAsia" w:cs="Times New Roman"/>
          <w:b/>
          <w:bCs/>
          <w:color w:val="FF0000"/>
          <w:sz w:val="24"/>
          <w:szCs w:val="24"/>
          <w:lang w:val="en-US" w:eastAsia="zh-CN"/>
        </w:rPr>
        <w:t>CO</w:t>
      </w:r>
      <w:r>
        <w:rPr>
          <w:rFonts w:hint="eastAsia" w:eastAsia="宋体" w:cs="Times New Roman"/>
          <w:b/>
          <w:bCs/>
          <w:color w:val="FF0000"/>
          <w:sz w:val="24"/>
          <w:szCs w:val="24"/>
          <w:lang w:val="en-US" w:eastAsia="zh-CN"/>
        </w:rPr>
        <w:t>最大浓度一览表</w:t>
      </w:r>
    </w:p>
    <w:tbl>
      <w:tblPr>
        <w:tblStyle w:val="27"/>
        <w:tblW w:w="9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76"/>
        <w:gridCol w:w="2694"/>
        <w:gridCol w:w="2681"/>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序号</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下风向距离(m)</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出现时间(s)</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浓度(mg/m³)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0.5</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10</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12</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13</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14</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15</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16</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17</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18</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19</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20</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110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22</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120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23</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130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24</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140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25</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150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26</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160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27</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170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28</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180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29</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190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30</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210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32</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220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33</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230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210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1.22894E-39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34</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240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210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1.07153E-35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35</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250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210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2.78192E-32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260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5.24418E-29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37</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270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2.11576E-26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38</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280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4.14797E-24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39</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290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4.4035E-22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40</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2.7646E-20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310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1.10435E-18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42</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320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2.98372E-17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43</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330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5.73934E-16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44</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340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8.20783E-15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45</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350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9.05359E-14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46</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7.94774E-13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47</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370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5.70397E-12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48</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380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3.42476E-11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49</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390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1.75496E-10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50</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7.80911E-10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410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3.06312E-09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52</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420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1.07316E-08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53</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430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3.39695E-08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54</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440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9.81378E-08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55</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450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2.61078E-07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56</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460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6.44634E-07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57</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470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1.48762E-06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58</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480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3.22849E-06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59</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490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6.62575E-06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60</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1.29222E-05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690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0.001363453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62</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780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0.01639065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63</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840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0.0823324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64</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0.2618996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65</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960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0.4655522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66</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1100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1020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0.60617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67</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1200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1110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0.6641417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68</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1300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1170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0.6611268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69</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1400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1230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0.6265973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70</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1290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0.5821769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1600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1380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0.5383032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72</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1700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1440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0.4988787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73</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1800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1500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0.4630711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74</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1900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1560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0.4305606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75</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1620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0.4009952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76</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1980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0.2903172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77</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2310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0.2193557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78</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2640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0.1714117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79</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2970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0.1376341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80</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4500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3300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0.1130392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0.09436032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82</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5500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0.06627879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83</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0.03770378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84</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6500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0.01893521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85</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0.0088712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86</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7500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0.004016328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87</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0.001797267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88</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0.000806591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89</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0.000366433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90</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9500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0.00016948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0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91</w:t>
            </w:r>
          </w:p>
        </w:tc>
        <w:tc>
          <w:tcPr>
            <w:tcW w:w="269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10000</w:t>
            </w:r>
          </w:p>
        </w:tc>
        <w:tc>
          <w:tcPr>
            <w:tcW w:w="26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3600</w:t>
            </w:r>
          </w:p>
        </w:tc>
        <w:tc>
          <w:tcPr>
            <w:tcW w:w="27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FF0000"/>
                <w:sz w:val="22"/>
                <w:szCs w:val="22"/>
                <w:u w:val="none"/>
              </w:rPr>
            </w:pPr>
            <w:r>
              <w:rPr>
                <w:rFonts w:hint="default" w:ascii="Times New Roman" w:hAnsi="Times New Roman" w:eastAsia="宋体" w:cs="Times New Roman"/>
                <w:i w:val="0"/>
                <w:iCs w:val="0"/>
                <w:color w:val="FF0000"/>
                <w:kern w:val="0"/>
                <w:sz w:val="22"/>
                <w:szCs w:val="22"/>
                <w:u w:val="none"/>
                <w:lang w:val="en-US" w:eastAsia="zh-CN" w:bidi="ar"/>
              </w:rPr>
              <w:t>8.00708E-05</w:t>
            </w:r>
          </w:p>
        </w:tc>
      </w:tr>
    </w:tbl>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3"/>
        <w:jc w:val="center"/>
        <w:textAlignment w:val="auto"/>
        <w:rPr>
          <w:rFonts w:ascii="Times New Roman" w:hAnsi="Times New Roman" w:eastAsia="Times New Roman" w:cs="Times New Roman"/>
          <w:color w:val="FF0000"/>
          <w:sz w:val="24"/>
          <w:szCs w:val="24"/>
        </w:rPr>
      </w:pP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leftChars="0" w:right="0" w:firstLine="0" w:firstLineChars="0"/>
        <w:jc w:val="both"/>
        <w:textAlignment w:val="auto"/>
        <w:rPr>
          <w:rFonts w:hint="eastAsia" w:ascii="Times New Roman" w:hAnsi="Times New Roman" w:eastAsia="宋体" w:cs="Times New Roman"/>
          <w:color w:val="FF0000"/>
          <w:sz w:val="24"/>
          <w:szCs w:val="24"/>
          <w:lang w:eastAsia="zh-CN"/>
        </w:rPr>
      </w:pPr>
      <w:r>
        <w:rPr>
          <w:rFonts w:hint="eastAsia" w:ascii="Times New Roman" w:hAnsi="Times New Roman" w:eastAsia="宋体" w:cs="Times New Roman"/>
          <w:color w:val="FF0000"/>
          <w:sz w:val="24"/>
          <w:szCs w:val="24"/>
          <w:lang w:eastAsia="zh-CN"/>
        </w:rPr>
        <w:drawing>
          <wp:inline distT="0" distB="0" distL="114300" distR="114300">
            <wp:extent cx="5867400" cy="3358515"/>
            <wp:effectExtent l="0" t="0" r="0" b="13335"/>
            <wp:docPr id="10" name="图片 10" descr="下风向距离浓度曲线图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descr="下风向距离浓度曲线图 (1)"/>
                    <pic:cNvPicPr>
                      <a:picLocks noChangeAspect="true"/>
                    </pic:cNvPicPr>
                  </pic:nvPicPr>
                  <pic:blipFill>
                    <a:blip r:embed="rId157"/>
                    <a:stretch>
                      <a:fillRect/>
                    </a:stretch>
                  </pic:blipFill>
                  <pic:spPr>
                    <a:xfrm>
                      <a:off x="0" y="0"/>
                      <a:ext cx="5867400" cy="3358515"/>
                    </a:xfrm>
                    <a:prstGeom prst="rect">
                      <a:avLst/>
                    </a:prstGeom>
                  </pic:spPr>
                </pic:pic>
              </a:graphicData>
            </a:graphic>
          </wp:inline>
        </w:drawing>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leftChars="0" w:right="0" w:firstLine="0" w:firstLineChars="0"/>
        <w:jc w:val="center"/>
        <w:textAlignment w:val="auto"/>
        <w:rPr>
          <w:rFonts w:hint="eastAsia" w:ascii="Times New Roman" w:hAnsi="Times New Roman" w:eastAsia="宋体" w:cs="Times New Roman"/>
          <w:color w:val="FF0000"/>
          <w:sz w:val="24"/>
          <w:szCs w:val="24"/>
          <w:lang w:eastAsia="zh-CN"/>
        </w:rPr>
      </w:pPr>
      <w:r>
        <w:rPr>
          <w:rFonts w:ascii="Times New Roman"/>
          <w:b/>
          <w:color w:val="FF0000"/>
          <w:sz w:val="21"/>
          <w:szCs w:val="21"/>
        </w:rPr>
        <w:t>图</w:t>
      </w:r>
      <w:r>
        <w:rPr>
          <w:rFonts w:hint="eastAsia" w:ascii="Times New Roman"/>
          <w:b/>
          <w:color w:val="FF0000"/>
          <w:sz w:val="21"/>
          <w:szCs w:val="21"/>
          <w:lang w:val="en-US" w:eastAsia="zh-CN"/>
        </w:rPr>
        <w:t>6-</w:t>
      </w:r>
      <w:r>
        <w:rPr>
          <w:rFonts w:hint="eastAsia"/>
          <w:b/>
          <w:color w:val="FF0000"/>
          <w:sz w:val="21"/>
          <w:szCs w:val="21"/>
          <w:lang w:val="en-US" w:eastAsia="zh-CN"/>
        </w:rPr>
        <w:t>2</w:t>
      </w:r>
      <w:r>
        <w:rPr>
          <w:rFonts w:ascii="Times New Roman"/>
          <w:b/>
          <w:color w:val="FF0000"/>
          <w:sz w:val="21"/>
          <w:szCs w:val="21"/>
        </w:rPr>
        <w:t xml:space="preserve"> 下风向不同距离处</w:t>
      </w:r>
      <w:r>
        <w:rPr>
          <w:rFonts w:hint="eastAsia"/>
          <w:b/>
          <w:color w:val="FF0000"/>
          <w:sz w:val="21"/>
          <w:szCs w:val="21"/>
          <w:lang w:val="en-US" w:eastAsia="zh-CN"/>
        </w:rPr>
        <w:t>CO</w:t>
      </w:r>
      <w:r>
        <w:rPr>
          <w:rFonts w:ascii="Times New Roman"/>
          <w:b/>
          <w:color w:val="FF0000"/>
          <w:sz w:val="21"/>
          <w:szCs w:val="21"/>
        </w:rPr>
        <w:t>最大浓度</w:t>
      </w:r>
      <w:r>
        <w:rPr>
          <w:rFonts w:hint="eastAsia" w:ascii="Times New Roman"/>
          <w:b/>
          <w:color w:val="FF0000"/>
          <w:sz w:val="21"/>
          <w:szCs w:val="21"/>
          <w:lang w:val="en-US" w:eastAsia="zh-CN"/>
        </w:rPr>
        <w:t>曲线图</w:t>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3"/>
        <w:jc w:val="both"/>
        <w:textAlignment w:val="auto"/>
        <w:rPr>
          <w:color w:val="000000" w:themeColor="text1"/>
          <w:sz w:val="24"/>
          <w:szCs w:val="24"/>
          <w14:textFill>
            <w14:solidFill>
              <w14:schemeClr w14:val="tx1"/>
            </w14:solidFill>
          </w14:textFill>
        </w:rPr>
      </w:pPr>
      <w:r>
        <w:rPr>
          <w:rFonts w:hint="eastAsia" w:cs="Times New Roman"/>
          <w:color w:val="FF0000"/>
          <w:spacing w:val="6"/>
          <w:sz w:val="24"/>
          <w:szCs w:val="24"/>
          <w:lang w:val="en-US" w:eastAsia="zh-CN"/>
        </w:rPr>
        <w:t>CO</w:t>
      </w:r>
      <w:r>
        <w:rPr>
          <w:rFonts w:hint="eastAsia" w:cs="Times New Roman"/>
          <w:color w:val="FF0000"/>
          <w:spacing w:val="6"/>
          <w:sz w:val="24"/>
          <w:szCs w:val="24"/>
          <w:lang w:eastAsia="zh-CN"/>
        </w:rPr>
        <w:t>计算结果的最小毒性浓度为0mg/m³</w:t>
      </w:r>
      <w:r>
        <w:rPr>
          <w:rFonts w:hint="eastAsia" w:cs="Times New Roman"/>
          <w:color w:val="FF0000"/>
          <w:spacing w:val="6"/>
          <w:sz w:val="24"/>
          <w:szCs w:val="24"/>
          <w:lang w:val="en-US" w:eastAsia="zh-CN"/>
        </w:rPr>
        <w:t>，</w:t>
      </w:r>
      <w:r>
        <w:rPr>
          <w:rFonts w:hint="eastAsia" w:cs="Times New Roman"/>
          <w:color w:val="FF0000"/>
          <w:spacing w:val="6"/>
          <w:sz w:val="24"/>
          <w:szCs w:val="24"/>
          <w:lang w:eastAsia="zh-CN"/>
        </w:rPr>
        <w:t>最大毒性浓度为0.66mg/m³，排放物的大气终点浓度(PAC-2)为95.0mg/m³，大气终点浓度(PAC-3)为380.0mg/m³，计算结果最大毒性浓度小于大气毒性终点浓度2(PAC-2)。</w:t>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383"/>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项目所在区域大气环境敏感程度为环境低度敏感区，大气环境风险潜势为Ⅱ级，说明项</w:t>
      </w:r>
      <w:r>
        <w:rPr>
          <w:color w:val="000000" w:themeColor="text1"/>
          <w:spacing w:val="6"/>
          <w:sz w:val="24"/>
          <w:szCs w:val="24"/>
          <w14:textFill>
            <w14:solidFill>
              <w14:schemeClr w14:val="tx1"/>
            </w14:solidFill>
          </w14:textFill>
        </w:rPr>
        <w:t>目事故排放的</w:t>
      </w:r>
      <w:r>
        <w:rPr>
          <w:rFonts w:ascii="Times New Roman" w:hAnsi="Times New Roman" w:eastAsia="Times New Roman" w:cs="Times New Roman"/>
          <w:color w:val="000000" w:themeColor="text1"/>
          <w:sz w:val="24"/>
          <w:szCs w:val="24"/>
          <w14:textFill>
            <w14:solidFill>
              <w14:schemeClr w14:val="tx1"/>
            </w14:solidFill>
          </w14:textFill>
        </w:rPr>
        <w:t>SO</w:t>
      </w:r>
      <w:r>
        <w:rPr>
          <w:rFonts w:ascii="Times New Roman" w:hAnsi="Times New Roman" w:eastAsia="Times New Roman" w:cs="Times New Roman"/>
          <w:color w:val="000000" w:themeColor="text1"/>
          <w:spacing w:val="6"/>
          <w:position w:val="-1"/>
          <w:sz w:val="24"/>
          <w:szCs w:val="24"/>
          <w:vertAlign w:val="subscript"/>
          <w14:textFill>
            <w14:solidFill>
              <w14:schemeClr w14:val="tx1"/>
            </w14:solidFill>
          </w14:textFill>
        </w:rPr>
        <w:t>2</w:t>
      </w: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CO</w:t>
      </w:r>
      <w:r>
        <w:rPr>
          <w:color w:val="000000" w:themeColor="text1"/>
          <w:spacing w:val="6"/>
          <w:sz w:val="24"/>
          <w:szCs w:val="24"/>
          <w14:textFill>
            <w14:solidFill>
              <w14:schemeClr w14:val="tx1"/>
            </w14:solidFill>
          </w14:textFill>
        </w:rPr>
        <w:t>受影响人群范围不大，影响程度不高。</w:t>
      </w:r>
    </w:p>
    <w:p>
      <w:pPr>
        <w:pStyle w:val="8"/>
        <w:keepNext w:val="0"/>
        <w:keepLines w:val="0"/>
        <w:pageBreakBefore w:val="0"/>
        <w:widowControl/>
        <w:kinsoku/>
        <w:wordWrap w:val="0"/>
        <w:overflowPunct/>
        <w:topLinePunct w:val="0"/>
        <w:autoSpaceDE/>
        <w:autoSpaceDN/>
        <w:bidi w:val="0"/>
        <w:adjustRightInd/>
        <w:snapToGrid w:val="0"/>
        <w:spacing w:before="0" w:after="0" w:line="360" w:lineRule="auto"/>
        <w:ind w:left="0" w:right="0" w:firstLine="428"/>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公司制定有针对性的应急计划，使各部门在事故发生后能有步骤、有秩序地采取各项应急措施，并与消防部门和紧急救援部门的应急预案衔接，统一采取救援行动。关注事故情况下的主导风向，安排应急监测，如监测结果显示接近毒性终点浓度</w:t>
      </w:r>
      <w:r>
        <w:rPr>
          <w:rFonts w:ascii="Times New Roman" w:hAnsi="Times New Roman" w:eastAsia="Times New Roman" w:cs="Times New Roman"/>
          <w:color w:val="000000" w:themeColor="text1"/>
          <w:spacing w:val="7"/>
          <w:sz w:val="24"/>
          <w:szCs w:val="24"/>
          <w14:textFill>
            <w14:solidFill>
              <w14:schemeClr w14:val="tx1"/>
            </w14:solidFill>
          </w14:textFill>
        </w:rPr>
        <w:t>-2</w:t>
      </w:r>
      <w:r>
        <w:rPr>
          <w:color w:val="000000" w:themeColor="text1"/>
          <w:spacing w:val="7"/>
          <w:sz w:val="24"/>
          <w:szCs w:val="24"/>
          <w14:textFill>
            <w14:solidFill>
              <w14:schemeClr w14:val="tx1"/>
            </w14:solidFill>
          </w14:textFill>
        </w:rPr>
        <w:t>时，及时对</w:t>
      </w:r>
      <w:r>
        <w:rPr>
          <w:color w:val="000000" w:themeColor="text1"/>
          <w:spacing w:val="6"/>
          <w:sz w:val="24"/>
          <w:szCs w:val="24"/>
          <w14:textFill>
            <w14:solidFill>
              <w14:schemeClr w14:val="tx1"/>
            </w14:solidFill>
          </w14:textFill>
        </w:rPr>
        <w:t>人群</w:t>
      </w:r>
      <w:r>
        <w:rPr>
          <w:color w:val="000000" w:themeColor="text1"/>
          <w:spacing w:val="8"/>
          <w:sz w:val="24"/>
          <w:szCs w:val="24"/>
          <w14:textFill>
            <w14:solidFill>
              <w14:schemeClr w14:val="tx1"/>
            </w14:solidFill>
          </w14:textFill>
        </w:rPr>
        <w:t>进行疏散，大气风险影响可控。</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rFonts w:hint="eastAsia" w:ascii="Times New Roman" w:hAnsi="Times New Roman" w:eastAsia="宋体" w:cs="Times New Roman"/>
          <w:b/>
          <w:bCs/>
          <w:color w:val="000000" w:themeColor="text1"/>
          <w:spacing w:val="7"/>
          <w:sz w:val="24"/>
          <w:szCs w:val="24"/>
          <w:lang w:val="en-US" w:eastAsia="zh-CN"/>
          <w14:textFill>
            <w14:solidFill>
              <w14:schemeClr w14:val="tx1"/>
            </w14:solidFill>
          </w14:textFill>
        </w:rPr>
      </w:pPr>
      <w:r>
        <w:rPr>
          <w:rFonts w:hint="eastAsia" w:eastAsia="宋体" w:cs="Times New Roman"/>
          <w:b/>
          <w:bCs/>
          <w:color w:val="000000" w:themeColor="text1"/>
          <w:spacing w:val="7"/>
          <w:sz w:val="24"/>
          <w:szCs w:val="24"/>
          <w:lang w:val="en-US" w:eastAsia="zh-CN"/>
          <w14:textFill>
            <w14:solidFill>
              <w14:schemeClr w14:val="tx1"/>
            </w14:solidFill>
          </w14:textFill>
        </w:rPr>
        <w:t>6.2 油品</w:t>
      </w:r>
      <w:r>
        <w:rPr>
          <w:b/>
          <w:bCs/>
          <w:color w:val="000000" w:themeColor="text1"/>
          <w:kern w:val="0"/>
          <w:sz w:val="24"/>
          <w:szCs w:val="21"/>
          <w:highlight w:val="none"/>
          <w14:textFill>
            <w14:solidFill>
              <w14:schemeClr w14:val="tx1"/>
            </w14:solidFill>
          </w14:textFill>
        </w:rPr>
        <w:t>泄漏对大气的环境风险</w:t>
      </w:r>
      <w:r>
        <w:rPr>
          <w:rFonts w:hint="eastAsia"/>
          <w:b/>
          <w:bCs/>
          <w:color w:val="000000" w:themeColor="text1"/>
          <w:kern w:val="0"/>
          <w:sz w:val="24"/>
          <w:szCs w:val="21"/>
          <w:highlight w:val="none"/>
          <w:lang w:val="en-US" w:eastAsia="zh-CN"/>
          <w14:textFill>
            <w14:solidFill>
              <w14:schemeClr w14:val="tx1"/>
            </w14:solidFill>
          </w14:textFill>
        </w:rPr>
        <w:t>评价</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9"/>
        <w:rPr>
          <w:rFonts w:hint="eastAsia"/>
          <w:color w:val="000000" w:themeColor="text1"/>
          <w:kern w:val="0"/>
          <w:sz w:val="24"/>
          <w:szCs w:val="21"/>
          <w:highlight w:val="none"/>
          <w:lang w:val="en-US" w:eastAsia="zh-CN"/>
          <w14:textFill>
            <w14:solidFill>
              <w14:schemeClr w14:val="tx1"/>
            </w14:solidFill>
          </w14:textFill>
        </w:rPr>
      </w:pPr>
      <w:r>
        <w:rPr>
          <w:rFonts w:hint="eastAsia"/>
          <w:color w:val="000000" w:themeColor="text1"/>
          <w:kern w:val="0"/>
          <w:sz w:val="24"/>
          <w:szCs w:val="21"/>
          <w:highlight w:val="none"/>
          <w:lang w:val="en-US" w:eastAsia="zh-CN"/>
          <w14:textFill>
            <w14:solidFill>
              <w14:schemeClr w14:val="tx1"/>
            </w14:solidFill>
          </w14:textFill>
        </w:rPr>
        <w:t>根据《建设项目环境风险评价技术导则》（HJ 169-2018）中4.4.4.1三级评价应定性分析说明大气环境影响后果。</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9"/>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油品储罐/调和罐破裂，油品泄漏，由于本项目所用燃料油挥发性低、闪点高、安全性好，一旦发生泄漏对大气环境影响较小。但燃料油可与强氧化剂发生反应燃烧爆炸，产生一氧化碳、二氧化硫污染大气环境。</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9"/>
        <w:rPr>
          <w:rFonts w:hint="eastAsia" w:ascii="Times New Roman" w:hAnsi="Times New Roman" w:eastAsia="宋体" w:cs="Times New Roman"/>
          <w:b/>
          <w:bCs/>
          <w:color w:val="000000" w:themeColor="text1"/>
          <w:spacing w:val="7"/>
          <w:sz w:val="24"/>
          <w:szCs w:val="24"/>
          <w:lang w:eastAsia="zh-CN"/>
          <w14:textFill>
            <w14:solidFill>
              <w14:schemeClr w14:val="tx1"/>
            </w14:solidFill>
          </w14:textFill>
        </w:rPr>
      </w:pPr>
      <w:r>
        <w:rPr>
          <w:rFonts w:hint="eastAsia"/>
          <w:color w:val="000000" w:themeColor="text1"/>
          <w:kern w:val="0"/>
          <w:sz w:val="24"/>
          <w:szCs w:val="21"/>
          <w:highlight w:val="none"/>
          <w:lang w:val="en-US" w:eastAsia="zh-CN"/>
          <w14:textFill>
            <w14:solidFill>
              <w14:schemeClr w14:val="tx1"/>
            </w14:solidFill>
          </w14:textFill>
        </w:rPr>
        <w:t>通过计算，</w:t>
      </w:r>
      <w:r>
        <w:rPr>
          <w:color w:val="000000" w:themeColor="text1"/>
          <w:kern w:val="0"/>
          <w:sz w:val="24"/>
          <w:szCs w:val="21"/>
          <w:highlight w:val="none"/>
          <w14:textFill>
            <w14:solidFill>
              <w14:schemeClr w14:val="tx1"/>
            </w14:solidFill>
          </w14:textFill>
        </w:rPr>
        <w:t>当储罐发生泄漏，安全系统报警，20min之内泄漏点被发现并处理，则</w:t>
      </w:r>
      <w:r>
        <w:rPr>
          <w:rFonts w:hint="eastAsia"/>
          <w:color w:val="000000" w:themeColor="text1"/>
          <w:kern w:val="0"/>
          <w:sz w:val="24"/>
          <w:szCs w:val="21"/>
          <w:highlight w:val="none"/>
          <w14:textFill>
            <w14:solidFill>
              <w14:schemeClr w14:val="tx1"/>
            </w14:solidFill>
          </w14:textFill>
        </w:rPr>
        <w:t>燃料油</w:t>
      </w:r>
      <w:r>
        <w:rPr>
          <w:color w:val="000000" w:themeColor="text1"/>
          <w:kern w:val="0"/>
          <w:sz w:val="24"/>
          <w:szCs w:val="21"/>
          <w:highlight w:val="none"/>
          <w14:textFill>
            <w14:solidFill>
              <w14:schemeClr w14:val="tx1"/>
            </w14:solidFill>
          </w14:textFill>
        </w:rPr>
        <w:t>最大</w:t>
      </w:r>
      <w:r>
        <w:rPr>
          <w:rFonts w:hint="eastAsia"/>
          <w:color w:val="000000" w:themeColor="text1"/>
          <w:kern w:val="0"/>
          <w:sz w:val="24"/>
          <w:szCs w:val="21"/>
          <w:highlight w:val="none"/>
          <w:lang w:val="en-US" w:eastAsia="zh-CN"/>
          <w14:textFill>
            <w14:solidFill>
              <w14:schemeClr w14:val="tx1"/>
            </w14:solidFill>
          </w14:textFill>
        </w:rPr>
        <w:t>泄露</w:t>
      </w:r>
      <w:r>
        <w:rPr>
          <w:color w:val="000000" w:themeColor="text1"/>
          <w:kern w:val="0"/>
          <w:sz w:val="24"/>
          <w:szCs w:val="21"/>
          <w:highlight w:val="none"/>
          <w14:textFill>
            <w14:solidFill>
              <w14:schemeClr w14:val="tx1"/>
            </w14:solidFill>
          </w14:textFill>
        </w:rPr>
        <w:t>量为</w:t>
      </w:r>
      <w:r>
        <w:rPr>
          <w:rFonts w:hint="eastAsia"/>
          <w:color w:val="000000" w:themeColor="text1"/>
          <w:kern w:val="0"/>
          <w:sz w:val="24"/>
          <w:szCs w:val="21"/>
          <w:highlight w:val="none"/>
          <w:lang w:val="en-US" w:eastAsia="zh-CN"/>
          <w14:textFill>
            <w14:solidFill>
              <w14:schemeClr w14:val="tx1"/>
            </w14:solidFill>
          </w14:textFill>
        </w:rPr>
        <w:t>789.6</w:t>
      </w:r>
      <w:r>
        <w:rPr>
          <w:color w:val="000000" w:themeColor="text1"/>
          <w:kern w:val="0"/>
          <w:sz w:val="24"/>
          <w:szCs w:val="21"/>
          <w:highlight w:val="none"/>
          <w14:textFill>
            <w14:solidFill>
              <w14:schemeClr w14:val="tx1"/>
            </w14:solidFill>
          </w14:textFill>
        </w:rPr>
        <w:t>kg。</w:t>
      </w:r>
      <w:r>
        <w:rPr>
          <w:rFonts w:hint="eastAsia"/>
          <w:color w:val="000000" w:themeColor="text1"/>
          <w:kern w:val="0"/>
          <w:sz w:val="24"/>
          <w:szCs w:val="21"/>
          <w:highlight w:val="none"/>
          <w:lang w:val="en-US" w:eastAsia="zh-CN"/>
          <w14:textFill>
            <w14:solidFill>
              <w14:schemeClr w14:val="tx1"/>
            </w14:solidFill>
          </w14:textFill>
        </w:rPr>
        <w:t>罐区一、二均设有1.5米高围堰，泄露油品可控制在罐区内，通过及时处理后，不会对周围大气造成明显影响</w:t>
      </w:r>
      <w:r>
        <w:rPr>
          <w:rFonts w:hint="eastAsia"/>
          <w:color w:val="000000" w:themeColor="text1"/>
          <w:kern w:val="0"/>
          <w:sz w:val="24"/>
          <w:szCs w:val="21"/>
          <w:highlight w:val="none"/>
          <w:lang w:eastAsia="zh-CN"/>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7"/>
          <w:sz w:val="24"/>
          <w:szCs w:val="24"/>
          <w14:textFill>
            <w14:solidFill>
              <w14:schemeClr w14:val="tx1"/>
            </w14:solidFill>
          </w14:textFill>
        </w:rPr>
        <w:t>6.</w:t>
      </w:r>
      <w:r>
        <w:rPr>
          <w:rFonts w:hint="eastAsia" w:eastAsia="宋体" w:cs="Times New Roman"/>
          <w:b/>
          <w:bCs/>
          <w:color w:val="000000" w:themeColor="text1"/>
          <w:spacing w:val="7"/>
          <w:sz w:val="24"/>
          <w:szCs w:val="24"/>
          <w:lang w:val="en-US" w:eastAsia="zh-CN"/>
          <w14:textFill>
            <w14:solidFill>
              <w14:schemeClr w14:val="tx1"/>
            </w14:solidFill>
          </w14:textFill>
        </w:rPr>
        <w:t>3</w:t>
      </w:r>
      <w:r>
        <w:rPr>
          <w:b/>
          <w:bCs/>
          <w:color w:val="000000" w:themeColor="text1"/>
          <w:spacing w:val="7"/>
          <w:sz w:val="24"/>
          <w:szCs w:val="24"/>
          <w14:textFill>
            <w14:solidFill>
              <w14:schemeClr w14:val="tx1"/>
            </w14:solidFill>
          </w14:textFill>
        </w:rPr>
        <w:t>有毒有害物质在地表水环境中的运移扩散与评价</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7"/>
        <w:jc w:val="both"/>
        <w:textAlignment w:val="auto"/>
        <w:rPr>
          <w:rFonts w:hint="default" w:eastAsia="宋体"/>
          <w:color w:val="000000" w:themeColor="text1"/>
          <w:spacing w:val="7"/>
          <w:sz w:val="24"/>
          <w:szCs w:val="24"/>
          <w:lang w:val="en-US" w:eastAsia="zh-CN"/>
          <w14:textFill>
            <w14:solidFill>
              <w14:schemeClr w14:val="tx1"/>
            </w14:solidFill>
          </w14:textFill>
        </w:rPr>
      </w:pPr>
      <w:r>
        <w:rPr>
          <w:rFonts w:hint="eastAsia"/>
          <w:color w:val="000000" w:themeColor="text1"/>
          <w:spacing w:val="7"/>
          <w:sz w:val="24"/>
          <w:szCs w:val="24"/>
          <w:lang w:val="en-US" w:eastAsia="zh-CN"/>
          <w14:textFill>
            <w14:solidFill>
              <w14:schemeClr w14:val="tx1"/>
            </w14:solidFill>
          </w14:textFill>
        </w:rPr>
        <w:t>项目附近的地表水体为厂区西侧495m处的悖牛川河，属于IV类水体功能。</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7"/>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公司设置完善的水环境三级防控措施，罐区设置防火堤和出口截止阀门，配套事故水收</w:t>
      </w:r>
      <w:r>
        <w:rPr>
          <w:color w:val="000000" w:themeColor="text1"/>
          <w:spacing w:val="6"/>
          <w:sz w:val="24"/>
          <w:szCs w:val="24"/>
          <w14:textFill>
            <w14:solidFill>
              <w14:schemeClr w14:val="tx1"/>
            </w14:solidFill>
          </w14:textFill>
        </w:rPr>
        <w:t>集管网</w:t>
      </w:r>
      <w:r>
        <w:rPr>
          <w:rFonts w:hint="eastAsia"/>
          <w:color w:val="000000" w:themeColor="text1"/>
          <w:spacing w:val="6"/>
          <w:sz w:val="24"/>
          <w:szCs w:val="24"/>
          <w:lang w:eastAsia="zh-CN"/>
          <w14:textFill>
            <w14:solidFill>
              <w14:schemeClr w14:val="tx1"/>
            </w14:solidFill>
          </w14:textFill>
        </w:rPr>
        <w:t>、</w:t>
      </w:r>
      <w:r>
        <w:rPr>
          <w:rFonts w:hint="eastAsia"/>
          <w:color w:val="000000" w:themeColor="text1"/>
          <w:spacing w:val="6"/>
          <w:sz w:val="24"/>
          <w:szCs w:val="24"/>
          <w:lang w:val="en-US" w:eastAsia="zh-CN"/>
          <w14:textFill>
            <w14:solidFill>
              <w14:schemeClr w14:val="tx1"/>
            </w14:solidFill>
          </w14:textFill>
        </w:rPr>
        <w:t>初期雨水收集池、</w:t>
      </w:r>
      <w:r>
        <w:rPr>
          <w:color w:val="000000" w:themeColor="text1"/>
          <w:spacing w:val="6"/>
          <w:sz w:val="24"/>
          <w:szCs w:val="24"/>
          <w14:textFill>
            <w14:solidFill>
              <w14:schemeClr w14:val="tx1"/>
            </w14:solidFill>
          </w14:textFill>
        </w:rPr>
        <w:t>事故池，</w:t>
      </w:r>
      <w:r>
        <w:rPr>
          <w:rFonts w:hint="eastAsia"/>
          <w:color w:val="000000" w:themeColor="text1"/>
          <w:spacing w:val="6"/>
          <w:sz w:val="24"/>
          <w:szCs w:val="24"/>
          <w14:textFill>
            <w14:solidFill>
              <w14:schemeClr w14:val="tx1"/>
            </w14:solidFill>
          </w14:textFill>
        </w:rPr>
        <w:t>初期雨水收集池</w:t>
      </w:r>
      <w:r>
        <w:rPr>
          <w:rFonts w:hint="eastAsia"/>
          <w:color w:val="000000" w:themeColor="text1"/>
          <w:spacing w:val="6"/>
          <w:sz w:val="24"/>
          <w:szCs w:val="24"/>
          <w:lang w:val="en-US" w:eastAsia="zh-CN"/>
          <w14:textFill>
            <w14:solidFill>
              <w14:schemeClr w14:val="tx1"/>
            </w14:solidFill>
          </w14:textFill>
        </w:rPr>
        <w:t>设截止阀，</w:t>
      </w:r>
      <w:r>
        <w:rPr>
          <w:color w:val="000000" w:themeColor="text1"/>
          <w:spacing w:val="6"/>
          <w:sz w:val="24"/>
          <w:szCs w:val="24"/>
          <w14:textFill>
            <w14:solidFill>
              <w14:schemeClr w14:val="tx1"/>
            </w14:solidFill>
          </w14:textFill>
        </w:rPr>
        <w:t>雨水总排放口设置截止措施。项目发生火灾按</w:t>
      </w:r>
      <w:r>
        <w:rPr>
          <w:rFonts w:ascii="Times New Roman" w:hAnsi="Times New Roman" w:eastAsia="Times New Roman" w:cs="Times New Roman"/>
          <w:color w:val="000000" w:themeColor="text1"/>
          <w:spacing w:val="6"/>
          <w:sz w:val="24"/>
          <w:szCs w:val="24"/>
          <w14:textFill>
            <w14:solidFill>
              <w14:schemeClr w14:val="tx1"/>
            </w14:solidFill>
          </w14:textFill>
        </w:rPr>
        <w:t>1</w:t>
      </w:r>
      <w:r>
        <w:rPr>
          <w:color w:val="000000" w:themeColor="text1"/>
          <w:spacing w:val="6"/>
          <w:sz w:val="24"/>
          <w:szCs w:val="24"/>
          <w14:textFill>
            <w14:solidFill>
              <w14:schemeClr w14:val="tx1"/>
            </w14:solidFill>
          </w14:textFill>
        </w:rPr>
        <w:t>处计，最大事故水量为</w:t>
      </w:r>
      <w:r>
        <w:rPr>
          <w:rFonts w:hint="eastAsia"/>
          <w:color w:val="000000" w:themeColor="text1"/>
          <w:spacing w:val="6"/>
          <w:sz w:val="24"/>
          <w:szCs w:val="24"/>
          <w:lang w:eastAsia="zh-CN"/>
          <w14:textFill>
            <w14:solidFill>
              <w14:schemeClr w14:val="tx1"/>
            </w14:solidFill>
          </w14:textFill>
        </w:rPr>
        <w:t>罐区二</w:t>
      </w:r>
      <w:r>
        <w:rPr>
          <w:color w:val="000000" w:themeColor="text1"/>
          <w:spacing w:val="9"/>
          <w:sz w:val="24"/>
          <w:szCs w:val="24"/>
          <w14:textFill>
            <w14:solidFill>
              <w14:schemeClr w14:val="tx1"/>
            </w14:solidFill>
          </w14:textFill>
        </w:rPr>
        <w:t>事故水</w:t>
      </w:r>
      <w:r>
        <w:rPr>
          <w:rFonts w:hint="eastAsia"/>
          <w:color w:val="000000" w:themeColor="text1"/>
          <w:spacing w:val="9"/>
          <w:sz w:val="24"/>
          <w:szCs w:val="24"/>
          <w:lang w:val="en-US" w:eastAsia="zh-CN"/>
          <w14:textFill>
            <w14:solidFill>
              <w14:schemeClr w14:val="tx1"/>
            </w14:solidFill>
          </w14:textFill>
        </w:rPr>
        <w:t>2</w:t>
      </w:r>
      <w:r>
        <w:rPr>
          <w:rFonts w:hint="eastAsia" w:eastAsia="宋体" w:cs="Times New Roman"/>
          <w:color w:val="000000" w:themeColor="text1"/>
          <w:spacing w:val="9"/>
          <w:sz w:val="24"/>
          <w:szCs w:val="24"/>
          <w:lang w:val="en-US" w:eastAsia="zh-CN"/>
          <w14:textFill>
            <w14:solidFill>
              <w14:schemeClr w14:val="tx1"/>
            </w14:solidFill>
          </w14:textFill>
        </w:rPr>
        <w:t>282.3</w:t>
      </w:r>
      <w:r>
        <w:rPr>
          <w:rFonts w:hint="eastAsia" w:eastAsia="宋体" w:cs="Times New Roman"/>
          <w:color w:val="000000" w:themeColor="text1"/>
          <w:spacing w:val="9"/>
          <w:sz w:val="24"/>
          <w:szCs w:val="24"/>
          <w:lang w:eastAsia="zh-CN"/>
          <w14:textFill>
            <w14:solidFill>
              <w14:schemeClr w14:val="tx1"/>
            </w14:solidFill>
          </w14:textFill>
        </w:rPr>
        <w:t>m³</w:t>
      </w:r>
      <w:r>
        <w:rPr>
          <w:color w:val="000000" w:themeColor="text1"/>
          <w:spacing w:val="9"/>
          <w:sz w:val="24"/>
          <w:szCs w:val="24"/>
          <w14:textFill>
            <w14:solidFill>
              <w14:schemeClr w14:val="tx1"/>
            </w14:solidFill>
          </w14:textFill>
        </w:rPr>
        <w:t>（计算见</w:t>
      </w:r>
      <w:r>
        <w:rPr>
          <w:rFonts w:ascii="Times New Roman" w:hAnsi="Times New Roman" w:eastAsia="Times New Roman" w:cs="Times New Roman"/>
          <w:color w:val="000000" w:themeColor="text1"/>
          <w:spacing w:val="9"/>
          <w:sz w:val="24"/>
          <w:szCs w:val="24"/>
          <w14:textFill>
            <w14:solidFill>
              <w14:schemeClr w14:val="tx1"/>
            </w14:solidFill>
          </w14:textFill>
        </w:rPr>
        <w:t>5.2.2</w:t>
      </w:r>
      <w:r>
        <w:rPr>
          <w:color w:val="000000" w:themeColor="text1"/>
          <w:spacing w:val="9"/>
          <w:sz w:val="24"/>
          <w:szCs w:val="24"/>
          <w14:textFill>
            <w14:solidFill>
              <w14:schemeClr w14:val="tx1"/>
            </w14:solidFill>
          </w14:textFill>
        </w:rPr>
        <w:t>章节</w:t>
      </w:r>
      <w:r>
        <w:rPr>
          <w:color w:val="000000" w:themeColor="text1"/>
          <w:spacing w:val="-35"/>
          <w:sz w:val="24"/>
          <w:szCs w:val="24"/>
          <w14:textFill>
            <w14:solidFill>
              <w14:schemeClr w14:val="tx1"/>
            </w14:solidFill>
          </w14:textFill>
        </w:rPr>
        <w:t>），</w:t>
      </w:r>
      <w:r>
        <w:rPr>
          <w:color w:val="000000" w:themeColor="text1"/>
          <w:spacing w:val="9"/>
          <w:sz w:val="24"/>
          <w:szCs w:val="24"/>
          <w14:textFill>
            <w14:solidFill>
              <w14:schemeClr w14:val="tx1"/>
            </w14:solidFill>
          </w14:textFill>
        </w:rPr>
        <w:t>废水中主要污染物石油类。项目事</w:t>
      </w:r>
      <w:r>
        <w:rPr>
          <w:color w:val="000000" w:themeColor="text1"/>
          <w:spacing w:val="8"/>
          <w:sz w:val="24"/>
          <w:szCs w:val="24"/>
          <w14:textFill>
            <w14:solidFill>
              <w14:schemeClr w14:val="tx1"/>
            </w14:solidFill>
          </w14:textFill>
        </w:rPr>
        <w:t>故水暂</w:t>
      </w:r>
      <w:r>
        <w:rPr>
          <w:color w:val="000000" w:themeColor="text1"/>
          <w:spacing w:val="12"/>
          <w:sz w:val="24"/>
          <w:szCs w:val="24"/>
          <w14:textFill>
            <w14:solidFill>
              <w14:schemeClr w14:val="tx1"/>
            </w14:solidFill>
          </w14:textFill>
        </w:rPr>
        <w:t>存包括罐区</w:t>
      </w:r>
      <w:r>
        <w:rPr>
          <w:rFonts w:hint="eastAsia"/>
          <w:color w:val="000000" w:themeColor="text1"/>
          <w:spacing w:val="12"/>
          <w:sz w:val="24"/>
          <w:szCs w:val="24"/>
          <w:lang w:val="en-US" w:eastAsia="zh-CN"/>
          <w14:textFill>
            <w14:solidFill>
              <w14:schemeClr w14:val="tx1"/>
            </w14:solidFill>
          </w14:textFill>
        </w:rPr>
        <w:t>围堰</w:t>
      </w:r>
      <w:r>
        <w:rPr>
          <w:color w:val="000000" w:themeColor="text1"/>
          <w:spacing w:val="12"/>
          <w:sz w:val="24"/>
          <w:szCs w:val="24"/>
          <w14:textFill>
            <w14:solidFill>
              <w14:schemeClr w14:val="tx1"/>
            </w14:solidFill>
          </w14:textFill>
        </w:rPr>
        <w:t>和事故池：</w:t>
      </w:r>
      <w:r>
        <w:rPr>
          <w:rFonts w:hint="eastAsia"/>
          <w:color w:val="000000" w:themeColor="text1"/>
          <w:spacing w:val="12"/>
          <w:sz w:val="24"/>
          <w:szCs w:val="24"/>
          <w:lang w:eastAsia="zh-CN"/>
          <w14:textFill>
            <w14:solidFill>
              <w14:schemeClr w14:val="tx1"/>
            </w14:solidFill>
          </w14:textFill>
        </w:rPr>
        <w:t>罐区二</w:t>
      </w:r>
      <w:r>
        <w:rPr>
          <w:color w:val="000000" w:themeColor="text1"/>
          <w:spacing w:val="12"/>
          <w:sz w:val="24"/>
          <w:szCs w:val="24"/>
          <w14:textFill>
            <w14:solidFill>
              <w14:schemeClr w14:val="tx1"/>
            </w14:solidFill>
          </w14:textFill>
        </w:rPr>
        <w:t>防火堤内有效容积</w:t>
      </w:r>
      <w:r>
        <w:rPr>
          <w:rFonts w:ascii="Times New Roman" w:hAnsi="Times New Roman" w:eastAsia="Times New Roman" w:cs="Times New Roman"/>
          <w:color w:val="000000" w:themeColor="text1"/>
          <w:spacing w:val="12"/>
          <w:sz w:val="24"/>
          <w:szCs w:val="24"/>
          <w14:textFill>
            <w14:solidFill>
              <w14:schemeClr w14:val="tx1"/>
            </w14:solidFill>
          </w14:textFill>
        </w:rPr>
        <w:t>=</w:t>
      </w:r>
      <w:r>
        <w:rPr>
          <w:color w:val="000000" w:themeColor="text1"/>
          <w:spacing w:val="12"/>
          <w:sz w:val="24"/>
          <w:szCs w:val="24"/>
          <w14:textFill>
            <w14:solidFill>
              <w14:schemeClr w14:val="tx1"/>
            </w14:solidFill>
          </w14:textFill>
        </w:rPr>
        <w:t>防火堤高度</w:t>
      </w:r>
      <w:r>
        <w:rPr>
          <w:rFonts w:ascii="Times New Roman" w:hAnsi="Times New Roman" w:eastAsia="Times New Roman" w:cs="Times New Roman"/>
          <w:color w:val="000000" w:themeColor="text1"/>
          <w:spacing w:val="12"/>
          <w:sz w:val="24"/>
          <w:szCs w:val="24"/>
          <w14:textFill>
            <w14:solidFill>
              <w14:schemeClr w14:val="tx1"/>
            </w14:solidFill>
          </w14:textFill>
        </w:rPr>
        <w:t>*</w:t>
      </w:r>
      <w:r>
        <w:rPr>
          <w:color w:val="000000" w:themeColor="text1"/>
          <w:spacing w:val="12"/>
          <w:sz w:val="24"/>
          <w:szCs w:val="24"/>
          <w14:textFill>
            <w14:solidFill>
              <w14:schemeClr w14:val="tx1"/>
            </w14:solidFill>
          </w14:textFill>
        </w:rPr>
        <w:t>（罐区面</w:t>
      </w:r>
      <w:r>
        <w:rPr>
          <w:color w:val="000000" w:themeColor="text1"/>
          <w:spacing w:val="5"/>
          <w:sz w:val="24"/>
          <w:szCs w:val="24"/>
          <w14:textFill>
            <w14:solidFill>
              <w14:schemeClr w14:val="tx1"/>
            </w14:solidFill>
          </w14:textFill>
        </w:rPr>
        <w:t>积</w:t>
      </w:r>
      <w:r>
        <w:rPr>
          <w:rFonts w:ascii="Times New Roman" w:hAnsi="Times New Roman" w:eastAsia="Times New Roman" w:cs="Times New Roman"/>
          <w:color w:val="000000" w:themeColor="text1"/>
          <w:spacing w:val="5"/>
          <w:sz w:val="24"/>
          <w:szCs w:val="24"/>
          <w14:textFill>
            <w14:solidFill>
              <w14:schemeClr w14:val="tx1"/>
            </w14:solidFill>
          </w14:textFill>
        </w:rPr>
        <w:t>-</w:t>
      </w:r>
      <w:r>
        <w:rPr>
          <w:color w:val="000000" w:themeColor="text1"/>
          <w:spacing w:val="5"/>
          <w:sz w:val="24"/>
          <w:szCs w:val="24"/>
          <w14:textFill>
            <w14:solidFill>
              <w14:schemeClr w14:val="tx1"/>
            </w14:solidFill>
          </w14:textFill>
        </w:rPr>
        <w:t>除去着火罐其他储罐的占地面积）</w:t>
      </w:r>
      <w:r>
        <w:rPr>
          <w:rFonts w:ascii="Times New Roman" w:hAnsi="Times New Roman" w:eastAsia="Times New Roman" w:cs="Times New Roman"/>
          <w:color w:val="000000" w:themeColor="text1"/>
          <w:spacing w:val="5"/>
          <w:sz w:val="24"/>
          <w:szCs w:val="24"/>
          <w14:textFill>
            <w14:solidFill>
              <w14:schemeClr w14:val="tx1"/>
            </w14:solidFill>
          </w14:textFill>
        </w:rPr>
        <w:t>=1.</w:t>
      </w:r>
      <w:r>
        <w:rPr>
          <w:rFonts w:hint="eastAsia" w:eastAsia="宋体" w:cs="Times New Roman"/>
          <w:color w:val="000000" w:themeColor="text1"/>
          <w:spacing w:val="5"/>
          <w:sz w:val="24"/>
          <w:szCs w:val="24"/>
          <w:lang w:val="en-US" w:eastAsia="zh-CN"/>
          <w14:textFill>
            <w14:solidFill>
              <w14:schemeClr w14:val="tx1"/>
            </w14:solidFill>
          </w14:textFill>
        </w:rPr>
        <w:t>5</w:t>
      </w:r>
      <w:r>
        <w:rPr>
          <w:rFonts w:ascii="Times New Roman" w:hAnsi="Times New Roman" w:eastAsia="Times New Roman" w:cs="Times New Roman"/>
          <w:color w:val="000000" w:themeColor="text1"/>
          <w:spacing w:val="5"/>
          <w:sz w:val="24"/>
          <w:szCs w:val="24"/>
          <w14:textFill>
            <w14:solidFill>
              <w14:schemeClr w14:val="tx1"/>
            </w14:solidFill>
          </w14:textFill>
        </w:rPr>
        <w:t>m*[</w:t>
      </w:r>
      <w:r>
        <w:rPr>
          <w:rFonts w:hint="eastAsia" w:eastAsia="宋体" w:cs="Times New Roman"/>
          <w:color w:val="000000" w:themeColor="text1"/>
          <w:spacing w:val="5"/>
          <w:sz w:val="24"/>
          <w:szCs w:val="24"/>
          <w:lang w:val="en-US" w:eastAsia="zh-CN"/>
          <w14:textFill>
            <w14:solidFill>
              <w14:schemeClr w14:val="tx1"/>
            </w14:solidFill>
          </w14:textFill>
        </w:rPr>
        <w:t>3890㎡</w:t>
      </w:r>
      <w:r>
        <w:rPr>
          <w:rFonts w:ascii="Times New Roman" w:hAnsi="Times New Roman" w:eastAsia="Times New Roman" w:cs="Times New Roman"/>
          <w:color w:val="000000" w:themeColor="text1"/>
          <w:spacing w:val="5"/>
          <w:sz w:val="24"/>
          <w:szCs w:val="24"/>
          <w14:textFill>
            <w14:solidFill>
              <w14:schemeClr w14:val="tx1"/>
            </w14:solidFill>
          </w14:textFill>
        </w:rPr>
        <w:t>-3.14*</w:t>
      </w:r>
      <w:r>
        <w:rPr>
          <w:color w:val="000000" w:themeColor="text1"/>
          <w:spacing w:val="5"/>
          <w:sz w:val="24"/>
          <w:szCs w:val="24"/>
          <w14:textFill>
            <w14:solidFill>
              <w14:schemeClr w14:val="tx1"/>
            </w14:solidFill>
          </w14:textFill>
        </w:rPr>
        <w:t>（</w:t>
      </w:r>
      <w:r>
        <w:rPr>
          <w:rFonts w:hint="eastAsia" w:eastAsia="宋体" w:cs="Times New Roman"/>
          <w:color w:val="000000" w:themeColor="text1"/>
          <w:spacing w:val="5"/>
          <w:sz w:val="24"/>
          <w:szCs w:val="24"/>
          <w:lang w:val="en-US" w:eastAsia="zh-CN"/>
          <w14:textFill>
            <w14:solidFill>
              <w14:schemeClr w14:val="tx1"/>
            </w14:solidFill>
          </w14:textFill>
        </w:rPr>
        <w:t>13.7</w:t>
      </w:r>
      <w:r>
        <w:rPr>
          <w:rFonts w:ascii="Times New Roman" w:hAnsi="Times New Roman" w:eastAsia="Times New Roman" w:cs="Times New Roman"/>
          <w:color w:val="000000" w:themeColor="text1"/>
          <w:spacing w:val="5"/>
          <w:sz w:val="24"/>
          <w:szCs w:val="24"/>
          <w14:textFill>
            <w14:solidFill>
              <w14:schemeClr w14:val="tx1"/>
            </w14:solidFill>
          </w14:textFill>
        </w:rPr>
        <w:t>/2</w:t>
      </w:r>
      <w:r>
        <w:rPr>
          <w:color w:val="000000" w:themeColor="text1"/>
          <w:spacing w:val="5"/>
          <w:sz w:val="24"/>
          <w:szCs w:val="24"/>
          <w14:textFill>
            <w14:solidFill>
              <w14:schemeClr w14:val="tx1"/>
            </w14:solidFill>
          </w14:textFill>
        </w:rPr>
        <w:t>）</w:t>
      </w:r>
      <w:r>
        <w:rPr>
          <w:rFonts w:ascii="Times New Roman" w:hAnsi="Times New Roman" w:eastAsia="Times New Roman" w:cs="Times New Roman"/>
          <w:color w:val="000000" w:themeColor="text1"/>
          <w:spacing w:val="5"/>
          <w:position w:val="1"/>
          <w:sz w:val="24"/>
          <w:szCs w:val="24"/>
          <w:vertAlign w:val="superscript"/>
          <w14:textFill>
            <w14:solidFill>
              <w14:schemeClr w14:val="tx1"/>
            </w14:solidFill>
          </w14:textFill>
        </w:rPr>
        <w:t>2</w:t>
      </w:r>
      <w:r>
        <w:rPr>
          <w:rFonts w:ascii="Times New Roman" w:hAnsi="Times New Roman" w:eastAsia="Times New Roman" w:cs="Times New Roman"/>
          <w:color w:val="000000" w:themeColor="text1"/>
          <w:spacing w:val="5"/>
          <w:position w:val="1"/>
          <w:sz w:val="24"/>
          <w:szCs w:val="24"/>
          <w14:textFill>
            <w14:solidFill>
              <w14:schemeClr w14:val="tx1"/>
            </w14:solidFill>
          </w14:textFill>
        </w:rPr>
        <w:t>*</w:t>
      </w:r>
      <w:r>
        <w:rPr>
          <w:rFonts w:hint="eastAsia" w:eastAsia="宋体" w:cs="Times New Roman"/>
          <w:color w:val="000000" w:themeColor="text1"/>
          <w:spacing w:val="5"/>
          <w:position w:val="1"/>
          <w:sz w:val="24"/>
          <w:szCs w:val="24"/>
          <w:lang w:val="en-US" w:eastAsia="zh-CN"/>
          <w14:textFill>
            <w14:solidFill>
              <w14:schemeClr w14:val="tx1"/>
            </w14:solidFill>
          </w14:textFill>
        </w:rPr>
        <w:t>5㎡</w:t>
      </w:r>
      <w:r>
        <w:rPr>
          <w:rFonts w:ascii="Times New Roman" w:hAnsi="Times New Roman" w:eastAsia="Times New Roman" w:cs="Times New Roman"/>
          <w:color w:val="000000" w:themeColor="text1"/>
          <w:spacing w:val="5"/>
          <w:sz w:val="24"/>
          <w:szCs w:val="24"/>
          <w14:textFill>
            <w14:solidFill>
              <w14:schemeClr w14:val="tx1"/>
            </w14:solidFill>
          </w14:textFill>
        </w:rPr>
        <w:t>]=</w:t>
      </w:r>
      <w:r>
        <w:rPr>
          <w:rFonts w:hint="eastAsia" w:eastAsia="宋体" w:cs="Times New Roman"/>
          <w:color w:val="000000" w:themeColor="text1"/>
          <w:spacing w:val="5"/>
          <w:sz w:val="24"/>
          <w:szCs w:val="24"/>
          <w:lang w:val="en-US" w:eastAsia="zh-CN"/>
          <w14:textFill>
            <w14:solidFill>
              <w14:schemeClr w14:val="tx1"/>
            </w14:solidFill>
          </w14:textFill>
        </w:rPr>
        <w:t>4</w:t>
      </w:r>
      <w:r>
        <w:rPr>
          <w:rFonts w:hint="eastAsia" w:cs="Times New Roman"/>
          <w:color w:val="000000" w:themeColor="text1"/>
          <w:spacing w:val="5"/>
          <w:sz w:val="24"/>
          <w:szCs w:val="24"/>
          <w:lang w:val="en-US" w:eastAsia="zh-CN"/>
          <w14:textFill>
            <w14:solidFill>
              <w14:schemeClr w14:val="tx1"/>
            </w14:solidFill>
          </w14:textFill>
        </w:rPr>
        <w:t>730</w:t>
      </w:r>
      <w:r>
        <w:rPr>
          <w:rFonts w:hint="eastAsia" w:eastAsia="宋体" w:cs="Times New Roman"/>
          <w:color w:val="000000" w:themeColor="text1"/>
          <w:spacing w:val="5"/>
          <w:sz w:val="24"/>
          <w:szCs w:val="24"/>
          <w:lang w:eastAsia="zh-CN"/>
          <w14:textFill>
            <w14:solidFill>
              <w14:schemeClr w14:val="tx1"/>
            </w14:solidFill>
          </w14:textFill>
        </w:rPr>
        <w:t>m³</w:t>
      </w:r>
      <w:r>
        <w:rPr>
          <w:color w:val="000000" w:themeColor="text1"/>
          <w:spacing w:val="5"/>
          <w:sz w:val="24"/>
          <w:szCs w:val="24"/>
          <w14:textFill>
            <w14:solidFill>
              <w14:schemeClr w14:val="tx1"/>
            </w14:solidFill>
          </w14:textFill>
        </w:rPr>
        <w:t>，</w:t>
      </w:r>
      <w:r>
        <w:rPr>
          <w:color w:val="000000" w:themeColor="text1"/>
          <w:spacing w:val="4"/>
          <w:sz w:val="24"/>
          <w:szCs w:val="24"/>
          <w14:textFill>
            <w14:solidFill>
              <w14:schemeClr w14:val="tx1"/>
            </w14:solidFill>
          </w14:textFill>
        </w:rPr>
        <w:t>厂区事</w:t>
      </w:r>
      <w:r>
        <w:rPr>
          <w:color w:val="000000" w:themeColor="text1"/>
          <w:spacing w:val="5"/>
          <w:sz w:val="24"/>
          <w:szCs w:val="24"/>
          <w14:textFill>
            <w14:solidFill>
              <w14:schemeClr w14:val="tx1"/>
            </w14:solidFill>
          </w14:textFill>
        </w:rPr>
        <w:t>故池有效容积</w:t>
      </w:r>
      <w:r>
        <w:rPr>
          <w:rFonts w:hint="eastAsia" w:eastAsia="宋体" w:cs="Times New Roman"/>
          <w:color w:val="000000" w:themeColor="text1"/>
          <w:spacing w:val="5"/>
          <w:sz w:val="24"/>
          <w:szCs w:val="24"/>
          <w:lang w:val="en-US" w:eastAsia="zh-CN"/>
          <w14:textFill>
            <w14:solidFill>
              <w14:schemeClr w14:val="tx1"/>
            </w14:solidFill>
          </w14:textFill>
        </w:rPr>
        <w:t>310</w:t>
      </w:r>
      <w:r>
        <w:rPr>
          <w:rFonts w:ascii="Times New Roman" w:hAnsi="Times New Roman" w:eastAsia="Times New Roman" w:cs="Times New Roman"/>
          <w:color w:val="000000" w:themeColor="text1"/>
          <w:spacing w:val="5"/>
          <w:sz w:val="24"/>
          <w:szCs w:val="24"/>
          <w14:textFill>
            <w14:solidFill>
              <w14:schemeClr w14:val="tx1"/>
            </w14:solidFill>
          </w14:textFill>
        </w:rPr>
        <w:t>0</w:t>
      </w:r>
      <w:r>
        <w:rPr>
          <w:rFonts w:hint="eastAsia" w:eastAsia="宋体" w:cs="Times New Roman"/>
          <w:color w:val="000000" w:themeColor="text1"/>
          <w:spacing w:val="5"/>
          <w:sz w:val="24"/>
          <w:szCs w:val="24"/>
          <w:lang w:eastAsia="zh-CN"/>
          <w14:textFill>
            <w14:solidFill>
              <w14:schemeClr w14:val="tx1"/>
            </w14:solidFill>
          </w14:textFill>
        </w:rPr>
        <w:t>m³</w:t>
      </w:r>
      <w:r>
        <w:rPr>
          <w:color w:val="000000" w:themeColor="text1"/>
          <w:spacing w:val="-40"/>
          <w:sz w:val="24"/>
          <w:szCs w:val="24"/>
          <w14:textFill>
            <w14:solidFill>
              <w14:schemeClr w14:val="tx1"/>
            </w14:solidFill>
          </w14:textFill>
        </w:rPr>
        <w:t>，</w:t>
      </w:r>
      <w:r>
        <w:rPr>
          <w:color w:val="000000" w:themeColor="text1"/>
          <w:spacing w:val="4"/>
          <w:sz w:val="24"/>
          <w:szCs w:val="24"/>
          <w14:textFill>
            <w14:solidFill>
              <w14:schemeClr w14:val="tx1"/>
            </w14:solidFill>
          </w14:textFill>
        </w:rPr>
        <w:t>合计事故水总收集能力</w:t>
      </w:r>
      <w:r>
        <w:rPr>
          <w:rFonts w:hint="eastAsia" w:cs="Times New Roman"/>
          <w:color w:val="000000" w:themeColor="text1"/>
          <w:spacing w:val="4"/>
          <w:sz w:val="24"/>
          <w:szCs w:val="24"/>
          <w:lang w:val="en-US" w:eastAsia="zh-CN"/>
          <w14:textFill>
            <w14:solidFill>
              <w14:schemeClr w14:val="tx1"/>
            </w14:solidFill>
          </w14:textFill>
        </w:rPr>
        <w:t>7830</w:t>
      </w:r>
      <w:r>
        <w:rPr>
          <w:rFonts w:hint="eastAsia" w:eastAsia="宋体" w:cs="Times New Roman"/>
          <w:color w:val="000000" w:themeColor="text1"/>
          <w:spacing w:val="4"/>
          <w:sz w:val="24"/>
          <w:szCs w:val="24"/>
          <w:lang w:eastAsia="zh-CN"/>
          <w14:textFill>
            <w14:solidFill>
              <w14:schemeClr w14:val="tx1"/>
            </w14:solidFill>
          </w14:textFill>
        </w:rPr>
        <w:t>m³</w:t>
      </w:r>
      <w:r>
        <w:rPr>
          <w:color w:val="000000" w:themeColor="text1"/>
          <w:spacing w:val="4"/>
          <w:sz w:val="24"/>
          <w:szCs w:val="24"/>
          <w14:textFill>
            <w14:solidFill>
              <w14:schemeClr w14:val="tx1"/>
            </w14:solidFill>
          </w14:textFill>
        </w:rPr>
        <w:t>，大</w:t>
      </w:r>
      <w:r>
        <w:rPr>
          <w:color w:val="000000" w:themeColor="text1"/>
          <w:spacing w:val="7"/>
          <w:sz w:val="24"/>
          <w:szCs w:val="24"/>
          <w14:textFill>
            <w14:solidFill>
              <w14:schemeClr w14:val="tx1"/>
            </w14:solidFill>
          </w14:textFill>
        </w:rPr>
        <w:t>于事故水量</w:t>
      </w:r>
      <w:r>
        <w:rPr>
          <w:rFonts w:hint="eastAsia"/>
          <w:color w:val="000000" w:themeColor="text1"/>
          <w:spacing w:val="7"/>
          <w:sz w:val="24"/>
          <w:szCs w:val="24"/>
          <w:lang w:val="en-US" w:eastAsia="zh-CN"/>
          <w14:textFill>
            <w14:solidFill>
              <w14:schemeClr w14:val="tx1"/>
            </w14:solidFill>
          </w14:textFill>
        </w:rPr>
        <w:t>2</w:t>
      </w:r>
      <w:r>
        <w:rPr>
          <w:rFonts w:hint="eastAsia" w:eastAsia="宋体" w:cs="Times New Roman"/>
          <w:color w:val="000000" w:themeColor="text1"/>
          <w:spacing w:val="7"/>
          <w:sz w:val="24"/>
          <w:szCs w:val="24"/>
          <w:lang w:val="en-US" w:eastAsia="zh-CN"/>
          <w14:textFill>
            <w14:solidFill>
              <w14:schemeClr w14:val="tx1"/>
            </w14:solidFill>
          </w14:textFill>
        </w:rPr>
        <w:t>282.3</w:t>
      </w:r>
      <w:r>
        <w:rPr>
          <w:rFonts w:hint="eastAsia" w:eastAsia="宋体" w:cs="Times New Roman"/>
          <w:color w:val="000000" w:themeColor="text1"/>
          <w:spacing w:val="7"/>
          <w:sz w:val="24"/>
          <w:szCs w:val="24"/>
          <w:lang w:eastAsia="zh-CN"/>
          <w14:textFill>
            <w14:solidFill>
              <w14:schemeClr w14:val="tx1"/>
            </w14:solidFill>
          </w14:textFill>
        </w:rPr>
        <w:t>m³</w:t>
      </w:r>
      <w:r>
        <w:rPr>
          <w:color w:val="000000" w:themeColor="text1"/>
          <w:spacing w:val="7"/>
          <w:sz w:val="24"/>
          <w:szCs w:val="24"/>
          <w14:textFill>
            <w14:solidFill>
              <w14:schemeClr w14:val="tx1"/>
            </w14:solidFill>
          </w14:textFill>
        </w:rPr>
        <w:t>，可满足事故水暂存要求。事故情况下</w:t>
      </w:r>
      <w:r>
        <w:rPr>
          <w:color w:val="000000" w:themeColor="text1"/>
          <w:spacing w:val="6"/>
          <w:sz w:val="24"/>
          <w:szCs w:val="24"/>
          <w14:textFill>
            <w14:solidFill>
              <w14:schemeClr w14:val="tx1"/>
            </w14:solidFill>
          </w14:textFill>
        </w:rPr>
        <w:t>，通过水环境三级防控的作用，</w:t>
      </w:r>
      <w:r>
        <w:rPr>
          <w:color w:val="000000" w:themeColor="text1"/>
          <w:spacing w:val="7"/>
          <w:sz w:val="24"/>
          <w:szCs w:val="24"/>
          <w14:textFill>
            <w14:solidFill>
              <w14:schemeClr w14:val="tx1"/>
            </w14:solidFill>
          </w14:textFill>
        </w:rPr>
        <w:t>事故水首先控制在事故罐区范围，通过阀门切换，多余事故水通过管网进入事故池，可将事</w:t>
      </w:r>
      <w:r>
        <w:rPr>
          <w:color w:val="000000" w:themeColor="text1"/>
          <w:spacing w:val="8"/>
          <w:sz w:val="24"/>
          <w:szCs w:val="24"/>
          <w14:textFill>
            <w14:solidFill>
              <w14:schemeClr w14:val="tx1"/>
            </w14:solidFill>
          </w14:textFill>
        </w:rPr>
        <w:t>故废水控制在厂区范围。</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4"/>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项目位于园区，公司与园区建立应急联动关系，如果厂区水环境风险防控失灵，事故废水可能进入园区雨水管网时，联系园区管委会，按照园区应急预案的要求对事故废水进行拦</w:t>
      </w:r>
      <w:r>
        <w:rPr>
          <w:color w:val="000000" w:themeColor="text1"/>
          <w:spacing w:val="6"/>
          <w:sz w:val="24"/>
          <w:szCs w:val="24"/>
          <w14:textFill>
            <w14:solidFill>
              <w14:schemeClr w14:val="tx1"/>
            </w14:solidFill>
          </w14:textFill>
        </w:rPr>
        <w:t>截和处理。</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46"/>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由此可见，通过厂区的水环境三级防控可将事故</w:t>
      </w:r>
      <w:r>
        <w:rPr>
          <w:color w:val="000000" w:themeColor="text1"/>
          <w:spacing w:val="6"/>
          <w:sz w:val="24"/>
          <w:szCs w:val="24"/>
          <w14:textFill>
            <w14:solidFill>
              <w14:schemeClr w14:val="tx1"/>
            </w14:solidFill>
          </w14:textFill>
        </w:rPr>
        <w:t>废水控制在厂区范围，即使发生风险防</w:t>
      </w:r>
      <w:r>
        <w:rPr>
          <w:color w:val="000000" w:themeColor="text1"/>
          <w:spacing w:val="7"/>
          <w:sz w:val="24"/>
          <w:szCs w:val="24"/>
          <w14:textFill>
            <w14:solidFill>
              <w14:schemeClr w14:val="tx1"/>
            </w14:solidFill>
          </w14:textFill>
        </w:rPr>
        <w:t>控设施失灵，事故水流出厂区，园区会对事故水进行拦截，事故废水不会进入地表水体，不</w:t>
      </w:r>
      <w:r>
        <w:rPr>
          <w:color w:val="000000" w:themeColor="text1"/>
          <w:spacing w:val="8"/>
          <w:sz w:val="24"/>
          <w:szCs w:val="24"/>
          <w14:textFill>
            <w14:solidFill>
              <w14:schemeClr w14:val="tx1"/>
            </w14:solidFill>
          </w14:textFill>
        </w:rPr>
        <w:t>会对地表水环境造成污染。</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7"/>
          <w:sz w:val="24"/>
          <w:szCs w:val="24"/>
          <w14:textFill>
            <w14:solidFill>
              <w14:schemeClr w14:val="tx1"/>
            </w14:solidFill>
          </w14:textFill>
        </w:rPr>
        <w:t>6.</w:t>
      </w:r>
      <w:r>
        <w:rPr>
          <w:rFonts w:hint="eastAsia" w:eastAsia="宋体" w:cs="Times New Roman"/>
          <w:b/>
          <w:bCs/>
          <w:color w:val="000000" w:themeColor="text1"/>
          <w:spacing w:val="7"/>
          <w:sz w:val="24"/>
          <w:szCs w:val="24"/>
          <w:lang w:val="en-US" w:eastAsia="zh-CN"/>
          <w14:textFill>
            <w14:solidFill>
              <w14:schemeClr w14:val="tx1"/>
            </w14:solidFill>
          </w14:textFill>
        </w:rPr>
        <w:t xml:space="preserve">4 </w:t>
      </w:r>
      <w:r>
        <w:rPr>
          <w:b/>
          <w:bCs/>
          <w:color w:val="000000" w:themeColor="text1"/>
          <w:spacing w:val="7"/>
          <w:sz w:val="24"/>
          <w:szCs w:val="24"/>
          <w14:textFill>
            <w14:solidFill>
              <w14:schemeClr w14:val="tx1"/>
            </w14:solidFill>
          </w14:textFill>
        </w:rPr>
        <w:t>有毒有害物质在地下水环境中的运移扩散与评价</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3"/>
        <w:jc w:val="both"/>
        <w:textAlignment w:val="auto"/>
        <w:rPr>
          <w:rFonts w:hint="default" w:eastAsia="宋体"/>
          <w:color w:val="000000" w:themeColor="text1"/>
          <w:spacing w:val="8"/>
          <w:sz w:val="24"/>
          <w:szCs w:val="24"/>
          <w:lang w:val="en-US" w:eastAsia="zh-CN"/>
          <w14:textFill>
            <w14:solidFill>
              <w14:schemeClr w14:val="tx1"/>
            </w14:solidFill>
          </w14:textFill>
        </w:rPr>
      </w:pPr>
      <w:r>
        <w:rPr>
          <w:rFonts w:hint="eastAsia"/>
          <w:color w:val="000000" w:themeColor="text1"/>
          <w:spacing w:val="8"/>
          <w:sz w:val="24"/>
          <w:szCs w:val="24"/>
          <w:lang w:val="en-US" w:eastAsia="zh-CN"/>
          <w14:textFill>
            <w14:solidFill>
              <w14:schemeClr w14:val="tx1"/>
            </w14:solidFill>
          </w14:textFill>
        </w:rPr>
        <w:t>根据风险潜势划分，项目地下水风险评价等级为简单分析，根据</w:t>
      </w:r>
      <w:r>
        <w:rPr>
          <w:rFonts w:hint="eastAsia"/>
          <w:color w:val="000000" w:themeColor="text1"/>
          <w:kern w:val="0"/>
          <w:sz w:val="24"/>
          <w:szCs w:val="21"/>
          <w:highlight w:val="none"/>
          <w:lang w:val="en-US" w:eastAsia="zh-CN"/>
          <w14:textFill>
            <w14:solidFill>
              <w14:schemeClr w14:val="tx1"/>
            </w14:solidFill>
          </w14:textFill>
        </w:rPr>
        <w:t>《建设项目环境风险评价技术导则》（HJ 169-2018）中4.4.4.3，可进行定性描述。</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3"/>
        <w:jc w:val="both"/>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项目厂区按照相关标准、规范要求进行分区防渗，发生事故时事故水能进行有效收集，</w:t>
      </w:r>
      <w:r>
        <w:rPr>
          <w:color w:val="000000" w:themeColor="text1"/>
          <w:spacing w:val="7"/>
          <w:sz w:val="24"/>
          <w:szCs w:val="24"/>
          <w14:textFill>
            <w14:solidFill>
              <w14:schemeClr w14:val="tx1"/>
            </w14:solidFill>
          </w14:textFill>
        </w:rPr>
        <w:t>基本不存在下渗进入地下水的途径。公司落实隐患排查制度，定期对重点单元进行巡视，发</w:t>
      </w:r>
      <w:r>
        <w:rPr>
          <w:color w:val="000000" w:themeColor="text1"/>
          <w:spacing w:val="9"/>
          <w:sz w:val="24"/>
          <w:szCs w:val="24"/>
          <w14:textFill>
            <w14:solidFill>
              <w14:schemeClr w14:val="tx1"/>
            </w14:solidFill>
          </w14:textFill>
        </w:rPr>
        <w:t>现防渗区域破损及时维护，避免发生泄漏后，事故液体进入土壤和地下水。</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0"/>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3"/>
          <w:sz w:val="24"/>
          <w:szCs w:val="24"/>
          <w14:textFill>
            <w14:solidFill>
              <w14:schemeClr w14:val="tx1"/>
            </w14:solidFill>
          </w14:textFill>
        </w:rPr>
        <w:t>7</w:t>
      </w:r>
      <w:r>
        <w:rPr>
          <w:b/>
          <w:bCs/>
          <w:color w:val="000000" w:themeColor="text1"/>
          <w:spacing w:val="-3"/>
          <w:sz w:val="24"/>
          <w:szCs w:val="24"/>
          <w14:textFill>
            <w14:solidFill>
              <w14:schemeClr w14:val="tx1"/>
            </w14:solidFill>
          </w14:textFill>
        </w:rPr>
        <w:t>环境风险管理</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7.1</w:t>
      </w:r>
      <w:r>
        <w:rPr>
          <w:b/>
          <w:bCs/>
          <w:color w:val="000000" w:themeColor="text1"/>
          <w:spacing w:val="6"/>
          <w:sz w:val="24"/>
          <w:szCs w:val="24"/>
          <w14:textFill>
            <w14:solidFill>
              <w14:schemeClr w14:val="tx1"/>
            </w14:solidFill>
          </w14:textFill>
        </w:rPr>
        <w:t>大气环境风险防范</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30"/>
        <w:textAlignment w:val="auto"/>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pacing w:val="6"/>
          <w:sz w:val="24"/>
          <w:szCs w:val="24"/>
          <w14:textFill>
            <w14:solidFill>
              <w14:schemeClr w14:val="tx1"/>
            </w14:solidFill>
          </w14:textFill>
        </w:rPr>
        <w:t>1</w:t>
      </w:r>
      <w:r>
        <w:rPr>
          <w:color w:val="000000" w:themeColor="text1"/>
          <w:spacing w:val="6"/>
          <w:sz w:val="24"/>
          <w:szCs w:val="24"/>
          <w14:textFill>
            <w14:solidFill>
              <w14:schemeClr w14:val="tx1"/>
            </w14:solidFill>
          </w14:textFill>
        </w:rPr>
        <w:t>）完善防火、防爆及防泄漏管理措施，切实落实安</w:t>
      </w:r>
      <w:r>
        <w:rPr>
          <w:color w:val="000000" w:themeColor="text1"/>
          <w:spacing w:val="5"/>
          <w:sz w:val="24"/>
          <w:szCs w:val="24"/>
          <w14:textFill>
            <w14:solidFill>
              <w14:schemeClr w14:val="tx1"/>
            </w14:solidFill>
          </w14:textFill>
        </w:rPr>
        <w:t>全生产主体责任，采取有效措施，</w:t>
      </w:r>
      <w:r>
        <w:rPr>
          <w:color w:val="000000" w:themeColor="text1"/>
          <w:spacing w:val="7"/>
          <w:sz w:val="24"/>
          <w:szCs w:val="24"/>
          <w14:textFill>
            <w14:solidFill>
              <w14:schemeClr w14:val="tx1"/>
            </w14:solidFill>
          </w14:textFill>
        </w:rPr>
        <w:t>确保项目运行安全。</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w:t>
      </w:r>
      <w:r>
        <w:rPr>
          <w:rFonts w:ascii="Times New Roman" w:hAnsi="Times New Roman" w:eastAsia="Times New Roman" w:cs="Times New Roman"/>
          <w:color w:val="000000" w:themeColor="text1"/>
          <w:spacing w:val="9"/>
          <w:sz w:val="24"/>
          <w:szCs w:val="24"/>
          <w14:textFill>
            <w14:solidFill>
              <w14:schemeClr w14:val="tx1"/>
            </w14:solidFill>
          </w14:textFill>
        </w:rPr>
        <w:t>2</w:t>
      </w:r>
      <w:r>
        <w:rPr>
          <w:color w:val="000000" w:themeColor="text1"/>
          <w:spacing w:val="9"/>
          <w:sz w:val="24"/>
          <w:szCs w:val="24"/>
          <w14:textFill>
            <w14:solidFill>
              <w14:schemeClr w14:val="tx1"/>
            </w14:solidFill>
          </w14:textFill>
        </w:rPr>
        <w:t>）储罐设置高、低液位报警装置及液位极限连锁装置切断收（付）油</w:t>
      </w:r>
      <w:r>
        <w:rPr>
          <w:color w:val="000000" w:themeColor="text1"/>
          <w:spacing w:val="8"/>
          <w:sz w:val="24"/>
          <w:szCs w:val="24"/>
          <w14:textFill>
            <w14:solidFill>
              <w14:schemeClr w14:val="tx1"/>
            </w14:solidFill>
          </w14:textFill>
        </w:rPr>
        <w:t>阀门。</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30"/>
        <w:textAlignment w:val="auto"/>
        <w:rPr>
          <w:color w:val="000000" w:themeColor="text1"/>
          <w:sz w:val="24"/>
          <w:szCs w:val="24"/>
          <w14:textFill>
            <w14:solidFill>
              <w14:schemeClr w14:val="tx1"/>
            </w14:solidFill>
          </w14:textFill>
        </w:rPr>
      </w:pPr>
      <w:r>
        <w:rPr>
          <w:color w:val="000000" w:themeColor="text1"/>
          <w:spacing w:val="10"/>
          <w:sz w:val="24"/>
          <w:szCs w:val="24"/>
          <w14:textFill>
            <w14:solidFill>
              <w14:schemeClr w14:val="tx1"/>
            </w14:solidFill>
          </w14:textFill>
        </w:rPr>
        <w:t>（</w:t>
      </w:r>
      <w:r>
        <w:rPr>
          <w:rFonts w:ascii="Times New Roman" w:hAnsi="Times New Roman" w:eastAsia="Times New Roman" w:cs="Times New Roman"/>
          <w:color w:val="000000" w:themeColor="text1"/>
          <w:spacing w:val="10"/>
          <w:sz w:val="24"/>
          <w:szCs w:val="24"/>
          <w14:textFill>
            <w14:solidFill>
              <w14:schemeClr w14:val="tx1"/>
            </w14:solidFill>
          </w14:textFill>
        </w:rPr>
        <w:t>3</w:t>
      </w:r>
      <w:r>
        <w:rPr>
          <w:color w:val="000000" w:themeColor="text1"/>
          <w:spacing w:val="10"/>
          <w:sz w:val="24"/>
          <w:szCs w:val="24"/>
          <w14:textFill>
            <w14:solidFill>
              <w14:schemeClr w14:val="tx1"/>
            </w14:solidFill>
          </w14:textFill>
        </w:rPr>
        <w:t>）建立环境风险隐患排查制度，发现隐患及时</w:t>
      </w:r>
      <w:r>
        <w:rPr>
          <w:color w:val="000000" w:themeColor="text1"/>
          <w:spacing w:val="9"/>
          <w:sz w:val="24"/>
          <w:szCs w:val="24"/>
          <w14:textFill>
            <w14:solidFill>
              <w14:schemeClr w14:val="tx1"/>
            </w14:solidFill>
          </w14:textFill>
        </w:rPr>
        <w:t>整改；严格执行安全操作规范，严格控制明火、电器火花与静电火花以及冲击与摩擦等火源。</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31"/>
        <w:textAlignment w:val="auto"/>
        <w:rPr>
          <w:color w:val="000000" w:themeColor="text1"/>
          <w:sz w:val="24"/>
          <w:szCs w:val="24"/>
          <w14:textFill>
            <w14:solidFill>
              <w14:schemeClr w14:val="tx1"/>
            </w14:solidFill>
          </w14:textFill>
        </w:rPr>
      </w:pPr>
      <w:r>
        <w:rPr>
          <w:color w:val="000000" w:themeColor="text1"/>
          <w:spacing w:val="10"/>
          <w:sz w:val="24"/>
          <w:szCs w:val="24"/>
          <w14:textFill>
            <w14:solidFill>
              <w14:schemeClr w14:val="tx1"/>
            </w14:solidFill>
          </w14:textFill>
        </w:rPr>
        <w:t>（</w:t>
      </w:r>
      <w:r>
        <w:rPr>
          <w:rFonts w:ascii="Times New Roman" w:hAnsi="Times New Roman" w:eastAsia="Times New Roman" w:cs="Times New Roman"/>
          <w:color w:val="000000" w:themeColor="text1"/>
          <w:spacing w:val="10"/>
          <w:sz w:val="24"/>
          <w:szCs w:val="24"/>
          <w14:textFill>
            <w14:solidFill>
              <w14:schemeClr w14:val="tx1"/>
            </w14:solidFill>
          </w14:textFill>
        </w:rPr>
        <w:t>4</w:t>
      </w:r>
      <w:r>
        <w:rPr>
          <w:color w:val="000000" w:themeColor="text1"/>
          <w:spacing w:val="10"/>
          <w:sz w:val="24"/>
          <w:szCs w:val="24"/>
          <w14:textFill>
            <w14:solidFill>
              <w14:schemeClr w14:val="tx1"/>
            </w14:solidFill>
          </w14:textFill>
        </w:rPr>
        <w:t>）一旦发生火灾及时扑救；并根据预测分析结</w:t>
      </w:r>
      <w:r>
        <w:rPr>
          <w:color w:val="000000" w:themeColor="text1"/>
          <w:spacing w:val="9"/>
          <w:sz w:val="24"/>
          <w:szCs w:val="24"/>
          <w14:textFill>
            <w14:solidFill>
              <w14:schemeClr w14:val="tx1"/>
            </w14:solidFill>
          </w14:textFill>
        </w:rPr>
        <w:t>果，对可能受影响下风向关心点人群进行疏散转移至安全区域，封闭受影响区域道路。</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7.2</w:t>
      </w:r>
      <w:r>
        <w:rPr>
          <w:b/>
          <w:bCs/>
          <w:color w:val="000000" w:themeColor="text1"/>
          <w:spacing w:val="6"/>
          <w:sz w:val="24"/>
          <w:szCs w:val="24"/>
          <w14:textFill>
            <w14:solidFill>
              <w14:schemeClr w14:val="tx1"/>
            </w14:solidFill>
          </w14:textFill>
        </w:rPr>
        <w:t>事故废水环境风险防范</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0"/>
          <w:szCs w:val="20"/>
          <w14:textFill>
            <w14:solidFill>
              <w14:schemeClr w14:val="tx1"/>
            </w14:solidFill>
          </w14:textFill>
        </w:rPr>
      </w:pPr>
      <w:r>
        <w:rPr>
          <w:color w:val="000000" w:themeColor="text1"/>
          <w:spacing w:val="7"/>
          <w:sz w:val="24"/>
          <w:szCs w:val="24"/>
          <w14:textFill>
            <w14:solidFill>
              <w14:schemeClr w14:val="tx1"/>
            </w14:solidFill>
          </w14:textFill>
        </w:rPr>
        <w:t>项目三级防控图示如下：</w:t>
      </w:r>
    </w:p>
    <w:p>
      <w:pPr>
        <w:spacing w:before="1" w:line="240" w:lineRule="auto"/>
        <w:ind w:firstLine="38"/>
        <w:jc w:val="center"/>
        <w:rPr>
          <w:b/>
          <w:bCs/>
          <w:color w:val="000000" w:themeColor="text1"/>
          <w:spacing w:val="-3"/>
          <w:sz w:val="18"/>
          <w:szCs w:val="18"/>
          <w14:textFill>
            <w14:solidFill>
              <w14:schemeClr w14:val="tx1"/>
            </w14:solidFill>
          </w14:textFill>
        </w:rPr>
      </w:pPr>
    </w:p>
    <w:p>
      <w:pPr>
        <w:spacing w:before="1" w:line="360" w:lineRule="auto"/>
        <w:ind w:firstLine="38"/>
        <w:jc w:val="center"/>
        <w:rPr>
          <w:color w:val="000000" w:themeColor="text1"/>
          <w:sz w:val="18"/>
          <w:szCs w:val="18"/>
          <w14:textFill>
            <w14:solidFill>
              <w14:schemeClr w14:val="tx1"/>
            </w14:solidFill>
          </w14:textFill>
        </w:rPr>
      </w:pPr>
      <w:r>
        <w:rPr>
          <w:b/>
          <w:bCs/>
          <w:color w:val="000000" w:themeColor="text1"/>
          <w:spacing w:val="-3"/>
          <w:sz w:val="18"/>
          <w:szCs w:val="18"/>
          <w14:textFill>
            <w14:solidFill>
              <w14:schemeClr w14:val="tx1"/>
            </w14:solidFill>
          </w14:textFill>
        </w:rPr>
        <w:drawing>
          <wp:anchor distT="0" distB="0" distL="114300" distR="114300" simplePos="0" relativeHeight="251666432" behindDoc="0" locked="0" layoutInCell="1" allowOverlap="1">
            <wp:simplePos x="0" y="0"/>
            <wp:positionH relativeFrom="column">
              <wp:posOffset>653415</wp:posOffset>
            </wp:positionH>
            <wp:positionV relativeFrom="page">
              <wp:posOffset>3892550</wp:posOffset>
            </wp:positionV>
            <wp:extent cx="4688205" cy="2618740"/>
            <wp:effectExtent l="0" t="0" r="17145" b="10160"/>
            <wp:wrapTopAndBottom/>
            <wp:docPr id="17" name="F360BE8B-6686-4F3D-AEAF-501FE73E4058-3" descr="C:/Users/Administrator/AppData/Local/Temp/绘图1(19).png绘图1(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F360BE8B-6686-4F3D-AEAF-501FE73E4058-3" descr="C:/Users/Administrator/AppData/Local/Temp/绘图1(19).png绘图1(19)"/>
                    <pic:cNvPicPr>
                      <a:picLocks noChangeAspect="true"/>
                    </pic:cNvPicPr>
                  </pic:nvPicPr>
                  <pic:blipFill>
                    <a:blip r:embed="rId158"/>
                    <a:stretch>
                      <a:fillRect/>
                    </a:stretch>
                  </pic:blipFill>
                  <pic:spPr>
                    <a:xfrm>
                      <a:off x="0" y="0"/>
                      <a:ext cx="4688205" cy="2618740"/>
                    </a:xfrm>
                    <a:prstGeom prst="rect">
                      <a:avLst/>
                    </a:prstGeom>
                  </pic:spPr>
                </pic:pic>
              </a:graphicData>
            </a:graphic>
          </wp:anchor>
        </w:drawing>
      </w:r>
      <w:r>
        <w:rPr>
          <w:b/>
          <w:bCs/>
          <w:color w:val="000000" w:themeColor="text1"/>
          <w:spacing w:val="-3"/>
          <w:sz w:val="18"/>
          <w:szCs w:val="18"/>
          <w14:textFill>
            <w14:solidFill>
              <w14:schemeClr w14:val="tx1"/>
            </w14:solidFill>
          </w14:textFill>
        </w:rPr>
        <w:t>图</w:t>
      </w:r>
      <w:r>
        <w:rPr>
          <w:color w:val="000000" w:themeColor="text1"/>
          <w:spacing w:val="-39"/>
          <w:sz w:val="18"/>
          <w:szCs w:val="18"/>
          <w14:textFill>
            <w14:solidFill>
              <w14:schemeClr w14:val="tx1"/>
            </w14:solidFill>
          </w14:textFill>
        </w:rPr>
        <w:t xml:space="preserve"> </w:t>
      </w:r>
      <w:r>
        <w:rPr>
          <w:rFonts w:ascii="Times New Roman" w:hAnsi="Times New Roman" w:eastAsia="Times New Roman" w:cs="Times New Roman"/>
          <w:b/>
          <w:bCs/>
          <w:color w:val="000000" w:themeColor="text1"/>
          <w:spacing w:val="-3"/>
          <w:sz w:val="18"/>
          <w:szCs w:val="18"/>
          <w14:textFill>
            <w14:solidFill>
              <w14:schemeClr w14:val="tx1"/>
            </w14:solidFill>
          </w14:textFill>
        </w:rPr>
        <w:t xml:space="preserve">7-1 </w:t>
      </w:r>
      <w:r>
        <w:rPr>
          <w:b/>
          <w:bCs/>
          <w:color w:val="000000" w:themeColor="text1"/>
          <w:spacing w:val="-3"/>
          <w:sz w:val="18"/>
          <w:szCs w:val="18"/>
          <w14:textFill>
            <w14:solidFill>
              <w14:schemeClr w14:val="tx1"/>
            </w14:solidFill>
          </w14:textFill>
        </w:rPr>
        <w:t>事故水三级防控示意图</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w:t>
      </w:r>
      <w:r>
        <w:rPr>
          <w:rFonts w:ascii="Times New Roman" w:hAnsi="Times New Roman" w:eastAsia="Times New Roman" w:cs="Times New Roman"/>
          <w:color w:val="000000" w:themeColor="text1"/>
          <w:spacing w:val="7"/>
          <w:sz w:val="24"/>
          <w:szCs w:val="24"/>
          <w14:textFill>
            <w14:solidFill>
              <w14:schemeClr w14:val="tx1"/>
            </w14:solidFill>
          </w14:textFill>
        </w:rPr>
        <w:t>1</w:t>
      </w:r>
      <w:r>
        <w:rPr>
          <w:color w:val="000000" w:themeColor="text1"/>
          <w:spacing w:val="7"/>
          <w:sz w:val="24"/>
          <w:szCs w:val="24"/>
          <w14:textFill>
            <w14:solidFill>
              <w14:schemeClr w14:val="tx1"/>
            </w14:solidFill>
          </w14:textFill>
        </w:rPr>
        <w:t>）一级预防与控制系统</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包括罐组</w:t>
      </w:r>
      <w:r>
        <w:rPr>
          <w:rFonts w:hint="eastAsia"/>
          <w:color w:val="000000" w:themeColor="text1"/>
          <w:spacing w:val="9"/>
          <w:sz w:val="24"/>
          <w:szCs w:val="24"/>
          <w:lang w:val="en-US" w:eastAsia="zh-CN"/>
          <w14:textFill>
            <w14:solidFill>
              <w14:schemeClr w14:val="tx1"/>
            </w14:solidFill>
          </w14:textFill>
        </w:rPr>
        <w:t>围堰</w:t>
      </w:r>
      <w:r>
        <w:rPr>
          <w:color w:val="000000" w:themeColor="text1"/>
          <w:spacing w:val="9"/>
          <w:sz w:val="24"/>
          <w:szCs w:val="24"/>
          <w14:textFill>
            <w14:solidFill>
              <w14:schemeClr w14:val="tx1"/>
            </w14:solidFill>
          </w14:textFill>
        </w:rPr>
        <w:t>及其配套设施，油泵区、阀组区和其配套设施等，应符合以下要求：</w:t>
      </w:r>
    </w:p>
    <w:p>
      <w:pPr>
        <w:pStyle w:val="8"/>
        <w:keepNext w:val="0"/>
        <w:keepLines w:val="0"/>
        <w:pageBreakBefore w:val="0"/>
        <w:kinsoku/>
        <w:wordWrap/>
        <w:overflowPunct/>
        <w:topLinePunct w:val="0"/>
        <w:autoSpaceDE/>
        <w:autoSpaceDN/>
        <w:bidi w:val="0"/>
        <w:adjustRightInd/>
        <w:spacing w:before="0" w:after="0" w:line="360" w:lineRule="auto"/>
        <w:ind w:left="0" w:right="0" w:hanging="287"/>
        <w:jc w:val="both"/>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罐区</w:t>
      </w:r>
      <w:r>
        <w:rPr>
          <w:rFonts w:hint="eastAsia"/>
          <w:color w:val="000000" w:themeColor="text1"/>
          <w:spacing w:val="8"/>
          <w:sz w:val="24"/>
          <w:szCs w:val="24"/>
          <w:lang w:val="en-US" w:eastAsia="zh-CN"/>
          <w14:textFill>
            <w14:solidFill>
              <w14:schemeClr w14:val="tx1"/>
            </w14:solidFill>
          </w14:textFill>
        </w:rPr>
        <w:t>一、二</w:t>
      </w:r>
      <w:r>
        <w:rPr>
          <w:color w:val="000000" w:themeColor="text1"/>
          <w:spacing w:val="8"/>
          <w:sz w:val="24"/>
          <w:szCs w:val="24"/>
          <w14:textFill>
            <w14:solidFill>
              <w14:schemeClr w14:val="tx1"/>
            </w14:solidFill>
          </w14:textFill>
        </w:rPr>
        <w:t>依托现有</w:t>
      </w:r>
      <w:r>
        <w:rPr>
          <w:rFonts w:ascii="Calibri" w:hAnsi="Calibri" w:eastAsia="Calibri" w:cs="Calibri"/>
          <w:color w:val="000000" w:themeColor="text1"/>
          <w:spacing w:val="8"/>
          <w:sz w:val="24"/>
          <w:szCs w:val="24"/>
          <w14:textFill>
            <w14:solidFill>
              <w14:schemeClr w14:val="tx1"/>
            </w14:solidFill>
          </w14:textFill>
        </w:rPr>
        <w:t>1.</w:t>
      </w:r>
      <w:r>
        <w:rPr>
          <w:rFonts w:hint="eastAsia" w:ascii="Calibri" w:hAnsi="Calibri" w:eastAsia="宋体" w:cs="Calibri"/>
          <w:color w:val="000000" w:themeColor="text1"/>
          <w:spacing w:val="8"/>
          <w:sz w:val="24"/>
          <w:szCs w:val="24"/>
          <w:lang w:val="en-US" w:eastAsia="zh-CN"/>
          <w14:textFill>
            <w14:solidFill>
              <w14:schemeClr w14:val="tx1"/>
            </w14:solidFill>
          </w14:textFill>
        </w:rPr>
        <w:t>5</w:t>
      </w:r>
      <w:r>
        <w:rPr>
          <w:rFonts w:ascii="Calibri" w:hAnsi="Calibri" w:eastAsia="Calibri" w:cs="Calibri"/>
          <w:color w:val="000000" w:themeColor="text1"/>
          <w:spacing w:val="8"/>
          <w:sz w:val="24"/>
          <w:szCs w:val="24"/>
          <w14:textFill>
            <w14:solidFill>
              <w14:schemeClr w14:val="tx1"/>
            </w14:solidFill>
          </w14:textFill>
        </w:rPr>
        <w:t>m</w:t>
      </w:r>
      <w:r>
        <w:rPr>
          <w:rFonts w:hint="eastAsia" w:ascii="Calibri" w:hAnsi="Calibri" w:eastAsia="宋体" w:cs="Calibri"/>
          <w:color w:val="000000" w:themeColor="text1"/>
          <w:spacing w:val="8"/>
          <w:sz w:val="24"/>
          <w:szCs w:val="24"/>
          <w:lang w:val="en-US" w:eastAsia="zh-CN"/>
          <w14:textFill>
            <w14:solidFill>
              <w14:schemeClr w14:val="tx1"/>
            </w14:solidFill>
          </w14:textFill>
        </w:rPr>
        <w:t>围堰</w:t>
      </w:r>
      <w:r>
        <w:rPr>
          <w:color w:val="000000" w:themeColor="text1"/>
          <w:spacing w:val="8"/>
          <w:sz w:val="24"/>
          <w:szCs w:val="24"/>
          <w14:textFill>
            <w14:solidFill>
              <w14:schemeClr w14:val="tx1"/>
            </w14:solidFill>
          </w14:textFill>
        </w:rPr>
        <w:t>，满足</w:t>
      </w:r>
      <w:r>
        <w:rPr>
          <w:rFonts w:ascii="Calibri" w:hAnsi="Calibri" w:eastAsia="Calibri" w:cs="Calibri"/>
          <w:color w:val="000000" w:themeColor="text1"/>
          <w:sz w:val="24"/>
          <w:szCs w:val="24"/>
          <w14:textFill>
            <w14:solidFill>
              <w14:schemeClr w14:val="tx1"/>
            </w14:solidFill>
          </w14:textFill>
        </w:rPr>
        <w:t>GB</w:t>
      </w:r>
      <w:r>
        <w:rPr>
          <w:rFonts w:ascii="Calibri" w:hAnsi="Calibri" w:eastAsia="Calibri" w:cs="Calibri"/>
          <w:color w:val="000000" w:themeColor="text1"/>
          <w:spacing w:val="8"/>
          <w:sz w:val="24"/>
          <w:szCs w:val="24"/>
          <w14:textFill>
            <w14:solidFill>
              <w14:schemeClr w14:val="tx1"/>
            </w14:solidFill>
          </w14:textFill>
        </w:rPr>
        <w:t>50160</w:t>
      </w:r>
      <w:r>
        <w:rPr>
          <w:color w:val="000000" w:themeColor="text1"/>
          <w:spacing w:val="7"/>
          <w:sz w:val="24"/>
          <w:szCs w:val="24"/>
          <w14:textFill>
            <w14:solidFill>
              <w14:schemeClr w14:val="tx1"/>
            </w14:solidFill>
          </w14:textFill>
        </w:rPr>
        <w:t>、</w:t>
      </w:r>
      <w:r>
        <w:rPr>
          <w:rFonts w:ascii="Calibri" w:hAnsi="Calibri" w:eastAsia="Calibri" w:cs="Calibri"/>
          <w:color w:val="000000" w:themeColor="text1"/>
          <w:sz w:val="24"/>
          <w:szCs w:val="24"/>
          <w14:textFill>
            <w14:solidFill>
              <w14:schemeClr w14:val="tx1"/>
            </w14:solidFill>
          </w14:textFill>
        </w:rPr>
        <w:t>GB</w:t>
      </w:r>
      <w:r>
        <w:rPr>
          <w:rFonts w:ascii="Calibri" w:hAnsi="Calibri" w:eastAsia="Calibri" w:cs="Calibri"/>
          <w:color w:val="000000" w:themeColor="text1"/>
          <w:spacing w:val="7"/>
          <w:sz w:val="24"/>
          <w:szCs w:val="24"/>
          <w14:textFill>
            <w14:solidFill>
              <w14:schemeClr w14:val="tx1"/>
            </w14:solidFill>
          </w14:textFill>
        </w:rPr>
        <w:t>50351</w:t>
      </w:r>
      <w:r>
        <w:rPr>
          <w:color w:val="000000" w:themeColor="text1"/>
          <w:spacing w:val="7"/>
          <w:sz w:val="24"/>
          <w:szCs w:val="24"/>
          <w14:textFill>
            <w14:solidFill>
              <w14:schemeClr w14:val="tx1"/>
            </w14:solidFill>
          </w14:textFill>
        </w:rPr>
        <w:t>等相关规范要求。</w:t>
      </w:r>
      <w:r>
        <w:rPr>
          <w:rFonts w:hint="eastAsia"/>
          <w:color w:val="000000" w:themeColor="text1"/>
          <w:spacing w:val="7"/>
          <w:sz w:val="24"/>
          <w:szCs w:val="24"/>
          <w:lang w:val="en-US" w:eastAsia="zh-CN"/>
          <w14:textFill>
            <w14:solidFill>
              <w14:schemeClr w14:val="tx1"/>
            </w14:solidFill>
          </w14:textFill>
        </w:rPr>
        <w:t>罐区一围堰有效容积为4200m³，罐区二围堰有效容积为4729m³，</w:t>
      </w:r>
      <w:commentRangeStart w:id="106"/>
      <w:r>
        <w:rPr>
          <w:rFonts w:hint="eastAsia"/>
          <w:color w:val="FF0000"/>
          <w:spacing w:val="7"/>
          <w:sz w:val="24"/>
          <w:szCs w:val="24"/>
          <w:lang w:val="en-US" w:eastAsia="zh-CN"/>
        </w:rPr>
        <w:t>围堰/罐区地面为2mmHDPE土工膜+10cm沙土+20cm厚C30混凝土保护层，等效渗透系数&lt;10</w:t>
      </w:r>
      <w:r>
        <w:rPr>
          <w:rFonts w:hint="eastAsia"/>
          <w:color w:val="FF0000"/>
          <w:spacing w:val="7"/>
          <w:sz w:val="24"/>
          <w:szCs w:val="24"/>
          <w:vertAlign w:val="superscript"/>
          <w:lang w:val="en-US" w:eastAsia="zh-CN"/>
        </w:rPr>
        <w:t>-10</w:t>
      </w:r>
      <w:r>
        <w:rPr>
          <w:rFonts w:hint="eastAsia"/>
          <w:color w:val="FF0000"/>
          <w:spacing w:val="7"/>
          <w:sz w:val="24"/>
          <w:szCs w:val="24"/>
          <w:lang w:val="en-US" w:eastAsia="zh-CN"/>
        </w:rPr>
        <w:t>cm/s</w:t>
      </w:r>
      <w:commentRangeEnd w:id="106"/>
      <w:r>
        <w:rPr>
          <w:color w:val="FF0000"/>
        </w:rPr>
        <w:commentReference w:id="106"/>
      </w:r>
      <w:r>
        <w:rPr>
          <w:rFonts w:hint="eastAsia"/>
          <w:color w:val="FF0000"/>
          <w:spacing w:val="7"/>
          <w:sz w:val="24"/>
          <w:szCs w:val="24"/>
          <w:lang w:val="en-US" w:eastAsia="zh-CN"/>
        </w:rPr>
        <w:t>。</w:t>
      </w:r>
      <w:r>
        <w:rPr>
          <w:rFonts w:hint="eastAsia" w:ascii="Calibri" w:hAnsi="Calibri" w:eastAsia="宋体" w:cs="Calibri"/>
          <w:color w:val="000000" w:themeColor="text1"/>
          <w:spacing w:val="8"/>
          <w:sz w:val="24"/>
          <w:szCs w:val="24"/>
          <w:lang w:val="en-US" w:eastAsia="zh-CN"/>
          <w14:textFill>
            <w14:solidFill>
              <w14:schemeClr w14:val="tx1"/>
            </w14:solidFill>
          </w14:textFill>
        </w:rPr>
        <w:t>围堰</w:t>
      </w:r>
      <w:r>
        <w:rPr>
          <w:color w:val="000000" w:themeColor="text1"/>
          <w:spacing w:val="8"/>
          <w:sz w:val="24"/>
          <w:szCs w:val="24"/>
          <w14:textFill>
            <w14:solidFill>
              <w14:schemeClr w14:val="tx1"/>
            </w14:solidFill>
          </w14:textFill>
        </w:rPr>
        <w:t>内不</w:t>
      </w:r>
      <w:r>
        <w:rPr>
          <w:color w:val="000000" w:themeColor="text1"/>
          <w:spacing w:val="6"/>
          <w:sz w:val="24"/>
          <w:szCs w:val="24"/>
          <w14:textFill>
            <w14:solidFill>
              <w14:schemeClr w14:val="tx1"/>
            </w14:solidFill>
          </w14:textFill>
        </w:rPr>
        <w:t>存放堵塞通道、占据容量的其他物品。</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11"/>
          <w:sz w:val="24"/>
          <w:szCs w:val="24"/>
          <w14:textFill>
            <w14:solidFill>
              <w14:schemeClr w14:val="tx1"/>
            </w14:solidFill>
          </w14:textFill>
        </w:rPr>
        <w:t>②罐组</w:t>
      </w:r>
      <w:r>
        <w:rPr>
          <w:rFonts w:hint="eastAsia"/>
          <w:color w:val="000000" w:themeColor="text1"/>
          <w:spacing w:val="11"/>
          <w:sz w:val="24"/>
          <w:szCs w:val="24"/>
          <w:lang w:val="en-US" w:eastAsia="zh-CN"/>
          <w14:textFill>
            <w14:solidFill>
              <w14:schemeClr w14:val="tx1"/>
            </w14:solidFill>
          </w14:textFill>
        </w:rPr>
        <w:t>罐区外</w:t>
      </w:r>
      <w:r>
        <w:rPr>
          <w:color w:val="000000" w:themeColor="text1"/>
          <w:spacing w:val="11"/>
          <w:sz w:val="24"/>
          <w:szCs w:val="24"/>
          <w14:textFill>
            <w14:solidFill>
              <w14:schemeClr w14:val="tx1"/>
            </w14:solidFill>
          </w14:textFill>
        </w:rPr>
        <w:t>设便于操作的截止阀门和切换阀门，罐区事故水排水切换</w:t>
      </w:r>
      <w:r>
        <w:rPr>
          <w:color w:val="000000" w:themeColor="text1"/>
          <w:spacing w:val="5"/>
          <w:sz w:val="24"/>
          <w:szCs w:val="24"/>
          <w14:textFill>
            <w14:solidFill>
              <w14:schemeClr w14:val="tx1"/>
            </w14:solidFill>
          </w14:textFill>
        </w:rPr>
        <w:t>到污水系统，</w:t>
      </w:r>
      <w:r>
        <w:rPr>
          <w:color w:val="000000" w:themeColor="text1"/>
          <w:spacing w:val="11"/>
          <w:sz w:val="24"/>
          <w:szCs w:val="24"/>
          <w14:textFill>
            <w14:solidFill>
              <w14:schemeClr w14:val="tx1"/>
            </w14:solidFill>
          </w14:textFill>
        </w:rPr>
        <w:t>污染雨水</w:t>
      </w:r>
      <w:r>
        <w:rPr>
          <w:rFonts w:hint="eastAsia"/>
          <w:color w:val="000000" w:themeColor="text1"/>
          <w:spacing w:val="11"/>
          <w:sz w:val="24"/>
          <w:szCs w:val="24"/>
          <w:lang w:val="en-US" w:eastAsia="zh-CN"/>
          <w14:textFill>
            <w14:solidFill>
              <w14:schemeClr w14:val="tx1"/>
            </w14:solidFill>
          </w14:textFill>
        </w:rPr>
        <w:t>排至初期雨水池，</w:t>
      </w:r>
      <w:r>
        <w:rPr>
          <w:color w:val="000000" w:themeColor="text1"/>
          <w:spacing w:val="5"/>
          <w:sz w:val="24"/>
          <w:szCs w:val="24"/>
          <w14:textFill>
            <w14:solidFill>
              <w14:schemeClr w14:val="tx1"/>
            </w14:solidFill>
          </w14:textFill>
        </w:rPr>
        <w:t>清洁雨水排水切换到雨排水系统，正常情况下罐区截止阀门处于关闭状态，</w:t>
      </w:r>
      <w:r>
        <w:rPr>
          <w:color w:val="000000" w:themeColor="text1"/>
          <w:spacing w:val="6"/>
          <w:sz w:val="24"/>
          <w:szCs w:val="24"/>
          <w14:textFill>
            <w14:solidFill>
              <w14:schemeClr w14:val="tx1"/>
            </w14:solidFill>
          </w14:textFill>
        </w:rPr>
        <w:t>切换阀门转向污水系统方向。企业根据实际情况明确阀门操作规程及日常管理及维护方案，</w:t>
      </w:r>
      <w:r>
        <w:rPr>
          <w:color w:val="000000" w:themeColor="text1"/>
          <w:spacing w:val="9"/>
          <w:sz w:val="24"/>
          <w:szCs w:val="24"/>
          <w14:textFill>
            <w14:solidFill>
              <w14:schemeClr w14:val="tx1"/>
            </w14:solidFill>
          </w14:textFill>
        </w:rPr>
        <w:t>有专人负责阀门切换，保证初期污染雨水、泄漏物和受污染的消防水排入污水系统。</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w:t>
      </w:r>
      <w:r>
        <w:rPr>
          <w:rFonts w:ascii="Times New Roman" w:hAnsi="Times New Roman" w:eastAsia="Times New Roman" w:cs="Times New Roman"/>
          <w:color w:val="000000" w:themeColor="text1"/>
          <w:spacing w:val="7"/>
          <w:sz w:val="24"/>
          <w:szCs w:val="24"/>
          <w14:textFill>
            <w14:solidFill>
              <w14:schemeClr w14:val="tx1"/>
            </w14:solidFill>
          </w14:textFill>
        </w:rPr>
        <w:t>2</w:t>
      </w:r>
      <w:r>
        <w:rPr>
          <w:color w:val="000000" w:themeColor="text1"/>
          <w:spacing w:val="7"/>
          <w:sz w:val="24"/>
          <w:szCs w:val="24"/>
          <w14:textFill>
            <w14:solidFill>
              <w14:schemeClr w14:val="tx1"/>
            </w14:solidFill>
          </w14:textFill>
        </w:rPr>
        <w:t>）二级预防与控制体系</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包括雨排水切断系统、防漫流及导流设施、道路等。</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①项目</w:t>
      </w:r>
      <w:r>
        <w:rPr>
          <w:rFonts w:hint="eastAsia"/>
          <w:color w:val="000000" w:themeColor="text1"/>
          <w:spacing w:val="9"/>
          <w:sz w:val="24"/>
          <w:szCs w:val="24"/>
          <w:lang w:val="en-US" w:eastAsia="zh-CN"/>
          <w14:textFill>
            <w14:solidFill>
              <w14:schemeClr w14:val="tx1"/>
            </w14:solidFill>
          </w14:textFill>
        </w:rPr>
        <w:t>设初期雨水池，</w:t>
      </w:r>
      <w:r>
        <w:rPr>
          <w:color w:val="000000" w:themeColor="text1"/>
          <w:spacing w:val="9"/>
          <w:sz w:val="24"/>
          <w:szCs w:val="24"/>
          <w14:textFill>
            <w14:solidFill>
              <w14:schemeClr w14:val="tx1"/>
            </w14:solidFill>
          </w14:textFill>
        </w:rPr>
        <w:t>雨水总排口设置雨水监控井，出水口设置切断措施。</w:t>
      </w:r>
    </w:p>
    <w:p>
      <w:pPr>
        <w:pStyle w:val="8"/>
        <w:keepNext w:val="0"/>
        <w:keepLines w:val="0"/>
        <w:pageBreakBefore w:val="0"/>
        <w:kinsoku/>
        <w:wordWrap/>
        <w:overflowPunct/>
        <w:topLinePunct w:val="0"/>
        <w:autoSpaceDE/>
        <w:autoSpaceDN/>
        <w:bidi w:val="0"/>
        <w:adjustRightInd/>
        <w:spacing w:before="0" w:after="0" w:line="360" w:lineRule="auto"/>
        <w:ind w:left="0" w:right="0" w:firstLine="416"/>
        <w:jc w:val="both"/>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②储罐组周边的消防车道路面标高宜高于防火堤外侧地面的设计标高</w:t>
      </w:r>
      <w:r>
        <w:rPr>
          <w:rFonts w:ascii="Times New Roman" w:hAnsi="Times New Roman" w:eastAsia="Times New Roman" w:cs="Times New Roman"/>
          <w:color w:val="000000" w:themeColor="text1"/>
          <w:spacing w:val="9"/>
          <w:sz w:val="24"/>
          <w:szCs w:val="24"/>
          <w14:textFill>
            <w14:solidFill>
              <w14:schemeClr w14:val="tx1"/>
            </w14:solidFill>
          </w14:textFill>
        </w:rPr>
        <w:t>0.5m</w:t>
      </w:r>
      <w:r>
        <w:rPr>
          <w:color w:val="000000" w:themeColor="text1"/>
          <w:spacing w:val="9"/>
          <w:sz w:val="24"/>
          <w:szCs w:val="24"/>
          <w14:textFill>
            <w14:solidFill>
              <w14:schemeClr w14:val="tx1"/>
            </w14:solidFill>
          </w14:textFill>
        </w:rPr>
        <w:t>及以上；道</w:t>
      </w:r>
      <w:r>
        <w:rPr>
          <w:color w:val="000000" w:themeColor="text1"/>
          <w:spacing w:val="8"/>
          <w:sz w:val="24"/>
          <w:szCs w:val="24"/>
          <w14:textFill>
            <w14:solidFill>
              <w14:schemeClr w14:val="tx1"/>
            </w14:solidFill>
          </w14:textFill>
        </w:rPr>
        <w:t>路进出口应采取防止事故液漫流的措施。</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w:t>
      </w:r>
      <w:r>
        <w:rPr>
          <w:rFonts w:ascii="Times New Roman" w:hAnsi="Times New Roman" w:eastAsia="Times New Roman" w:cs="Times New Roman"/>
          <w:color w:val="000000" w:themeColor="text1"/>
          <w:spacing w:val="7"/>
          <w:sz w:val="24"/>
          <w:szCs w:val="24"/>
          <w14:textFill>
            <w14:solidFill>
              <w14:schemeClr w14:val="tx1"/>
            </w14:solidFill>
          </w14:textFill>
        </w:rPr>
        <w:t>3</w:t>
      </w:r>
      <w:r>
        <w:rPr>
          <w:color w:val="000000" w:themeColor="text1"/>
          <w:spacing w:val="7"/>
          <w:sz w:val="24"/>
          <w:szCs w:val="24"/>
          <w14:textFill>
            <w14:solidFill>
              <w14:schemeClr w14:val="tx1"/>
            </w14:solidFill>
          </w14:textFill>
        </w:rPr>
        <w:t>）三级预防与控制体系</w:t>
      </w:r>
    </w:p>
    <w:p>
      <w:pPr>
        <w:pStyle w:val="8"/>
        <w:keepNext w:val="0"/>
        <w:keepLines w:val="0"/>
        <w:pageBreakBefore w:val="0"/>
        <w:kinsoku/>
        <w:wordWrap/>
        <w:overflowPunct/>
        <w:topLinePunct w:val="0"/>
        <w:autoSpaceDE/>
        <w:autoSpaceDN/>
        <w:bidi w:val="0"/>
        <w:adjustRightInd/>
        <w:spacing w:before="0" w:after="0" w:line="360" w:lineRule="auto"/>
        <w:ind w:left="0" w:right="0" w:firstLine="420"/>
        <w:jc w:val="both"/>
        <w:textAlignment w:val="auto"/>
        <w:rPr>
          <w:color w:val="000000" w:themeColor="text1"/>
          <w:sz w:val="24"/>
          <w:szCs w:val="24"/>
          <w14:textFill>
            <w14:solidFill>
              <w14:schemeClr w14:val="tx1"/>
            </w14:solidFill>
          </w14:textFill>
        </w:rPr>
      </w:pPr>
      <w:r>
        <w:rPr>
          <w:color w:val="000000" w:themeColor="text1"/>
          <w:spacing w:val="4"/>
          <w:sz w:val="24"/>
          <w:szCs w:val="24"/>
          <w14:textFill>
            <w14:solidFill>
              <w14:schemeClr w14:val="tx1"/>
            </w14:solidFill>
          </w14:textFill>
        </w:rPr>
        <w:t>包括末端事故设施及其配套设施。项目设末端</w:t>
      </w:r>
      <w:r>
        <w:rPr>
          <w:rFonts w:hint="eastAsia"/>
          <w:color w:val="000000" w:themeColor="text1"/>
          <w:spacing w:val="4"/>
          <w:sz w:val="24"/>
          <w:szCs w:val="24"/>
          <w:lang w:val="en-US" w:eastAsia="zh-CN"/>
          <w14:textFill>
            <w14:solidFill>
              <w14:schemeClr w14:val="tx1"/>
            </w14:solidFill>
          </w14:textFill>
        </w:rPr>
        <w:t>3100m³</w:t>
      </w:r>
      <w:r>
        <w:rPr>
          <w:color w:val="000000" w:themeColor="text1"/>
          <w:spacing w:val="4"/>
          <w:sz w:val="24"/>
          <w:szCs w:val="24"/>
          <w14:textFill>
            <w14:solidFill>
              <w14:schemeClr w14:val="tx1"/>
            </w14:solidFill>
          </w14:textFill>
        </w:rPr>
        <w:t>事故池，</w:t>
      </w:r>
      <w:r>
        <w:rPr>
          <w:color w:val="000000" w:themeColor="text1"/>
          <w:spacing w:val="9"/>
          <w:sz w:val="24"/>
          <w:szCs w:val="24"/>
          <w14:textFill>
            <w14:solidFill>
              <w14:schemeClr w14:val="tx1"/>
            </w14:solidFill>
          </w14:textFill>
        </w:rPr>
        <w:t>该事故池采取防渗、防腐、防冻、防洪、抗浮、抗震、防爆等措施；新建事故</w:t>
      </w:r>
      <w:r>
        <w:rPr>
          <w:color w:val="000000" w:themeColor="text1"/>
          <w:spacing w:val="10"/>
          <w:sz w:val="24"/>
          <w:szCs w:val="24"/>
          <w14:textFill>
            <w14:solidFill>
              <w14:schemeClr w14:val="tx1"/>
            </w14:solidFill>
          </w14:textFill>
        </w:rPr>
        <w:t>池设抽水设施（电气按防爆标准选用</w:t>
      </w:r>
      <w:r>
        <w:rPr>
          <w:color w:val="000000" w:themeColor="text1"/>
          <w:spacing w:val="-38"/>
          <w:sz w:val="24"/>
          <w:szCs w:val="24"/>
          <w14:textFill>
            <w14:solidFill>
              <w14:schemeClr w14:val="tx1"/>
            </w14:solidFill>
          </w14:textFill>
        </w:rPr>
        <w:t>），</w:t>
      </w:r>
      <w:r>
        <w:rPr>
          <w:color w:val="000000" w:themeColor="text1"/>
          <w:spacing w:val="10"/>
          <w:sz w:val="24"/>
          <w:szCs w:val="24"/>
          <w14:textFill>
            <w14:solidFill>
              <w14:schemeClr w14:val="tx1"/>
            </w14:solidFill>
          </w14:textFill>
        </w:rPr>
        <w:t>便于应急情况下事故水的</w:t>
      </w:r>
      <w:r>
        <w:rPr>
          <w:color w:val="000000" w:themeColor="text1"/>
          <w:spacing w:val="9"/>
          <w:sz w:val="24"/>
          <w:szCs w:val="24"/>
          <w14:textFill>
            <w14:solidFill>
              <w14:schemeClr w14:val="tx1"/>
            </w14:solidFill>
          </w14:textFill>
        </w:rPr>
        <w:t>转移</w:t>
      </w:r>
      <w:r>
        <w:rPr>
          <w:color w:val="000000" w:themeColor="text1"/>
          <w:spacing w:val="4"/>
          <w:sz w:val="24"/>
          <w:szCs w:val="24"/>
          <w14:textFill>
            <w14:solidFill>
              <w14:schemeClr w14:val="tx1"/>
            </w14:solidFill>
          </w14:textFill>
        </w:rPr>
        <w:t>。</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w:t>
      </w:r>
      <w:r>
        <w:rPr>
          <w:rFonts w:ascii="Times New Roman" w:hAnsi="Times New Roman" w:eastAsia="Times New Roman" w:cs="Times New Roman"/>
          <w:color w:val="000000" w:themeColor="text1"/>
          <w:spacing w:val="7"/>
          <w:sz w:val="24"/>
          <w:szCs w:val="24"/>
          <w14:textFill>
            <w14:solidFill>
              <w14:schemeClr w14:val="tx1"/>
            </w14:solidFill>
          </w14:textFill>
        </w:rPr>
        <w:t>4</w:t>
      </w:r>
      <w:r>
        <w:rPr>
          <w:color w:val="000000" w:themeColor="text1"/>
          <w:spacing w:val="7"/>
          <w:sz w:val="24"/>
          <w:szCs w:val="24"/>
          <w14:textFill>
            <w14:solidFill>
              <w14:schemeClr w14:val="tx1"/>
            </w14:solidFill>
          </w14:textFill>
        </w:rPr>
        <w:t>）三级防控运行</w:t>
      </w:r>
    </w:p>
    <w:p>
      <w:pPr>
        <w:pStyle w:val="8"/>
        <w:keepNext w:val="0"/>
        <w:keepLines w:val="0"/>
        <w:pageBreakBefore w:val="0"/>
        <w:kinsoku/>
        <w:wordWrap/>
        <w:overflowPunct/>
        <w:topLinePunct w:val="0"/>
        <w:autoSpaceDE/>
        <w:autoSpaceDN/>
        <w:bidi w:val="0"/>
        <w:adjustRightInd/>
        <w:spacing w:before="0" w:after="0" w:line="360" w:lineRule="auto"/>
        <w:ind w:left="0" w:right="0" w:firstLine="42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当罐区发生泄漏、火灾时，启动一级预防与控制系统，关闭事故单元出水口</w:t>
      </w:r>
      <w:r>
        <w:rPr>
          <w:color w:val="000000" w:themeColor="text1"/>
          <w:spacing w:val="6"/>
          <w:sz w:val="24"/>
          <w:szCs w:val="24"/>
          <w14:textFill>
            <w14:solidFill>
              <w14:schemeClr w14:val="tx1"/>
            </w14:solidFill>
          </w14:textFill>
        </w:rPr>
        <w:t>阀门，利用</w:t>
      </w:r>
      <w:r>
        <w:rPr>
          <w:color w:val="000000" w:themeColor="text1"/>
          <w:spacing w:val="9"/>
          <w:sz w:val="24"/>
          <w:szCs w:val="24"/>
          <w14:textFill>
            <w14:solidFill>
              <w14:schemeClr w14:val="tx1"/>
            </w14:solidFill>
          </w14:textFill>
        </w:rPr>
        <w:t>防火堤将事故水控制单元内，事故处理完成后将事故水引入</w:t>
      </w:r>
      <w:r>
        <w:rPr>
          <w:color w:val="000000" w:themeColor="text1"/>
          <w:spacing w:val="8"/>
          <w:sz w:val="24"/>
          <w:szCs w:val="24"/>
          <w14:textFill>
            <w14:solidFill>
              <w14:schemeClr w14:val="tx1"/>
            </w14:solidFill>
          </w14:textFill>
        </w:rPr>
        <w:t>事故池。</w:t>
      </w:r>
    </w:p>
    <w:p>
      <w:pPr>
        <w:pStyle w:val="8"/>
        <w:keepNext w:val="0"/>
        <w:keepLines w:val="0"/>
        <w:pageBreakBefore w:val="0"/>
        <w:kinsoku/>
        <w:wordWrap/>
        <w:overflowPunct/>
        <w:topLinePunct w:val="0"/>
        <w:autoSpaceDE/>
        <w:autoSpaceDN/>
        <w:bidi w:val="0"/>
        <w:adjustRightInd/>
        <w:spacing w:before="0" w:after="0" w:line="360" w:lineRule="auto"/>
        <w:ind w:left="0" w:right="0" w:firstLine="456"/>
        <w:jc w:val="both"/>
        <w:textAlignment w:val="auto"/>
        <w:rPr>
          <w:color w:val="000000" w:themeColor="text1"/>
          <w:sz w:val="24"/>
          <w:szCs w:val="24"/>
          <w14:textFill>
            <w14:solidFill>
              <w14:schemeClr w14:val="tx1"/>
            </w14:solidFill>
          </w14:textFill>
        </w:rPr>
      </w:pPr>
      <w:r>
        <w:rPr>
          <w:color w:val="000000" w:themeColor="text1"/>
          <w:spacing w:val="12"/>
          <w:sz w:val="24"/>
          <w:szCs w:val="24"/>
          <w14:textFill>
            <w14:solidFill>
              <w14:schemeClr w14:val="tx1"/>
            </w14:solidFill>
          </w14:textFill>
        </w:rPr>
        <w:t>当一级预防与控制系统无法控制或防火提外发生发生泄漏</w:t>
      </w:r>
      <w:r>
        <w:rPr>
          <w:color w:val="000000" w:themeColor="text1"/>
          <w:spacing w:val="11"/>
          <w:sz w:val="24"/>
          <w:szCs w:val="24"/>
          <w14:textFill>
            <w14:solidFill>
              <w14:schemeClr w14:val="tx1"/>
            </w14:solidFill>
          </w14:textFill>
        </w:rPr>
        <w:t>、火灾时，立即启动二级预</w:t>
      </w:r>
      <w:r>
        <w:rPr>
          <w:color w:val="000000" w:themeColor="text1"/>
          <w:spacing w:val="7"/>
          <w:sz w:val="24"/>
          <w:szCs w:val="24"/>
          <w14:textFill>
            <w14:solidFill>
              <w14:schemeClr w14:val="tx1"/>
            </w14:solidFill>
          </w14:textFill>
        </w:rPr>
        <w:t>防与控制系统，关闭厂区雨排水系统的总出口截断阀，打开一级防控单元截止阀门，切换阀门转向污水系统，将事故水引入污水管网，避免事故水漫流。同时，启动三级预防与控制系</w:t>
      </w:r>
      <w:r>
        <w:rPr>
          <w:color w:val="000000" w:themeColor="text1"/>
          <w:spacing w:val="8"/>
          <w:sz w:val="24"/>
          <w:szCs w:val="24"/>
          <w14:textFill>
            <w14:solidFill>
              <w14:schemeClr w14:val="tx1"/>
            </w14:solidFill>
          </w14:textFill>
        </w:rPr>
        <w:t>统，将事故水经污水系统引入事故池暂存。</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项目防止事故水进入外环境的控制、封堵系</w:t>
      </w:r>
      <w:r>
        <w:rPr>
          <w:color w:val="000000" w:themeColor="text1"/>
          <w:spacing w:val="7"/>
          <w:sz w:val="24"/>
          <w:szCs w:val="24"/>
          <w14:textFill>
            <w14:solidFill>
              <w14:schemeClr w14:val="tx1"/>
            </w14:solidFill>
          </w14:textFill>
        </w:rPr>
        <w:t>统图见图</w:t>
      </w:r>
      <w:r>
        <w:rPr>
          <w:rFonts w:hint="eastAsia" w:eastAsia="宋体" w:cs="Times New Roman"/>
          <w:color w:val="000000" w:themeColor="text1"/>
          <w:spacing w:val="7"/>
          <w:sz w:val="24"/>
          <w:szCs w:val="24"/>
          <w:lang w:val="en-US" w:eastAsia="zh-CN"/>
          <w14:textFill>
            <w14:solidFill>
              <w14:schemeClr w14:val="tx1"/>
            </w14:solidFill>
          </w14:textFill>
        </w:rPr>
        <w:t>7-1</w:t>
      </w:r>
      <w:r>
        <w:rPr>
          <w:color w:val="000000" w:themeColor="text1"/>
          <w:spacing w:val="7"/>
          <w:sz w:val="24"/>
          <w:szCs w:val="24"/>
          <w14:textFill>
            <w14:solidFill>
              <w14:schemeClr w14:val="tx1"/>
            </w14:solidFill>
          </w14:textFill>
        </w:rPr>
        <w:t>。</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w:t>
      </w:r>
      <w:r>
        <w:rPr>
          <w:rFonts w:ascii="Times New Roman" w:hAnsi="Times New Roman" w:eastAsia="Times New Roman" w:cs="Times New Roman"/>
          <w:color w:val="000000" w:themeColor="text1"/>
          <w:spacing w:val="8"/>
          <w:sz w:val="24"/>
          <w:szCs w:val="24"/>
          <w14:textFill>
            <w14:solidFill>
              <w14:schemeClr w14:val="tx1"/>
            </w14:solidFill>
          </w14:textFill>
        </w:rPr>
        <w:t>5</w:t>
      </w:r>
      <w:r>
        <w:rPr>
          <w:color w:val="000000" w:themeColor="text1"/>
          <w:spacing w:val="8"/>
          <w:sz w:val="24"/>
          <w:szCs w:val="24"/>
          <w14:textFill>
            <w14:solidFill>
              <w14:schemeClr w14:val="tx1"/>
            </w14:solidFill>
          </w14:textFill>
        </w:rPr>
        <w:t>）与园区事故水控制协调性</w:t>
      </w:r>
    </w:p>
    <w:p>
      <w:pPr>
        <w:pStyle w:val="8"/>
        <w:keepNext w:val="0"/>
        <w:keepLines w:val="0"/>
        <w:pageBreakBefore w:val="0"/>
        <w:kinsoku/>
        <w:wordWrap/>
        <w:overflowPunct/>
        <w:topLinePunct w:val="0"/>
        <w:autoSpaceDE/>
        <w:autoSpaceDN/>
        <w:bidi w:val="0"/>
        <w:adjustRightInd/>
        <w:spacing w:before="0" w:after="0" w:line="360" w:lineRule="auto"/>
        <w:ind w:left="0" w:right="0" w:firstLine="434"/>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当事故水超过厂区三级防控能力时，及时通知园区应急部门，将事故水通过</w:t>
      </w:r>
      <w:r>
        <w:rPr>
          <w:color w:val="000000" w:themeColor="text1"/>
          <w:spacing w:val="6"/>
          <w:sz w:val="24"/>
          <w:szCs w:val="24"/>
          <w14:textFill>
            <w14:solidFill>
              <w14:schemeClr w14:val="tx1"/>
            </w14:solidFill>
          </w14:textFill>
        </w:rPr>
        <w:t>污水管网引</w:t>
      </w:r>
      <w:r>
        <w:rPr>
          <w:color w:val="000000" w:themeColor="text1"/>
          <w:spacing w:val="7"/>
          <w:sz w:val="24"/>
          <w:szCs w:val="24"/>
          <w14:textFill>
            <w14:solidFill>
              <w14:schemeClr w14:val="tx1"/>
            </w14:solidFill>
          </w14:textFill>
        </w:rPr>
        <w:t>入园区事故池。</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w:t>
      </w:r>
      <w:r>
        <w:rPr>
          <w:rFonts w:ascii="Times New Roman" w:hAnsi="Times New Roman" w:eastAsia="Times New Roman" w:cs="Times New Roman"/>
          <w:color w:val="000000" w:themeColor="text1"/>
          <w:spacing w:val="6"/>
          <w:sz w:val="24"/>
          <w:szCs w:val="24"/>
          <w14:textFill>
            <w14:solidFill>
              <w14:schemeClr w14:val="tx1"/>
            </w14:solidFill>
          </w14:textFill>
        </w:rPr>
        <w:t>6</w:t>
      </w:r>
      <w:r>
        <w:rPr>
          <w:color w:val="000000" w:themeColor="text1"/>
          <w:spacing w:val="6"/>
          <w:sz w:val="24"/>
          <w:szCs w:val="24"/>
          <w14:textFill>
            <w14:solidFill>
              <w14:schemeClr w14:val="tx1"/>
            </w14:solidFill>
          </w14:textFill>
        </w:rPr>
        <w:t>）事故水处理</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收集事故水应进行有效预处理，并按照园区应急部门，要求处置事故废水。</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7.3</w:t>
      </w:r>
      <w:r>
        <w:rPr>
          <w:rFonts w:hint="eastAsia" w:eastAsia="宋体" w:cs="Times New Roman"/>
          <w:b/>
          <w:bCs/>
          <w:color w:val="000000" w:themeColor="text1"/>
          <w:spacing w:val="6"/>
          <w:sz w:val="24"/>
          <w:szCs w:val="24"/>
          <w:lang w:val="en-US" w:eastAsia="zh-CN"/>
          <w14:textFill>
            <w14:solidFill>
              <w14:schemeClr w14:val="tx1"/>
            </w14:solidFill>
          </w14:textFill>
        </w:rPr>
        <w:t xml:space="preserve"> </w:t>
      </w:r>
      <w:r>
        <w:rPr>
          <w:b/>
          <w:bCs/>
          <w:color w:val="000000" w:themeColor="text1"/>
          <w:spacing w:val="6"/>
          <w:sz w:val="24"/>
          <w:szCs w:val="24"/>
          <w14:textFill>
            <w14:solidFill>
              <w14:schemeClr w14:val="tx1"/>
            </w14:solidFill>
          </w14:textFill>
        </w:rPr>
        <w:t>地下水风险防范措施</w:t>
      </w:r>
    </w:p>
    <w:p>
      <w:pPr>
        <w:pStyle w:val="8"/>
        <w:keepNext w:val="0"/>
        <w:keepLines w:val="0"/>
        <w:pageBreakBefore w:val="0"/>
        <w:kinsoku/>
        <w:wordWrap/>
        <w:overflowPunct/>
        <w:topLinePunct w:val="0"/>
        <w:autoSpaceDE/>
        <w:autoSpaceDN/>
        <w:bidi w:val="0"/>
        <w:adjustRightInd/>
        <w:spacing w:before="0" w:after="0" w:line="360" w:lineRule="auto"/>
        <w:ind w:left="0" w:right="0" w:firstLine="429"/>
        <w:jc w:val="both"/>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w:t>
      </w:r>
      <w:r>
        <w:rPr>
          <w:rFonts w:ascii="Times New Roman" w:hAnsi="Times New Roman" w:eastAsia="Times New Roman" w:cs="Times New Roman"/>
          <w:color w:val="000000" w:themeColor="text1"/>
          <w:spacing w:val="9"/>
          <w:sz w:val="24"/>
          <w:szCs w:val="24"/>
          <w14:textFill>
            <w14:solidFill>
              <w14:schemeClr w14:val="tx1"/>
            </w14:solidFill>
          </w14:textFill>
        </w:rPr>
        <w:t>1</w:t>
      </w:r>
      <w:r>
        <w:rPr>
          <w:color w:val="000000" w:themeColor="text1"/>
          <w:spacing w:val="9"/>
          <w:sz w:val="24"/>
          <w:szCs w:val="24"/>
          <w14:textFill>
            <w14:solidFill>
              <w14:schemeClr w14:val="tx1"/>
            </w14:solidFill>
          </w14:textFill>
        </w:rPr>
        <w:t>）项目按照《石油化工防渗工程技术规范》</w:t>
      </w:r>
      <w:r>
        <w:rPr>
          <w:rFonts w:ascii="Times New Roman" w:hAnsi="Times New Roman" w:eastAsia="Times New Roman" w:cs="Times New Roman"/>
          <w:color w:val="000000" w:themeColor="text1"/>
          <w:spacing w:val="9"/>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GB</w:t>
      </w:r>
      <w:r>
        <w:rPr>
          <w:rFonts w:ascii="Times New Roman" w:hAnsi="Times New Roman" w:eastAsia="Times New Roman" w:cs="Times New Roman"/>
          <w:color w:val="000000" w:themeColor="text1"/>
          <w:spacing w:val="9"/>
          <w:sz w:val="24"/>
          <w:szCs w:val="24"/>
          <w14:textFill>
            <w14:solidFill>
              <w14:schemeClr w14:val="tx1"/>
            </w14:solidFill>
          </w14:textFill>
        </w:rPr>
        <w:t>50934-2013)</w:t>
      </w:r>
      <w:r>
        <w:rPr>
          <w:color w:val="000000" w:themeColor="text1"/>
          <w:spacing w:val="9"/>
          <w:sz w:val="24"/>
          <w:szCs w:val="24"/>
          <w14:textFill>
            <w14:solidFill>
              <w14:schemeClr w14:val="tx1"/>
            </w14:solidFill>
          </w14:textFill>
        </w:rPr>
        <w:t>及《环境环境影响评价</w:t>
      </w:r>
      <w:r>
        <w:rPr>
          <w:color w:val="000000" w:themeColor="text1"/>
          <w:spacing w:val="8"/>
          <w:sz w:val="24"/>
          <w:szCs w:val="24"/>
          <w14:textFill>
            <w14:solidFill>
              <w14:schemeClr w14:val="tx1"/>
            </w14:solidFill>
          </w14:textFill>
        </w:rPr>
        <w:t>技术导则地下水环境》</w:t>
      </w:r>
      <w:r>
        <w:rPr>
          <w:rFonts w:ascii="Times New Roman" w:hAnsi="Times New Roman" w:eastAsia="Times New Roman" w:cs="Times New Roman"/>
          <w:color w:val="000000" w:themeColor="text1"/>
          <w:spacing w:val="8"/>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HJ</w:t>
      </w:r>
      <w:r>
        <w:rPr>
          <w:rFonts w:ascii="Times New Roman" w:hAnsi="Times New Roman" w:eastAsia="Times New Roman" w:cs="Times New Roman"/>
          <w:color w:val="000000" w:themeColor="text1"/>
          <w:spacing w:val="8"/>
          <w:sz w:val="24"/>
          <w:szCs w:val="24"/>
          <w14:textFill>
            <w14:solidFill>
              <w14:schemeClr w14:val="tx1"/>
            </w14:solidFill>
          </w14:textFill>
        </w:rPr>
        <w:t>610-2016)</w:t>
      </w:r>
      <w:r>
        <w:rPr>
          <w:color w:val="000000" w:themeColor="text1"/>
          <w:spacing w:val="8"/>
          <w:sz w:val="24"/>
          <w:szCs w:val="24"/>
          <w14:textFill>
            <w14:solidFill>
              <w14:schemeClr w14:val="tx1"/>
            </w14:solidFill>
          </w14:textFill>
        </w:rPr>
        <w:t>进</w:t>
      </w:r>
      <w:r>
        <w:rPr>
          <w:color w:val="000000" w:themeColor="text1"/>
          <w:spacing w:val="7"/>
          <w:sz w:val="24"/>
          <w:szCs w:val="24"/>
          <w14:textFill>
            <w14:solidFill>
              <w14:schemeClr w14:val="tx1"/>
            </w14:solidFill>
          </w14:textFill>
        </w:rPr>
        <w:t>行防渗工程设计。</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w:t>
      </w:r>
      <w:r>
        <w:rPr>
          <w:rFonts w:ascii="Times New Roman" w:hAnsi="Times New Roman" w:eastAsia="Times New Roman" w:cs="Times New Roman"/>
          <w:color w:val="000000" w:themeColor="text1"/>
          <w:spacing w:val="9"/>
          <w:sz w:val="24"/>
          <w:szCs w:val="24"/>
          <w14:textFill>
            <w14:solidFill>
              <w14:schemeClr w14:val="tx1"/>
            </w14:solidFill>
          </w14:textFill>
        </w:rPr>
        <w:t>2</w:t>
      </w:r>
      <w:r>
        <w:rPr>
          <w:color w:val="000000" w:themeColor="text1"/>
          <w:spacing w:val="9"/>
          <w:sz w:val="24"/>
          <w:szCs w:val="24"/>
          <w14:textFill>
            <w14:solidFill>
              <w14:schemeClr w14:val="tx1"/>
            </w14:solidFill>
          </w14:textFill>
        </w:rPr>
        <w:t>）发生事故时，事故水进行有效收集进入三级防控系统，</w:t>
      </w:r>
      <w:r>
        <w:rPr>
          <w:color w:val="000000" w:themeColor="text1"/>
          <w:spacing w:val="8"/>
          <w:sz w:val="24"/>
          <w:szCs w:val="24"/>
          <w14:textFill>
            <w14:solidFill>
              <w14:schemeClr w14:val="tx1"/>
            </w14:solidFill>
          </w14:textFill>
        </w:rPr>
        <w:t>避免漫流。</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w:t>
      </w:r>
      <w:r>
        <w:rPr>
          <w:rFonts w:ascii="Times New Roman" w:hAnsi="Times New Roman" w:eastAsia="Times New Roman" w:cs="Times New Roman"/>
          <w:color w:val="000000" w:themeColor="text1"/>
          <w:spacing w:val="8"/>
          <w:sz w:val="24"/>
          <w:szCs w:val="24"/>
          <w14:textFill>
            <w14:solidFill>
              <w14:schemeClr w14:val="tx1"/>
            </w14:solidFill>
          </w14:textFill>
        </w:rPr>
        <w:t>3</w:t>
      </w:r>
      <w:r>
        <w:rPr>
          <w:color w:val="000000" w:themeColor="text1"/>
          <w:spacing w:val="8"/>
          <w:sz w:val="24"/>
          <w:szCs w:val="24"/>
          <w14:textFill>
            <w14:solidFill>
              <w14:schemeClr w14:val="tx1"/>
            </w14:solidFill>
          </w14:textFill>
        </w:rPr>
        <w:t>）污染地面及时清理，源头控制污染。</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4"/>
          <w:szCs w:val="24"/>
          <w14:textFill>
            <w14:solidFill>
              <w14:schemeClr w14:val="tx1"/>
            </w14:solidFill>
          </w14:textFill>
        </w:rPr>
        <w:t>7.4</w:t>
      </w:r>
      <w:r>
        <w:rPr>
          <w:rFonts w:hint="eastAsia" w:eastAsia="宋体" w:cs="Times New Roman"/>
          <w:b/>
          <w:bCs/>
          <w:color w:val="000000" w:themeColor="text1"/>
          <w:spacing w:val="5"/>
          <w:sz w:val="24"/>
          <w:szCs w:val="24"/>
          <w:lang w:val="en-US" w:eastAsia="zh-CN"/>
          <w14:textFill>
            <w14:solidFill>
              <w14:schemeClr w14:val="tx1"/>
            </w14:solidFill>
          </w14:textFill>
        </w:rPr>
        <w:t xml:space="preserve"> </w:t>
      </w:r>
      <w:r>
        <w:rPr>
          <w:rFonts w:hint="eastAsia" w:cs="Times New Roman"/>
          <w:b/>
          <w:bCs/>
          <w:color w:val="000000" w:themeColor="text1"/>
          <w:spacing w:val="5"/>
          <w:sz w:val="24"/>
          <w:szCs w:val="24"/>
          <w:lang w:val="en-US" w:eastAsia="zh-CN"/>
          <w14:textFill>
            <w14:solidFill>
              <w14:schemeClr w14:val="tx1"/>
            </w14:solidFill>
          </w14:textFill>
        </w:rPr>
        <w:t>风险</w:t>
      </w:r>
      <w:r>
        <w:rPr>
          <w:rFonts w:hint="eastAsia"/>
          <w:b/>
          <w:bCs/>
          <w:color w:val="000000" w:themeColor="text1"/>
          <w:spacing w:val="5"/>
          <w:sz w:val="24"/>
          <w:szCs w:val="24"/>
          <w:lang w:val="en-US" w:eastAsia="zh-CN"/>
          <w14:textFill>
            <w14:solidFill>
              <w14:schemeClr w14:val="tx1"/>
            </w14:solidFill>
          </w14:textFill>
        </w:rPr>
        <w:t>监控及应急监测</w:t>
      </w:r>
      <w:r>
        <w:rPr>
          <w:b/>
          <w:bCs/>
          <w:color w:val="000000" w:themeColor="text1"/>
          <w:spacing w:val="5"/>
          <w:sz w:val="24"/>
          <w:szCs w:val="24"/>
          <w14:textFill>
            <w14:solidFill>
              <w14:schemeClr w14:val="tx1"/>
            </w14:solidFill>
          </w14:textFill>
        </w:rPr>
        <w:t>措施</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w:t>
      </w:r>
      <w:r>
        <w:rPr>
          <w:rFonts w:ascii="Times New Roman" w:hAnsi="Times New Roman" w:eastAsia="Times New Roman" w:cs="Times New Roman"/>
          <w:color w:val="000000" w:themeColor="text1"/>
          <w:spacing w:val="8"/>
          <w:sz w:val="24"/>
          <w:szCs w:val="24"/>
          <w14:textFill>
            <w14:solidFill>
              <w14:schemeClr w14:val="tx1"/>
            </w14:solidFill>
          </w14:textFill>
        </w:rPr>
        <w:t>1</w:t>
      </w:r>
      <w:r>
        <w:rPr>
          <w:color w:val="000000" w:themeColor="text1"/>
          <w:spacing w:val="8"/>
          <w:sz w:val="24"/>
          <w:szCs w:val="24"/>
          <w14:textFill>
            <w14:solidFill>
              <w14:schemeClr w14:val="tx1"/>
            </w14:solidFill>
          </w14:textFill>
        </w:rPr>
        <w:t>）项目在总控室内设置一套分散控制系统（</w:t>
      </w:r>
      <w:r>
        <w:rPr>
          <w:rFonts w:ascii="Times New Roman" w:hAnsi="Times New Roman" w:eastAsia="Times New Roman" w:cs="Times New Roman"/>
          <w:color w:val="000000" w:themeColor="text1"/>
          <w:sz w:val="24"/>
          <w:szCs w:val="24"/>
          <w14:textFill>
            <w14:solidFill>
              <w14:schemeClr w14:val="tx1"/>
            </w14:solidFill>
          </w14:textFill>
        </w:rPr>
        <w:t>DCS</w:t>
      </w:r>
      <w:r>
        <w:rPr>
          <w:color w:val="000000" w:themeColor="text1"/>
          <w:spacing w:val="-48"/>
          <w:sz w:val="24"/>
          <w:szCs w:val="24"/>
          <w14:textFill>
            <w14:solidFill>
              <w14:schemeClr w14:val="tx1"/>
            </w14:solidFill>
          </w14:textFill>
        </w:rPr>
        <w:t>），</w:t>
      </w:r>
      <w:r>
        <w:rPr>
          <w:color w:val="000000" w:themeColor="text1"/>
          <w:spacing w:val="8"/>
          <w:sz w:val="24"/>
          <w:szCs w:val="24"/>
          <w14:textFill>
            <w14:solidFill>
              <w14:schemeClr w14:val="tx1"/>
            </w14:solidFill>
          </w14:textFill>
        </w:rPr>
        <w:t>监控范围</w:t>
      </w:r>
      <w:r>
        <w:rPr>
          <w:color w:val="000000" w:themeColor="text1"/>
          <w:spacing w:val="7"/>
          <w:sz w:val="24"/>
          <w:szCs w:val="24"/>
          <w14:textFill>
            <w14:solidFill>
              <w14:schemeClr w14:val="tx1"/>
            </w14:solidFill>
          </w14:textFill>
        </w:rPr>
        <w:t>为储运系统；一套安全</w:t>
      </w:r>
      <w:r>
        <w:rPr>
          <w:color w:val="000000" w:themeColor="text1"/>
          <w:spacing w:val="10"/>
          <w:sz w:val="24"/>
          <w:szCs w:val="24"/>
          <w14:textFill>
            <w14:solidFill>
              <w14:schemeClr w14:val="tx1"/>
            </w14:solidFill>
          </w14:textFill>
        </w:rPr>
        <w:t>联锁装置（</w:t>
      </w:r>
      <w:r>
        <w:rPr>
          <w:rFonts w:ascii="Times New Roman" w:hAnsi="Times New Roman" w:eastAsia="Times New Roman" w:cs="Times New Roman"/>
          <w:color w:val="000000" w:themeColor="text1"/>
          <w:sz w:val="24"/>
          <w:szCs w:val="24"/>
          <w14:textFill>
            <w14:solidFill>
              <w14:schemeClr w14:val="tx1"/>
            </w14:solidFill>
          </w14:textFill>
        </w:rPr>
        <w:t>SIS</w:t>
      </w:r>
      <w:r>
        <w:rPr>
          <w:color w:val="000000" w:themeColor="text1"/>
          <w:spacing w:val="-32"/>
          <w:sz w:val="24"/>
          <w:szCs w:val="24"/>
          <w14:textFill>
            <w14:solidFill>
              <w14:schemeClr w14:val="tx1"/>
            </w14:solidFill>
          </w14:textFill>
        </w:rPr>
        <w:t>），</w:t>
      </w:r>
      <w:r>
        <w:rPr>
          <w:color w:val="000000" w:themeColor="text1"/>
          <w:spacing w:val="10"/>
          <w:sz w:val="24"/>
          <w:szCs w:val="24"/>
          <w14:textFill>
            <w14:solidFill>
              <w14:schemeClr w14:val="tx1"/>
            </w14:solidFill>
          </w14:textFill>
        </w:rPr>
        <w:t>负责有关装置的联锁保护；一套监控系统（</w:t>
      </w:r>
      <w:r>
        <w:rPr>
          <w:rFonts w:ascii="Times New Roman" w:hAnsi="Times New Roman" w:eastAsia="Times New Roman" w:cs="Times New Roman"/>
          <w:color w:val="000000" w:themeColor="text1"/>
          <w:sz w:val="24"/>
          <w:szCs w:val="24"/>
          <w14:textFill>
            <w14:solidFill>
              <w14:schemeClr w14:val="tx1"/>
            </w14:solidFill>
          </w14:textFill>
        </w:rPr>
        <w:t>DGS</w:t>
      </w:r>
      <w:r>
        <w:rPr>
          <w:color w:val="000000" w:themeColor="text1"/>
          <w:spacing w:val="-32"/>
          <w:sz w:val="24"/>
          <w:szCs w:val="24"/>
          <w14:textFill>
            <w14:solidFill>
              <w14:schemeClr w14:val="tx1"/>
            </w14:solidFill>
          </w14:textFill>
        </w:rPr>
        <w:t>），</w:t>
      </w:r>
      <w:r>
        <w:rPr>
          <w:color w:val="000000" w:themeColor="text1"/>
          <w:spacing w:val="10"/>
          <w:sz w:val="24"/>
          <w:szCs w:val="24"/>
          <w14:textFill>
            <w14:solidFill>
              <w14:schemeClr w14:val="tx1"/>
            </w14:solidFill>
          </w14:textFill>
        </w:rPr>
        <w:t>用于集中监测现场可燃气体和火灾报警信号；一套闭路电视监视系统（</w:t>
      </w:r>
      <w:r>
        <w:rPr>
          <w:rFonts w:ascii="Times New Roman" w:hAnsi="Times New Roman" w:eastAsia="Times New Roman" w:cs="Times New Roman"/>
          <w:color w:val="000000" w:themeColor="text1"/>
          <w:sz w:val="24"/>
          <w:szCs w:val="24"/>
          <w14:textFill>
            <w14:solidFill>
              <w14:schemeClr w14:val="tx1"/>
            </w14:solidFill>
          </w14:textFill>
        </w:rPr>
        <w:t>CCTV</w:t>
      </w:r>
      <w:r>
        <w:rPr>
          <w:color w:val="000000" w:themeColor="text1"/>
          <w:spacing w:val="-39"/>
          <w:sz w:val="24"/>
          <w:szCs w:val="24"/>
          <w14:textFill>
            <w14:solidFill>
              <w14:schemeClr w14:val="tx1"/>
            </w14:solidFill>
          </w14:textFill>
        </w:rPr>
        <w:t>），</w:t>
      </w:r>
      <w:r>
        <w:rPr>
          <w:color w:val="000000" w:themeColor="text1"/>
          <w:spacing w:val="10"/>
          <w:sz w:val="24"/>
          <w:szCs w:val="24"/>
          <w14:textFill>
            <w14:solidFill>
              <w14:schemeClr w14:val="tx1"/>
            </w14:solidFill>
          </w14:textFill>
        </w:rPr>
        <w:t>摄像装置为全</w:t>
      </w:r>
      <w:r>
        <w:rPr>
          <w:color w:val="000000" w:themeColor="text1"/>
          <w:spacing w:val="9"/>
          <w:sz w:val="24"/>
          <w:szCs w:val="24"/>
          <w14:textFill>
            <w14:solidFill>
              <w14:schemeClr w14:val="tx1"/>
            </w14:solidFill>
          </w14:textFill>
        </w:rPr>
        <w:t>天候型。</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w:t>
      </w:r>
      <w:r>
        <w:rPr>
          <w:rFonts w:ascii="Times New Roman" w:hAnsi="Times New Roman" w:eastAsia="Times New Roman" w:cs="Times New Roman"/>
          <w:color w:val="000000" w:themeColor="text1"/>
          <w:spacing w:val="7"/>
          <w:sz w:val="24"/>
          <w:szCs w:val="24"/>
          <w14:textFill>
            <w14:solidFill>
              <w14:schemeClr w14:val="tx1"/>
            </w14:solidFill>
          </w14:textFill>
        </w:rPr>
        <w:t>2</w:t>
      </w:r>
      <w:r>
        <w:rPr>
          <w:color w:val="000000" w:themeColor="text1"/>
          <w:spacing w:val="7"/>
          <w:sz w:val="24"/>
          <w:szCs w:val="24"/>
          <w14:textFill>
            <w14:solidFill>
              <w14:schemeClr w14:val="tx1"/>
            </w14:solidFill>
          </w14:textFill>
        </w:rPr>
        <w:t>）与第三方检测单位签订事故监测协议，发生事故时</w:t>
      </w:r>
      <w:r>
        <w:rPr>
          <w:color w:val="000000" w:themeColor="text1"/>
          <w:spacing w:val="6"/>
          <w:sz w:val="24"/>
          <w:szCs w:val="24"/>
          <w14:textFill>
            <w14:solidFill>
              <w14:schemeClr w14:val="tx1"/>
            </w14:solidFill>
          </w14:textFill>
        </w:rPr>
        <w:t>，需迅速地进行环境应急监测。</w:t>
      </w:r>
    </w:p>
    <w:p>
      <w:pPr>
        <w:pStyle w:val="8"/>
        <w:keepNext w:val="0"/>
        <w:keepLines w:val="0"/>
        <w:pageBreakBefore w:val="0"/>
        <w:kinsoku/>
        <w:wordWrap/>
        <w:overflowPunct/>
        <w:topLinePunct w:val="0"/>
        <w:autoSpaceDE/>
        <w:autoSpaceDN/>
        <w:bidi w:val="0"/>
        <w:adjustRightInd/>
        <w:spacing w:before="0" w:after="0" w:line="360" w:lineRule="auto"/>
        <w:ind w:left="0" w:right="0" w:firstLine="426"/>
        <w:jc w:val="both"/>
        <w:textAlignment w:val="auto"/>
        <w:rPr>
          <w:color w:val="000000" w:themeColor="text1"/>
          <w:sz w:val="24"/>
          <w:szCs w:val="24"/>
          <w14:textFill>
            <w14:solidFill>
              <w14:schemeClr w14:val="tx1"/>
            </w14:solidFill>
          </w14:textFill>
        </w:rPr>
      </w:pPr>
      <w:r>
        <w:rPr>
          <w:color w:val="000000" w:themeColor="text1"/>
          <w:spacing w:val="9"/>
          <w:sz w:val="24"/>
          <w:szCs w:val="24"/>
          <w14:textFill>
            <w14:solidFill>
              <w14:schemeClr w14:val="tx1"/>
            </w14:solidFill>
          </w14:textFill>
        </w:rPr>
        <w:t>（</w:t>
      </w:r>
      <w:r>
        <w:rPr>
          <w:rFonts w:ascii="Times New Roman" w:hAnsi="Times New Roman" w:eastAsia="Times New Roman" w:cs="Times New Roman"/>
          <w:color w:val="000000" w:themeColor="text1"/>
          <w:spacing w:val="9"/>
          <w:sz w:val="24"/>
          <w:szCs w:val="24"/>
          <w14:textFill>
            <w14:solidFill>
              <w14:schemeClr w14:val="tx1"/>
            </w14:solidFill>
          </w14:textFill>
        </w:rPr>
        <w:t>3</w:t>
      </w:r>
      <w:r>
        <w:rPr>
          <w:color w:val="000000" w:themeColor="text1"/>
          <w:spacing w:val="9"/>
          <w:sz w:val="24"/>
          <w:szCs w:val="24"/>
          <w14:textFill>
            <w14:solidFill>
              <w14:schemeClr w14:val="tx1"/>
            </w14:solidFill>
          </w14:textFill>
        </w:rPr>
        <w:t>）购置应急设备，包括堵漏工具、消防砂、防护服、防护、防爆水泵、收油设备；</w:t>
      </w:r>
      <w:r>
        <w:rPr>
          <w:color w:val="000000" w:themeColor="text1"/>
          <w:spacing w:val="7"/>
          <w:sz w:val="24"/>
          <w:szCs w:val="24"/>
          <w14:textFill>
            <w14:solidFill>
              <w14:schemeClr w14:val="tx1"/>
            </w14:solidFill>
          </w14:textFill>
        </w:rPr>
        <w:t>设置应急库。</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outlineLvl w:val="1"/>
        <w:rPr>
          <w:rFonts w:hint="eastAsia" w:ascii="Times New Roman" w:hAnsi="Times New Roman" w:eastAsia="Times New Roman" w:cs="Times New Roman"/>
          <w:b/>
          <w:bCs/>
          <w:color w:val="000000" w:themeColor="text1"/>
          <w:spacing w:val="6"/>
          <w:sz w:val="24"/>
          <w:szCs w:val="24"/>
          <w14:textFill>
            <w14:solidFill>
              <w14:schemeClr w14:val="tx1"/>
            </w14:solidFill>
          </w14:textFill>
        </w:rPr>
      </w:pPr>
      <w:r>
        <w:rPr>
          <w:rFonts w:hint="eastAsia" w:eastAsia="宋体" w:cs="Times New Roman"/>
          <w:b/>
          <w:bCs/>
          <w:color w:val="000000" w:themeColor="text1"/>
          <w:spacing w:val="6"/>
          <w:sz w:val="24"/>
          <w:szCs w:val="24"/>
          <w:lang w:val="en-US" w:eastAsia="zh-CN"/>
          <w14:textFill>
            <w14:solidFill>
              <w14:schemeClr w14:val="tx1"/>
            </w14:solidFill>
          </w14:textFill>
        </w:rPr>
        <w:t>7.5 日常</w:t>
      </w:r>
      <w:r>
        <w:rPr>
          <w:rFonts w:hint="eastAsia" w:ascii="Times New Roman" w:hAnsi="Times New Roman" w:eastAsia="Times New Roman" w:cs="Times New Roman"/>
          <w:b/>
          <w:bCs/>
          <w:color w:val="000000" w:themeColor="text1"/>
          <w:spacing w:val="6"/>
          <w:sz w:val="24"/>
          <w:szCs w:val="24"/>
          <w14:textFill>
            <w14:solidFill>
              <w14:schemeClr w14:val="tx1"/>
            </w14:solidFill>
          </w14:textFill>
        </w:rPr>
        <w:t>风险管理防范措施</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outlineLvl w:val="9"/>
        <w:rPr>
          <w:rFonts w:hint="eastAsia" w:ascii="Times New Roman" w:hAnsi="Times New Roman" w:eastAsia="Times New Roman" w:cs="Times New Roman"/>
          <w:b w:val="0"/>
          <w:bCs w:val="0"/>
          <w:color w:val="000000" w:themeColor="text1"/>
          <w:spacing w:val="6"/>
          <w:sz w:val="24"/>
          <w:szCs w:val="24"/>
          <w14:textFill>
            <w14:solidFill>
              <w14:schemeClr w14:val="tx1"/>
            </w14:solidFill>
          </w14:textFill>
        </w:rPr>
      </w:pPr>
      <w:r>
        <w:rPr>
          <w:rFonts w:hint="eastAsia" w:ascii="Times New Roman" w:hAnsi="Times New Roman" w:eastAsia="Times New Roman" w:cs="Times New Roman"/>
          <w:b w:val="0"/>
          <w:bCs w:val="0"/>
          <w:color w:val="000000" w:themeColor="text1"/>
          <w:spacing w:val="6"/>
          <w:sz w:val="24"/>
          <w:szCs w:val="24"/>
          <w14:textFill>
            <w14:solidFill>
              <w14:schemeClr w14:val="tx1"/>
            </w14:solidFill>
          </w14:textFill>
        </w:rPr>
        <w:t>企业应认真贯彻落实企业安全生产责任制，把安全生产责任落实到岗位和人头。定期组织安全检查，</w:t>
      </w:r>
      <w:r>
        <w:rPr>
          <w:rFonts w:hint="eastAsia" w:eastAsia="宋体" w:cs="Times New Roman"/>
          <w:b w:val="0"/>
          <w:bCs w:val="0"/>
          <w:color w:val="000000" w:themeColor="text1"/>
          <w:spacing w:val="6"/>
          <w:sz w:val="24"/>
          <w:szCs w:val="24"/>
          <w:lang w:val="en-US" w:eastAsia="zh-CN"/>
          <w14:textFill>
            <w14:solidFill>
              <w14:schemeClr w14:val="tx1"/>
            </w14:solidFill>
          </w14:textFill>
        </w:rPr>
        <w:t>并形成日常记录，对车间、班组进行考核，</w:t>
      </w:r>
      <w:r>
        <w:rPr>
          <w:rFonts w:hint="eastAsia" w:ascii="Times New Roman" w:hAnsi="Times New Roman" w:eastAsia="Times New Roman" w:cs="Times New Roman"/>
          <w:b w:val="0"/>
          <w:bCs w:val="0"/>
          <w:color w:val="000000" w:themeColor="text1"/>
          <w:spacing w:val="6"/>
          <w:sz w:val="24"/>
          <w:szCs w:val="24"/>
          <w14:textFill>
            <w14:solidFill>
              <w14:schemeClr w14:val="tx1"/>
            </w14:solidFill>
          </w14:textFill>
        </w:rPr>
        <w:t>及时消除事故隐患，强化对危险源的监控。加强从业人员宣传、教育和培训，持证上岗，促使其提高安全防范意识，掌握预防和处置危化品初期泄漏事故的技能，杜绝违规操作。</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outlineLvl w:val="9"/>
        <w:rPr>
          <w:rFonts w:hint="eastAsia" w:ascii="Times New Roman" w:hAnsi="Times New Roman" w:eastAsia="宋体" w:cs="Times New Roman"/>
          <w:b/>
          <w:bCs/>
          <w:color w:val="000000" w:themeColor="text1"/>
          <w:spacing w:val="6"/>
          <w:sz w:val="24"/>
          <w:szCs w:val="24"/>
          <w:lang w:eastAsia="zh-CN"/>
          <w14:textFill>
            <w14:solidFill>
              <w14:schemeClr w14:val="tx1"/>
            </w14:solidFill>
          </w14:textFill>
        </w:rPr>
      </w:pPr>
      <w:r>
        <w:rPr>
          <w:rFonts w:hint="eastAsia"/>
          <w:b w:val="0"/>
          <w:bCs w:val="0"/>
          <w:color w:val="000000" w:themeColor="text1"/>
          <w:spacing w:val="6"/>
          <w:sz w:val="24"/>
          <w:szCs w:val="24"/>
          <w:lang w:val="en-US" w:eastAsia="zh-CN"/>
          <w14:textFill>
            <w14:solidFill>
              <w14:schemeClr w14:val="tx1"/>
            </w14:solidFill>
          </w14:textFill>
        </w:rPr>
        <w:t>制定</w:t>
      </w:r>
      <w:r>
        <w:rPr>
          <w:b w:val="0"/>
          <w:bCs w:val="0"/>
          <w:color w:val="000000" w:themeColor="text1"/>
          <w:spacing w:val="6"/>
          <w:sz w:val="24"/>
          <w:szCs w:val="24"/>
          <w14:textFill>
            <w14:solidFill>
              <w14:schemeClr w14:val="tx1"/>
            </w14:solidFill>
          </w14:textFill>
        </w:rPr>
        <w:t>突发环境事件应急预案</w:t>
      </w:r>
      <w:r>
        <w:rPr>
          <w:rFonts w:hint="eastAsia"/>
          <w:b w:val="0"/>
          <w:bCs w:val="0"/>
          <w:color w:val="000000" w:themeColor="text1"/>
          <w:spacing w:val="6"/>
          <w:sz w:val="24"/>
          <w:szCs w:val="24"/>
          <w:lang w:val="en-US" w:eastAsia="zh-CN"/>
          <w14:textFill>
            <w14:solidFill>
              <w14:schemeClr w14:val="tx1"/>
            </w14:solidFill>
          </w14:textFill>
        </w:rPr>
        <w:t>并备案，定期组织应急预案演练</w:t>
      </w:r>
      <w:r>
        <w:rPr>
          <w:rFonts w:hint="eastAsia" w:eastAsia="宋体" w:cs="Times New Roman"/>
          <w:b w:val="0"/>
          <w:bCs w:val="0"/>
          <w:color w:val="000000" w:themeColor="text1"/>
          <w:spacing w:val="6"/>
          <w:sz w:val="24"/>
          <w:szCs w:val="24"/>
          <w:lang w:eastAsia="zh-CN"/>
          <w14:textFill>
            <w14:solidFill>
              <w14:schemeClr w14:val="tx1"/>
            </w14:solidFill>
          </w14:textFill>
        </w:rPr>
        <w:t>。</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7.</w:t>
      </w:r>
      <w:r>
        <w:rPr>
          <w:rFonts w:hint="eastAsia" w:eastAsia="宋体" w:cs="Times New Roman"/>
          <w:b/>
          <w:bCs/>
          <w:color w:val="000000" w:themeColor="text1"/>
          <w:spacing w:val="6"/>
          <w:sz w:val="24"/>
          <w:szCs w:val="24"/>
          <w:lang w:val="en-US" w:eastAsia="zh-CN"/>
          <w14:textFill>
            <w14:solidFill>
              <w14:schemeClr w14:val="tx1"/>
            </w14:solidFill>
          </w14:textFill>
        </w:rPr>
        <w:t xml:space="preserve">6 </w:t>
      </w:r>
      <w:r>
        <w:rPr>
          <w:b/>
          <w:bCs/>
          <w:color w:val="000000" w:themeColor="text1"/>
          <w:spacing w:val="6"/>
          <w:sz w:val="24"/>
          <w:szCs w:val="24"/>
          <w14:textFill>
            <w14:solidFill>
              <w14:schemeClr w14:val="tx1"/>
            </w14:solidFill>
          </w14:textFill>
        </w:rPr>
        <w:t>环境风险防范措施投资</w:t>
      </w:r>
    </w:p>
    <w:p>
      <w:pPr>
        <w:pStyle w:val="8"/>
        <w:keepNext w:val="0"/>
        <w:keepLines w:val="0"/>
        <w:pageBreakBefore w:val="0"/>
        <w:kinsoku/>
        <w:wordWrap/>
        <w:overflowPunct/>
        <w:topLinePunct w:val="0"/>
        <w:autoSpaceDE/>
        <w:autoSpaceDN/>
        <w:bidi w:val="0"/>
        <w:adjustRightInd/>
        <w:spacing w:before="0" w:after="0" w:line="360" w:lineRule="auto"/>
        <w:ind w:left="0" w:right="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项目风险防范措施投资</w:t>
      </w:r>
      <w:r>
        <w:rPr>
          <w:rFonts w:hint="eastAsia" w:eastAsia="宋体" w:cs="Times New Roman"/>
          <w:color w:val="000000" w:themeColor="text1"/>
          <w:spacing w:val="7"/>
          <w:sz w:val="24"/>
          <w:szCs w:val="24"/>
          <w:lang w:val="en-US" w:eastAsia="zh-CN"/>
          <w14:textFill>
            <w14:solidFill>
              <w14:schemeClr w14:val="tx1"/>
            </w14:solidFill>
          </w14:textFill>
        </w:rPr>
        <w:t>35</w:t>
      </w:r>
      <w:r>
        <w:rPr>
          <w:color w:val="000000" w:themeColor="text1"/>
          <w:spacing w:val="7"/>
          <w:sz w:val="24"/>
          <w:szCs w:val="24"/>
          <w14:textFill>
            <w14:solidFill>
              <w14:schemeClr w14:val="tx1"/>
            </w14:solidFill>
          </w14:textFill>
        </w:rPr>
        <w:t>万元，具体见下表。</w:t>
      </w:r>
    </w:p>
    <w:p>
      <w:pPr>
        <w:pStyle w:val="8"/>
        <w:spacing w:before="174" w:line="213" w:lineRule="auto"/>
        <w:ind w:left="114"/>
        <w:jc w:val="center"/>
        <w:rPr>
          <w:color w:val="000000" w:themeColor="text1"/>
          <w:sz w:val="18"/>
          <w:szCs w:val="18"/>
          <w14:textFill>
            <w14:solidFill>
              <w14:schemeClr w14:val="tx1"/>
            </w14:solidFill>
          </w14:textFill>
        </w:rPr>
      </w:pPr>
      <w:r>
        <w:rPr>
          <w:b/>
          <w:bCs/>
          <w:color w:val="000000" w:themeColor="text1"/>
          <w:sz w:val="21"/>
          <w:szCs w:val="21"/>
          <w14:textFill>
            <w14:solidFill>
              <w14:schemeClr w14:val="tx1"/>
            </w14:solidFill>
          </w14:textFill>
        </w:rPr>
        <w:t>表</w:t>
      </w:r>
      <w:r>
        <w:rPr>
          <w:color w:val="000000" w:themeColor="text1"/>
          <w:spacing w:val="-38"/>
          <w:sz w:val="21"/>
          <w:szCs w:val="21"/>
          <w14:textFill>
            <w14:solidFill>
              <w14:schemeClr w14:val="tx1"/>
            </w14:solidFill>
          </w14:textFill>
        </w:rPr>
        <w:t xml:space="preserve"> </w:t>
      </w:r>
      <w:r>
        <w:rPr>
          <w:rFonts w:ascii="Times New Roman" w:hAnsi="Times New Roman" w:eastAsia="Times New Roman" w:cs="Times New Roman"/>
          <w:b/>
          <w:bCs/>
          <w:color w:val="000000" w:themeColor="text1"/>
          <w:sz w:val="21"/>
          <w:szCs w:val="21"/>
          <w14:textFill>
            <w14:solidFill>
              <w14:schemeClr w14:val="tx1"/>
            </w14:solidFill>
          </w14:textFill>
        </w:rPr>
        <w:t xml:space="preserve">7-2 </w:t>
      </w:r>
      <w:r>
        <w:rPr>
          <w:rFonts w:ascii="Times New Roman" w:hAnsi="Times New Roman" w:eastAsia="Times New Roman" w:cs="Times New Roman"/>
          <w:b/>
          <w:bCs/>
          <w:color w:val="000000" w:themeColor="text1"/>
          <w:spacing w:val="-1"/>
          <w:sz w:val="21"/>
          <w:szCs w:val="21"/>
          <w14:textFill>
            <w14:solidFill>
              <w14:schemeClr w14:val="tx1"/>
            </w14:solidFill>
          </w14:textFill>
        </w:rPr>
        <w:t xml:space="preserve"> </w:t>
      </w:r>
      <w:r>
        <w:rPr>
          <w:b/>
          <w:bCs/>
          <w:color w:val="000000" w:themeColor="text1"/>
          <w:spacing w:val="-1"/>
          <w:sz w:val="21"/>
          <w:szCs w:val="21"/>
          <w14:textFill>
            <w14:solidFill>
              <w14:schemeClr w14:val="tx1"/>
            </w14:solidFill>
          </w14:textFill>
        </w:rPr>
        <w:t>项目风险防范措施投资估算一览表</w:t>
      </w:r>
    </w:p>
    <w:tbl>
      <w:tblPr>
        <w:tblStyle w:val="99"/>
        <w:tblW w:w="847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95"/>
        <w:gridCol w:w="5781"/>
        <w:gridCol w:w="160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1095" w:type="dxa"/>
            <w:tcBorders>
              <w:top w:val="single" w:color="000000" w:sz="10" w:space="0"/>
              <w:lef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序号</w:t>
            </w:r>
          </w:p>
        </w:tc>
        <w:tc>
          <w:tcPr>
            <w:tcW w:w="5781" w:type="dxa"/>
            <w:tcBorders>
              <w:top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设施名称</w:t>
            </w:r>
          </w:p>
        </w:tc>
        <w:tc>
          <w:tcPr>
            <w:tcW w:w="1602" w:type="dxa"/>
            <w:tcBorders>
              <w:top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投资（万元）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jc w:val="center"/>
        </w:trPr>
        <w:tc>
          <w:tcPr>
            <w:tcW w:w="1095" w:type="dxa"/>
            <w:tcBorders>
              <w:lef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1</w:t>
            </w:r>
          </w:p>
        </w:tc>
        <w:tc>
          <w:tcPr>
            <w:tcW w:w="5781"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总控系统：包括</w:t>
            </w:r>
            <w:r>
              <w:rPr>
                <w:color w:val="000000" w:themeColor="text1"/>
                <w:spacing w:val="-26"/>
                <w:sz w:val="18"/>
                <w:szCs w:val="18"/>
                <w14:textFill>
                  <w14:solidFill>
                    <w14:schemeClr w14:val="tx1"/>
                  </w14:solidFill>
                </w14:textFill>
              </w:rPr>
              <w:t xml:space="preserve"> </w:t>
            </w:r>
            <w:r>
              <w:rPr>
                <w:rFonts w:ascii="Times New Roman" w:hAnsi="Times New Roman" w:eastAsia="Times New Roman" w:cs="Times New Roman"/>
                <w:color w:val="000000" w:themeColor="text1"/>
                <w:spacing w:val="-2"/>
                <w:sz w:val="18"/>
                <w:szCs w:val="18"/>
                <w14:textFill>
                  <w14:solidFill>
                    <w14:schemeClr w14:val="tx1"/>
                  </w14:solidFill>
                </w14:textFill>
              </w:rPr>
              <w:t>DCS</w:t>
            </w:r>
            <w:r>
              <w:rPr>
                <w:rFonts w:ascii="Times New Roman" w:hAnsi="Times New Roman" w:eastAsia="Times New Roman" w:cs="Times New Roman"/>
                <w:color w:val="000000" w:themeColor="text1"/>
                <w:spacing w:val="-25"/>
                <w:sz w:val="18"/>
                <w:szCs w:val="18"/>
                <w14:textFill>
                  <w14:solidFill>
                    <w14:schemeClr w14:val="tx1"/>
                  </w14:solidFill>
                </w14:textFill>
              </w:rPr>
              <w:t xml:space="preserve"> </w:t>
            </w:r>
            <w:r>
              <w:rPr>
                <w:color w:val="000000" w:themeColor="text1"/>
                <w:spacing w:val="-2"/>
                <w:sz w:val="18"/>
                <w:szCs w:val="18"/>
                <w14:textFill>
                  <w14:solidFill>
                    <w14:schemeClr w14:val="tx1"/>
                  </w14:solidFill>
                </w14:textFill>
              </w:rPr>
              <w:t>、</w:t>
            </w:r>
            <w:r>
              <w:rPr>
                <w:rFonts w:ascii="Times New Roman" w:hAnsi="Times New Roman" w:eastAsia="Times New Roman" w:cs="Times New Roman"/>
                <w:color w:val="000000" w:themeColor="text1"/>
                <w:spacing w:val="-2"/>
                <w:sz w:val="18"/>
                <w:szCs w:val="18"/>
                <w14:textFill>
                  <w14:solidFill>
                    <w14:schemeClr w14:val="tx1"/>
                  </w14:solidFill>
                </w14:textFill>
              </w:rPr>
              <w:t>SIS</w:t>
            </w:r>
            <w:r>
              <w:rPr>
                <w:color w:val="000000" w:themeColor="text1"/>
                <w:spacing w:val="-2"/>
                <w:sz w:val="18"/>
                <w:szCs w:val="18"/>
                <w14:textFill>
                  <w14:solidFill>
                    <w14:schemeClr w14:val="tx1"/>
                  </w14:solidFill>
                </w14:textFill>
              </w:rPr>
              <w:t>、</w:t>
            </w:r>
            <w:r>
              <w:rPr>
                <w:rFonts w:ascii="Times New Roman" w:hAnsi="Times New Roman" w:eastAsia="Times New Roman" w:cs="Times New Roman"/>
                <w:color w:val="000000" w:themeColor="text1"/>
                <w:spacing w:val="-2"/>
                <w:sz w:val="18"/>
                <w:szCs w:val="18"/>
                <w14:textFill>
                  <w14:solidFill>
                    <w14:schemeClr w14:val="tx1"/>
                  </w14:solidFill>
                </w14:textFill>
              </w:rPr>
              <w:t xml:space="preserve">DGS </w:t>
            </w:r>
            <w:r>
              <w:rPr>
                <w:color w:val="000000" w:themeColor="text1"/>
                <w:spacing w:val="-2"/>
                <w:sz w:val="18"/>
                <w:szCs w:val="18"/>
                <w14:textFill>
                  <w14:solidFill>
                    <w14:schemeClr w14:val="tx1"/>
                  </w14:solidFill>
                </w14:textFill>
              </w:rPr>
              <w:t>及电视监视系统</w:t>
            </w:r>
          </w:p>
        </w:tc>
        <w:tc>
          <w:tcPr>
            <w:tcW w:w="1602"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eastAsia="宋体" w:cs="Times New Roman"/>
                <w:color w:val="000000" w:themeColor="text1"/>
                <w:spacing w:val="-4"/>
                <w:sz w:val="18"/>
                <w:szCs w:val="18"/>
                <w:lang w:val="en-US" w:eastAsia="zh-CN"/>
                <w14:textFill>
                  <w14:solidFill>
                    <w14:schemeClr w14:val="tx1"/>
                  </w14:solidFill>
                </w14:textFill>
              </w:rPr>
              <w:t>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jc w:val="center"/>
        </w:trPr>
        <w:tc>
          <w:tcPr>
            <w:tcW w:w="1095" w:type="dxa"/>
            <w:tcBorders>
              <w:lef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2</w:t>
            </w:r>
          </w:p>
        </w:tc>
        <w:tc>
          <w:tcPr>
            <w:tcW w:w="5781"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切换阀、截止阀等</w:t>
            </w:r>
          </w:p>
        </w:tc>
        <w:tc>
          <w:tcPr>
            <w:tcW w:w="1602" w:type="dxa"/>
            <w:tcBorders>
              <w:right w:val="nil"/>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现有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jc w:val="center"/>
        </w:trPr>
        <w:tc>
          <w:tcPr>
            <w:tcW w:w="1095" w:type="dxa"/>
            <w:tcBorders>
              <w:lef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3</w:t>
            </w:r>
          </w:p>
        </w:tc>
        <w:tc>
          <w:tcPr>
            <w:tcW w:w="5781"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应急物</w:t>
            </w:r>
            <w:r>
              <w:rPr>
                <w:rFonts w:hint="eastAsia"/>
                <w:color w:val="000000" w:themeColor="text1"/>
                <w:spacing w:val="-1"/>
                <w:sz w:val="18"/>
                <w:szCs w:val="18"/>
                <w:lang w:val="en-US" w:eastAsia="zh-CN"/>
                <w14:textFill>
                  <w14:solidFill>
                    <w14:schemeClr w14:val="tx1"/>
                  </w14:solidFill>
                </w14:textFill>
              </w:rPr>
              <w:t>资</w:t>
            </w:r>
            <w:r>
              <w:rPr>
                <w:color w:val="000000" w:themeColor="text1"/>
                <w:spacing w:val="-1"/>
                <w:sz w:val="18"/>
                <w:szCs w:val="18"/>
                <w14:textFill>
                  <w14:solidFill>
                    <w14:schemeClr w14:val="tx1"/>
                  </w14:solidFill>
                </w14:textFill>
              </w:rPr>
              <w:t>，包括围堵物资、</w:t>
            </w:r>
            <w:r>
              <w:rPr>
                <w:rFonts w:hint="eastAsia"/>
                <w:color w:val="000000" w:themeColor="text1"/>
                <w:lang w:val="en-US" w:eastAsia="zh-CN"/>
                <w14:textFill>
                  <w14:solidFill>
                    <w14:schemeClr w14:val="tx1"/>
                  </w14:solidFill>
                </w14:textFill>
              </w:rPr>
              <w:t>污染物</w:t>
            </w:r>
            <w:r>
              <w:rPr>
                <w:color w:val="000000" w:themeColor="text1"/>
                <w:spacing w:val="-1"/>
                <w:sz w:val="18"/>
                <w:szCs w:val="18"/>
                <w14:textFill>
                  <w14:solidFill>
                    <w14:schemeClr w14:val="tx1"/>
                  </w14:solidFill>
                </w14:textFill>
              </w:rPr>
              <w:t>处理处置物资及其他物资</w:t>
            </w:r>
          </w:p>
        </w:tc>
        <w:tc>
          <w:tcPr>
            <w:tcW w:w="1602" w:type="dxa"/>
            <w:tcBorders>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jc w:val="center"/>
        </w:trPr>
        <w:tc>
          <w:tcPr>
            <w:tcW w:w="1095" w:type="dxa"/>
            <w:tcBorders>
              <w:left w:val="nil"/>
              <w:bottom w:val="single" w:color="000000" w:sz="10" w:space="0"/>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14:textFill>
                  <w14:solidFill>
                    <w14:schemeClr w14:val="tx1"/>
                  </w14:solidFill>
                </w14:textFill>
              </w:rPr>
              <w:t>4</w:t>
            </w:r>
          </w:p>
        </w:tc>
        <w:tc>
          <w:tcPr>
            <w:tcW w:w="5781"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雨水监控池</w:t>
            </w:r>
          </w:p>
        </w:tc>
        <w:tc>
          <w:tcPr>
            <w:tcW w:w="1602" w:type="dxa"/>
            <w:tcBorders>
              <w:bottom w:val="single" w:color="000000" w:sz="10"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eastAsia="宋体" w:cs="Times New Roman"/>
                <w:color w:val="000000" w:themeColor="text1"/>
                <w:spacing w:val="-2"/>
                <w:sz w:val="18"/>
                <w:szCs w:val="18"/>
                <w:lang w:val="en-US" w:eastAsia="zh-CN"/>
                <w14:textFill>
                  <w14:solidFill>
                    <w14:schemeClr w14:val="tx1"/>
                  </w14:solidFill>
                </w14:textFill>
              </w:rPr>
              <w:t>15</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7.</w:t>
      </w:r>
      <w:r>
        <w:rPr>
          <w:rFonts w:hint="eastAsia" w:eastAsia="宋体" w:cs="Times New Roman"/>
          <w:b/>
          <w:bCs/>
          <w:color w:val="000000" w:themeColor="text1"/>
          <w:spacing w:val="6"/>
          <w:sz w:val="24"/>
          <w:szCs w:val="24"/>
          <w:lang w:val="en-US" w:eastAsia="zh-CN"/>
          <w14:textFill>
            <w14:solidFill>
              <w14:schemeClr w14:val="tx1"/>
            </w14:solidFill>
          </w14:textFill>
        </w:rPr>
        <w:t>7</w:t>
      </w:r>
      <w:r>
        <w:rPr>
          <w:rFonts w:ascii="Times New Roman" w:hAnsi="Times New Roman" w:eastAsia="Times New Roman" w:cs="Times New Roman"/>
          <w:b/>
          <w:bCs/>
          <w:color w:val="000000" w:themeColor="text1"/>
          <w:spacing w:val="6"/>
          <w:sz w:val="24"/>
          <w:szCs w:val="24"/>
          <w14:textFill>
            <w14:solidFill>
              <w14:schemeClr w14:val="tx1"/>
            </w14:solidFill>
          </w14:textFill>
        </w:rPr>
        <w:t xml:space="preserve"> </w:t>
      </w:r>
      <w:r>
        <w:rPr>
          <w:b/>
          <w:bCs/>
          <w:color w:val="000000" w:themeColor="text1"/>
          <w:spacing w:val="6"/>
          <w:sz w:val="24"/>
          <w:szCs w:val="24"/>
          <w14:textFill>
            <w14:solidFill>
              <w14:schemeClr w14:val="tx1"/>
            </w14:solidFill>
          </w14:textFill>
        </w:rPr>
        <w:t>项目与园区的风险防控衔接</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31"/>
        <w:textAlignment w:val="auto"/>
        <w:rPr>
          <w:color w:val="000000" w:themeColor="text1"/>
          <w:sz w:val="24"/>
          <w:szCs w:val="24"/>
          <w14:textFill>
            <w14:solidFill>
              <w14:schemeClr w14:val="tx1"/>
            </w14:solidFill>
          </w14:textFill>
        </w:rPr>
      </w:pPr>
      <w:r>
        <w:rPr>
          <w:color w:val="000000" w:themeColor="text1"/>
          <w:spacing w:val="10"/>
          <w:sz w:val="24"/>
          <w:szCs w:val="24"/>
          <w14:textFill>
            <w14:solidFill>
              <w14:schemeClr w14:val="tx1"/>
            </w14:solidFill>
          </w14:textFill>
        </w:rPr>
        <w:t>（</w:t>
      </w:r>
      <w:r>
        <w:rPr>
          <w:rFonts w:ascii="Times New Roman" w:hAnsi="Times New Roman" w:eastAsia="Times New Roman" w:cs="Times New Roman"/>
          <w:color w:val="000000" w:themeColor="text1"/>
          <w:spacing w:val="10"/>
          <w:sz w:val="24"/>
          <w:szCs w:val="24"/>
          <w14:textFill>
            <w14:solidFill>
              <w14:schemeClr w14:val="tx1"/>
            </w14:solidFill>
          </w14:textFill>
        </w:rPr>
        <w:t>1</w:t>
      </w:r>
      <w:r>
        <w:rPr>
          <w:color w:val="000000" w:themeColor="text1"/>
          <w:spacing w:val="10"/>
          <w:sz w:val="24"/>
          <w:szCs w:val="24"/>
          <w14:textFill>
            <w14:solidFill>
              <w14:schemeClr w14:val="tx1"/>
            </w14:solidFill>
          </w14:textFill>
        </w:rPr>
        <w:t>）本项目建立与园区及地方政府的环境应急联</w:t>
      </w:r>
      <w:r>
        <w:rPr>
          <w:color w:val="000000" w:themeColor="text1"/>
          <w:spacing w:val="9"/>
          <w:sz w:val="24"/>
          <w:szCs w:val="24"/>
          <w14:textFill>
            <w14:solidFill>
              <w14:schemeClr w14:val="tx1"/>
            </w14:solidFill>
          </w14:textFill>
        </w:rPr>
        <w:t>动机制，实现应急资源共享，有效处</w:t>
      </w:r>
      <w:r>
        <w:rPr>
          <w:color w:val="000000" w:themeColor="text1"/>
          <w:spacing w:val="8"/>
          <w:sz w:val="24"/>
          <w:szCs w:val="24"/>
          <w14:textFill>
            <w14:solidFill>
              <w14:schemeClr w14:val="tx1"/>
            </w14:solidFill>
          </w14:textFill>
        </w:rPr>
        <w:t>置突发环境污染事件。</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31"/>
        <w:textAlignment w:val="auto"/>
        <w:rPr>
          <w:color w:val="000000" w:themeColor="text1"/>
          <w:sz w:val="24"/>
          <w:szCs w:val="24"/>
          <w14:textFill>
            <w14:solidFill>
              <w14:schemeClr w14:val="tx1"/>
            </w14:solidFill>
          </w14:textFill>
        </w:rPr>
      </w:pPr>
      <w:r>
        <w:rPr>
          <w:color w:val="000000" w:themeColor="text1"/>
          <w:spacing w:val="10"/>
          <w:sz w:val="24"/>
          <w:szCs w:val="24"/>
          <w14:textFill>
            <w14:solidFill>
              <w14:schemeClr w14:val="tx1"/>
            </w14:solidFill>
          </w14:textFill>
        </w:rPr>
        <w:t>（</w:t>
      </w:r>
      <w:r>
        <w:rPr>
          <w:rFonts w:ascii="Times New Roman" w:hAnsi="Times New Roman" w:eastAsia="Times New Roman" w:cs="Times New Roman"/>
          <w:color w:val="000000" w:themeColor="text1"/>
          <w:spacing w:val="10"/>
          <w:sz w:val="24"/>
          <w:szCs w:val="24"/>
          <w14:textFill>
            <w14:solidFill>
              <w14:schemeClr w14:val="tx1"/>
            </w14:solidFill>
          </w14:textFill>
        </w:rPr>
        <w:t>2</w:t>
      </w:r>
      <w:r>
        <w:rPr>
          <w:color w:val="000000" w:themeColor="text1"/>
          <w:spacing w:val="10"/>
          <w:sz w:val="24"/>
          <w:szCs w:val="24"/>
          <w14:textFill>
            <w14:solidFill>
              <w14:schemeClr w14:val="tx1"/>
            </w14:solidFill>
          </w14:textFill>
        </w:rPr>
        <w:t>）当项目发生突发环境事故可能对厂外环境造成危害时，及时向园区管委会报告，</w:t>
      </w:r>
      <w:r>
        <w:rPr>
          <w:color w:val="000000" w:themeColor="text1"/>
          <w:spacing w:val="7"/>
          <w:sz w:val="24"/>
          <w:szCs w:val="24"/>
          <w14:textFill>
            <w14:solidFill>
              <w14:schemeClr w14:val="tx1"/>
            </w14:solidFill>
          </w14:textFill>
        </w:rPr>
        <w:t>启动园区环境应急防范措施；如疏散危险区域人群，封闭</w:t>
      </w:r>
      <w:r>
        <w:rPr>
          <w:color w:val="000000" w:themeColor="text1"/>
          <w:spacing w:val="6"/>
          <w:sz w:val="24"/>
          <w:szCs w:val="24"/>
          <w14:textFill>
            <w14:solidFill>
              <w14:schemeClr w14:val="tx1"/>
            </w14:solidFill>
          </w14:textFill>
        </w:rPr>
        <w:t>危险区道路等，疏散路线见图</w:t>
      </w:r>
      <w:r>
        <w:rPr>
          <w:rFonts w:ascii="Times New Roman" w:hAnsi="Times New Roman" w:eastAsia="Times New Roman" w:cs="Times New Roman"/>
          <w:color w:val="000000" w:themeColor="text1"/>
          <w:spacing w:val="6"/>
          <w:sz w:val="24"/>
          <w:szCs w:val="24"/>
          <w14:textFill>
            <w14:solidFill>
              <w14:schemeClr w14:val="tx1"/>
            </w14:solidFill>
          </w14:textFill>
        </w:rPr>
        <w:t>11</w:t>
      </w:r>
      <w:r>
        <w:rPr>
          <w:color w:val="000000" w:themeColor="text1"/>
          <w:spacing w:val="6"/>
          <w:sz w:val="24"/>
          <w:szCs w:val="24"/>
          <w14:textFill>
            <w14:solidFill>
              <w14:schemeClr w14:val="tx1"/>
            </w14:solidFill>
          </w14:textFill>
        </w:rPr>
        <w:t>；</w:t>
      </w:r>
      <w:r>
        <w:rPr>
          <w:color w:val="000000" w:themeColor="text1"/>
          <w:spacing w:val="11"/>
          <w:sz w:val="24"/>
          <w:szCs w:val="24"/>
          <w14:textFill>
            <w14:solidFill>
              <w14:schemeClr w14:val="tx1"/>
            </w14:solidFill>
          </w14:textFill>
        </w:rPr>
        <w:t>将事故水引入园区事故池等。实现厂内与园区</w:t>
      </w:r>
      <w:r>
        <w:rPr>
          <w:rFonts w:ascii="Times New Roman" w:hAnsi="Times New Roman" w:eastAsia="Times New Roman" w:cs="Times New Roman"/>
          <w:color w:val="000000" w:themeColor="text1"/>
          <w:spacing w:val="11"/>
          <w:sz w:val="24"/>
          <w:szCs w:val="24"/>
          <w14:textFill>
            <w14:solidFill>
              <w14:schemeClr w14:val="tx1"/>
            </w14:solidFill>
          </w14:textFill>
        </w:rPr>
        <w:t>/</w:t>
      </w:r>
      <w:r>
        <w:rPr>
          <w:color w:val="000000" w:themeColor="text1"/>
          <w:spacing w:val="11"/>
          <w:sz w:val="24"/>
          <w:szCs w:val="24"/>
          <w14:textFill>
            <w14:solidFill>
              <w14:schemeClr w14:val="tx1"/>
            </w14:solidFill>
          </w14:textFill>
        </w:rPr>
        <w:t>区域环境风险防控设施及管理有效联动，有</w:t>
      </w:r>
      <w:r>
        <w:rPr>
          <w:color w:val="000000" w:themeColor="text1"/>
          <w:spacing w:val="7"/>
          <w:sz w:val="24"/>
          <w:szCs w:val="24"/>
          <w14:textFill>
            <w14:solidFill>
              <w14:schemeClr w14:val="tx1"/>
            </w14:solidFill>
          </w14:textFill>
        </w:rPr>
        <w:t>效防控环境风险。</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7.</w:t>
      </w:r>
      <w:r>
        <w:rPr>
          <w:rFonts w:hint="eastAsia" w:eastAsia="宋体" w:cs="Times New Roman"/>
          <w:b/>
          <w:bCs/>
          <w:color w:val="000000" w:themeColor="text1"/>
          <w:spacing w:val="6"/>
          <w:sz w:val="24"/>
          <w:szCs w:val="24"/>
          <w:lang w:val="en-US" w:eastAsia="zh-CN"/>
          <w14:textFill>
            <w14:solidFill>
              <w14:schemeClr w14:val="tx1"/>
            </w14:solidFill>
          </w14:textFill>
        </w:rPr>
        <w:t xml:space="preserve">8 </w:t>
      </w:r>
      <w:r>
        <w:rPr>
          <w:b/>
          <w:bCs/>
          <w:color w:val="000000" w:themeColor="text1"/>
          <w:spacing w:val="6"/>
          <w:sz w:val="24"/>
          <w:szCs w:val="24"/>
          <w14:textFill>
            <w14:solidFill>
              <w14:schemeClr w14:val="tx1"/>
            </w14:solidFill>
          </w14:textFill>
        </w:rPr>
        <w:t>突发环境事件应急预案编制要求</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0"/>
        <w:jc w:val="both"/>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应急预案是在贯彻预防为主的前提下，针对建设项目可能出现的事故，为及时控制危害源，抢救受害人员，指导居民防护和组织人员撤离，消除危害后果而组织的救援活动的预想</w:t>
      </w:r>
      <w:r>
        <w:rPr>
          <w:color w:val="000000" w:themeColor="text1"/>
          <w:spacing w:val="8"/>
          <w:sz w:val="24"/>
          <w:szCs w:val="24"/>
          <w14:textFill>
            <w14:solidFill>
              <w14:schemeClr w14:val="tx1"/>
            </w14:solidFill>
          </w14:textFill>
        </w:rPr>
        <w:t>方案，它需要建设单位和社会救援相结合。</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2"/>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4"/>
          <w:szCs w:val="24"/>
          <w14:textFill>
            <w14:solidFill>
              <w14:schemeClr w14:val="tx1"/>
            </w14:solidFill>
          </w14:textFill>
        </w:rPr>
        <w:t>7.</w:t>
      </w:r>
      <w:r>
        <w:rPr>
          <w:rFonts w:hint="eastAsia" w:eastAsia="宋体" w:cs="Times New Roman"/>
          <w:b/>
          <w:bCs/>
          <w:color w:val="000000" w:themeColor="text1"/>
          <w:spacing w:val="5"/>
          <w:sz w:val="24"/>
          <w:szCs w:val="24"/>
          <w:lang w:val="en-US" w:eastAsia="zh-CN"/>
          <w14:textFill>
            <w14:solidFill>
              <w14:schemeClr w14:val="tx1"/>
            </w14:solidFill>
          </w14:textFill>
        </w:rPr>
        <w:t>8</w:t>
      </w:r>
      <w:r>
        <w:rPr>
          <w:rFonts w:ascii="Times New Roman" w:hAnsi="Times New Roman" w:eastAsia="Times New Roman" w:cs="Times New Roman"/>
          <w:b/>
          <w:bCs/>
          <w:color w:val="000000" w:themeColor="text1"/>
          <w:spacing w:val="5"/>
          <w:sz w:val="24"/>
          <w:szCs w:val="24"/>
          <w14:textFill>
            <w14:solidFill>
              <w14:schemeClr w14:val="tx1"/>
            </w14:solidFill>
          </w14:textFill>
        </w:rPr>
        <w:t xml:space="preserve">.1 </w:t>
      </w:r>
      <w:r>
        <w:rPr>
          <w:b/>
          <w:bCs/>
          <w:color w:val="000000" w:themeColor="text1"/>
          <w:spacing w:val="5"/>
          <w:sz w:val="24"/>
          <w:szCs w:val="24"/>
          <w14:textFill>
            <w14:solidFill>
              <w14:schemeClr w14:val="tx1"/>
            </w14:solidFill>
          </w14:textFill>
        </w:rPr>
        <w:t>应急预案编制内容</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应急预案编制主要内容见下表。</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000000" w:themeColor="text1"/>
          <w:sz w:val="18"/>
          <w:szCs w:val="18"/>
          <w14:textFill>
            <w14:solidFill>
              <w14:schemeClr w14:val="tx1"/>
            </w14:solidFill>
          </w14:textFill>
        </w:rPr>
      </w:pPr>
      <w:r>
        <w:rPr>
          <w:b/>
          <w:bCs/>
          <w:color w:val="000000" w:themeColor="text1"/>
          <w:spacing w:val="-1"/>
          <w:sz w:val="24"/>
          <w:szCs w:val="24"/>
          <w14:textFill>
            <w14:solidFill>
              <w14:schemeClr w14:val="tx1"/>
            </w14:solidFill>
          </w14:textFill>
        </w:rPr>
        <w:t>表</w:t>
      </w:r>
      <w:r>
        <w:rPr>
          <w:rFonts w:ascii="Times New Roman" w:hAnsi="Times New Roman" w:eastAsia="Times New Roman" w:cs="Times New Roman"/>
          <w:b/>
          <w:bCs/>
          <w:color w:val="000000" w:themeColor="text1"/>
          <w:spacing w:val="-1"/>
          <w:sz w:val="24"/>
          <w:szCs w:val="24"/>
          <w14:textFill>
            <w14:solidFill>
              <w14:schemeClr w14:val="tx1"/>
            </w14:solidFill>
          </w14:textFill>
        </w:rPr>
        <w:t xml:space="preserve">7-3  </w:t>
      </w:r>
      <w:r>
        <w:rPr>
          <w:b/>
          <w:bCs/>
          <w:color w:val="000000" w:themeColor="text1"/>
          <w:spacing w:val="-1"/>
          <w:sz w:val="24"/>
          <w:szCs w:val="24"/>
          <w14:textFill>
            <w14:solidFill>
              <w14:schemeClr w14:val="tx1"/>
            </w14:solidFill>
          </w14:textFill>
        </w:rPr>
        <w:t>项目环境风险应急预案内容</w:t>
      </w:r>
      <w:r>
        <w:rPr>
          <w:rFonts w:hint="eastAsia"/>
          <w:b/>
          <w:bCs/>
          <w:color w:val="000000" w:themeColor="text1"/>
          <w:spacing w:val="-1"/>
          <w:sz w:val="24"/>
          <w:szCs w:val="24"/>
          <w:lang w:val="en-US" w:eastAsia="zh-CN"/>
          <w14:textFill>
            <w14:solidFill>
              <w14:schemeClr w14:val="tx1"/>
            </w14:solidFill>
          </w14:textFill>
        </w:rPr>
        <w:t>一</w:t>
      </w:r>
      <w:r>
        <w:rPr>
          <w:b/>
          <w:bCs/>
          <w:color w:val="000000" w:themeColor="text1"/>
          <w:spacing w:val="-1"/>
          <w:sz w:val="24"/>
          <w:szCs w:val="24"/>
          <w14:textFill>
            <w14:solidFill>
              <w14:schemeClr w14:val="tx1"/>
            </w14:solidFill>
          </w14:textFill>
        </w:rPr>
        <w:t>览表</w:t>
      </w:r>
    </w:p>
    <w:p>
      <w:pPr>
        <w:spacing w:line="28" w:lineRule="exact"/>
        <w:rPr>
          <w:color w:val="000000" w:themeColor="text1"/>
          <w14:textFill>
            <w14:solidFill>
              <w14:schemeClr w14:val="tx1"/>
            </w14:solidFill>
          </w14:textFill>
        </w:rPr>
      </w:pPr>
    </w:p>
    <w:tbl>
      <w:tblPr>
        <w:tblStyle w:val="99"/>
        <w:tblW w:w="911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2"/>
        <w:gridCol w:w="2124"/>
        <w:gridCol w:w="627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722" w:type="dxa"/>
            <w:tcBorders>
              <w:top w:val="single" w:color="000000" w:sz="10" w:space="0"/>
              <w:left w:val="nil"/>
            </w:tcBorders>
            <w:vAlign w:val="top"/>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4"/>
                <w:sz w:val="21"/>
                <w:szCs w:val="21"/>
                <w14:textFill>
                  <w14:solidFill>
                    <w14:schemeClr w14:val="tx1"/>
                  </w14:solidFill>
                </w14:textFill>
              </w:rPr>
              <w:t>序号</w:t>
            </w:r>
          </w:p>
        </w:tc>
        <w:tc>
          <w:tcPr>
            <w:tcW w:w="2124" w:type="dxa"/>
            <w:tcBorders>
              <w:top w:val="single" w:color="000000" w:sz="10" w:space="0"/>
            </w:tcBorders>
            <w:vAlign w:val="top"/>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5"/>
                <w:sz w:val="21"/>
                <w:szCs w:val="21"/>
                <w14:textFill>
                  <w14:solidFill>
                    <w14:schemeClr w14:val="tx1"/>
                  </w14:solidFill>
                </w14:textFill>
              </w:rPr>
              <w:t>项目</w:t>
            </w:r>
          </w:p>
        </w:tc>
        <w:tc>
          <w:tcPr>
            <w:tcW w:w="6273" w:type="dxa"/>
            <w:tcBorders>
              <w:top w:val="single" w:color="000000" w:sz="10" w:space="0"/>
              <w:right w:val="nil"/>
            </w:tcBorders>
            <w:vAlign w:val="top"/>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5"/>
                <w:sz w:val="21"/>
                <w:szCs w:val="21"/>
                <w14:textFill>
                  <w14:solidFill>
                    <w14:schemeClr w14:val="tx1"/>
                  </w14:solidFill>
                </w14:textFill>
              </w:rPr>
              <w:t>内容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3" w:hRule="atLeast"/>
          <w:jc w:val="center"/>
        </w:trPr>
        <w:tc>
          <w:tcPr>
            <w:tcW w:w="722" w:type="dxa"/>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1</w:t>
            </w:r>
          </w:p>
        </w:tc>
        <w:tc>
          <w:tcPr>
            <w:tcW w:w="2124"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适用范围</w:t>
            </w:r>
          </w:p>
        </w:tc>
        <w:tc>
          <w:tcPr>
            <w:tcW w:w="6273"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用于企业内发生或可能发生的突发环境事件的预</w:t>
            </w:r>
            <w:r>
              <w:rPr>
                <w:color w:val="000000" w:themeColor="text1"/>
                <w:spacing w:val="-1"/>
                <w:sz w:val="21"/>
                <w:szCs w:val="21"/>
                <w14:textFill>
                  <w14:solidFill>
                    <w14:schemeClr w14:val="tx1"/>
                  </w14:solidFill>
                </w14:textFill>
              </w:rPr>
              <w:t>警、信息报告和应急处</w:t>
            </w:r>
            <w:r>
              <w:rPr>
                <w:color w:val="000000" w:themeColor="text1"/>
                <w:sz w:val="21"/>
                <w:szCs w:val="21"/>
                <w14:textFill>
                  <w14:solidFill>
                    <w14:schemeClr w14:val="tx1"/>
                  </w14:solidFill>
                </w14:textFill>
              </w:rPr>
              <w:t>置等工作。超出企业自身应对能力时，则与所在地县级</w:t>
            </w:r>
            <w:r>
              <w:rPr>
                <w:color w:val="000000" w:themeColor="text1"/>
                <w:spacing w:val="-1"/>
                <w:sz w:val="21"/>
                <w:szCs w:val="21"/>
                <w14:textFill>
                  <w14:solidFill>
                    <w14:schemeClr w14:val="tx1"/>
                  </w14:solidFill>
                </w14:textFill>
              </w:rPr>
              <w:t>人民政府发布的相关应急预案衔接。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jc w:val="center"/>
        </w:trPr>
        <w:tc>
          <w:tcPr>
            <w:tcW w:w="722" w:type="dxa"/>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2</w:t>
            </w:r>
          </w:p>
        </w:tc>
        <w:tc>
          <w:tcPr>
            <w:tcW w:w="2124"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环境事件分类与分级</w:t>
            </w:r>
          </w:p>
        </w:tc>
        <w:tc>
          <w:tcPr>
            <w:tcW w:w="6273"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事件分类包括泄漏、火灾爆炸；事件分级包括企业级和社会级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0" w:hRule="atLeast"/>
          <w:jc w:val="center"/>
        </w:trPr>
        <w:tc>
          <w:tcPr>
            <w:tcW w:w="722" w:type="dxa"/>
            <w:tcBorders>
              <w:left w:val="nil"/>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3</w:t>
            </w:r>
          </w:p>
        </w:tc>
        <w:tc>
          <w:tcPr>
            <w:tcW w:w="2124"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组织机构与职责</w:t>
            </w:r>
          </w:p>
        </w:tc>
        <w:tc>
          <w:tcPr>
            <w:tcW w:w="6273"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应急组织机构的构成、责任人和联系方式、</w:t>
            </w:r>
            <w:r>
              <w:rPr>
                <w:color w:val="000000" w:themeColor="text1"/>
                <w:spacing w:val="-37"/>
                <w:sz w:val="21"/>
                <w:szCs w:val="21"/>
                <w14:textFill>
                  <w14:solidFill>
                    <w14:schemeClr w14:val="tx1"/>
                  </w14:solidFill>
                </w14:textFill>
              </w:rPr>
              <w:t xml:space="preserve"> </w:t>
            </w:r>
            <w:r>
              <w:rPr>
                <w:color w:val="000000" w:themeColor="text1"/>
                <w:spacing w:val="-2"/>
                <w:sz w:val="21"/>
                <w:szCs w:val="21"/>
                <w14:textFill>
                  <w14:solidFill>
                    <w14:schemeClr w14:val="tx1"/>
                  </w14:solidFill>
                </w14:textFill>
              </w:rPr>
              <w:t>日常职位、应急状态的工作</w:t>
            </w:r>
            <w:r>
              <w:rPr>
                <w:color w:val="000000" w:themeColor="text1"/>
                <w:sz w:val="21"/>
                <w:szCs w:val="21"/>
                <w14:textFill>
                  <w14:solidFill>
                    <w14:schemeClr w14:val="tx1"/>
                  </w14:solidFill>
                </w14:textFill>
              </w:rPr>
              <w:t xml:space="preserve"> </w:t>
            </w:r>
            <w:r>
              <w:rPr>
                <w:color w:val="000000" w:themeColor="text1"/>
                <w:spacing w:val="1"/>
                <w:sz w:val="21"/>
                <w:szCs w:val="21"/>
                <w14:textFill>
                  <w14:solidFill>
                    <w14:schemeClr w14:val="tx1"/>
                  </w14:solidFill>
                </w14:textFill>
              </w:rPr>
              <w:t>职责和日常的应急管理工作职责。包括应急指挥</w:t>
            </w:r>
            <w:r>
              <w:rPr>
                <w:color w:val="000000" w:themeColor="text1"/>
                <w:sz w:val="21"/>
                <w:szCs w:val="21"/>
                <w14:textFill>
                  <w14:solidFill>
                    <w14:schemeClr w14:val="tx1"/>
                  </w14:solidFill>
                </w14:textFill>
              </w:rPr>
              <w:t xml:space="preserve">部、综合协调组、现场 </w:t>
            </w:r>
            <w:r>
              <w:rPr>
                <w:color w:val="000000" w:themeColor="text1"/>
                <w:spacing w:val="-1"/>
                <w:sz w:val="21"/>
                <w:szCs w:val="21"/>
                <w14:textFill>
                  <w14:solidFill>
                    <w14:schemeClr w14:val="tx1"/>
                  </w14:solidFill>
                </w14:textFill>
              </w:rPr>
              <w:t>处置组、应急监测组、应急保障 组、专家组以及其他必要的行动</w:t>
            </w:r>
            <w:r>
              <w:rPr>
                <w:color w:val="000000" w:themeColor="text1"/>
                <w:spacing w:val="-2"/>
                <w:sz w:val="21"/>
                <w:szCs w:val="21"/>
                <w14:textFill>
                  <w14:solidFill>
                    <w14:schemeClr w14:val="tx1"/>
                  </w14:solidFill>
                </w14:textFill>
              </w:rPr>
              <w:t>组。应</w:t>
            </w:r>
            <w:r>
              <w:rPr>
                <w:color w:val="000000" w:themeColor="text1"/>
                <w:sz w:val="21"/>
                <w:szCs w:val="21"/>
                <w14:textFill>
                  <w14:solidFill>
                    <w14:schemeClr w14:val="tx1"/>
                  </w14:solidFill>
                </w14:textFill>
              </w:rPr>
              <w:t xml:space="preserve"> </w:t>
            </w:r>
            <w:r>
              <w:rPr>
                <w:color w:val="000000" w:themeColor="text1"/>
                <w:spacing w:val="2"/>
                <w:sz w:val="21"/>
                <w:szCs w:val="21"/>
                <w14:textFill>
                  <w14:solidFill>
                    <w14:schemeClr w14:val="tx1"/>
                  </w14:solidFill>
                </w14:textFill>
              </w:rPr>
              <w:t>急组织机构应当和企业内部的常设机构和其他预案的组织机 构进行衔</w:t>
            </w:r>
            <w:r>
              <w:rPr>
                <w:color w:val="000000" w:themeColor="text1"/>
                <w:spacing w:val="-1"/>
                <w:sz w:val="21"/>
                <w:szCs w:val="21"/>
                <w14:textFill>
                  <w14:solidFill>
                    <w14:schemeClr w14:val="tx1"/>
                  </w14:solidFill>
                </w14:textFill>
              </w:rPr>
              <w:t>接，匹配相应职责。</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8" w:hRule="atLeast"/>
          <w:jc w:val="center"/>
        </w:trPr>
        <w:tc>
          <w:tcPr>
            <w:tcW w:w="722" w:type="dxa"/>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4</w:t>
            </w:r>
          </w:p>
        </w:tc>
        <w:tc>
          <w:tcPr>
            <w:tcW w:w="2124"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监控和预警</w:t>
            </w:r>
          </w:p>
        </w:tc>
        <w:tc>
          <w:tcPr>
            <w:tcW w:w="6273"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根据可能引发突发环境事件的因素和企业自身实际</w:t>
            </w:r>
            <w:r>
              <w:rPr>
                <w:color w:val="000000" w:themeColor="text1"/>
                <w:spacing w:val="-1"/>
                <w:sz w:val="21"/>
                <w:szCs w:val="21"/>
                <w14:textFill>
                  <w14:solidFill>
                    <w14:schemeClr w14:val="tx1"/>
                  </w14:solidFill>
                </w14:textFill>
              </w:rPr>
              <w:t>，建立企业突发环境事件预警机制，明确接警、预警分级、预警研判、发布预警和预警行动、预 警解除与升级的责任人、程序和主要内容。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4" w:hRule="atLeast"/>
          <w:jc w:val="center"/>
        </w:trPr>
        <w:tc>
          <w:tcPr>
            <w:tcW w:w="722" w:type="dxa"/>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5</w:t>
            </w:r>
          </w:p>
        </w:tc>
        <w:tc>
          <w:tcPr>
            <w:tcW w:w="2124"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应急响应</w:t>
            </w:r>
          </w:p>
        </w:tc>
        <w:tc>
          <w:tcPr>
            <w:tcW w:w="6273"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企业应针对各种突发环境事件情景制定相应的</w:t>
            </w:r>
            <w:r>
              <w:rPr>
                <w:color w:val="000000" w:themeColor="text1"/>
                <w:spacing w:val="-1"/>
                <w:sz w:val="21"/>
                <w:szCs w:val="21"/>
                <w14:textFill>
                  <w14:solidFill>
                    <w14:schemeClr w14:val="tx1"/>
                  </w14:solidFill>
                </w14:textFill>
              </w:rPr>
              <w:t>应急处置措施，对流程、</w:t>
            </w:r>
            <w:r>
              <w:rPr>
                <w:color w:val="000000" w:themeColor="text1"/>
                <w:sz w:val="21"/>
                <w:szCs w:val="21"/>
                <w14:textFill>
                  <w14:solidFill>
                    <w14:schemeClr w14:val="tx1"/>
                  </w14:solidFill>
                </w14:textFill>
              </w:rPr>
              <w:t>步骤、措施、职责、所需应急资源等事前规定</w:t>
            </w:r>
            <w:r>
              <w:rPr>
                <w:color w:val="000000" w:themeColor="text1"/>
                <w:spacing w:val="-1"/>
                <w:sz w:val="21"/>
                <w:szCs w:val="21"/>
                <w14:textFill>
                  <w14:solidFill>
                    <w14:schemeClr w14:val="tx1"/>
                  </w14:solidFill>
                </w14:textFill>
              </w:rPr>
              <w:t>并按照一岗一卡的原则制定应急处置卡，明确每一个岗位在突发环境事件发生时应该采取的具体行动，以及行动要达到的目标。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2" w:hRule="atLeast"/>
          <w:jc w:val="center"/>
        </w:trPr>
        <w:tc>
          <w:tcPr>
            <w:tcW w:w="722" w:type="dxa"/>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6</w:t>
            </w:r>
          </w:p>
        </w:tc>
        <w:tc>
          <w:tcPr>
            <w:tcW w:w="2124"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应急保障</w:t>
            </w:r>
          </w:p>
        </w:tc>
        <w:tc>
          <w:tcPr>
            <w:tcW w:w="6273"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明确应急资源、应急通讯、应急技术、人力资源、财力、物资以及其他</w:t>
            </w:r>
            <w:r>
              <w:rPr>
                <w:color w:val="000000" w:themeColor="text1"/>
                <w:spacing w:val="-1"/>
                <w:sz w:val="21"/>
                <w:szCs w:val="21"/>
                <w14:textFill>
                  <w14:solidFill>
                    <w14:schemeClr w14:val="tx1"/>
                  </w14:solidFill>
                </w14:textFill>
              </w:rPr>
              <w:t>重要设施的保障措施。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8" w:hRule="atLeast"/>
          <w:jc w:val="center"/>
        </w:trPr>
        <w:tc>
          <w:tcPr>
            <w:tcW w:w="722" w:type="dxa"/>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7</w:t>
            </w:r>
          </w:p>
        </w:tc>
        <w:tc>
          <w:tcPr>
            <w:tcW w:w="2124" w:type="dxa"/>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3"/>
                <w:sz w:val="21"/>
                <w:szCs w:val="21"/>
                <w14:textFill>
                  <w14:solidFill>
                    <w14:schemeClr w14:val="tx1"/>
                  </w14:solidFill>
                </w14:textFill>
              </w:rPr>
              <w:t>善后处置</w:t>
            </w:r>
          </w:p>
        </w:tc>
        <w:tc>
          <w:tcPr>
            <w:tcW w:w="6273" w:type="dxa"/>
            <w:tcBorders>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企业要明确对应急处置结束后现场遗留污染物</w:t>
            </w:r>
            <w:r>
              <w:rPr>
                <w:color w:val="000000" w:themeColor="text1"/>
                <w:spacing w:val="-1"/>
                <w:sz w:val="21"/>
                <w:szCs w:val="21"/>
                <w14:textFill>
                  <w14:solidFill>
                    <w14:schemeClr w14:val="tx1"/>
                  </w14:solidFill>
                </w14:textFill>
              </w:rPr>
              <w:t>进行后续处理措施，对应急仪器设备进行维护、保养，对应急物资进行补充更新，恢复企业设备（施）的正常运转，逐步恢复企业的正常生产秩序</w:t>
            </w:r>
            <w:r>
              <w:rPr>
                <w:color w:val="000000" w:themeColor="text1"/>
                <w:spacing w:val="-2"/>
                <w:sz w:val="21"/>
                <w:szCs w:val="21"/>
                <w14:textFill>
                  <w14:solidFill>
                    <w14:schemeClr w14:val="tx1"/>
                  </w14:solidFill>
                </w14:textFill>
              </w:rPr>
              <w:t>的责任人和时限要求；</w:t>
            </w:r>
            <w:r>
              <w:rPr>
                <w:color w:val="000000" w:themeColor="text1"/>
                <w:sz w:val="21"/>
                <w:szCs w:val="21"/>
                <w14:textFill>
                  <w14:solidFill>
                    <w14:schemeClr w14:val="tx1"/>
                  </w14:solidFill>
                </w14:textFill>
              </w:rPr>
              <w:t>配合地方政府及其环境保护等相关部门开展环境损</w:t>
            </w:r>
            <w:r>
              <w:rPr>
                <w:color w:val="000000" w:themeColor="text1"/>
                <w:spacing w:val="-1"/>
                <w:sz w:val="21"/>
                <w:szCs w:val="21"/>
                <w14:textFill>
                  <w14:solidFill>
                    <w14:schemeClr w14:val="tx1"/>
                  </w14:solidFill>
                </w14:textFill>
              </w:rPr>
              <w:t>害评估、赔偿、事件调查处理、环境修复和生态恢复等工作的责任人和主要内容。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3" w:hRule="atLeast"/>
          <w:jc w:val="center"/>
        </w:trPr>
        <w:tc>
          <w:tcPr>
            <w:tcW w:w="722" w:type="dxa"/>
            <w:tcBorders>
              <w:left w:val="nil"/>
              <w:bottom w:val="single" w:color="000000" w:sz="1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rPr>
                <w:rFonts w:ascii="Times New Roman" w:hAnsi="Times New Roman" w:eastAsia="Times New Roman" w:cs="Times New Roman"/>
                <w:color w:val="000000" w:themeColor="text1"/>
                <w:sz w:val="21"/>
                <w:szCs w:val="21"/>
                <w14:textFill>
                  <w14:solidFill>
                    <w14:schemeClr w14:val="tx1"/>
                  </w14:solidFill>
                </w14:textFill>
              </w:rPr>
            </w:pPr>
            <w:r>
              <w:rPr>
                <w:rFonts w:ascii="Times New Roman" w:hAnsi="Times New Roman" w:eastAsia="Times New Roman" w:cs="Times New Roman"/>
                <w:color w:val="000000" w:themeColor="text1"/>
                <w:sz w:val="21"/>
                <w:szCs w:val="21"/>
                <w14:textFill>
                  <w14:solidFill>
                    <w14:schemeClr w14:val="tx1"/>
                  </w14:solidFill>
                </w14:textFill>
              </w:rPr>
              <w:t>8</w:t>
            </w:r>
          </w:p>
        </w:tc>
        <w:tc>
          <w:tcPr>
            <w:tcW w:w="2124" w:type="dxa"/>
            <w:tcBorders>
              <w:bottom w:val="single" w:color="000000" w:sz="10" w:space="0"/>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2"/>
                <w:sz w:val="21"/>
                <w:szCs w:val="21"/>
                <w14:textFill>
                  <w14:solidFill>
                    <w14:schemeClr w14:val="tx1"/>
                  </w14:solidFill>
                </w14:textFill>
              </w:rPr>
              <w:t>预案管理与演练</w:t>
            </w:r>
          </w:p>
        </w:tc>
        <w:tc>
          <w:tcPr>
            <w:tcW w:w="6273" w:type="dxa"/>
            <w:tcBorders>
              <w:bottom w:val="single" w:color="000000" w:sz="10" w:space="0"/>
              <w:right w:val="nil"/>
            </w:tcBorders>
            <w:vAlign w:val="center"/>
          </w:tcPr>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pacing w:val="-1"/>
                <w:sz w:val="21"/>
                <w:szCs w:val="21"/>
                <w14:textFill>
                  <w14:solidFill>
                    <w14:schemeClr w14:val="tx1"/>
                  </w14:solidFill>
                </w14:textFill>
              </w:rPr>
              <w:t>明确本企业开展的预案培训计划、方式和要求。明确应急演练的方式、</w:t>
            </w:r>
          </w:p>
          <w:p>
            <w:pPr>
              <w:pStyle w:val="96"/>
              <w:keepNext w:val="0"/>
              <w:keepLines w:val="0"/>
              <w:pageBreakBefore w:val="0"/>
              <w:widowControl w:val="0"/>
              <w:kinsoku/>
              <w:wordWrap/>
              <w:overflowPunct/>
              <w:topLinePunct w:val="0"/>
              <w:autoSpaceDE/>
              <w:autoSpaceDN/>
              <w:bidi w:val="0"/>
              <w:adjustRightInd w:val="0"/>
              <w:snapToGrid w:val="0"/>
              <w:spacing w:beforeLines="0" w:afterLines="0" w:line="240" w:lineRule="auto"/>
              <w:ind w:left="0" w:right="0"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频次等内容，制定企业预案演练的具体计划，并组</w:t>
            </w:r>
            <w:r>
              <w:rPr>
                <w:color w:val="000000" w:themeColor="text1"/>
                <w:spacing w:val="-1"/>
                <w:sz w:val="21"/>
                <w:szCs w:val="21"/>
                <w14:textFill>
                  <w14:solidFill>
                    <w14:schemeClr w14:val="tx1"/>
                  </w14:solidFill>
                </w14:textFill>
              </w:rPr>
              <w:t>织策划和实施，明确</w:t>
            </w:r>
            <w:r>
              <w:rPr>
                <w:color w:val="000000" w:themeColor="text1"/>
                <w:sz w:val="21"/>
                <w:szCs w:val="21"/>
                <w14:textFill>
                  <w14:solidFill>
                    <w14:schemeClr w14:val="tx1"/>
                  </w14:solidFill>
                </w14:textFill>
              </w:rPr>
              <w:t>预案备案的方式、审核要求、报备部门等内容。明确应急预案修</w:t>
            </w:r>
            <w:r>
              <w:rPr>
                <w:color w:val="000000" w:themeColor="text1"/>
                <w:spacing w:val="-1"/>
                <w:sz w:val="21"/>
                <w:szCs w:val="21"/>
                <w14:textFill>
                  <w14:solidFill>
                    <w14:schemeClr w14:val="tx1"/>
                  </w14:solidFill>
                </w14:textFill>
              </w:rPr>
              <w:t>订、变更、改进的基本要求及时限，以及采取的方式等内容。</w:t>
            </w:r>
          </w:p>
        </w:tc>
      </w:tr>
    </w:tbl>
    <w:p>
      <w:pPr>
        <w:pStyle w:val="8"/>
        <w:keepNext w:val="0"/>
        <w:keepLines w:val="0"/>
        <w:pageBreakBefore w:val="0"/>
        <w:widowControl/>
        <w:kinsoku/>
        <w:wordWrap/>
        <w:overflowPunct/>
        <w:topLinePunct w:val="0"/>
        <w:autoSpaceDE/>
        <w:autoSpaceDN/>
        <w:bidi w:val="0"/>
        <w:adjustRightInd/>
        <w:snapToGrid w:val="0"/>
        <w:spacing w:before="0" w:after="0" w:line="360" w:lineRule="auto"/>
        <w:ind w:left="115"/>
        <w:textAlignment w:val="auto"/>
        <w:outlineLvl w:val="2"/>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4"/>
          <w:sz w:val="24"/>
          <w:szCs w:val="24"/>
          <w14:textFill>
            <w14:solidFill>
              <w14:schemeClr w14:val="tx1"/>
            </w14:solidFill>
          </w14:textFill>
        </w:rPr>
        <w:t>7.</w:t>
      </w:r>
      <w:r>
        <w:rPr>
          <w:rFonts w:hint="eastAsia" w:eastAsia="宋体" w:cs="Times New Roman"/>
          <w:b/>
          <w:bCs/>
          <w:color w:val="000000" w:themeColor="text1"/>
          <w:spacing w:val="4"/>
          <w:sz w:val="24"/>
          <w:szCs w:val="24"/>
          <w:lang w:val="en-US" w:eastAsia="zh-CN"/>
          <w14:textFill>
            <w14:solidFill>
              <w14:schemeClr w14:val="tx1"/>
            </w14:solidFill>
          </w14:textFill>
        </w:rPr>
        <w:t>8</w:t>
      </w:r>
      <w:r>
        <w:rPr>
          <w:rFonts w:ascii="Times New Roman" w:hAnsi="Times New Roman" w:eastAsia="Times New Roman" w:cs="Times New Roman"/>
          <w:b/>
          <w:bCs/>
          <w:color w:val="000000" w:themeColor="text1"/>
          <w:spacing w:val="4"/>
          <w:sz w:val="24"/>
          <w:szCs w:val="24"/>
          <w14:textFill>
            <w14:solidFill>
              <w14:schemeClr w14:val="tx1"/>
            </w14:solidFill>
          </w14:textFill>
        </w:rPr>
        <w:t>.2</w:t>
      </w:r>
      <w:r>
        <w:rPr>
          <w:b/>
          <w:bCs/>
          <w:color w:val="000000" w:themeColor="text1"/>
          <w:spacing w:val="4"/>
          <w:sz w:val="24"/>
          <w:szCs w:val="24"/>
          <w14:textFill>
            <w14:solidFill>
              <w14:schemeClr w14:val="tx1"/>
            </w14:solidFill>
          </w14:textFill>
        </w:rPr>
        <w:t>分级响应</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119" w:right="109" w:firstLine="416"/>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根据项目事故的可能影响范围、可能造成的危害和需要调动的应急资源，项目环境风险设置三级应急响应。</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126" w:right="109" w:firstLine="422"/>
        <w:textAlignment w:val="auto"/>
        <w:rPr>
          <w:color w:val="000000" w:themeColor="text1"/>
          <w:sz w:val="24"/>
          <w:szCs w:val="24"/>
          <w14:textFill>
            <w14:solidFill>
              <w14:schemeClr w14:val="tx1"/>
            </w14:solidFill>
          </w14:textFill>
        </w:rPr>
      </w:pPr>
      <w:r>
        <w:rPr>
          <w:color w:val="000000" w:themeColor="text1"/>
          <w:spacing w:val="11"/>
          <w:sz w:val="24"/>
          <w:szCs w:val="24"/>
          <w14:textFill>
            <w14:solidFill>
              <w14:schemeClr w14:val="tx1"/>
            </w14:solidFill>
          </w14:textFill>
        </w:rPr>
        <w:t>当发生环境风险事件，废气、废水影响控制在单元范围内，且能独立处理，启动</w:t>
      </w:r>
      <w:r>
        <w:rPr>
          <w:rFonts w:ascii="Times New Roman" w:hAnsi="Times New Roman" w:eastAsia="Times New Roman" w:cs="Times New Roman"/>
          <w:color w:val="000000" w:themeColor="text1"/>
          <w:sz w:val="24"/>
          <w:szCs w:val="24"/>
          <w14:textFill>
            <w14:solidFill>
              <w14:schemeClr w14:val="tx1"/>
            </w14:solidFill>
          </w14:textFill>
        </w:rPr>
        <w:t>III</w:t>
      </w:r>
      <w:r>
        <w:rPr>
          <w:color w:val="000000" w:themeColor="text1"/>
          <w:spacing w:val="11"/>
          <w:sz w:val="24"/>
          <w:szCs w:val="24"/>
          <w14:textFill>
            <w14:solidFill>
              <w14:schemeClr w14:val="tx1"/>
            </w14:solidFill>
          </w14:textFill>
        </w:rPr>
        <w:t>级</w:t>
      </w:r>
      <w:r>
        <w:rPr>
          <w:color w:val="000000" w:themeColor="text1"/>
          <w:spacing w:val="7"/>
          <w:sz w:val="24"/>
          <w:szCs w:val="24"/>
          <w14:textFill>
            <w14:solidFill>
              <w14:schemeClr w14:val="tx1"/>
            </w14:solidFill>
          </w14:textFill>
        </w:rPr>
        <w:t>响应，启动公司级应急预案；</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116" w:right="109" w:firstLine="433"/>
        <w:textAlignment w:val="auto"/>
        <w:rPr>
          <w:color w:val="000000" w:themeColor="text1"/>
          <w:sz w:val="24"/>
          <w:szCs w:val="24"/>
          <w14:textFill>
            <w14:solidFill>
              <w14:schemeClr w14:val="tx1"/>
            </w14:solidFill>
          </w14:textFill>
        </w:rPr>
      </w:pPr>
      <w:r>
        <w:rPr>
          <w:color w:val="000000" w:themeColor="text1"/>
          <w:spacing w:val="7"/>
          <w:sz w:val="24"/>
          <w:szCs w:val="24"/>
          <w14:textFill>
            <w14:solidFill>
              <w14:schemeClr w14:val="tx1"/>
            </w14:solidFill>
          </w14:textFill>
        </w:rPr>
        <w:t>当排放有毒废气，危及公司内人员身体健康，但废水、废气未影响厂外环境</w:t>
      </w:r>
      <w:r>
        <w:rPr>
          <w:color w:val="000000" w:themeColor="text1"/>
          <w:spacing w:val="6"/>
          <w:sz w:val="24"/>
          <w:szCs w:val="24"/>
          <w14:textFill>
            <w14:solidFill>
              <w14:schemeClr w14:val="tx1"/>
            </w14:solidFill>
          </w14:textFill>
        </w:rPr>
        <w:t>，且公司能</w:t>
      </w:r>
      <w:r>
        <w:rPr>
          <w:color w:val="000000" w:themeColor="text1"/>
          <w:spacing w:val="8"/>
          <w:sz w:val="24"/>
          <w:szCs w:val="24"/>
          <w14:textFill>
            <w14:solidFill>
              <w14:schemeClr w14:val="tx1"/>
            </w14:solidFill>
          </w14:textFill>
        </w:rPr>
        <w:t>独立处理，启动</w:t>
      </w:r>
      <w:r>
        <w:rPr>
          <w:rFonts w:ascii="Times New Roman" w:hAnsi="Times New Roman" w:eastAsia="Times New Roman" w:cs="Times New Roman"/>
          <w:color w:val="000000" w:themeColor="text1"/>
          <w:sz w:val="24"/>
          <w:szCs w:val="24"/>
          <w14:textFill>
            <w14:solidFill>
              <w14:schemeClr w14:val="tx1"/>
            </w14:solidFill>
          </w14:textFill>
        </w:rPr>
        <w:t>II</w:t>
      </w:r>
      <w:r>
        <w:rPr>
          <w:color w:val="000000" w:themeColor="text1"/>
          <w:spacing w:val="8"/>
          <w:sz w:val="24"/>
          <w:szCs w:val="24"/>
          <w14:textFill>
            <w14:solidFill>
              <w14:schemeClr w14:val="tx1"/>
            </w14:solidFill>
          </w14:textFill>
        </w:rPr>
        <w:t>级响应，启动公司级应急预案；</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116" w:right="109" w:firstLine="432"/>
        <w:jc w:val="both"/>
        <w:textAlignment w:val="auto"/>
        <w:rPr>
          <w:color w:val="000000" w:themeColor="text1"/>
          <w:sz w:val="20"/>
          <w:szCs w:val="20"/>
          <w14:textFill>
            <w14:solidFill>
              <w14:schemeClr w14:val="tx1"/>
            </w14:solidFill>
          </w14:textFill>
        </w:rPr>
      </w:pPr>
      <w:r>
        <w:rPr>
          <w:color w:val="000000" w:themeColor="text1"/>
          <w:spacing w:val="7"/>
          <w:sz w:val="24"/>
          <w:szCs w:val="24"/>
          <w14:textFill>
            <w14:solidFill>
              <w14:schemeClr w14:val="tx1"/>
            </w14:solidFill>
          </w14:textFill>
        </w:rPr>
        <w:t>当排放有毒气体，造成厂区外大气环境污染、危及厂外人员身体健康；或事</w:t>
      </w:r>
      <w:r>
        <w:rPr>
          <w:color w:val="000000" w:themeColor="text1"/>
          <w:spacing w:val="6"/>
          <w:sz w:val="24"/>
          <w:szCs w:val="24"/>
          <w14:textFill>
            <w14:solidFill>
              <w14:schemeClr w14:val="tx1"/>
            </w14:solidFill>
          </w14:textFill>
        </w:rPr>
        <w:t>故水超出公</w:t>
      </w:r>
      <w:r>
        <w:rPr>
          <w:color w:val="000000" w:themeColor="text1"/>
          <w:spacing w:val="5"/>
          <w:sz w:val="24"/>
          <w:szCs w:val="24"/>
          <w14:textFill>
            <w14:solidFill>
              <w14:schemeClr w14:val="tx1"/>
            </w14:solidFill>
          </w14:textFill>
        </w:rPr>
        <w:t>司控制能力或大量直接排放，且企业不能独立处理，立即启动Ⅰ级应急响，报告园区管委会</w:t>
      </w:r>
      <w:r>
        <w:rPr>
          <w:color w:val="000000" w:themeColor="text1"/>
          <w:spacing w:val="7"/>
          <w:sz w:val="24"/>
          <w:szCs w:val="24"/>
          <w14:textFill>
            <w14:solidFill>
              <w14:schemeClr w14:val="tx1"/>
            </w14:solidFill>
          </w14:textFill>
        </w:rPr>
        <w:t>和当地人民政府，启动园区突发环境事件应急预案或大洼区突发环境事件应急预案，企业积</w:t>
      </w:r>
      <w:r>
        <w:rPr>
          <w:color w:val="000000" w:themeColor="text1"/>
          <w:spacing w:val="6"/>
          <w:sz w:val="24"/>
          <w:szCs w:val="24"/>
          <w14:textFill>
            <w14:solidFill>
              <w14:schemeClr w14:val="tx1"/>
            </w14:solidFill>
          </w14:textFill>
        </w:rPr>
        <w:t>极协助配合。</w:t>
      </w:r>
    </w:p>
    <w:p>
      <w:pPr>
        <w:pStyle w:val="8"/>
        <w:spacing w:before="78" w:line="218" w:lineRule="auto"/>
        <w:ind w:left="0" w:leftChars="0" w:firstLine="0" w:firstLineChars="0"/>
        <w:outlineLvl w:val="0"/>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3"/>
          <w:sz w:val="28"/>
          <w:szCs w:val="28"/>
          <w14:textFill>
            <w14:solidFill>
              <w14:schemeClr w14:val="tx1"/>
            </w14:solidFill>
          </w14:textFill>
        </w:rPr>
        <w:t xml:space="preserve">8 </w:t>
      </w:r>
      <w:r>
        <w:rPr>
          <w:b/>
          <w:bCs/>
          <w:color w:val="000000" w:themeColor="text1"/>
          <w:spacing w:val="-3"/>
          <w:sz w:val="28"/>
          <w:szCs w:val="28"/>
          <w14:textFill>
            <w14:solidFill>
              <w14:schemeClr w14:val="tx1"/>
            </w14:solidFill>
          </w14:textFill>
        </w:rPr>
        <w:t>评价结论与建议</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5"/>
          <w:sz w:val="24"/>
          <w:szCs w:val="24"/>
          <w14:textFill>
            <w14:solidFill>
              <w14:schemeClr w14:val="tx1"/>
            </w14:solidFill>
          </w14:textFill>
        </w:rPr>
        <w:t>8.1</w:t>
      </w:r>
      <w:r>
        <w:rPr>
          <w:b/>
          <w:bCs/>
          <w:color w:val="000000" w:themeColor="text1"/>
          <w:spacing w:val="5"/>
          <w:sz w:val="24"/>
          <w:szCs w:val="24"/>
          <w14:textFill>
            <w14:solidFill>
              <w14:schemeClr w14:val="tx1"/>
            </w14:solidFill>
          </w14:textFill>
        </w:rPr>
        <w:t>项目危险因素</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0"/>
        <w:textAlignment w:val="auto"/>
        <w:rPr>
          <w:color w:val="000000" w:themeColor="text1"/>
          <w:sz w:val="24"/>
          <w:szCs w:val="24"/>
          <w14:textFill>
            <w14:solidFill>
              <w14:schemeClr w14:val="tx1"/>
            </w14:solidFill>
          </w14:textFill>
        </w:rPr>
      </w:pPr>
      <w:r>
        <w:rPr>
          <w:color w:val="000000" w:themeColor="text1"/>
          <w:spacing w:val="10"/>
          <w:sz w:val="24"/>
          <w:szCs w:val="24"/>
          <w14:textFill>
            <w14:solidFill>
              <w14:schemeClr w14:val="tx1"/>
            </w14:solidFill>
          </w14:textFill>
        </w:rPr>
        <w:t>本项目存在的危险物质主要有：</w:t>
      </w:r>
      <w:r>
        <w:rPr>
          <w:rFonts w:hint="eastAsia"/>
          <w:color w:val="000000" w:themeColor="text1"/>
          <w:spacing w:val="10"/>
          <w:sz w:val="24"/>
          <w:szCs w:val="24"/>
          <w:lang w:eastAsia="zh-CN"/>
          <w14:textFill>
            <w14:solidFill>
              <w14:schemeClr w14:val="tx1"/>
            </w14:solidFill>
          </w14:textFill>
        </w:rPr>
        <w:t>汽油组分油</w:t>
      </w:r>
      <w:r>
        <w:rPr>
          <w:color w:val="000000" w:themeColor="text1"/>
          <w:spacing w:val="9"/>
          <w:sz w:val="24"/>
          <w:szCs w:val="24"/>
          <w14:textFill>
            <w14:solidFill>
              <w14:schemeClr w14:val="tx1"/>
            </w14:solidFill>
          </w14:textFill>
        </w:rPr>
        <w:t>、柴油，主要存在的风险单元有</w:t>
      </w:r>
      <w:r>
        <w:rPr>
          <w:rFonts w:hint="eastAsia"/>
          <w:color w:val="000000" w:themeColor="text1"/>
          <w:spacing w:val="9"/>
          <w:sz w:val="24"/>
          <w:szCs w:val="24"/>
          <w:lang w:eastAsia="zh-CN"/>
          <w14:textFill>
            <w14:solidFill>
              <w14:schemeClr w14:val="tx1"/>
            </w14:solidFill>
          </w14:textFill>
        </w:rPr>
        <w:t>罐区</w:t>
      </w:r>
      <w:r>
        <w:rPr>
          <w:color w:val="000000" w:themeColor="text1"/>
          <w:spacing w:val="9"/>
          <w:sz w:val="24"/>
          <w:szCs w:val="24"/>
          <w14:textFill>
            <w14:solidFill>
              <w14:schemeClr w14:val="tx1"/>
            </w14:solidFill>
          </w14:textFill>
        </w:rPr>
        <w:t>及配套装卸设施等区域；</w:t>
      </w:r>
      <w:r>
        <w:rPr>
          <w:color w:val="000000" w:themeColor="text1"/>
          <w:spacing w:val="10"/>
          <w:sz w:val="24"/>
          <w:szCs w:val="24"/>
          <w14:textFill>
            <w14:solidFill>
              <w14:schemeClr w14:val="tx1"/>
            </w14:solidFill>
          </w14:textFill>
        </w:rPr>
        <w:t>可能发生泄漏、火灾、爆炸等风险事故。建设单位应落实此次</w:t>
      </w:r>
      <w:r>
        <w:rPr>
          <w:color w:val="000000" w:themeColor="text1"/>
          <w:spacing w:val="9"/>
          <w:sz w:val="24"/>
          <w:szCs w:val="24"/>
          <w14:textFill>
            <w14:solidFill>
              <w14:schemeClr w14:val="tx1"/>
            </w14:solidFill>
          </w14:textFill>
        </w:rPr>
        <w:t>环评和安全评价机构提出的各类风险防控措施，平时规范操作，加强员工培训，降低可能发生的环境风险。</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8.2</w:t>
      </w:r>
      <w:r>
        <w:rPr>
          <w:rFonts w:hint="eastAsia" w:eastAsia="宋体" w:cs="Times New Roman"/>
          <w:b/>
          <w:bCs/>
          <w:color w:val="000000" w:themeColor="text1"/>
          <w:spacing w:val="6"/>
          <w:sz w:val="24"/>
          <w:szCs w:val="24"/>
          <w:lang w:val="en-US" w:eastAsia="zh-CN"/>
          <w14:textFill>
            <w14:solidFill>
              <w14:schemeClr w14:val="tx1"/>
            </w14:solidFill>
          </w14:textFill>
        </w:rPr>
        <w:t xml:space="preserve"> </w:t>
      </w:r>
      <w:r>
        <w:rPr>
          <w:b/>
          <w:bCs/>
          <w:color w:val="000000" w:themeColor="text1"/>
          <w:spacing w:val="6"/>
          <w:sz w:val="24"/>
          <w:szCs w:val="24"/>
          <w14:textFill>
            <w14:solidFill>
              <w14:schemeClr w14:val="tx1"/>
            </w14:solidFill>
          </w14:textFill>
        </w:rPr>
        <w:t>环境敏感性及事故环境影响</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04"/>
        <w:textAlignment w:val="auto"/>
        <w:rPr>
          <w:color w:val="000000" w:themeColor="text1"/>
          <w:sz w:val="24"/>
          <w:szCs w:val="24"/>
          <w14:textFill>
            <w14:solidFill>
              <w14:schemeClr w14:val="tx1"/>
            </w14:solidFill>
          </w14:textFill>
        </w:rPr>
      </w:pPr>
      <w:r>
        <w:rPr>
          <w:color w:val="000000" w:themeColor="text1"/>
          <w:spacing w:val="8"/>
          <w:sz w:val="24"/>
          <w:szCs w:val="24"/>
          <w14:textFill>
            <w14:solidFill>
              <w14:schemeClr w14:val="tx1"/>
            </w14:solidFill>
          </w14:textFill>
        </w:rPr>
        <w:t>周边</w:t>
      </w:r>
      <w:r>
        <w:rPr>
          <w:rFonts w:ascii="Times New Roman" w:hAnsi="Times New Roman" w:eastAsia="Times New Roman" w:cs="Times New Roman"/>
          <w:color w:val="000000" w:themeColor="text1"/>
          <w:spacing w:val="8"/>
          <w:sz w:val="24"/>
          <w:szCs w:val="24"/>
          <w14:textFill>
            <w14:solidFill>
              <w14:schemeClr w14:val="tx1"/>
            </w14:solidFill>
          </w14:textFill>
        </w:rPr>
        <w:t>5</w:t>
      </w:r>
      <w:r>
        <w:rPr>
          <w:rFonts w:ascii="Times New Roman" w:hAnsi="Times New Roman" w:eastAsia="Times New Roman" w:cs="Times New Roman"/>
          <w:color w:val="000000" w:themeColor="text1"/>
          <w:sz w:val="24"/>
          <w:szCs w:val="24"/>
          <w14:textFill>
            <w14:solidFill>
              <w14:schemeClr w14:val="tx1"/>
            </w14:solidFill>
          </w14:textFill>
        </w:rPr>
        <w:t>km</w:t>
      </w:r>
      <w:r>
        <w:rPr>
          <w:color w:val="000000" w:themeColor="text1"/>
          <w:spacing w:val="8"/>
          <w:sz w:val="24"/>
          <w:szCs w:val="24"/>
          <w14:textFill>
            <w14:solidFill>
              <w14:schemeClr w14:val="tx1"/>
            </w14:solidFill>
          </w14:textFill>
        </w:rPr>
        <w:t>范围内居住区、医疗卫生、文化教育、科研</w:t>
      </w:r>
      <w:r>
        <w:rPr>
          <w:color w:val="000000" w:themeColor="text1"/>
          <w:spacing w:val="7"/>
          <w:sz w:val="24"/>
          <w:szCs w:val="24"/>
          <w14:textFill>
            <w14:solidFill>
              <w14:schemeClr w14:val="tx1"/>
            </w14:solidFill>
          </w14:textFill>
        </w:rPr>
        <w:t>、行政办公等机构人口总数小于</w:t>
      </w:r>
      <w:r>
        <w:rPr>
          <w:rFonts w:ascii="Times New Roman" w:hAnsi="Times New Roman" w:eastAsia="Times New Roman" w:cs="Times New Roman"/>
          <w:color w:val="000000" w:themeColor="text1"/>
          <w:spacing w:val="10"/>
          <w:sz w:val="24"/>
          <w:szCs w:val="24"/>
          <w14:textFill>
            <w14:solidFill>
              <w14:schemeClr w14:val="tx1"/>
            </w14:solidFill>
          </w14:textFill>
        </w:rPr>
        <w:t>1</w:t>
      </w:r>
      <w:r>
        <w:rPr>
          <w:color w:val="000000" w:themeColor="text1"/>
          <w:spacing w:val="10"/>
          <w:sz w:val="24"/>
          <w:szCs w:val="24"/>
          <w14:textFill>
            <w14:solidFill>
              <w14:schemeClr w14:val="tx1"/>
            </w14:solidFill>
          </w14:textFill>
        </w:rPr>
        <w:t>万人</w:t>
      </w:r>
      <w:r>
        <w:rPr>
          <w:rFonts w:hint="eastAsia"/>
          <w:color w:val="000000" w:themeColor="text1"/>
          <w:spacing w:val="10"/>
          <w:sz w:val="24"/>
          <w:szCs w:val="24"/>
          <w:lang w:eastAsia="zh-CN"/>
          <w14:textFill>
            <w14:solidFill>
              <w14:schemeClr w14:val="tx1"/>
            </w14:solidFill>
          </w14:textFill>
        </w:rPr>
        <w:t>，</w:t>
      </w:r>
      <w:r>
        <w:rPr>
          <w:rFonts w:hint="eastAsia"/>
          <w:color w:val="000000" w:themeColor="text1"/>
          <w:spacing w:val="10"/>
          <w:sz w:val="24"/>
          <w:szCs w:val="24"/>
          <w:lang w:val="en-US" w:eastAsia="zh-CN"/>
          <w14:textFill>
            <w14:solidFill>
              <w14:schemeClr w14:val="tx1"/>
            </w14:solidFill>
          </w14:textFill>
        </w:rPr>
        <w:t>500m范围内大于500人</w:t>
      </w:r>
      <w:r>
        <w:rPr>
          <w:color w:val="000000" w:themeColor="text1"/>
          <w:spacing w:val="10"/>
          <w:sz w:val="24"/>
          <w:szCs w:val="24"/>
          <w14:textFill>
            <w14:solidFill>
              <w14:schemeClr w14:val="tx1"/>
            </w14:solidFill>
          </w14:textFill>
        </w:rPr>
        <w:t>。发生火灾等对大气环境造成影响，因公司位于园区内，周围敏感人群较少，且与</w:t>
      </w:r>
      <w:r>
        <w:rPr>
          <w:color w:val="000000" w:themeColor="text1"/>
          <w:spacing w:val="9"/>
          <w:sz w:val="24"/>
          <w:szCs w:val="24"/>
          <w14:textFill>
            <w14:solidFill>
              <w14:schemeClr w14:val="tx1"/>
            </w14:solidFill>
          </w14:textFill>
        </w:rPr>
        <w:t>园区建立应急联动机制，发生事故可及时有效疏散可能受影响人群，大气风险影响可控。</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7"/>
        <w:textAlignment w:val="auto"/>
        <w:rPr>
          <w:color w:val="000000" w:themeColor="text1"/>
          <w:sz w:val="24"/>
          <w:szCs w:val="24"/>
          <w14:textFill>
            <w14:solidFill>
              <w14:schemeClr w14:val="tx1"/>
            </w14:solidFill>
          </w14:textFill>
        </w:rPr>
      </w:pPr>
      <w:r>
        <w:rPr>
          <w:color w:val="000000" w:themeColor="text1"/>
          <w:spacing w:val="5"/>
          <w:sz w:val="24"/>
          <w:szCs w:val="24"/>
          <w14:textFill>
            <w14:solidFill>
              <w14:schemeClr w14:val="tx1"/>
            </w14:solidFill>
          </w14:textFill>
        </w:rPr>
        <w:t>公司设完善的水环境三级防控体系，发生事故时产生的事故废水，经管网进入事故池，</w:t>
      </w:r>
      <w:r>
        <w:rPr>
          <w:color w:val="000000" w:themeColor="text1"/>
          <w:spacing w:val="10"/>
          <w:sz w:val="24"/>
          <w:szCs w:val="24"/>
          <w14:textFill>
            <w14:solidFill>
              <w14:schemeClr w14:val="tx1"/>
            </w14:solidFill>
          </w14:textFill>
        </w:rPr>
        <w:t>事故池容积满足要求，事故水能得到有效控制，不会漫流出厂区对外部水环境造成影响。厂区主要位置均按要求进行防渗硬化，并定期对储罐及防火堤防渗</w:t>
      </w:r>
      <w:r>
        <w:rPr>
          <w:color w:val="000000" w:themeColor="text1"/>
          <w:spacing w:val="9"/>
          <w:sz w:val="24"/>
          <w:szCs w:val="24"/>
          <w14:textFill>
            <w14:solidFill>
              <w14:schemeClr w14:val="tx1"/>
            </w14:solidFill>
          </w14:textFill>
        </w:rPr>
        <w:t>层进行检查维护，泄漏</w:t>
      </w:r>
      <w:r>
        <w:rPr>
          <w:color w:val="000000" w:themeColor="text1"/>
          <w:spacing w:val="8"/>
          <w:sz w:val="24"/>
          <w:szCs w:val="24"/>
          <w14:textFill>
            <w14:solidFill>
              <w14:schemeClr w14:val="tx1"/>
            </w14:solidFill>
          </w14:textFill>
        </w:rPr>
        <w:t>对地下水几乎无明显影响。</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textAlignment w:val="auto"/>
        <w:outlineLvl w:val="1"/>
        <w:rPr>
          <w:color w:val="000000" w:themeColor="text1"/>
          <w:sz w:val="24"/>
          <w:szCs w:val="24"/>
          <w14:textFill>
            <w14:solidFill>
              <w14:schemeClr w14:val="tx1"/>
            </w14:solidFill>
          </w14:textFill>
        </w:rPr>
      </w:pPr>
      <w:r>
        <w:rPr>
          <w:rFonts w:ascii="Times New Roman" w:hAnsi="Times New Roman" w:eastAsia="Times New Roman" w:cs="Times New Roman"/>
          <w:b/>
          <w:bCs/>
          <w:color w:val="000000" w:themeColor="text1"/>
          <w:spacing w:val="6"/>
          <w:sz w:val="24"/>
          <w:szCs w:val="24"/>
          <w14:textFill>
            <w14:solidFill>
              <w14:schemeClr w14:val="tx1"/>
            </w14:solidFill>
          </w14:textFill>
        </w:rPr>
        <w:t>8.3</w:t>
      </w:r>
      <w:r>
        <w:rPr>
          <w:rFonts w:hint="eastAsia" w:eastAsia="宋体" w:cs="Times New Roman"/>
          <w:b/>
          <w:bCs/>
          <w:color w:val="000000" w:themeColor="text1"/>
          <w:spacing w:val="6"/>
          <w:sz w:val="24"/>
          <w:szCs w:val="24"/>
          <w:lang w:val="en-US" w:eastAsia="zh-CN"/>
          <w14:textFill>
            <w14:solidFill>
              <w14:schemeClr w14:val="tx1"/>
            </w14:solidFill>
          </w14:textFill>
        </w:rPr>
        <w:t xml:space="preserve"> </w:t>
      </w:r>
      <w:r>
        <w:rPr>
          <w:b/>
          <w:bCs/>
          <w:color w:val="000000" w:themeColor="text1"/>
          <w:spacing w:val="6"/>
          <w:sz w:val="24"/>
          <w:szCs w:val="24"/>
          <w14:textFill>
            <w14:solidFill>
              <w14:schemeClr w14:val="tx1"/>
            </w14:solidFill>
          </w14:textFill>
        </w:rPr>
        <w:t>环境风险评价结论与建议</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2"/>
        <w:jc w:val="both"/>
        <w:textAlignment w:val="auto"/>
        <w:rPr>
          <w:color w:val="000000" w:themeColor="text1"/>
          <w:sz w:val="24"/>
          <w:szCs w:val="24"/>
          <w14:textFill>
            <w14:solidFill>
              <w14:schemeClr w14:val="tx1"/>
            </w14:solidFill>
          </w14:textFill>
        </w:rPr>
      </w:pPr>
      <w:r>
        <w:rPr>
          <w:color w:val="000000" w:themeColor="text1"/>
          <w:spacing w:val="10"/>
          <w:sz w:val="24"/>
          <w:szCs w:val="24"/>
          <w14:textFill>
            <w14:solidFill>
              <w14:schemeClr w14:val="tx1"/>
            </w14:solidFill>
          </w14:textFill>
        </w:rPr>
        <w:t>项目在可能产生可燃气体的位置设置气体报警仪，可</w:t>
      </w:r>
      <w:r>
        <w:rPr>
          <w:color w:val="000000" w:themeColor="text1"/>
          <w:spacing w:val="9"/>
          <w:sz w:val="24"/>
          <w:szCs w:val="24"/>
          <w14:textFill>
            <w14:solidFill>
              <w14:schemeClr w14:val="tx1"/>
            </w14:solidFill>
          </w14:textFill>
        </w:rPr>
        <w:t>及时监控风险事件发生。根据本</w:t>
      </w:r>
      <w:r>
        <w:rPr>
          <w:color w:val="000000" w:themeColor="text1"/>
          <w:spacing w:val="10"/>
          <w:sz w:val="24"/>
          <w:szCs w:val="24"/>
          <w14:textFill>
            <w14:solidFill>
              <w14:schemeClr w14:val="tx1"/>
            </w14:solidFill>
          </w14:textFill>
        </w:rPr>
        <w:t>项目模拟的风险事故情形，在最不利和常规气象条件下，根据</w:t>
      </w:r>
      <w:r>
        <w:rPr>
          <w:color w:val="000000" w:themeColor="text1"/>
          <w:spacing w:val="9"/>
          <w:sz w:val="24"/>
          <w:szCs w:val="24"/>
          <w14:textFill>
            <w14:solidFill>
              <w14:schemeClr w14:val="tx1"/>
            </w14:solidFill>
          </w14:textFill>
        </w:rPr>
        <w:t>对大气预测可知，本项目大</w:t>
      </w:r>
      <w:r>
        <w:rPr>
          <w:color w:val="000000" w:themeColor="text1"/>
          <w:spacing w:val="8"/>
          <w:sz w:val="24"/>
          <w:szCs w:val="24"/>
          <w14:textFill>
            <w14:solidFill>
              <w14:schemeClr w14:val="tx1"/>
            </w14:solidFill>
          </w14:textFill>
        </w:rPr>
        <w:t>气环境风险水平在可接受范围内。</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4"/>
        <w:textAlignment w:val="auto"/>
        <w:rPr>
          <w:color w:val="000000" w:themeColor="text1"/>
          <w:sz w:val="24"/>
          <w:szCs w:val="24"/>
          <w14:textFill>
            <w14:solidFill>
              <w14:schemeClr w14:val="tx1"/>
            </w14:solidFill>
          </w14:textFill>
        </w:rPr>
      </w:pPr>
      <w:r>
        <w:rPr>
          <w:color w:val="000000" w:themeColor="text1"/>
          <w:spacing w:val="10"/>
          <w:sz w:val="24"/>
          <w:szCs w:val="24"/>
          <w14:textFill>
            <w14:solidFill>
              <w14:schemeClr w14:val="tx1"/>
            </w14:solidFill>
          </w14:textFill>
        </w:rPr>
        <w:t>项目建立完整的水环境三级防控体系，并与园区防控</w:t>
      </w:r>
      <w:r>
        <w:rPr>
          <w:color w:val="000000" w:themeColor="text1"/>
          <w:spacing w:val="9"/>
          <w:sz w:val="24"/>
          <w:szCs w:val="24"/>
          <w14:textFill>
            <w14:solidFill>
              <w14:schemeClr w14:val="tx1"/>
            </w14:solidFill>
          </w14:textFill>
        </w:rPr>
        <w:t>体系相结合，发生水环境风险事件时，启动三级防控体系，事故水控制在厂区范围内，不会对外环境造成影响。</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23"/>
        <w:jc w:val="both"/>
        <w:textAlignment w:val="auto"/>
        <w:rPr>
          <w:color w:val="000000" w:themeColor="text1"/>
          <w:sz w:val="24"/>
          <w:szCs w:val="24"/>
          <w14:textFill>
            <w14:solidFill>
              <w14:schemeClr w14:val="tx1"/>
            </w14:solidFill>
          </w14:textFill>
        </w:rPr>
      </w:pPr>
      <w:r>
        <w:rPr>
          <w:color w:val="000000" w:themeColor="text1"/>
          <w:spacing w:val="10"/>
          <w:sz w:val="24"/>
          <w:szCs w:val="24"/>
          <w14:textFill>
            <w14:solidFill>
              <w14:schemeClr w14:val="tx1"/>
            </w14:solidFill>
          </w14:textFill>
        </w:rPr>
        <w:t>项目在完善各类风险防控措施的基础上，应编制突发</w:t>
      </w:r>
      <w:r>
        <w:rPr>
          <w:color w:val="000000" w:themeColor="text1"/>
          <w:spacing w:val="9"/>
          <w:sz w:val="24"/>
          <w:szCs w:val="24"/>
          <w14:textFill>
            <w14:solidFill>
              <w14:schemeClr w14:val="tx1"/>
            </w14:solidFill>
          </w14:textFill>
        </w:rPr>
        <w:t>环境事件应急预案，建立完善的</w:t>
      </w:r>
      <w:r>
        <w:rPr>
          <w:color w:val="000000" w:themeColor="text1"/>
          <w:spacing w:val="10"/>
          <w:sz w:val="24"/>
          <w:szCs w:val="24"/>
          <w14:textFill>
            <w14:solidFill>
              <w14:schemeClr w14:val="tx1"/>
            </w14:solidFill>
          </w14:textFill>
        </w:rPr>
        <w:t>应急响应机制，做到联防连控，出现不可控风险时及时通知周边</w:t>
      </w:r>
      <w:r>
        <w:rPr>
          <w:color w:val="000000" w:themeColor="text1"/>
          <w:spacing w:val="9"/>
          <w:sz w:val="24"/>
          <w:szCs w:val="24"/>
          <w14:textFill>
            <w14:solidFill>
              <w14:schemeClr w14:val="tx1"/>
            </w14:solidFill>
          </w14:textFill>
        </w:rPr>
        <w:t>敏感目标进行疏散，尽量</w:t>
      </w:r>
      <w:r>
        <w:rPr>
          <w:color w:val="000000" w:themeColor="text1"/>
          <w:spacing w:val="8"/>
          <w:sz w:val="24"/>
          <w:szCs w:val="24"/>
          <w14:textFill>
            <w14:solidFill>
              <w14:schemeClr w14:val="tx1"/>
            </w14:solidFill>
          </w14:textFill>
        </w:rPr>
        <w:t>把事件造成的影响降到最低。</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left="0" w:right="0" w:firstLine="412"/>
        <w:jc w:val="both"/>
        <w:textAlignment w:val="auto"/>
        <w:rPr>
          <w:color w:val="000000" w:themeColor="text1"/>
          <w:sz w:val="24"/>
          <w:szCs w:val="24"/>
          <w14:textFill>
            <w14:solidFill>
              <w14:schemeClr w14:val="tx1"/>
            </w14:solidFill>
          </w14:textFill>
        </w:rPr>
      </w:pPr>
      <w:r>
        <w:rPr>
          <w:color w:val="000000" w:themeColor="text1"/>
          <w:spacing w:val="13"/>
          <w:sz w:val="24"/>
          <w:szCs w:val="24"/>
          <w14:textFill>
            <w14:solidFill>
              <w14:schemeClr w14:val="tx1"/>
            </w14:solidFill>
          </w14:textFill>
        </w:rPr>
        <w:t>项目在严格落实环境影响评价及安全评价中提出的</w:t>
      </w:r>
      <w:r>
        <w:rPr>
          <w:color w:val="000000" w:themeColor="text1"/>
          <w:spacing w:val="12"/>
          <w:sz w:val="24"/>
          <w:szCs w:val="24"/>
          <w14:textFill>
            <w14:solidFill>
              <w14:schemeClr w14:val="tx1"/>
            </w14:solidFill>
          </w14:textFill>
        </w:rPr>
        <w:t>各项风险防范措施及事故应急预案</w:t>
      </w:r>
      <w:r>
        <w:rPr>
          <w:color w:val="000000" w:themeColor="text1"/>
          <w:spacing w:val="3"/>
          <w:sz w:val="24"/>
          <w:szCs w:val="24"/>
          <w14:textFill>
            <w14:solidFill>
              <w14:schemeClr w14:val="tx1"/>
            </w14:solidFill>
          </w14:textFill>
        </w:rPr>
        <w:t>的基础上，本项目建设的环境风险可接受。但需指出的是，由于事故触发因素具有不确定性，</w:t>
      </w:r>
      <w:r>
        <w:rPr>
          <w:color w:val="000000" w:themeColor="text1"/>
          <w:spacing w:val="7"/>
          <w:sz w:val="24"/>
          <w:szCs w:val="24"/>
          <w14:textFill>
            <w14:solidFill>
              <w14:schemeClr w14:val="tx1"/>
            </w14:solidFill>
          </w14:textFill>
        </w:rPr>
        <w:t>因此事故情形的设定并不能包含全部可能的环境风险，也不能涵盖所有条件下对敏感点的影</w:t>
      </w:r>
      <w:r>
        <w:rPr>
          <w:color w:val="000000" w:themeColor="text1"/>
          <w:spacing w:val="-5"/>
          <w:sz w:val="24"/>
          <w:szCs w:val="24"/>
          <w14:textFill>
            <w14:solidFill>
              <w14:schemeClr w14:val="tx1"/>
            </w14:solidFill>
          </w14:textFill>
        </w:rPr>
        <w:t>响。</w:t>
      </w:r>
    </w:p>
    <w:p>
      <w:pPr>
        <w:pStyle w:val="8"/>
        <w:spacing w:before="65" w:line="226" w:lineRule="auto"/>
        <w:ind w:left="118"/>
        <w:outlineLvl w:val="0"/>
        <w:rPr>
          <w:color w:val="000000" w:themeColor="text1"/>
          <w:sz w:val="20"/>
          <w:szCs w:val="20"/>
          <w14:textFill>
            <w14:solidFill>
              <w14:schemeClr w14:val="tx1"/>
            </w14:solidFill>
          </w14:textFill>
        </w:rPr>
      </w:pPr>
      <w:r>
        <w:rPr>
          <w:rFonts w:ascii="Times New Roman" w:hAnsi="Times New Roman" w:eastAsia="Times New Roman" w:cs="Times New Roman"/>
          <w:b/>
          <w:bCs/>
          <w:color w:val="000000" w:themeColor="text1"/>
          <w:spacing w:val="7"/>
          <w:sz w:val="20"/>
          <w:szCs w:val="20"/>
          <w14:textFill>
            <w14:solidFill>
              <w14:schemeClr w14:val="tx1"/>
            </w14:solidFill>
          </w14:textFill>
        </w:rPr>
        <w:t xml:space="preserve">9 </w:t>
      </w:r>
      <w:r>
        <w:rPr>
          <w:b/>
          <w:bCs/>
          <w:color w:val="000000" w:themeColor="text1"/>
          <w:spacing w:val="7"/>
          <w:sz w:val="20"/>
          <w:szCs w:val="20"/>
          <w14:textFill>
            <w14:solidFill>
              <w14:schemeClr w14:val="tx1"/>
            </w14:solidFill>
          </w14:textFill>
        </w:rPr>
        <w:t>环境风险评价自查表</w:t>
      </w:r>
    </w:p>
    <w:p>
      <w:pPr>
        <w:pStyle w:val="8"/>
        <w:spacing w:before="120" w:line="212" w:lineRule="auto"/>
        <w:ind w:left="4091"/>
        <w:rPr>
          <w:color w:val="000000" w:themeColor="text1"/>
          <w:sz w:val="18"/>
          <w:szCs w:val="18"/>
          <w14:textFill>
            <w14:solidFill>
              <w14:schemeClr w14:val="tx1"/>
            </w14:solidFill>
          </w14:textFill>
        </w:rPr>
      </w:pPr>
      <w:r>
        <w:rPr>
          <w:rFonts w:hint="eastAsia"/>
          <w:b/>
          <w:bCs/>
          <w:color w:val="000000" w:themeColor="text1"/>
          <w:spacing w:val="-3"/>
          <w:sz w:val="18"/>
          <w:szCs w:val="18"/>
          <w:lang w:val="en-US" w:eastAsia="zh-CN"/>
          <w14:textFill>
            <w14:solidFill>
              <w14:schemeClr w14:val="tx1"/>
            </w14:solidFill>
          </w14:textFill>
        </w:rPr>
        <w:t xml:space="preserve">表9-1 </w:t>
      </w:r>
      <w:r>
        <w:rPr>
          <w:b/>
          <w:bCs/>
          <w:color w:val="000000" w:themeColor="text1"/>
          <w:spacing w:val="-3"/>
          <w:sz w:val="18"/>
          <w:szCs w:val="18"/>
          <w14:textFill>
            <w14:solidFill>
              <w14:schemeClr w14:val="tx1"/>
            </w14:solidFill>
          </w14:textFill>
        </w:rPr>
        <w:t>环境风险评价自查表</w:t>
      </w:r>
    </w:p>
    <w:tbl>
      <w:tblPr>
        <w:tblStyle w:val="99"/>
        <w:tblW w:w="97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0"/>
        <w:gridCol w:w="1382"/>
        <w:gridCol w:w="1133"/>
        <w:gridCol w:w="1422"/>
        <w:gridCol w:w="420"/>
        <w:gridCol w:w="640"/>
        <w:gridCol w:w="270"/>
        <w:gridCol w:w="791"/>
        <w:gridCol w:w="567"/>
        <w:gridCol w:w="1125"/>
        <w:gridCol w:w="16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1812" w:type="dxa"/>
            <w:gridSpan w:val="2"/>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工作内容</w:t>
            </w:r>
          </w:p>
        </w:tc>
        <w:tc>
          <w:tcPr>
            <w:tcW w:w="7977" w:type="dxa"/>
            <w:gridSpan w:val="9"/>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风险调查</w:t>
            </w:r>
          </w:p>
        </w:tc>
        <w:tc>
          <w:tcPr>
            <w:tcW w:w="1382"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危险物质</w:t>
            </w:r>
          </w:p>
        </w:tc>
        <w:tc>
          <w:tcPr>
            <w:tcW w:w="113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名称</w:t>
            </w:r>
          </w:p>
        </w:tc>
        <w:tc>
          <w:tcPr>
            <w:tcW w:w="4110" w:type="dxa"/>
            <w:gridSpan w:val="6"/>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油类物质（</w:t>
            </w:r>
            <w:r>
              <w:rPr>
                <w:rFonts w:hint="eastAsia"/>
                <w:color w:val="000000" w:themeColor="text1"/>
                <w:spacing w:val="-1"/>
                <w:sz w:val="18"/>
                <w:szCs w:val="18"/>
                <w:lang w:eastAsia="zh-CN"/>
                <w14:textFill>
                  <w14:solidFill>
                    <w14:schemeClr w14:val="tx1"/>
                  </w14:solidFill>
                </w14:textFill>
              </w:rPr>
              <w:t>汽油组分油</w:t>
            </w:r>
            <w:r>
              <w:rPr>
                <w:color w:val="000000" w:themeColor="text1"/>
                <w:spacing w:val="-1"/>
                <w:sz w:val="18"/>
                <w:szCs w:val="18"/>
                <w14:textFill>
                  <w14:solidFill>
                    <w14:schemeClr w14:val="tx1"/>
                  </w14:solidFill>
                </w14:textFill>
              </w:rPr>
              <w:t>）</w:t>
            </w:r>
          </w:p>
        </w:tc>
        <w:tc>
          <w:tcPr>
            <w:tcW w:w="2734"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油类物质（</w:t>
            </w:r>
            <w:r>
              <w:rPr>
                <w:rFonts w:hint="eastAsia"/>
                <w:color w:val="000000" w:themeColor="text1"/>
                <w:spacing w:val="-1"/>
                <w:sz w:val="18"/>
                <w:szCs w:val="18"/>
                <w:lang w:val="en-US" w:eastAsia="zh-CN"/>
                <w14:textFill>
                  <w14:solidFill>
                    <w14:schemeClr w14:val="tx1"/>
                  </w14:solidFill>
                </w14:textFill>
              </w:rPr>
              <w:t>柴油</w:t>
            </w:r>
            <w:r>
              <w:rPr>
                <w:color w:val="000000" w:themeColor="text1"/>
                <w:spacing w:val="-1"/>
                <w:sz w:val="18"/>
                <w:szCs w:val="18"/>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存在总量</w:t>
            </w:r>
            <w:r>
              <w:rPr>
                <w:rFonts w:ascii="Times New Roman" w:hAnsi="Times New Roman" w:eastAsia="Times New Roman" w:cs="Times New Roman"/>
                <w:color w:val="000000" w:themeColor="text1"/>
                <w:spacing w:val="-1"/>
                <w:sz w:val="18"/>
                <w:szCs w:val="18"/>
                <w14:textFill>
                  <w14:solidFill>
                    <w14:schemeClr w14:val="tx1"/>
                  </w14:solidFill>
                </w14:textFill>
              </w:rPr>
              <w:t>/t</w:t>
            </w:r>
          </w:p>
        </w:tc>
        <w:tc>
          <w:tcPr>
            <w:tcW w:w="4110" w:type="dxa"/>
            <w:gridSpan w:val="6"/>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eastAsia="宋体" w:cs="Times New Roman"/>
                <w:color w:val="000000" w:themeColor="text1"/>
                <w:spacing w:val="-1"/>
                <w:sz w:val="18"/>
                <w:szCs w:val="18"/>
                <w:lang w:val="en-US" w:eastAsia="zh-CN"/>
                <w14:textFill>
                  <w14:solidFill>
                    <w14:schemeClr w14:val="tx1"/>
                  </w14:solidFill>
                </w14:textFill>
              </w:rPr>
              <w:t>318.75</w:t>
            </w:r>
          </w:p>
        </w:tc>
        <w:tc>
          <w:tcPr>
            <w:tcW w:w="2734"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pacing w:val="-3"/>
                <w:sz w:val="18"/>
                <w:szCs w:val="18"/>
                <w:lang w:val="en-US" w:eastAsia="zh-CN"/>
                <w14:textFill>
                  <w14:solidFill>
                    <w14:schemeClr w14:val="tx1"/>
                  </w14:solidFill>
                </w14:textFill>
              </w:rPr>
              <w:t>14637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环境敏感性</w:t>
            </w:r>
          </w:p>
        </w:tc>
        <w:tc>
          <w:tcPr>
            <w:tcW w:w="1133"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大气</w:t>
            </w:r>
          </w:p>
        </w:tc>
        <w:tc>
          <w:tcPr>
            <w:tcW w:w="2482" w:type="dxa"/>
            <w:gridSpan w:val="3"/>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500m</w:t>
            </w:r>
            <w:r>
              <w:rPr>
                <w:color w:val="000000" w:themeColor="text1"/>
                <w:spacing w:val="-2"/>
                <w:sz w:val="18"/>
                <w:szCs w:val="18"/>
                <w14:textFill>
                  <w14:solidFill>
                    <w14:schemeClr w14:val="tx1"/>
                  </w14:solidFill>
                </w14:textFill>
              </w:rPr>
              <w:t>范围内人口数</w:t>
            </w:r>
            <w:r>
              <w:rPr>
                <w:rFonts w:hint="eastAsia" w:ascii="Times New Roman" w:hAnsi="Times New Roman" w:eastAsia="宋体" w:cs="Times New Roman"/>
                <w:color w:val="000000" w:themeColor="text1"/>
                <w:spacing w:val="3"/>
                <w:sz w:val="18"/>
                <w:szCs w:val="18"/>
                <w:u w:val="single" w:color="auto"/>
                <w:lang w:val="en-US" w:eastAsia="zh-CN"/>
                <w14:textFill>
                  <w14:solidFill>
                    <w14:schemeClr w14:val="tx1"/>
                  </w14:solidFill>
                </w14:textFill>
              </w:rPr>
              <w:t>504</w:t>
            </w:r>
            <w:r>
              <w:rPr>
                <w:color w:val="000000" w:themeColor="text1"/>
                <w:spacing w:val="-2"/>
                <w:sz w:val="18"/>
                <w:szCs w:val="18"/>
                <w14:textFill>
                  <w14:solidFill>
                    <w14:schemeClr w14:val="tx1"/>
                  </w14:solidFill>
                </w14:textFill>
              </w:rPr>
              <w:t>人</w:t>
            </w:r>
          </w:p>
        </w:tc>
        <w:tc>
          <w:tcPr>
            <w:tcW w:w="4362" w:type="dxa"/>
            <w:gridSpan w:val="5"/>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5km</w:t>
            </w:r>
            <w:r>
              <w:rPr>
                <w:color w:val="000000" w:themeColor="text1"/>
                <w:spacing w:val="-1"/>
                <w:sz w:val="18"/>
                <w:szCs w:val="18"/>
                <w14:textFill>
                  <w14:solidFill>
                    <w14:schemeClr w14:val="tx1"/>
                  </w14:solidFill>
                </w14:textFill>
              </w:rPr>
              <w:t>范围内人口</w:t>
            </w:r>
            <w:r>
              <w:rPr>
                <w:rFonts w:hint="eastAsia" w:ascii="Times New Roman" w:hAnsi="Times New Roman" w:eastAsia="宋体" w:cs="Times New Roman"/>
                <w:color w:val="000000" w:themeColor="text1"/>
                <w:spacing w:val="-1"/>
                <w:sz w:val="18"/>
                <w:szCs w:val="18"/>
                <w:u w:val="single" w:color="auto"/>
                <w:lang w:val="en-US" w:eastAsia="zh-CN"/>
                <w14:textFill>
                  <w14:solidFill>
                    <w14:schemeClr w14:val="tx1"/>
                  </w14:solidFill>
                </w14:textFill>
              </w:rPr>
              <w:t>1438</w:t>
            </w:r>
            <w:r>
              <w:rPr>
                <w:color w:val="000000" w:themeColor="text1"/>
                <w:spacing w:val="-1"/>
                <w:sz w:val="18"/>
                <w:szCs w:val="18"/>
                <w14:textFill>
                  <w14:solidFill>
                    <w14:schemeClr w14:val="tx1"/>
                  </w14:solidFill>
                </w14:textFill>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5235" w:type="dxa"/>
            <w:gridSpan w:val="7"/>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每公里管段周边</w:t>
            </w:r>
            <w:r>
              <w:rPr>
                <w:rFonts w:ascii="Times New Roman" w:hAnsi="Times New Roman" w:eastAsia="Times New Roman" w:cs="Times New Roman"/>
                <w:color w:val="000000" w:themeColor="text1"/>
                <w:spacing w:val="-1"/>
                <w:sz w:val="18"/>
                <w:szCs w:val="18"/>
                <w14:textFill>
                  <w14:solidFill>
                    <w14:schemeClr w14:val="tx1"/>
                  </w14:solidFill>
                </w14:textFill>
              </w:rPr>
              <w:t>200m</w:t>
            </w:r>
            <w:r>
              <w:rPr>
                <w:color w:val="000000" w:themeColor="text1"/>
                <w:spacing w:val="-1"/>
                <w:sz w:val="18"/>
                <w:szCs w:val="18"/>
                <w14:textFill>
                  <w14:solidFill>
                    <w14:schemeClr w14:val="tx1"/>
                  </w14:solidFill>
                </w14:textFill>
              </w:rPr>
              <w:t>范围内人口数（最</w:t>
            </w:r>
            <w:r>
              <w:rPr>
                <w:color w:val="000000" w:themeColor="text1"/>
                <w:spacing w:val="-2"/>
                <w:sz w:val="18"/>
                <w:szCs w:val="18"/>
                <w14:textFill>
                  <w14:solidFill>
                    <w14:schemeClr w14:val="tx1"/>
                  </w14:solidFill>
                </w14:textFill>
              </w:rPr>
              <w:t>大）</w:t>
            </w:r>
          </w:p>
        </w:tc>
        <w:tc>
          <w:tcPr>
            <w:tcW w:w="1609" w:type="dxa"/>
            <w:vAlign w:val="center"/>
          </w:tcPr>
          <w:p>
            <w:pPr>
              <w:pStyle w:val="96"/>
              <w:keepNext w:val="0"/>
              <w:keepLines w:val="0"/>
              <w:pageBreakBefore w:val="0"/>
              <w:widowControl w:val="0"/>
              <w:tabs>
                <w:tab w:val="left" w:pos="686"/>
              </w:tabs>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z w:val="18"/>
                <w:szCs w:val="18"/>
                <w:u w:val="single" w:color="auto"/>
                <w14:textFill>
                  <w14:solidFill>
                    <w14:schemeClr w14:val="tx1"/>
                  </w14:solidFill>
                </w14:textFill>
              </w:rPr>
              <w:t>/</w:t>
            </w:r>
            <w:r>
              <w:rPr>
                <w:color w:val="000000" w:themeColor="text1"/>
                <w:sz w:val="18"/>
                <w:szCs w:val="18"/>
                <w14:textFill>
                  <w14:solidFill>
                    <w14:schemeClr w14:val="tx1"/>
                  </w14:solidFill>
                </w14:textFill>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地表水</w:t>
            </w:r>
          </w:p>
        </w:tc>
        <w:tc>
          <w:tcPr>
            <w:tcW w:w="1842"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地表水功能敏感性</w:t>
            </w:r>
          </w:p>
        </w:tc>
        <w:tc>
          <w:tcPr>
            <w:tcW w:w="1701" w:type="dxa"/>
            <w:gridSpan w:val="3"/>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F1□</w:t>
            </w:r>
          </w:p>
        </w:tc>
        <w:tc>
          <w:tcPr>
            <w:tcW w:w="169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F2□</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position w:val="-1"/>
                <w:sz w:val="18"/>
                <w:szCs w:val="18"/>
                <w14:textFill>
                  <w14:solidFill>
                    <w14:schemeClr w14:val="tx1"/>
                  </w14:solidFill>
                </w14:textFill>
              </w:rPr>
              <w:t>F3√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842"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环境敏感目标分级</w:t>
            </w:r>
          </w:p>
        </w:tc>
        <w:tc>
          <w:tcPr>
            <w:tcW w:w="1701" w:type="dxa"/>
            <w:gridSpan w:val="3"/>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4"/>
                <w:sz w:val="18"/>
                <w:szCs w:val="18"/>
                <w14:textFill>
                  <w14:solidFill>
                    <w14:schemeClr w14:val="tx1"/>
                  </w14:solidFill>
                </w14:textFill>
              </w:rPr>
              <w:t>S1□</w:t>
            </w:r>
          </w:p>
        </w:tc>
        <w:tc>
          <w:tcPr>
            <w:tcW w:w="169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4"/>
                <w:sz w:val="18"/>
                <w:szCs w:val="18"/>
                <w14:textFill>
                  <w14:solidFill>
                    <w14:schemeClr w14:val="tx1"/>
                  </w14:solidFill>
                </w14:textFill>
              </w:rPr>
              <w:t>S2□</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4"/>
                <w:position w:val="-1"/>
                <w:sz w:val="18"/>
                <w:szCs w:val="18"/>
                <w14:textFill>
                  <w14:solidFill>
                    <w14:schemeClr w14:val="tx1"/>
                  </w14:solidFill>
                </w14:textFill>
              </w:rPr>
              <w:t>S3√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地下水</w:t>
            </w:r>
          </w:p>
        </w:tc>
        <w:tc>
          <w:tcPr>
            <w:tcW w:w="1842"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地下水功能敏感性</w:t>
            </w:r>
          </w:p>
        </w:tc>
        <w:tc>
          <w:tcPr>
            <w:tcW w:w="1701" w:type="dxa"/>
            <w:gridSpan w:val="3"/>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4"/>
                <w:sz w:val="18"/>
                <w:szCs w:val="18"/>
                <w14:textFill>
                  <w14:solidFill>
                    <w14:schemeClr w14:val="tx1"/>
                  </w14:solidFill>
                </w14:textFill>
              </w:rPr>
              <w:t>G1□</w:t>
            </w:r>
          </w:p>
        </w:tc>
        <w:tc>
          <w:tcPr>
            <w:tcW w:w="169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G2□</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3"/>
                <w:position w:val="-1"/>
                <w:sz w:val="18"/>
                <w:szCs w:val="18"/>
                <w14:textFill>
                  <w14:solidFill>
                    <w14:schemeClr w14:val="tx1"/>
                  </w14:solidFill>
                </w14:textFill>
              </w:rPr>
              <w:t>G3√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842"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包气带防污性能</w:t>
            </w:r>
          </w:p>
        </w:tc>
        <w:tc>
          <w:tcPr>
            <w:tcW w:w="1701" w:type="dxa"/>
            <w:gridSpan w:val="3"/>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D1□</w:t>
            </w:r>
          </w:p>
        </w:tc>
        <w:tc>
          <w:tcPr>
            <w:tcW w:w="169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position w:val="-1"/>
                <w:sz w:val="18"/>
                <w:szCs w:val="18"/>
                <w14:textFill>
                  <w14:solidFill>
                    <w14:schemeClr w14:val="tx1"/>
                  </w14:solidFill>
                </w14:textFill>
              </w:rPr>
              <w:t>D2√</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D3□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812" w:type="dxa"/>
            <w:gridSpan w:val="2"/>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物质及工艺系统危</w:t>
            </w:r>
            <w:r>
              <w:rPr>
                <w:color w:val="000000" w:themeColor="text1"/>
                <w:spacing w:val="-9"/>
                <w:sz w:val="18"/>
                <w:szCs w:val="18"/>
                <w14:textFill>
                  <w14:solidFill>
                    <w14:schemeClr w14:val="tx1"/>
                  </w14:solidFill>
                </w14:textFill>
              </w:rPr>
              <w:t>险性</w:t>
            </w:r>
          </w:p>
        </w:tc>
        <w:tc>
          <w:tcPr>
            <w:tcW w:w="113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i/>
                <w:iCs/>
                <w:color w:val="000000" w:themeColor="text1"/>
                <w:spacing w:val="-5"/>
                <w:sz w:val="18"/>
                <w:szCs w:val="18"/>
                <w14:textFill>
                  <w14:solidFill>
                    <w14:schemeClr w14:val="tx1"/>
                  </w14:solidFill>
                </w14:textFill>
              </w:rPr>
              <w:t>Q</w:t>
            </w:r>
            <w:r>
              <w:rPr>
                <w:color w:val="000000" w:themeColor="text1"/>
                <w:spacing w:val="-5"/>
                <w:sz w:val="18"/>
                <w:szCs w:val="18"/>
                <w14:textFill>
                  <w14:solidFill>
                    <w14:schemeClr w14:val="tx1"/>
                  </w14:solidFill>
                </w14:textFill>
              </w:rPr>
              <w:t>值</w:t>
            </w:r>
          </w:p>
        </w:tc>
        <w:tc>
          <w:tcPr>
            <w:tcW w:w="184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i/>
                <w:iCs/>
                <w:color w:val="000000" w:themeColor="text1"/>
                <w:spacing w:val="-8"/>
                <w:sz w:val="18"/>
                <w:szCs w:val="18"/>
                <w14:textFill>
                  <w14:solidFill>
                    <w14:schemeClr w14:val="tx1"/>
                  </w14:solidFill>
                </w14:textFill>
              </w:rPr>
              <w:t>Q&lt;</w:t>
            </w:r>
            <w:r>
              <w:rPr>
                <w:rFonts w:ascii="Times New Roman" w:hAnsi="Times New Roman" w:eastAsia="Times New Roman" w:cs="Times New Roman"/>
                <w:color w:val="000000" w:themeColor="text1"/>
                <w:spacing w:val="-8"/>
                <w:sz w:val="18"/>
                <w:szCs w:val="18"/>
                <w14:textFill>
                  <w14:solidFill>
                    <w14:schemeClr w14:val="tx1"/>
                  </w14:solidFill>
                </w14:textFill>
              </w:rPr>
              <w:t>1□</w:t>
            </w:r>
          </w:p>
        </w:tc>
        <w:tc>
          <w:tcPr>
            <w:tcW w:w="1701" w:type="dxa"/>
            <w:gridSpan w:val="3"/>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ascii="Times New Roman" w:hAnsi="Times New Roman" w:eastAsia="Times New Roman" w:cs="Times New Roman"/>
                <w:color w:val="000000" w:themeColor="text1"/>
                <w:spacing w:val="-3"/>
                <w:sz w:val="18"/>
                <w:szCs w:val="18"/>
                <w14:textFill>
                  <w14:solidFill>
                    <w14:schemeClr w14:val="tx1"/>
                  </w14:solidFill>
                </w14:textFill>
              </w:rPr>
              <w:t>1≤</w:t>
            </w:r>
            <w:r>
              <w:rPr>
                <w:rFonts w:ascii="Times New Roman" w:hAnsi="Times New Roman" w:eastAsia="Times New Roman" w:cs="Times New Roman"/>
                <w:i/>
                <w:iCs/>
                <w:color w:val="000000" w:themeColor="text1"/>
                <w:spacing w:val="-3"/>
                <w:sz w:val="18"/>
                <w:szCs w:val="18"/>
                <w14:textFill>
                  <w14:solidFill>
                    <w14:schemeClr w14:val="tx1"/>
                  </w14:solidFill>
                </w14:textFill>
              </w:rPr>
              <w:t>Q&lt;</w:t>
            </w:r>
            <w:r>
              <w:rPr>
                <w:rFonts w:ascii="Times New Roman" w:hAnsi="Times New Roman" w:eastAsia="Times New Roman" w:cs="Times New Roman"/>
                <w:color w:val="000000" w:themeColor="text1"/>
                <w:spacing w:val="-3"/>
                <w:sz w:val="18"/>
                <w:szCs w:val="18"/>
                <w14:textFill>
                  <w14:solidFill>
                    <w14:schemeClr w14:val="tx1"/>
                  </w14:solidFill>
                </w14:textFill>
              </w:rPr>
              <w:t>10</w:t>
            </w:r>
            <w:r>
              <w:rPr>
                <w:rFonts w:hint="eastAsia" w:eastAsia="宋体" w:cs="Times New Roman"/>
                <w:color w:val="000000" w:themeColor="text1"/>
                <w:spacing w:val="-3"/>
                <w:sz w:val="18"/>
                <w:szCs w:val="18"/>
                <w:lang w:eastAsia="zh-CN"/>
                <w14:textFill>
                  <w14:solidFill>
                    <w14:schemeClr w14:val="tx1"/>
                  </w14:solidFill>
                </w14:textFill>
              </w:rPr>
              <w:t>☑</w:t>
            </w:r>
          </w:p>
        </w:tc>
        <w:tc>
          <w:tcPr>
            <w:tcW w:w="169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position w:val="1"/>
                <w:sz w:val="18"/>
                <w:szCs w:val="18"/>
                <w14:textFill>
                  <w14:solidFill>
                    <w14:schemeClr w14:val="tx1"/>
                  </w14:solidFill>
                </w14:textFill>
              </w:rPr>
              <w:t>10≤</w:t>
            </w:r>
            <w:r>
              <w:rPr>
                <w:rFonts w:ascii="Times New Roman" w:hAnsi="Times New Roman" w:eastAsia="Times New Roman" w:cs="Times New Roman"/>
                <w:i/>
                <w:iCs/>
                <w:color w:val="000000" w:themeColor="text1"/>
                <w:spacing w:val="-2"/>
                <w:position w:val="1"/>
                <w:sz w:val="18"/>
                <w:szCs w:val="18"/>
                <w14:textFill>
                  <w14:solidFill>
                    <w14:schemeClr w14:val="tx1"/>
                  </w14:solidFill>
                </w14:textFill>
              </w:rPr>
              <w:t>Q</w:t>
            </w:r>
            <w:r>
              <w:rPr>
                <w:rFonts w:ascii="Times New Roman" w:hAnsi="Times New Roman" w:eastAsia="Times New Roman" w:cs="Times New Roman"/>
                <w:color w:val="000000" w:themeColor="text1"/>
                <w:spacing w:val="-2"/>
                <w:position w:val="1"/>
                <w:sz w:val="18"/>
                <w:szCs w:val="18"/>
                <w14:textFill>
                  <w14:solidFill>
                    <w14:schemeClr w14:val="tx1"/>
                  </w14:solidFill>
                </w14:textFill>
              </w:rPr>
              <w:t>&lt;100</w:t>
            </w:r>
            <w:r>
              <w:rPr>
                <w:rFonts w:ascii="Times New Roman" w:hAnsi="Times New Roman" w:eastAsia="Times New Roman" w:cs="Times New Roman"/>
                <w:color w:val="000000" w:themeColor="text1"/>
                <w:spacing w:val="-2"/>
                <w:sz w:val="18"/>
                <w:szCs w:val="18"/>
                <w14:textFill>
                  <w14:solidFill>
                    <w14:schemeClr w14:val="tx1"/>
                  </w14:solidFill>
                </w14:textFill>
              </w:rPr>
              <w:t>□</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i/>
                <w:iCs/>
                <w:color w:val="000000" w:themeColor="text1"/>
                <w:spacing w:val="-2"/>
                <w:sz w:val="18"/>
                <w:szCs w:val="18"/>
                <w14:textFill>
                  <w14:solidFill>
                    <w14:schemeClr w14:val="tx1"/>
                  </w14:solidFill>
                </w14:textFill>
              </w:rPr>
              <w:t>Q</w:t>
            </w:r>
            <w:r>
              <w:rPr>
                <w:rFonts w:ascii="Times New Roman" w:hAnsi="Times New Roman" w:eastAsia="Times New Roman" w:cs="Times New Roman"/>
                <w:color w:val="000000" w:themeColor="text1"/>
                <w:spacing w:val="-2"/>
                <w:sz w:val="18"/>
                <w:szCs w:val="18"/>
                <w14:textFill>
                  <w14:solidFill>
                    <w14:schemeClr w14:val="tx1"/>
                  </w14:solidFill>
                </w14:textFill>
              </w:rPr>
              <w:t>&gt;100□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812" w:type="dxa"/>
            <w:gridSpan w:val="2"/>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3"/>
                <w:sz w:val="18"/>
                <w:szCs w:val="18"/>
                <w14:textFill>
                  <w14:solidFill>
                    <w14:schemeClr w14:val="tx1"/>
                  </w14:solidFill>
                </w14:textFill>
              </w:rPr>
              <w:t>M</w:t>
            </w:r>
            <w:r>
              <w:rPr>
                <w:color w:val="000000" w:themeColor="text1"/>
                <w:spacing w:val="23"/>
                <w:sz w:val="18"/>
                <w:szCs w:val="18"/>
                <w14:textFill>
                  <w14:solidFill>
                    <w14:schemeClr w14:val="tx1"/>
                  </w14:solidFill>
                </w14:textFill>
              </w:rPr>
              <w:t>值</w:t>
            </w:r>
          </w:p>
        </w:tc>
        <w:tc>
          <w:tcPr>
            <w:tcW w:w="184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Ml□</w:t>
            </w:r>
          </w:p>
        </w:tc>
        <w:tc>
          <w:tcPr>
            <w:tcW w:w="1701" w:type="dxa"/>
            <w:gridSpan w:val="3"/>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M2</w:t>
            </w:r>
            <w:r>
              <w:rPr>
                <w:rFonts w:hint="eastAsia" w:eastAsia="宋体" w:cs="Times New Roman"/>
                <w:color w:val="000000" w:themeColor="text1"/>
                <w:spacing w:val="-1"/>
                <w:sz w:val="18"/>
                <w:szCs w:val="18"/>
                <w:lang w:eastAsia="zh-CN"/>
                <w14:textFill>
                  <w14:solidFill>
                    <w14:schemeClr w14:val="tx1"/>
                  </w14:solidFill>
                </w14:textFill>
              </w:rPr>
              <w:t>□</w:t>
            </w:r>
          </w:p>
        </w:tc>
        <w:tc>
          <w:tcPr>
            <w:tcW w:w="169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ascii="Times New Roman" w:hAnsi="Times New Roman" w:eastAsia="Times New Roman" w:cs="Times New Roman"/>
                <w:color w:val="000000" w:themeColor="text1"/>
                <w:spacing w:val="-1"/>
                <w:position w:val="-1"/>
                <w:sz w:val="18"/>
                <w:szCs w:val="18"/>
                <w14:textFill>
                  <w14:solidFill>
                    <w14:schemeClr w14:val="tx1"/>
                  </w14:solidFill>
                </w14:textFill>
              </w:rPr>
              <w:t>M3</w:t>
            </w:r>
            <w:r>
              <w:rPr>
                <w:rFonts w:hint="eastAsia" w:ascii="Times New Roman" w:hAnsi="Times New Roman" w:eastAsia="宋体" w:cs="Times New Roman"/>
                <w:color w:val="000000" w:themeColor="text1"/>
                <w:spacing w:val="-2"/>
                <w:sz w:val="18"/>
                <w:szCs w:val="18"/>
                <w:lang w:eastAsia="zh-CN"/>
                <w14:textFill>
                  <w14:solidFill>
                    <w14:schemeClr w14:val="tx1"/>
                  </w14:solidFill>
                </w14:textFill>
              </w:rPr>
              <w:t>☑</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M4</w:t>
            </w:r>
            <w:r>
              <w:rPr>
                <w:rFonts w:hint="eastAsia" w:eastAsia="宋体" w:cs="Times New Roman"/>
                <w:color w:val="000000" w:themeColor="text1"/>
                <w:spacing w:val="-1"/>
                <w:sz w:val="18"/>
                <w:szCs w:val="18"/>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812" w:type="dxa"/>
            <w:gridSpan w:val="2"/>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P</w:t>
            </w:r>
            <w:r>
              <w:rPr>
                <w:color w:val="000000" w:themeColor="text1"/>
                <w:spacing w:val="-2"/>
                <w:sz w:val="18"/>
                <w:szCs w:val="18"/>
                <w14:textFill>
                  <w14:solidFill>
                    <w14:schemeClr w14:val="tx1"/>
                  </w14:solidFill>
                </w14:textFill>
              </w:rPr>
              <w:t>值</w:t>
            </w:r>
          </w:p>
        </w:tc>
        <w:tc>
          <w:tcPr>
            <w:tcW w:w="184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P1□</w:t>
            </w:r>
          </w:p>
        </w:tc>
        <w:tc>
          <w:tcPr>
            <w:tcW w:w="1701" w:type="dxa"/>
            <w:gridSpan w:val="3"/>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P2□</w:t>
            </w:r>
          </w:p>
        </w:tc>
        <w:tc>
          <w:tcPr>
            <w:tcW w:w="169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position w:val="-1"/>
                <w:sz w:val="18"/>
                <w:szCs w:val="18"/>
                <w14:textFill>
                  <w14:solidFill>
                    <w14:schemeClr w14:val="tx1"/>
                  </w14:solidFill>
                </w14:textFill>
              </w:rPr>
              <w:t>P3</w:t>
            </w:r>
            <w:r>
              <w:rPr>
                <w:rFonts w:ascii="Times New Roman" w:hAnsi="Times New Roman" w:eastAsia="Times New Roman" w:cs="Times New Roman"/>
                <w:color w:val="000000" w:themeColor="text1"/>
                <w:spacing w:val="-2"/>
                <w:sz w:val="18"/>
                <w:szCs w:val="18"/>
                <w14:textFill>
                  <w14:solidFill>
                    <w14:schemeClr w14:val="tx1"/>
                  </w14:solidFill>
                </w14:textFill>
              </w:rPr>
              <w:t>□</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P4</w:t>
            </w:r>
            <w:r>
              <w:rPr>
                <w:rFonts w:hint="eastAsia" w:eastAsia="宋体" w:cs="Times New Roman"/>
                <w:color w:val="000000" w:themeColor="text1"/>
                <w:spacing w:val="-1"/>
                <w:sz w:val="18"/>
                <w:szCs w:val="18"/>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812" w:type="dxa"/>
            <w:gridSpan w:val="2"/>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环境敏感程度</w:t>
            </w:r>
          </w:p>
        </w:tc>
        <w:tc>
          <w:tcPr>
            <w:tcW w:w="113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大气</w:t>
            </w:r>
          </w:p>
        </w:tc>
        <w:tc>
          <w:tcPr>
            <w:tcW w:w="184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E1□</w:t>
            </w:r>
          </w:p>
        </w:tc>
        <w:tc>
          <w:tcPr>
            <w:tcW w:w="3393" w:type="dxa"/>
            <w:gridSpan w:val="5"/>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E2</w:t>
            </w:r>
            <w:r>
              <w:rPr>
                <w:rFonts w:hint="eastAsia" w:eastAsia="宋体" w:cs="Times New Roman"/>
                <w:color w:val="000000" w:themeColor="text1"/>
                <w:spacing w:val="-2"/>
                <w:sz w:val="18"/>
                <w:szCs w:val="18"/>
                <w:lang w:eastAsia="zh-CN"/>
                <w14:textFill>
                  <w14:solidFill>
                    <w14:schemeClr w14:val="tx1"/>
                  </w14:solidFill>
                </w14:textFill>
              </w:rPr>
              <w:t>☑</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position w:val="-1"/>
                <w:sz w:val="18"/>
                <w:szCs w:val="18"/>
                <w14:textFill>
                  <w14:solidFill>
                    <w14:schemeClr w14:val="tx1"/>
                  </w14:solidFill>
                </w14:textFill>
              </w:rPr>
              <w:t>E3</w:t>
            </w:r>
            <w:r>
              <w:rPr>
                <w:rFonts w:ascii="Times New Roman" w:hAnsi="Times New Roman" w:eastAsia="Times New Roman" w:cs="Times New Roman"/>
                <w:color w:val="000000" w:themeColor="text1"/>
                <w:spacing w:val="-2"/>
                <w:sz w:val="18"/>
                <w:szCs w:val="18"/>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812" w:type="dxa"/>
            <w:gridSpan w:val="2"/>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地表水</w:t>
            </w:r>
          </w:p>
        </w:tc>
        <w:tc>
          <w:tcPr>
            <w:tcW w:w="184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E1□</w:t>
            </w:r>
          </w:p>
        </w:tc>
        <w:tc>
          <w:tcPr>
            <w:tcW w:w="3393" w:type="dxa"/>
            <w:gridSpan w:val="5"/>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E2□</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position w:val="-1"/>
                <w:sz w:val="18"/>
                <w:szCs w:val="18"/>
                <w14:textFill>
                  <w14:solidFill>
                    <w14:schemeClr w14:val="tx1"/>
                  </w14:solidFill>
                </w14:textFill>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812" w:type="dxa"/>
            <w:gridSpan w:val="2"/>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133"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地下水</w:t>
            </w:r>
          </w:p>
        </w:tc>
        <w:tc>
          <w:tcPr>
            <w:tcW w:w="184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E1□</w:t>
            </w:r>
          </w:p>
        </w:tc>
        <w:tc>
          <w:tcPr>
            <w:tcW w:w="3393" w:type="dxa"/>
            <w:gridSpan w:val="5"/>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E2□</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position w:val="-1"/>
                <w:sz w:val="18"/>
                <w:szCs w:val="18"/>
                <w14:textFill>
                  <w14:solidFill>
                    <w14:schemeClr w14:val="tx1"/>
                  </w14:solidFill>
                </w14:textFill>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812"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环境风险潜势</w:t>
            </w:r>
          </w:p>
        </w:tc>
        <w:tc>
          <w:tcPr>
            <w:tcW w:w="1133"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IV</w:t>
            </w:r>
            <w:r>
              <w:rPr>
                <w:rFonts w:ascii="Times New Roman" w:hAnsi="Times New Roman" w:eastAsia="Times New Roman" w:cs="Times New Roman"/>
                <w:color w:val="000000" w:themeColor="text1"/>
                <w:spacing w:val="-1"/>
                <w:position w:val="5"/>
                <w:sz w:val="11"/>
                <w:szCs w:val="11"/>
                <w14:textFill>
                  <w14:solidFill>
                    <w14:schemeClr w14:val="tx1"/>
                  </w14:solidFill>
                </w14:textFill>
              </w:rPr>
              <w:t>+</w:t>
            </w:r>
            <w:r>
              <w:rPr>
                <w:rFonts w:ascii="Times New Roman" w:hAnsi="Times New Roman" w:eastAsia="Times New Roman" w:cs="Times New Roman"/>
                <w:color w:val="000000" w:themeColor="text1"/>
                <w:spacing w:val="-1"/>
                <w:sz w:val="18"/>
                <w:szCs w:val="18"/>
                <w14:textFill>
                  <w14:solidFill>
                    <w14:schemeClr w14:val="tx1"/>
                  </w14:solidFill>
                </w14:textFill>
              </w:rPr>
              <w:t>□</w:t>
            </w:r>
          </w:p>
        </w:tc>
        <w:tc>
          <w:tcPr>
            <w:tcW w:w="1842"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IV□</w:t>
            </w:r>
          </w:p>
        </w:tc>
        <w:tc>
          <w:tcPr>
            <w:tcW w:w="910"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sz w:val="18"/>
                <w:szCs w:val="18"/>
                <w14:textFill>
                  <w14:solidFill>
                    <w14:schemeClr w14:val="tx1"/>
                  </w14:solidFill>
                </w14:textFill>
              </w:rPr>
              <w:t>III□</w:t>
            </w:r>
          </w:p>
        </w:tc>
        <w:tc>
          <w:tcPr>
            <w:tcW w:w="2483" w:type="dxa"/>
            <w:gridSpan w:val="3"/>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2"/>
                <w:position w:val="-1"/>
                <w:sz w:val="18"/>
                <w:szCs w:val="18"/>
                <w14:textFill>
                  <w14:solidFill>
                    <w14:schemeClr w14:val="tx1"/>
                  </w14:solidFill>
                </w14:textFill>
              </w:rPr>
              <w:t>II√</w:t>
            </w:r>
          </w:p>
        </w:tc>
        <w:tc>
          <w:tcPr>
            <w:tcW w:w="1609" w:type="dxa"/>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3"/>
                <w:sz w:val="18"/>
                <w:szCs w:val="18"/>
                <w14:textFill>
                  <w14:solidFill>
                    <w14:schemeClr w14:val="tx1"/>
                  </w14:solidFill>
                </w14:textFill>
              </w:rPr>
              <w:t>I</w:t>
            </w:r>
            <w:r>
              <w:rPr>
                <w:rFonts w:hint="eastAsia" w:eastAsia="宋体" w:cs="Times New Roman"/>
                <w:color w:val="000000" w:themeColor="text1"/>
                <w:spacing w:val="-3"/>
                <w:sz w:val="18"/>
                <w:szCs w:val="18"/>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812"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评价等级</w:t>
            </w:r>
          </w:p>
        </w:tc>
        <w:tc>
          <w:tcPr>
            <w:tcW w:w="2975" w:type="dxa"/>
            <w:gridSpan w:val="3"/>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一级</w:t>
            </w:r>
            <w:r>
              <w:rPr>
                <w:rFonts w:ascii="Times New Roman" w:hAnsi="Times New Roman" w:eastAsia="Times New Roman" w:cs="Times New Roman"/>
                <w:color w:val="000000" w:themeColor="text1"/>
                <w:spacing w:val="-4"/>
                <w:sz w:val="18"/>
                <w:szCs w:val="18"/>
                <w14:textFill>
                  <w14:solidFill>
                    <w14:schemeClr w14:val="tx1"/>
                  </w14:solidFill>
                </w14:textFill>
              </w:rPr>
              <w:t>□</w:t>
            </w:r>
          </w:p>
        </w:tc>
        <w:tc>
          <w:tcPr>
            <w:tcW w:w="910"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二级</w:t>
            </w:r>
            <w:r>
              <w:rPr>
                <w:rFonts w:ascii="Times New Roman" w:hAnsi="Times New Roman" w:eastAsia="Times New Roman" w:cs="Times New Roman"/>
                <w:color w:val="000000" w:themeColor="text1"/>
                <w:spacing w:val="-4"/>
                <w:sz w:val="18"/>
                <w:szCs w:val="18"/>
                <w14:textFill>
                  <w14:solidFill>
                    <w14:schemeClr w14:val="tx1"/>
                  </w14:solidFill>
                </w14:textFill>
              </w:rPr>
              <w:t>□</w:t>
            </w:r>
          </w:p>
        </w:tc>
        <w:tc>
          <w:tcPr>
            <w:tcW w:w="2483" w:type="dxa"/>
            <w:gridSpan w:val="3"/>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三级</w:t>
            </w:r>
            <w:r>
              <w:rPr>
                <w:rFonts w:ascii="Times New Roman" w:hAnsi="Times New Roman" w:eastAsia="Times New Roman" w:cs="Times New Roman"/>
                <w:color w:val="000000" w:themeColor="text1"/>
                <w:spacing w:val="-3"/>
                <w:sz w:val="18"/>
                <w:szCs w:val="18"/>
                <w14:textFill>
                  <w14:solidFill>
                    <w14:schemeClr w14:val="tx1"/>
                  </w14:solidFill>
                </w14:textFill>
              </w:rPr>
              <w:t>√</w:t>
            </w:r>
          </w:p>
        </w:tc>
        <w:tc>
          <w:tcPr>
            <w:tcW w:w="1609"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简单分析</w:t>
            </w:r>
            <w:r>
              <w:rPr>
                <w:rFonts w:ascii="Times New Roman" w:hAnsi="Times New Roman" w:eastAsia="Times New Roman" w:cs="Times New Roman"/>
                <w:color w:val="000000" w:themeColor="text1"/>
                <w:spacing w:val="-3"/>
                <w:sz w:val="18"/>
                <w:szCs w:val="18"/>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restart"/>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风险识别</w:t>
            </w:r>
          </w:p>
        </w:tc>
        <w:tc>
          <w:tcPr>
            <w:tcW w:w="1382"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物质危险性</w:t>
            </w:r>
          </w:p>
        </w:tc>
        <w:tc>
          <w:tcPr>
            <w:tcW w:w="2975" w:type="dxa"/>
            <w:gridSpan w:val="3"/>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有毒有害</w:t>
            </w:r>
            <w:r>
              <w:rPr>
                <w:rFonts w:ascii="Times New Roman" w:hAnsi="Times New Roman" w:eastAsia="Times New Roman" w:cs="Times New Roman"/>
                <w:color w:val="000000" w:themeColor="text1"/>
                <w:spacing w:val="-2"/>
                <w:sz w:val="18"/>
                <w:szCs w:val="18"/>
                <w14:textFill>
                  <w14:solidFill>
                    <w14:schemeClr w14:val="tx1"/>
                  </w14:solidFill>
                </w14:textFill>
              </w:rPr>
              <w:t>√</w:t>
            </w:r>
          </w:p>
        </w:tc>
        <w:tc>
          <w:tcPr>
            <w:tcW w:w="5002" w:type="dxa"/>
            <w:gridSpan w:val="6"/>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易燃易爆</w:t>
            </w:r>
            <w:r>
              <w:rPr>
                <w:rFonts w:ascii="Times New Roman" w:hAnsi="Times New Roman" w:eastAsia="Times New Roman" w:cs="Times New Roman"/>
                <w:color w:val="000000" w:themeColor="text1"/>
                <w:spacing w:val="-4"/>
                <w:sz w:val="18"/>
                <w:szCs w:val="18"/>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环境风险类型</w:t>
            </w:r>
          </w:p>
        </w:tc>
        <w:tc>
          <w:tcPr>
            <w:tcW w:w="3615" w:type="dxa"/>
            <w:gridSpan w:val="4"/>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泄漏</w:t>
            </w:r>
            <w:r>
              <w:rPr>
                <w:rFonts w:ascii="Times New Roman" w:hAnsi="Times New Roman" w:eastAsia="Times New Roman" w:cs="Times New Roman"/>
                <w:color w:val="000000" w:themeColor="text1"/>
                <w:spacing w:val="-4"/>
                <w:sz w:val="18"/>
                <w:szCs w:val="18"/>
                <w14:textFill>
                  <w14:solidFill>
                    <w14:schemeClr w14:val="tx1"/>
                  </w14:solidFill>
                </w14:textFill>
              </w:rPr>
              <w:t>√</w:t>
            </w:r>
          </w:p>
        </w:tc>
        <w:tc>
          <w:tcPr>
            <w:tcW w:w="4362" w:type="dxa"/>
            <w:gridSpan w:val="5"/>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火灾、爆炸引发伴生</w:t>
            </w:r>
            <w:r>
              <w:rPr>
                <w:rFonts w:ascii="Times New Roman" w:hAnsi="Times New Roman" w:eastAsia="Times New Roman" w:cs="Times New Roman"/>
                <w:color w:val="000000" w:themeColor="text1"/>
                <w:spacing w:val="-1"/>
                <w:sz w:val="18"/>
                <w:szCs w:val="18"/>
                <w14:textFill>
                  <w14:solidFill>
                    <w14:schemeClr w14:val="tx1"/>
                  </w14:solidFill>
                </w14:textFill>
              </w:rPr>
              <w:t>/</w:t>
            </w:r>
            <w:r>
              <w:rPr>
                <w:color w:val="000000" w:themeColor="text1"/>
                <w:spacing w:val="-1"/>
                <w:sz w:val="18"/>
                <w:szCs w:val="18"/>
                <w14:textFill>
                  <w14:solidFill>
                    <w14:schemeClr w14:val="tx1"/>
                  </w14:solidFill>
                </w14:textFill>
              </w:rPr>
              <w:t>次生污染物排放</w:t>
            </w:r>
            <w:r>
              <w:rPr>
                <w:rFonts w:ascii="Times New Roman" w:hAnsi="Times New Roman" w:eastAsia="Times New Roman" w:cs="Times New Roman"/>
                <w:color w:val="000000" w:themeColor="text1"/>
                <w:spacing w:val="-1"/>
                <w:sz w:val="18"/>
                <w:szCs w:val="18"/>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影响途径</w:t>
            </w:r>
          </w:p>
        </w:tc>
        <w:tc>
          <w:tcPr>
            <w:tcW w:w="3615" w:type="dxa"/>
            <w:gridSpan w:val="4"/>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大气</w:t>
            </w:r>
            <w:r>
              <w:rPr>
                <w:rFonts w:ascii="Times New Roman" w:hAnsi="Times New Roman" w:eastAsia="Times New Roman" w:cs="Times New Roman"/>
                <w:color w:val="000000" w:themeColor="text1"/>
                <w:spacing w:val="-4"/>
                <w:sz w:val="18"/>
                <w:szCs w:val="18"/>
                <w14:textFill>
                  <w14:solidFill>
                    <w14:schemeClr w14:val="tx1"/>
                  </w14:solidFill>
                </w14:textFill>
              </w:rPr>
              <w:t>√</w:t>
            </w:r>
          </w:p>
        </w:tc>
        <w:tc>
          <w:tcPr>
            <w:tcW w:w="2753" w:type="dxa"/>
            <w:gridSpan w:val="4"/>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地表水</w:t>
            </w:r>
            <w:r>
              <w:rPr>
                <w:rFonts w:ascii="Times New Roman" w:hAnsi="Times New Roman" w:eastAsia="Times New Roman" w:cs="Times New Roman"/>
                <w:color w:val="000000" w:themeColor="text1"/>
                <w:spacing w:val="-2"/>
                <w:sz w:val="18"/>
                <w:szCs w:val="18"/>
                <w14:textFill>
                  <w14:solidFill>
                    <w14:schemeClr w14:val="tx1"/>
                  </w14:solidFill>
                </w14:textFill>
              </w:rPr>
              <w:t>√</w:t>
            </w:r>
          </w:p>
        </w:tc>
        <w:tc>
          <w:tcPr>
            <w:tcW w:w="1609" w:type="dxa"/>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地下水</w:t>
            </w:r>
            <w:r>
              <w:rPr>
                <w:rFonts w:ascii="Times New Roman" w:hAnsi="Times New Roman" w:eastAsia="Times New Roman" w:cs="Times New Roman"/>
                <w:color w:val="000000" w:themeColor="text1"/>
                <w:spacing w:val="-2"/>
                <w:sz w:val="18"/>
                <w:szCs w:val="18"/>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812"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事故情形分析</w:t>
            </w:r>
          </w:p>
        </w:tc>
        <w:tc>
          <w:tcPr>
            <w:tcW w:w="2555"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源强设定方法</w:t>
            </w:r>
          </w:p>
        </w:tc>
        <w:tc>
          <w:tcPr>
            <w:tcW w:w="1060"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计算法</w:t>
            </w:r>
            <w:r>
              <w:rPr>
                <w:rFonts w:ascii="Times New Roman" w:hAnsi="Times New Roman" w:eastAsia="Times New Roman" w:cs="Times New Roman"/>
                <w:color w:val="000000" w:themeColor="text1"/>
                <w:spacing w:val="-2"/>
                <w:sz w:val="18"/>
                <w:szCs w:val="18"/>
                <w14:textFill>
                  <w14:solidFill>
                    <w14:schemeClr w14:val="tx1"/>
                  </w14:solidFill>
                </w14:textFill>
              </w:rPr>
              <w:t>□</w:t>
            </w:r>
          </w:p>
        </w:tc>
        <w:tc>
          <w:tcPr>
            <w:tcW w:w="2753" w:type="dxa"/>
            <w:gridSpan w:val="4"/>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经验估算法</w:t>
            </w:r>
            <w:r>
              <w:rPr>
                <w:rFonts w:ascii="Times New Roman" w:hAnsi="Times New Roman" w:eastAsia="Times New Roman" w:cs="Times New Roman"/>
                <w:color w:val="000000" w:themeColor="text1"/>
                <w:spacing w:val="-2"/>
                <w:sz w:val="18"/>
                <w:szCs w:val="18"/>
                <w14:textFill>
                  <w14:solidFill>
                    <w14:schemeClr w14:val="tx1"/>
                  </w14:solidFill>
                </w14:textFill>
              </w:rPr>
              <w:t>□</w:t>
            </w:r>
          </w:p>
        </w:tc>
        <w:tc>
          <w:tcPr>
            <w:tcW w:w="1609"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其他估算法</w:t>
            </w:r>
            <w:r>
              <w:rPr>
                <w:rFonts w:ascii="Times New Roman" w:hAnsi="Times New Roman" w:eastAsia="Times New Roman" w:cs="Times New Roman"/>
                <w:color w:val="000000" w:themeColor="text1"/>
                <w:spacing w:val="-2"/>
                <w:sz w:val="18"/>
                <w:szCs w:val="18"/>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风险预测与评价</w:t>
            </w:r>
          </w:p>
        </w:tc>
        <w:tc>
          <w:tcPr>
            <w:tcW w:w="1382"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大气</w:t>
            </w:r>
          </w:p>
        </w:tc>
        <w:tc>
          <w:tcPr>
            <w:tcW w:w="2555"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预测模型</w:t>
            </w:r>
          </w:p>
        </w:tc>
        <w:tc>
          <w:tcPr>
            <w:tcW w:w="1060" w:type="dxa"/>
            <w:gridSpan w:val="2"/>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3"/>
                <w:sz w:val="18"/>
                <w:szCs w:val="18"/>
                <w14:textFill>
                  <w14:solidFill>
                    <w14:schemeClr w14:val="tx1"/>
                  </w14:solidFill>
                </w14:textFill>
              </w:rPr>
              <w:t>SLAB□</w:t>
            </w:r>
          </w:p>
        </w:tc>
        <w:tc>
          <w:tcPr>
            <w:tcW w:w="2753" w:type="dxa"/>
            <w:gridSpan w:val="4"/>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1"/>
                <w:sz w:val="18"/>
                <w:szCs w:val="18"/>
                <w14:textFill>
                  <w14:solidFill>
                    <w14:schemeClr w14:val="tx1"/>
                  </w14:solidFill>
                </w14:textFill>
              </w:rPr>
              <w:t>AFTOX□</w:t>
            </w:r>
          </w:p>
        </w:tc>
        <w:tc>
          <w:tcPr>
            <w:tcW w:w="1609"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2555" w:type="dxa"/>
            <w:gridSpan w:val="2"/>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3"/>
                <w:sz w:val="18"/>
                <w:szCs w:val="18"/>
                <w14:textFill>
                  <w14:solidFill>
                    <w14:schemeClr w14:val="tx1"/>
                  </w14:solidFill>
                </w14:textFill>
              </w:rPr>
              <w:t>CO</w:t>
            </w:r>
            <w:r>
              <w:rPr>
                <w:color w:val="000000" w:themeColor="text1"/>
                <w:spacing w:val="-3"/>
                <w:sz w:val="18"/>
                <w:szCs w:val="18"/>
                <w14:textFill>
                  <w14:solidFill>
                    <w14:schemeClr w14:val="tx1"/>
                  </w14:solidFill>
                </w14:textFill>
              </w:rPr>
              <w:t>预测结果</w:t>
            </w:r>
          </w:p>
        </w:tc>
        <w:tc>
          <w:tcPr>
            <w:tcW w:w="5422" w:type="dxa"/>
            <w:gridSpan w:val="7"/>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大气毒性终点浓度</w:t>
            </w:r>
            <w:r>
              <w:rPr>
                <w:rFonts w:ascii="Times New Roman" w:hAnsi="Times New Roman" w:eastAsia="Times New Roman" w:cs="Times New Roman"/>
                <w:color w:val="000000" w:themeColor="text1"/>
                <w:spacing w:val="1"/>
                <w:sz w:val="18"/>
                <w:szCs w:val="18"/>
                <w14:textFill>
                  <w14:solidFill>
                    <w14:schemeClr w14:val="tx1"/>
                  </w14:solidFill>
                </w14:textFill>
              </w:rPr>
              <w:t>-1</w:t>
            </w:r>
            <w:r>
              <w:rPr>
                <w:color w:val="000000" w:themeColor="text1"/>
                <w:spacing w:val="1"/>
                <w:sz w:val="18"/>
                <w:szCs w:val="18"/>
                <w14:textFill>
                  <w14:solidFill>
                    <w14:schemeClr w14:val="tx1"/>
                  </w14:solidFill>
                </w14:textFill>
              </w:rPr>
              <w:t>最大影响范围</w:t>
            </w:r>
            <w:r>
              <w:rPr>
                <w:rFonts w:ascii="Times New Roman" w:hAnsi="Times New Roman" w:eastAsia="Times New Roman" w:cs="Times New Roman"/>
                <w:color w:val="000000" w:themeColor="text1"/>
                <w:spacing w:val="1"/>
                <w:sz w:val="18"/>
                <w:szCs w:val="18"/>
                <w:u w:val="single" w:color="auto"/>
                <w14:textFill>
                  <w14:solidFill>
                    <w14:schemeClr w14:val="tx1"/>
                  </w14:solidFill>
                </w14:textFill>
              </w:rPr>
              <w:t>/</w:t>
            </w:r>
            <w:r>
              <w:rPr>
                <w:rFonts w:ascii="Times New Roman" w:hAnsi="Times New Roman" w:eastAsia="Times New Roman" w:cs="Times New Roman"/>
                <w:color w:val="000000" w:themeColor="text1"/>
                <w:spacing w:val="1"/>
                <w:sz w:val="18"/>
                <w:szCs w:val="18"/>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2555" w:type="dxa"/>
            <w:gridSpan w:val="2"/>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5422" w:type="dxa"/>
            <w:gridSpan w:val="7"/>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大气毒性终点浓度</w:t>
            </w:r>
            <w:r>
              <w:rPr>
                <w:rFonts w:ascii="Times New Roman" w:hAnsi="Times New Roman" w:eastAsia="Times New Roman" w:cs="Times New Roman"/>
                <w:color w:val="000000" w:themeColor="text1"/>
                <w:spacing w:val="-1"/>
                <w:sz w:val="18"/>
                <w:szCs w:val="18"/>
                <w14:textFill>
                  <w14:solidFill>
                    <w14:schemeClr w14:val="tx1"/>
                  </w14:solidFill>
                </w14:textFill>
              </w:rPr>
              <w:t>-2</w:t>
            </w:r>
            <w:r>
              <w:rPr>
                <w:color w:val="000000" w:themeColor="text1"/>
                <w:spacing w:val="-1"/>
                <w:sz w:val="18"/>
                <w:szCs w:val="18"/>
                <w14:textFill>
                  <w14:solidFill>
                    <w14:schemeClr w14:val="tx1"/>
                  </w14:solidFill>
                </w14:textFill>
              </w:rPr>
              <w:t>最大影响范围</w:t>
            </w:r>
            <w:r>
              <w:rPr>
                <w:rFonts w:ascii="Times New Roman" w:hAnsi="Times New Roman" w:eastAsia="Times New Roman" w:cs="Times New Roman"/>
                <w:color w:val="000000" w:themeColor="text1"/>
                <w:spacing w:val="-1"/>
                <w:sz w:val="18"/>
                <w:szCs w:val="18"/>
                <w:u w:val="single" w:color="auto"/>
                <w14:textFill>
                  <w14:solidFill>
                    <w14:schemeClr w14:val="tx1"/>
                  </w14:solidFill>
                </w14:textFill>
              </w:rPr>
              <w:t>/</w:t>
            </w:r>
            <w:r>
              <w:rPr>
                <w:rFonts w:ascii="Times New Roman" w:hAnsi="Times New Roman" w:eastAsia="Times New Roman" w:cs="Times New Roman"/>
                <w:color w:val="000000" w:themeColor="text1"/>
                <w:spacing w:val="-1"/>
                <w:sz w:val="18"/>
                <w:szCs w:val="18"/>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2555" w:type="dxa"/>
            <w:gridSpan w:val="2"/>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rFonts w:ascii="Times New Roman" w:hAnsi="Times New Roman" w:eastAsia="Times New Roman" w:cs="Times New Roman"/>
                <w:color w:val="000000" w:themeColor="text1"/>
                <w:spacing w:val="-3"/>
                <w:sz w:val="18"/>
                <w:szCs w:val="18"/>
                <w14:textFill>
                  <w14:solidFill>
                    <w14:schemeClr w14:val="tx1"/>
                  </w14:solidFill>
                </w14:textFill>
              </w:rPr>
              <w:t>SO</w:t>
            </w:r>
            <w:r>
              <w:rPr>
                <w:rFonts w:ascii="Times New Roman" w:hAnsi="Times New Roman" w:eastAsia="Times New Roman" w:cs="Times New Roman"/>
                <w:color w:val="000000" w:themeColor="text1"/>
                <w:spacing w:val="-3"/>
                <w:position w:val="-1"/>
                <w:sz w:val="11"/>
                <w:szCs w:val="11"/>
                <w14:textFill>
                  <w14:solidFill>
                    <w14:schemeClr w14:val="tx1"/>
                  </w14:solidFill>
                </w14:textFill>
              </w:rPr>
              <w:t>2</w:t>
            </w:r>
            <w:r>
              <w:rPr>
                <w:color w:val="000000" w:themeColor="text1"/>
                <w:spacing w:val="-3"/>
                <w:sz w:val="18"/>
                <w:szCs w:val="18"/>
                <w14:textFill>
                  <w14:solidFill>
                    <w14:schemeClr w14:val="tx1"/>
                  </w14:solidFill>
                </w14:textFill>
              </w:rPr>
              <w:t>预测结果</w:t>
            </w:r>
          </w:p>
        </w:tc>
        <w:tc>
          <w:tcPr>
            <w:tcW w:w="5422" w:type="dxa"/>
            <w:gridSpan w:val="7"/>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大气毒性终点浓度</w:t>
            </w:r>
            <w:r>
              <w:rPr>
                <w:rFonts w:ascii="Times New Roman" w:hAnsi="Times New Roman" w:eastAsia="Times New Roman" w:cs="Times New Roman"/>
                <w:color w:val="000000" w:themeColor="text1"/>
                <w:spacing w:val="1"/>
                <w:sz w:val="18"/>
                <w:szCs w:val="18"/>
                <w14:textFill>
                  <w14:solidFill>
                    <w14:schemeClr w14:val="tx1"/>
                  </w14:solidFill>
                </w14:textFill>
              </w:rPr>
              <w:t>-1</w:t>
            </w:r>
            <w:r>
              <w:rPr>
                <w:color w:val="000000" w:themeColor="text1"/>
                <w:spacing w:val="1"/>
                <w:sz w:val="18"/>
                <w:szCs w:val="18"/>
                <w14:textFill>
                  <w14:solidFill>
                    <w14:schemeClr w14:val="tx1"/>
                  </w14:solidFill>
                </w14:textFill>
              </w:rPr>
              <w:t>最大影响范围</w:t>
            </w:r>
            <w:r>
              <w:rPr>
                <w:rFonts w:ascii="Times New Roman" w:hAnsi="Times New Roman" w:eastAsia="Times New Roman" w:cs="Times New Roman"/>
                <w:color w:val="000000" w:themeColor="text1"/>
                <w:spacing w:val="1"/>
                <w:sz w:val="18"/>
                <w:szCs w:val="18"/>
                <w:u w:val="single" w:color="auto"/>
                <w14:textFill>
                  <w14:solidFill>
                    <w14:schemeClr w14:val="tx1"/>
                  </w14:solidFill>
                </w14:textFill>
              </w:rPr>
              <w:t>/</w:t>
            </w:r>
            <w:r>
              <w:rPr>
                <w:rFonts w:ascii="Times New Roman" w:hAnsi="Times New Roman" w:eastAsia="Times New Roman" w:cs="Times New Roman"/>
                <w:color w:val="000000" w:themeColor="text1"/>
                <w:spacing w:val="1"/>
                <w:sz w:val="18"/>
                <w:szCs w:val="18"/>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2555" w:type="dxa"/>
            <w:gridSpan w:val="2"/>
            <w:vMerge w:val="continue"/>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5422" w:type="dxa"/>
            <w:gridSpan w:val="7"/>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大气毒性终点浓度</w:t>
            </w:r>
            <w:r>
              <w:rPr>
                <w:rFonts w:ascii="Times New Roman" w:hAnsi="Times New Roman" w:eastAsia="Times New Roman" w:cs="Times New Roman"/>
                <w:color w:val="000000" w:themeColor="text1"/>
                <w:spacing w:val="-1"/>
                <w:sz w:val="18"/>
                <w:szCs w:val="18"/>
                <w14:textFill>
                  <w14:solidFill>
                    <w14:schemeClr w14:val="tx1"/>
                  </w14:solidFill>
                </w14:textFill>
              </w:rPr>
              <w:t>-2</w:t>
            </w:r>
            <w:r>
              <w:rPr>
                <w:color w:val="000000" w:themeColor="text1"/>
                <w:spacing w:val="-1"/>
                <w:sz w:val="18"/>
                <w:szCs w:val="18"/>
                <w14:textFill>
                  <w14:solidFill>
                    <w14:schemeClr w14:val="tx1"/>
                  </w14:solidFill>
                </w14:textFill>
              </w:rPr>
              <w:t>最大影响范围</w:t>
            </w:r>
            <w:r>
              <w:rPr>
                <w:rFonts w:ascii="Times New Roman" w:hAnsi="Times New Roman" w:eastAsia="Times New Roman" w:cs="Times New Roman"/>
                <w:color w:val="000000" w:themeColor="text1"/>
                <w:spacing w:val="-1"/>
                <w:sz w:val="18"/>
                <w:szCs w:val="18"/>
                <w:u w:val="single" w:color="auto"/>
                <w14:textFill>
                  <w14:solidFill>
                    <w14:schemeClr w14:val="tx1"/>
                  </w14:solidFill>
                </w14:textFill>
              </w:rPr>
              <w:t>/</w:t>
            </w:r>
            <w:r>
              <w:rPr>
                <w:rFonts w:ascii="Times New Roman" w:hAnsi="Times New Roman" w:eastAsia="Times New Roman" w:cs="Times New Roman"/>
                <w:color w:val="000000" w:themeColor="text1"/>
                <w:spacing w:val="-1"/>
                <w:sz w:val="18"/>
                <w:szCs w:val="18"/>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地表水</w:t>
            </w:r>
          </w:p>
        </w:tc>
        <w:tc>
          <w:tcPr>
            <w:tcW w:w="7977" w:type="dxa"/>
            <w:gridSpan w:val="9"/>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最近环境敏感目标</w:t>
            </w:r>
            <w:r>
              <w:rPr>
                <w:rFonts w:ascii="Times New Roman" w:hAnsi="Times New Roman" w:eastAsia="Times New Roman" w:cs="Times New Roman"/>
                <w:color w:val="000000" w:themeColor="text1"/>
                <w:spacing w:val="-1"/>
                <w:sz w:val="18"/>
                <w:szCs w:val="18"/>
                <w:u w:val="single" w:color="auto"/>
                <w14:textFill>
                  <w14:solidFill>
                    <w14:schemeClr w14:val="tx1"/>
                  </w14:solidFill>
                </w14:textFill>
              </w:rPr>
              <w:t>/</w:t>
            </w:r>
            <w:r>
              <w:rPr>
                <w:color w:val="000000" w:themeColor="text1"/>
                <w:spacing w:val="-1"/>
                <w:sz w:val="18"/>
                <w:szCs w:val="18"/>
                <w14:textFill>
                  <w14:solidFill>
                    <w14:schemeClr w14:val="tx1"/>
                  </w14:solidFill>
                </w14:textFill>
              </w:rPr>
              <w:t>，到达时间</w:t>
            </w:r>
            <w:r>
              <w:rPr>
                <w:rFonts w:ascii="Times New Roman" w:hAnsi="Times New Roman" w:eastAsia="Times New Roman" w:cs="Times New Roman"/>
                <w:color w:val="000000" w:themeColor="text1"/>
                <w:spacing w:val="-1"/>
                <w:sz w:val="18"/>
                <w:szCs w:val="18"/>
                <w:u w:val="single" w:color="auto"/>
                <w14:textFill>
                  <w14:solidFill>
                    <w14:schemeClr w14:val="tx1"/>
                  </w14:solidFill>
                </w14:textFill>
              </w:rPr>
              <w:t>/</w:t>
            </w:r>
            <w:r>
              <w:rPr>
                <w:rFonts w:ascii="Times New Roman" w:hAnsi="Times New Roman" w:eastAsia="Times New Roman" w:cs="Times New Roman"/>
                <w:color w:val="000000" w:themeColor="text1"/>
                <w:spacing w:val="-2"/>
                <w:sz w:val="18"/>
                <w:szCs w:val="18"/>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center"/>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restart"/>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地下水</w:t>
            </w:r>
          </w:p>
        </w:tc>
        <w:tc>
          <w:tcPr>
            <w:tcW w:w="7977" w:type="dxa"/>
            <w:gridSpan w:val="9"/>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下游厂区边界到达时间</w:t>
            </w:r>
            <w:r>
              <w:rPr>
                <w:rFonts w:ascii="Times New Roman" w:hAnsi="Times New Roman" w:eastAsia="Times New Roman" w:cs="Times New Roman"/>
                <w:color w:val="000000" w:themeColor="text1"/>
                <w:spacing w:val="-1"/>
                <w:sz w:val="18"/>
                <w:szCs w:val="18"/>
                <w:u w:val="single" w:color="auto"/>
                <w14:textFill>
                  <w14:solidFill>
                    <w14:schemeClr w14:val="tx1"/>
                  </w14:solidFill>
                </w14:textFill>
              </w:rPr>
              <w:t>/</w:t>
            </w:r>
            <w:r>
              <w:rPr>
                <w:rFonts w:ascii="Times New Roman" w:hAnsi="Times New Roman" w:eastAsia="Times New Roman" w:cs="Times New Roman"/>
                <w:color w:val="000000" w:themeColor="text1"/>
                <w:spacing w:val="-1"/>
                <w:sz w:val="18"/>
                <w:szCs w:val="18"/>
                <w14:textFill>
                  <w14:solidFill>
                    <w14:schemeClr w14:val="tx1"/>
                  </w14:solidFill>
                </w14:textFill>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430" w:type="dxa"/>
            <w:vMerge w:val="continue"/>
            <w:textDirection w:val="tbRlV"/>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1382" w:type="dxa"/>
            <w:vMerge w:val="continue"/>
            <w:vAlign w:val="top"/>
          </w:tcPr>
          <w:p>
            <w:pPr>
              <w:keepNext w:val="0"/>
              <w:keepLines w:val="0"/>
              <w:pageBreakBefore w:val="0"/>
              <w:widowControl w:val="0"/>
              <w:kinsoku/>
              <w:wordWrap/>
              <w:overflowPunct/>
              <w:topLinePunct w:val="0"/>
              <w:autoSpaceDE/>
              <w:autoSpaceDN/>
              <w:bidi w:val="0"/>
              <w:spacing w:line="240" w:lineRule="auto"/>
              <w:ind w:left="0" w:right="0" w:firstLine="0" w:firstLineChars="0"/>
              <w:jc w:val="center"/>
              <w:rPr>
                <w:rFonts w:ascii="Arial"/>
                <w:color w:val="000000" w:themeColor="text1"/>
                <w:sz w:val="21"/>
                <w14:textFill>
                  <w14:solidFill>
                    <w14:schemeClr w14:val="tx1"/>
                  </w14:solidFill>
                </w14:textFill>
              </w:rPr>
            </w:pPr>
          </w:p>
        </w:tc>
        <w:tc>
          <w:tcPr>
            <w:tcW w:w="7977" w:type="dxa"/>
            <w:gridSpan w:val="9"/>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rFonts w:ascii="Times New Roman" w:hAnsi="Times New Roman" w:eastAsia="Times New Roman" w:cs="Times New Roman"/>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最近环境敏感目标</w:t>
            </w:r>
            <w:r>
              <w:rPr>
                <w:rFonts w:ascii="Times New Roman" w:hAnsi="Times New Roman" w:eastAsia="Times New Roman" w:cs="Times New Roman"/>
                <w:color w:val="000000" w:themeColor="text1"/>
                <w:spacing w:val="-1"/>
                <w:sz w:val="18"/>
                <w:szCs w:val="18"/>
                <w:u w:val="single" w:color="auto"/>
                <w14:textFill>
                  <w14:solidFill>
                    <w14:schemeClr w14:val="tx1"/>
                  </w14:solidFill>
                </w14:textFill>
              </w:rPr>
              <w:t>/</w:t>
            </w:r>
            <w:r>
              <w:rPr>
                <w:color w:val="000000" w:themeColor="text1"/>
                <w:spacing w:val="-1"/>
                <w:sz w:val="18"/>
                <w:szCs w:val="18"/>
                <w14:textFill>
                  <w14:solidFill>
                    <w14:schemeClr w14:val="tx1"/>
                  </w14:solidFill>
                </w14:textFill>
              </w:rPr>
              <w:t>，到达时间</w:t>
            </w:r>
            <w:r>
              <w:rPr>
                <w:rFonts w:ascii="Times New Roman" w:hAnsi="Times New Roman" w:eastAsia="Times New Roman" w:cs="Times New Roman"/>
                <w:color w:val="000000" w:themeColor="text1"/>
                <w:spacing w:val="-1"/>
                <w:sz w:val="18"/>
                <w:szCs w:val="18"/>
                <w:u w:val="single" w:color="auto"/>
                <w14:textFill>
                  <w14:solidFill>
                    <w14:schemeClr w14:val="tx1"/>
                  </w14:solidFill>
                </w14:textFill>
              </w:rPr>
              <w:t>/</w:t>
            </w:r>
            <w:r>
              <w:rPr>
                <w:rFonts w:ascii="Times New Roman" w:hAnsi="Times New Roman" w:eastAsia="Times New Roman" w:cs="Times New Roman"/>
                <w:color w:val="000000" w:themeColor="text1"/>
                <w:spacing w:val="-2"/>
                <w:sz w:val="18"/>
                <w:szCs w:val="18"/>
                <w14:textFill>
                  <w14:solidFill>
                    <w14:schemeClr w14:val="tx1"/>
                  </w14:solidFill>
                </w14:textFill>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40" w:hRule="atLeast"/>
          <w:jc w:val="center"/>
        </w:trPr>
        <w:tc>
          <w:tcPr>
            <w:tcW w:w="1812"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重点风险防范措施</w:t>
            </w:r>
          </w:p>
        </w:tc>
        <w:tc>
          <w:tcPr>
            <w:tcW w:w="7977" w:type="dxa"/>
            <w:gridSpan w:val="9"/>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both"/>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在罐区等涉及到易燃物质的区域，设置可燃气体报警装置；罐区设施防火堤</w:t>
            </w:r>
            <w:r>
              <w:rPr>
                <w:color w:val="000000" w:themeColor="text1"/>
                <w:spacing w:val="-1"/>
                <w:sz w:val="18"/>
                <w:szCs w:val="18"/>
                <w14:textFill>
                  <w14:solidFill>
                    <w14:schemeClr w14:val="tx1"/>
                  </w14:solidFill>
                </w14:textFill>
              </w:rPr>
              <w:t>出口截止阀门和切</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both"/>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换阀门，厂区设雨水截止措施，末端设设事故池，形成完整的三级防控体系</w:t>
            </w:r>
            <w:r>
              <w:rPr>
                <w:color w:val="000000" w:themeColor="text1"/>
                <w:spacing w:val="-1"/>
                <w:sz w:val="18"/>
                <w:szCs w:val="18"/>
                <w14:textFill>
                  <w14:solidFill>
                    <w14:schemeClr w14:val="tx1"/>
                  </w14:solidFill>
                </w14:textFill>
              </w:rPr>
              <w:t>；厂区地面按照重点、</w:t>
            </w:r>
          </w:p>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both"/>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一般、简单防渗的要求进行防渗，防止污染物进入地下水环境。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1812" w:type="dxa"/>
            <w:gridSpan w:val="2"/>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评价结论与建议</w:t>
            </w:r>
          </w:p>
        </w:tc>
        <w:tc>
          <w:tcPr>
            <w:tcW w:w="7977" w:type="dxa"/>
            <w:gridSpan w:val="9"/>
            <w:vAlign w:val="center"/>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both"/>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本项目环境风险评价等级为三级评价，按照评价提出的风险防控措施落实</w:t>
            </w:r>
            <w:r>
              <w:rPr>
                <w:color w:val="000000" w:themeColor="text1"/>
                <w:spacing w:val="-1"/>
                <w:sz w:val="18"/>
                <w:szCs w:val="18"/>
                <w14:textFill>
                  <w14:solidFill>
                    <w14:schemeClr w14:val="tx1"/>
                  </w14:solidFill>
                </w14:textFill>
              </w:rPr>
              <w:t>，并加强环境风险管</w:t>
            </w:r>
            <w:r>
              <w:rPr>
                <w:color w:val="000000" w:themeColor="text1"/>
                <w:sz w:val="18"/>
                <w:szCs w:val="18"/>
                <w14:textFill>
                  <w14:solidFill>
                    <w14:schemeClr w14:val="tx1"/>
                  </w14:solidFill>
                </w14:textFill>
              </w:rPr>
              <w:t>理，项目环境风险可控。建议：加强日常安全消</w:t>
            </w:r>
            <w:r>
              <w:rPr>
                <w:color w:val="000000" w:themeColor="text1"/>
                <w:spacing w:val="-1"/>
                <w:sz w:val="18"/>
                <w:szCs w:val="18"/>
                <w14:textFill>
                  <w14:solidFill>
                    <w14:schemeClr w14:val="tx1"/>
                  </w14:solidFill>
                </w14:textFill>
              </w:rPr>
              <w:t>防管理与环境应急演练。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9789" w:type="dxa"/>
            <w:gridSpan w:val="11"/>
            <w:vAlign w:val="top"/>
          </w:tcPr>
          <w:p>
            <w:pPr>
              <w:pStyle w:val="96"/>
              <w:keepNext w:val="0"/>
              <w:keepLines w:val="0"/>
              <w:pageBreakBefore w:val="0"/>
              <w:widowControl w:val="0"/>
              <w:kinsoku/>
              <w:wordWrap/>
              <w:overflowPunct/>
              <w:topLinePunct w:val="0"/>
              <w:autoSpaceDE/>
              <w:autoSpaceDN/>
              <w:bidi w:val="0"/>
              <w:spacing w:beforeLines="0" w:afterLines="0" w:line="240" w:lineRule="auto"/>
              <w:ind w:left="0" w:right="0" w:firstLine="0" w:firstLineChars="0"/>
              <w:jc w:val="both"/>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注：</w:t>
            </w:r>
            <w:r>
              <w:rPr>
                <w:rFonts w:ascii="Times New Roman" w:hAnsi="Times New Roman" w:eastAsia="Times New Roman" w:cs="Times New Roman"/>
                <w:color w:val="000000" w:themeColor="text1"/>
                <w:spacing w:val="-1"/>
                <w:sz w:val="18"/>
                <w:szCs w:val="18"/>
                <w14:textFill>
                  <w14:solidFill>
                    <w14:schemeClr w14:val="tx1"/>
                  </w14:solidFill>
                </w14:textFill>
              </w:rPr>
              <w:t>“□”</w:t>
            </w:r>
            <w:r>
              <w:rPr>
                <w:color w:val="000000" w:themeColor="text1"/>
                <w:spacing w:val="-1"/>
                <w:sz w:val="18"/>
                <w:szCs w:val="18"/>
                <w14:textFill>
                  <w14:solidFill>
                    <w14:schemeClr w14:val="tx1"/>
                  </w14:solidFill>
                </w14:textFill>
              </w:rPr>
              <w:t>为勾选项，</w:t>
            </w:r>
            <w:r>
              <w:rPr>
                <w:rFonts w:ascii="Times New Roman" w:hAnsi="Times New Roman" w:eastAsia="Times New Roman" w:cs="Times New Roman"/>
                <w:color w:val="000000" w:themeColor="text1"/>
                <w:spacing w:val="-1"/>
                <w:sz w:val="18"/>
                <w:szCs w:val="18"/>
                <w14:textFill>
                  <w14:solidFill>
                    <w14:schemeClr w14:val="tx1"/>
                  </w14:solidFill>
                </w14:textFill>
              </w:rPr>
              <w:t>“”</w:t>
            </w:r>
            <w:r>
              <w:rPr>
                <w:color w:val="000000" w:themeColor="text1"/>
                <w:spacing w:val="-1"/>
                <w:sz w:val="18"/>
                <w:szCs w:val="18"/>
                <w14:textFill>
                  <w14:solidFill>
                    <w14:schemeClr w14:val="tx1"/>
                  </w14:solidFill>
                </w14:textFill>
              </w:rPr>
              <w:t>为填写项。</w:t>
            </w:r>
          </w:p>
        </w:tc>
      </w:tr>
    </w:tbl>
    <w:p>
      <w:pPr>
        <w:ind w:left="0" w:leftChars="0" w:firstLine="0" w:firstLineChars="0"/>
        <w:jc w:val="center"/>
        <w:rPr>
          <w:rFonts w:hint="default"/>
          <w:b/>
          <w:bCs/>
          <w:color w:val="000000" w:themeColor="text1"/>
          <w:lang w:val="en-US" w:eastAsia="zh-CN"/>
          <w14:textFill>
            <w14:solidFill>
              <w14:schemeClr w14:val="tx1"/>
            </w14:solidFill>
          </w14:textFill>
        </w:rPr>
      </w:pPr>
    </w:p>
    <w:sectPr>
      <w:pgSz w:w="11906" w:h="16838"/>
      <w:pgMar w:top="1134" w:right="1134" w:bottom="1134" w:left="1531" w:header="851" w:footer="851" w:gutter="0"/>
      <w:pgBorders>
        <w:top w:val="none" w:sz="0" w:space="0"/>
        <w:left w:val="none" w:sz="0" w:space="0"/>
        <w:bottom w:val="none" w:sz="0" w:space="0"/>
        <w:right w:val="none" w:sz="0" w:space="0"/>
      </w:pgBorders>
      <w:pgNumType w:fmt="decimal" w:start="1"/>
      <w:cols w:space="72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ehtjs" w:date="2026-01-05T17:47:49Z" w:initials="e">
    <w:p w14:paraId="F66F790C">
      <w:pPr>
        <w:rPr>
          <w:rFonts w:hint="eastAsia"/>
          <w:lang w:val="en-US" w:eastAsia="zh-CN"/>
        </w:rPr>
      </w:pPr>
      <w:r>
        <w:rPr>
          <w:rFonts w:hint="eastAsia"/>
          <w:lang w:val="en-US" w:eastAsia="zh-CN"/>
        </w:rPr>
        <w:t>核实建设性质，技改项目是对现有项目技术、流程、工艺、原料升级换代，而且关键的是改扩建、技改项目都应该是原有项目的主要用途、性能未发生改变的情况</w:t>
      </w:r>
    </w:p>
    <w:p w14:paraId="FB5F4924">
      <w:pPr>
        <w:rPr>
          <w:rFonts w:hint="default"/>
          <w:lang w:val="en-US" w:eastAsia="zh-CN"/>
        </w:rPr>
      </w:pPr>
      <w:r>
        <w:rPr>
          <w:rFonts w:hint="eastAsia"/>
          <w:lang w:val="en-US" w:eastAsia="zh-CN"/>
        </w:rPr>
        <w:t>备案文件中也未体现</w:t>
      </w:r>
    </w:p>
  </w:comment>
  <w:comment w:id="1" w:author="什么" w:date="2026-01-26T19:37:06Z" w:initials="">
    <w:p w14:paraId="EDD7A2A1">
      <w:pPr>
        <w:pStyle w:val="7"/>
        <w:rPr>
          <w:rFonts w:hint="default" w:eastAsia="宋体"/>
          <w:lang w:val="en-US" w:eastAsia="zh-CN"/>
        </w:rPr>
      </w:pPr>
      <w:r>
        <w:rPr>
          <w:rFonts w:hint="eastAsia"/>
          <w:lang w:val="en-US" w:eastAsia="zh-CN"/>
        </w:rPr>
        <w:t>附图7</w:t>
      </w:r>
    </w:p>
  </w:comment>
  <w:comment w:id="2" w:author="ehtjs" w:date="2026-01-05T18:21:37Z" w:initials="e">
    <w:p w14:paraId="1FF525EC">
      <w:pPr>
        <w:pStyle w:val="7"/>
        <w:ind w:left="0" w:leftChars="0" w:firstLine="0" w:firstLineChars="0"/>
        <w:rPr>
          <w:rFonts w:hint="default" w:eastAsia="宋体"/>
          <w:lang w:val="en-US" w:eastAsia="zh-CN"/>
        </w:rPr>
      </w:pPr>
      <w:r>
        <w:rPr>
          <w:rFonts w:hint="eastAsia"/>
          <w:lang w:val="en-US" w:eastAsia="zh-CN"/>
        </w:rPr>
        <w:t>针对本企业土壤、地下水超标做出哪些整改建议这里补充</w:t>
      </w:r>
    </w:p>
  </w:comment>
  <w:comment w:id="3" w:author="什么" w:date="2026-01-26T20:37:11Z" w:initials="">
    <w:p w14:paraId="C07B36B3">
      <w:pPr>
        <w:pStyle w:val="7"/>
        <w:rPr>
          <w:rFonts w:hint="default" w:eastAsia="宋体"/>
          <w:lang w:val="en-US" w:eastAsia="zh-CN"/>
        </w:rPr>
      </w:pPr>
      <w:r>
        <w:rPr>
          <w:rFonts w:hint="eastAsia"/>
          <w:lang w:val="en-US" w:eastAsia="zh-CN"/>
        </w:rPr>
        <w:t>不外排三个字删掉吧，不是不排，排到污水厂属于间接排放</w:t>
      </w:r>
    </w:p>
  </w:comment>
  <w:comment w:id="4" w:author="ehtjs" w:date="2026-01-05T18:04:32Z" w:initials="e">
    <w:p w14:paraId="BE9F2825">
      <w:pPr>
        <w:pStyle w:val="7"/>
        <w:rPr>
          <w:rFonts w:hint="default"/>
          <w:lang w:val="en-US" w:eastAsia="zh-CN"/>
        </w:rPr>
      </w:pPr>
      <w:r>
        <w:rPr>
          <w:rFonts w:hint="eastAsia"/>
          <w:lang w:val="en-US" w:eastAsia="zh-CN"/>
        </w:rPr>
        <w:t>不产生和不外排不一样，前面提到“</w:t>
      </w:r>
      <w:r>
        <w:rPr>
          <w:rFonts w:hint="eastAsia" w:cs="Times New Roman"/>
          <w:color w:val="000000" w:themeColor="text1"/>
          <w:kern w:val="0"/>
          <w:sz w:val="21"/>
          <w:szCs w:val="21"/>
          <w:highlight w:val="none"/>
          <w:lang w:val="en-US" w:eastAsia="zh-CN"/>
          <w14:textFill>
            <w14:solidFill>
              <w14:schemeClr w14:val="tx1"/>
            </w14:solidFill>
          </w14:textFill>
        </w:rPr>
        <w:t>废水经污水处理站处理后</w:t>
      </w:r>
      <w:r>
        <w:rPr>
          <w:rFonts w:hint="eastAsia"/>
          <w:color w:val="000000" w:themeColor="text1"/>
          <w:sz w:val="21"/>
          <w:szCs w:val="21"/>
          <w:highlight w:val="none"/>
          <w:u w:val="none"/>
          <w:lang w:val="en-US" w:eastAsia="zh-CN"/>
          <w14:textFill>
            <w14:solidFill>
              <w14:schemeClr w14:val="tx1"/>
            </w14:solidFill>
          </w14:textFill>
        </w:rPr>
        <w:t>排至鄂尔多斯市泰鑫煤炭有限公司洗煤综合利用</w:t>
      </w:r>
      <w:r>
        <w:rPr>
          <w:rFonts w:hint="eastAsia"/>
          <w:lang w:val="en-US" w:eastAsia="zh-CN"/>
        </w:rPr>
        <w:t>”</w:t>
      </w:r>
    </w:p>
  </w:comment>
  <w:comment w:id="5" w:author="ehtjs" w:date="2026-01-05T18:05:20Z" w:initials="e">
    <w:p w14:paraId="B67FC2F9">
      <w:pPr>
        <w:pStyle w:val="7"/>
        <w:rPr>
          <w:rFonts w:hint="default" w:eastAsia="宋体"/>
          <w:lang w:val="en-US" w:eastAsia="zh-CN"/>
        </w:rPr>
      </w:pPr>
      <w:r>
        <w:rPr>
          <w:rFonts w:hint="eastAsia"/>
          <w:lang w:val="en-US" w:eastAsia="zh-CN"/>
        </w:rPr>
        <w:t>项目环境风险较高，要逐条对应前面的要求作出分析，如事故水池情况，风险管控情况等细化</w:t>
      </w:r>
    </w:p>
  </w:comment>
  <w:comment w:id="6" w:author="什么" w:date="2026-01-26T19:37:44Z" w:initials="">
    <w:p w14:paraId="EF82556E">
      <w:pPr>
        <w:pStyle w:val="7"/>
        <w:rPr>
          <w:rFonts w:hint="default" w:eastAsia="宋体"/>
          <w:lang w:val="en-US" w:eastAsia="zh-CN"/>
        </w:rPr>
      </w:pPr>
      <w:r>
        <w:rPr>
          <w:rFonts w:hint="eastAsia"/>
          <w:lang w:val="en-US" w:eastAsia="zh-CN"/>
        </w:rPr>
        <w:t>把园区准入补上，这个地方会上专家也提了，查一下规划环评，看看相关的产业限值，园区准入负面条件</w:t>
      </w:r>
    </w:p>
  </w:comment>
  <w:comment w:id="7" w:author="什么" w:date="2026-01-26T19:41:00Z" w:initials="">
    <w:p w14:paraId="BEFE9502">
      <w:pPr>
        <w:pStyle w:val="7"/>
        <w:rPr>
          <w:rFonts w:hint="eastAsia"/>
          <w:lang w:val="en-US" w:eastAsia="zh-CN"/>
        </w:rPr>
      </w:pPr>
      <w:r>
        <w:rPr>
          <w:rFonts w:hint="eastAsia"/>
          <w:lang w:val="en-US" w:eastAsia="zh-CN"/>
        </w:rPr>
        <w:t>这个拆开一条一条对，有些要求的内容没有回答</w:t>
      </w:r>
    </w:p>
    <w:p w14:paraId="FCB07718">
      <w:pPr>
        <w:rPr>
          <w:rFonts w:hint="default"/>
          <w:lang w:val="en-US" w:eastAsia="zh-CN"/>
        </w:rPr>
      </w:pPr>
      <w:r>
        <w:rPr>
          <w:rFonts w:hint="eastAsia"/>
          <w:lang w:val="en-US" w:eastAsia="zh-CN"/>
        </w:rPr>
        <w:t>1</w:t>
      </w:r>
    </w:p>
    <w:p w14:paraId="CFF4F07E">
      <w:pPr>
        <w:rPr>
          <w:rFonts w:hint="default"/>
          <w:lang w:val="en-US" w:eastAsia="zh-CN"/>
        </w:rPr>
      </w:pPr>
      <w:r>
        <w:rPr>
          <w:rFonts w:hint="eastAsia"/>
          <w:lang w:val="en-US" w:eastAsia="zh-CN"/>
        </w:rPr>
        <w:t>2</w:t>
      </w:r>
    </w:p>
    <w:p w14:paraId="73D796D4">
      <w:pPr>
        <w:rPr>
          <w:rFonts w:hint="default"/>
          <w:lang w:val="en-US" w:eastAsia="zh-CN"/>
        </w:rPr>
      </w:pPr>
      <w:r>
        <w:rPr>
          <w:rFonts w:hint="eastAsia"/>
          <w:lang w:val="en-US" w:eastAsia="zh-CN"/>
        </w:rPr>
        <w:t>3</w:t>
      </w:r>
    </w:p>
    <w:p w14:paraId="FD570598">
      <w:pPr>
        <w:rPr>
          <w:rFonts w:hint="default"/>
          <w:lang w:val="en-US" w:eastAsia="zh-CN"/>
        </w:rPr>
      </w:pPr>
      <w:r>
        <w:rPr>
          <w:rFonts w:hint="eastAsia"/>
          <w:lang w:val="en-US" w:eastAsia="zh-CN"/>
        </w:rPr>
        <w:t>4</w:t>
      </w:r>
    </w:p>
  </w:comment>
  <w:comment w:id="8" w:author="什么" w:date="2026-01-26T19:41:33Z" w:initials="">
    <w:p w14:paraId="F5EBDB15">
      <w:pPr>
        <w:pStyle w:val="7"/>
        <w:rPr>
          <w:rFonts w:hint="eastAsia" w:eastAsia="宋体"/>
          <w:lang w:val="en-US" w:eastAsia="zh-CN"/>
        </w:rPr>
      </w:pPr>
      <w:r>
        <w:rPr>
          <w:rFonts w:hint="eastAsia"/>
          <w:lang w:val="en-US" w:eastAsia="zh-CN"/>
        </w:rPr>
        <w:t>回答</w:t>
      </w:r>
    </w:p>
  </w:comment>
  <w:comment w:id="9" w:author="什么" w:date="2026-01-26T19:39:43Z" w:initials="">
    <w:p w14:paraId="FCFFA733">
      <w:pPr>
        <w:pStyle w:val="7"/>
        <w:rPr>
          <w:rFonts w:hint="default" w:eastAsia="宋体"/>
          <w:lang w:val="en-US" w:eastAsia="zh-CN"/>
        </w:rPr>
      </w:pPr>
      <w:r>
        <w:rPr>
          <w:rFonts w:hint="eastAsia"/>
          <w:lang w:val="en-US" w:eastAsia="zh-CN"/>
        </w:rPr>
        <w:t>本项目是什么项目，属于...</w:t>
      </w:r>
    </w:p>
  </w:comment>
  <w:comment w:id="10" w:author="什么" w:date="2026-01-26T19:45:19Z" w:initials="">
    <w:p w14:paraId="613FBD8A">
      <w:pPr>
        <w:pStyle w:val="7"/>
        <w:rPr>
          <w:rFonts w:hint="default" w:eastAsia="宋体"/>
          <w:lang w:val="en-US" w:eastAsia="zh-CN"/>
        </w:rPr>
      </w:pPr>
      <w:r>
        <w:rPr>
          <w:rFonts w:hint="eastAsia"/>
          <w:lang w:val="en-US" w:eastAsia="zh-CN"/>
        </w:rPr>
        <w:t>改成：本项目所属行业未发布清洁上产标准，本项目</w:t>
      </w:r>
      <w:r>
        <w:rPr>
          <w:rFonts w:hint="eastAsia"/>
          <w:color w:val="000000" w:themeColor="text1"/>
          <w:highlight w:val="none"/>
          <w:lang w:val="en-US" w:eastAsia="zh-CN"/>
          <w14:textFill>
            <w14:solidFill>
              <w14:schemeClr w14:val="tx1"/>
            </w14:solidFill>
          </w14:textFill>
        </w:rPr>
        <w:t>用水主要生活用水、地面清洗用水，用水由市政自来水提供。用水量较少，用电、用气情况（没有行业的清洁生产标准，就不要下清洁生产达到什么标准的结论了，简单说用电、水、气情况）</w:t>
      </w:r>
    </w:p>
  </w:comment>
  <w:comment w:id="11" w:author="什么" w:date="2026-01-26T20:45:31Z" w:initials="">
    <w:p w14:paraId="7EEF824C">
      <w:pPr>
        <w:pStyle w:val="7"/>
        <w:rPr>
          <w:rFonts w:hint="eastAsia" w:eastAsia="宋体"/>
          <w:lang w:val="en-US" w:eastAsia="zh-CN"/>
        </w:rPr>
      </w:pPr>
      <w:r>
        <w:rPr>
          <w:rFonts w:hint="eastAsia"/>
          <w:lang w:val="en-US" w:eastAsia="zh-CN"/>
        </w:rPr>
        <w:t>拆开</w:t>
      </w:r>
    </w:p>
  </w:comment>
  <w:comment w:id="12" w:author="ehtjs" w:date="2026-01-05T20:55:27Z" w:initials="e">
    <w:p w14:paraId="2DFFBA9B">
      <w:pPr>
        <w:pStyle w:val="7"/>
        <w:rPr>
          <w:rFonts w:hint="default" w:eastAsia="宋体"/>
          <w:lang w:val="en-US" w:eastAsia="zh-CN"/>
        </w:rPr>
      </w:pPr>
      <w:r>
        <w:rPr>
          <w:rFonts w:hint="eastAsia"/>
          <w:lang w:val="en-US" w:eastAsia="zh-CN"/>
        </w:rPr>
        <w:t>对照前面要求要用具体效率多少说明是否属于高效治理设施</w:t>
      </w:r>
    </w:p>
  </w:comment>
  <w:comment w:id="13" w:author="什么" w:date="2026-01-26T20:45:39Z" w:initials="">
    <w:p w14:paraId="E0D7F073">
      <w:pPr>
        <w:pStyle w:val="7"/>
        <w:rPr>
          <w:rFonts w:hint="eastAsia" w:eastAsia="宋体"/>
          <w:lang w:val="en-US" w:eastAsia="zh-CN"/>
        </w:rPr>
      </w:pPr>
      <w:r>
        <w:rPr>
          <w:rFonts w:hint="eastAsia"/>
          <w:lang w:val="en-US" w:eastAsia="zh-CN"/>
        </w:rPr>
        <w:t>拆开</w:t>
      </w:r>
    </w:p>
  </w:comment>
  <w:comment w:id="14" w:author="什么" w:date="2026-01-26T20:45:44Z" w:initials="">
    <w:p w14:paraId="67674342">
      <w:pPr>
        <w:pStyle w:val="7"/>
        <w:rPr>
          <w:rFonts w:hint="eastAsia" w:eastAsia="宋体"/>
          <w:lang w:val="en-US" w:eastAsia="zh-CN"/>
        </w:rPr>
      </w:pPr>
      <w:r>
        <w:rPr>
          <w:rFonts w:hint="eastAsia"/>
          <w:lang w:val="en-US" w:eastAsia="zh-CN"/>
        </w:rPr>
        <w:t>拆开</w:t>
      </w:r>
    </w:p>
  </w:comment>
  <w:comment w:id="15" w:author="什么" w:date="2026-01-26T20:48:06Z" w:initials="">
    <w:p w14:paraId="6BF76103">
      <w:pPr>
        <w:pStyle w:val="7"/>
        <w:rPr>
          <w:rFonts w:hint="eastAsia" w:eastAsia="宋体"/>
          <w:lang w:val="en-US" w:eastAsia="zh-CN"/>
        </w:rPr>
      </w:pPr>
      <w:r>
        <w:rPr>
          <w:rFonts w:hint="eastAsia"/>
          <w:lang w:val="en-US" w:eastAsia="zh-CN"/>
        </w:rPr>
        <w:t>拆开</w:t>
      </w:r>
    </w:p>
  </w:comment>
  <w:comment w:id="16" w:author="ehtjs" w:date="2026-01-05T21:19:27Z" w:initials="e">
    <w:p w14:paraId="7BFDDFBC">
      <w:pPr>
        <w:pStyle w:val="7"/>
        <w:rPr>
          <w:rFonts w:hint="default" w:eastAsia="宋体"/>
          <w:lang w:val="en-US" w:eastAsia="zh-CN"/>
        </w:rPr>
      </w:pPr>
      <w:r>
        <w:rPr>
          <w:rFonts w:hint="eastAsia"/>
          <w:lang w:val="en-US" w:eastAsia="zh-CN"/>
        </w:rPr>
        <w:t>补充</w:t>
      </w:r>
      <w:r>
        <w:rPr>
          <w:rFonts w:hint="eastAsia"/>
          <w:color w:val="auto"/>
          <w:sz w:val="24"/>
          <w:highlight w:val="none"/>
          <w:lang w:val="en-US" w:eastAsia="zh-CN"/>
        </w:rPr>
        <w:t>《挥发性有机物（VOCs）污染防治技术政策》的符合性分析</w:t>
      </w:r>
    </w:p>
  </w:comment>
  <w:comment w:id="17" w:author="ehtjs" w:date="2026-01-05T22:45:26Z" w:initials="e">
    <w:p w14:paraId="37BA1DE1">
      <w:pPr>
        <w:pStyle w:val="7"/>
        <w:rPr>
          <w:rFonts w:hint="default" w:eastAsia="宋体"/>
          <w:lang w:val="en-US" w:eastAsia="zh-CN"/>
        </w:rPr>
      </w:pPr>
      <w:r>
        <w:rPr>
          <w:rFonts w:hint="eastAsia"/>
          <w:lang w:val="en-US" w:eastAsia="zh-CN"/>
        </w:rPr>
        <w:t>表中要求是该文件中内容？</w:t>
      </w:r>
    </w:p>
  </w:comment>
  <w:comment w:id="18" w:author="ehtjs" w:date="2026-01-05T22:51:23Z" w:initials="e">
    <w:p w14:paraId="BEFF057C">
      <w:pPr>
        <w:pStyle w:val="7"/>
        <w:rPr>
          <w:rFonts w:hint="default" w:eastAsia="宋体"/>
          <w:lang w:val="en-US" w:eastAsia="zh-CN"/>
        </w:rPr>
      </w:pPr>
      <w:r>
        <w:rPr>
          <w:rFonts w:hint="eastAsia"/>
          <w:lang w:val="en-US" w:eastAsia="zh-CN"/>
        </w:rPr>
        <w:t>30万吨项目是否进行验收，如果没有组织验收，那么利旧的储罐、以及公辅、环保工程是否可以依托？是否能达到当时环评要求？</w:t>
      </w:r>
    </w:p>
  </w:comment>
  <w:comment w:id="19" w:author="什么" w:date="2026-01-26T20:53:42Z" w:initials="">
    <w:p w14:paraId="7FBFDB59">
      <w:pPr>
        <w:pStyle w:val="7"/>
        <w:rPr>
          <w:rFonts w:hint="default" w:eastAsia="宋体"/>
          <w:lang w:val="en-US" w:eastAsia="zh-CN"/>
        </w:rPr>
      </w:pPr>
      <w:r>
        <w:rPr>
          <w:rFonts w:hint="eastAsia"/>
          <w:lang w:val="en-US" w:eastAsia="zh-CN"/>
        </w:rPr>
        <w:t>100</w:t>
      </w:r>
    </w:p>
  </w:comment>
  <w:comment w:id="20" w:author="ehtjs" w:date="2026-01-06T09:27:27Z" w:initials="e">
    <w:p w14:paraId="EFDF9794">
      <w:pPr>
        <w:pStyle w:val="7"/>
        <w:rPr>
          <w:rFonts w:hint="default"/>
          <w:lang w:val="en-US" w:eastAsia="zh-CN"/>
        </w:rPr>
      </w:pPr>
      <w:r>
        <w:rPr>
          <w:rFonts w:hint="eastAsia"/>
          <w:lang w:val="en-US" w:eastAsia="zh-CN"/>
        </w:rPr>
        <w:t>表格中的技改前是实际建设情况还是当时环评里的内容？需要明确，应该先对照环评要求和实际建设介绍原有项目整体是一个怎样的建成的情况</w:t>
      </w:r>
    </w:p>
    <w:p w14:paraId="2E6A4739">
      <w:pPr>
        <w:pStyle w:val="7"/>
        <w:rPr>
          <w:rFonts w:hint="default" w:eastAsia="宋体"/>
          <w:lang w:val="en-US" w:eastAsia="zh-CN"/>
        </w:rPr>
      </w:pPr>
    </w:p>
  </w:comment>
  <w:comment w:id="21" w:author="简約" w:date="2026-01-26T10:07:35Z" w:initials="">
    <w:p w14:paraId="4CDD3F9D">
      <w:pPr>
        <w:pStyle w:val="7"/>
        <w:rPr>
          <w:rFonts w:hint="default" w:eastAsia="宋体"/>
          <w:lang w:val="en-US" w:eastAsia="zh-CN"/>
        </w:rPr>
      </w:pPr>
      <w:r>
        <w:rPr>
          <w:rFonts w:hint="eastAsia"/>
          <w:lang w:val="en-US" w:eastAsia="zh-CN"/>
        </w:rPr>
        <w:t>已补充，见表2-1</w:t>
      </w:r>
    </w:p>
  </w:comment>
  <w:comment w:id="22" w:author="ehtjs" w:date="2026-01-05T22:58:39Z" w:initials="e">
    <w:p w14:paraId="3EF6DBBC">
      <w:pPr>
        <w:rPr>
          <w:rFonts w:hint="default"/>
          <w:lang w:val="en-US" w:eastAsia="zh-CN"/>
        </w:rPr>
      </w:pPr>
    </w:p>
  </w:comment>
  <w:comment w:id="23" w:author="什么" w:date="2026-01-26T20:55:08Z" w:initials="">
    <w:p w14:paraId="A3EFFD5A">
      <w:pPr>
        <w:pStyle w:val="7"/>
        <w:rPr>
          <w:rFonts w:hint="eastAsia" w:eastAsia="宋体"/>
          <w:lang w:val="en-US" w:eastAsia="zh-CN"/>
        </w:rPr>
      </w:pPr>
      <w:r>
        <w:rPr>
          <w:rFonts w:hint="eastAsia"/>
          <w:lang w:val="en-US" w:eastAsia="zh-CN"/>
        </w:rPr>
        <w:t>改成“备注”</w:t>
      </w:r>
    </w:p>
  </w:comment>
  <w:comment w:id="24" w:author="ehtjs" w:date="2026-01-06T09:35:00Z" w:initials="e">
    <w:p w14:paraId="FEEDCAEF">
      <w:pPr>
        <w:pStyle w:val="7"/>
        <w:rPr>
          <w:rFonts w:hint="default" w:eastAsia="宋体"/>
          <w:lang w:val="en-US" w:eastAsia="zh-CN"/>
        </w:rPr>
      </w:pPr>
      <w:r>
        <w:rPr>
          <w:rFonts w:hint="eastAsia"/>
          <w:lang w:val="en-US" w:eastAsia="zh-CN"/>
        </w:rPr>
        <w:t>装卸区到调和罐的管道工程是否已建成？补充</w:t>
      </w:r>
    </w:p>
  </w:comment>
  <w:comment w:id="25" w:author="什么" w:date="2026-01-26T20:55:18Z" w:initials="">
    <w:p w14:paraId="4F7FA32E">
      <w:pPr>
        <w:pStyle w:val="7"/>
        <w:rPr>
          <w:rFonts w:hint="default" w:eastAsia="宋体"/>
          <w:lang w:val="en-US" w:eastAsia="zh-CN"/>
        </w:rPr>
      </w:pPr>
      <w:r>
        <w:rPr>
          <w:rFonts w:hint="eastAsia"/>
          <w:lang w:val="en-US" w:eastAsia="zh-CN"/>
        </w:rPr>
        <w:t>是否已经拆除</w:t>
      </w:r>
    </w:p>
  </w:comment>
  <w:comment w:id="26" w:author="ehtjs" w:date="2026-01-05T23:05:51Z" w:initials="e">
    <w:p w14:paraId="5FF9C193">
      <w:pPr>
        <w:pStyle w:val="7"/>
        <w:rPr>
          <w:rFonts w:hint="default" w:eastAsia="宋体"/>
          <w:lang w:val="en-US" w:eastAsia="zh-CN"/>
        </w:rPr>
      </w:pPr>
      <w:r>
        <w:rPr>
          <w:rFonts w:hint="eastAsia"/>
          <w:lang w:val="en-US" w:eastAsia="zh-CN"/>
        </w:rPr>
        <w:t>原项目是否有组织排放口？</w:t>
      </w:r>
    </w:p>
  </w:comment>
  <w:comment w:id="27" w:author="ehtjs" w:date="2026-01-05T23:04:18Z" w:initials="e">
    <w:p w14:paraId="F6C77229">
      <w:pPr>
        <w:pStyle w:val="7"/>
        <w:rPr>
          <w:rFonts w:hint="default" w:eastAsia="宋体"/>
          <w:lang w:val="en-US" w:eastAsia="zh-CN"/>
        </w:rPr>
      </w:pPr>
      <w:r>
        <w:rPr>
          <w:rFonts w:hint="eastAsia"/>
          <w:lang w:val="en-US" w:eastAsia="zh-CN"/>
        </w:rPr>
        <w:t>怎么处理？前面提到有冷凝＋吸附，核实</w:t>
      </w:r>
    </w:p>
  </w:comment>
  <w:comment w:id="28" w:author="什么" w:date="2026-01-26T19:53:37Z" w:initials="">
    <w:p w14:paraId="FDEC3E51">
      <w:pPr>
        <w:pStyle w:val="7"/>
        <w:rPr>
          <w:rFonts w:hint="default" w:eastAsia="宋体"/>
          <w:lang w:val="en-US" w:eastAsia="zh-CN"/>
        </w:rPr>
      </w:pPr>
      <w:r>
        <w:rPr>
          <w:rFonts w:hint="eastAsia"/>
          <w:lang w:val="en-US" w:eastAsia="zh-CN"/>
        </w:rPr>
        <w:t>原环评批的是100m3/d的吧，量也够。就按100弄吧，这直接写成400m3/d有问题了</w:t>
      </w:r>
    </w:p>
  </w:comment>
  <w:comment w:id="29" w:author="ehtjs" w:date="2026-01-05T23:21:04Z" w:initials="e">
    <w:p w14:paraId="BFF7D92D">
      <w:pPr>
        <w:pStyle w:val="7"/>
        <w:rPr>
          <w:rFonts w:hint="default" w:eastAsia="宋体"/>
          <w:lang w:val="en-US" w:eastAsia="zh-CN"/>
        </w:rPr>
      </w:pPr>
      <w:r>
        <w:rPr>
          <w:rFonts w:hint="eastAsia"/>
          <w:lang w:val="en-US" w:eastAsia="zh-CN"/>
        </w:rPr>
        <w:t>这里的生产废水是30万吨的吗？什么处理工艺也不清楚</w:t>
      </w:r>
    </w:p>
  </w:comment>
  <w:comment w:id="30" w:author="ehtjs" w:date="2026-01-05T23:06:47Z" w:initials="e">
    <w:p w14:paraId="BDED20D3">
      <w:pPr>
        <w:pStyle w:val="7"/>
        <w:rPr>
          <w:rFonts w:hint="default" w:eastAsia="宋体"/>
          <w:lang w:val="en-US" w:eastAsia="zh-CN"/>
        </w:rPr>
      </w:pPr>
      <w:r>
        <w:rPr>
          <w:rFonts w:hint="eastAsia"/>
          <w:lang w:val="en-US" w:eastAsia="zh-CN"/>
        </w:rPr>
        <w:t>未经验收的话不确定是否能满足综合利用要求</w:t>
      </w:r>
    </w:p>
  </w:comment>
  <w:comment w:id="31" w:author="什么" w:date="2026-01-26T21:23:48Z" w:initials="">
    <w:p w14:paraId="7EF7C350">
      <w:pPr>
        <w:pStyle w:val="7"/>
        <w:rPr>
          <w:rFonts w:hint="default" w:eastAsia="宋体"/>
          <w:lang w:val="en-US" w:eastAsia="zh-CN"/>
        </w:rPr>
      </w:pPr>
      <w:r>
        <w:rPr>
          <w:rFonts w:hint="eastAsia"/>
          <w:lang w:val="en-US" w:eastAsia="zh-CN"/>
        </w:rPr>
        <w:t>污水站处理污泥</w:t>
      </w:r>
    </w:p>
  </w:comment>
  <w:comment w:id="32" w:author="ehtjs" w:date="2026-01-05T23:18:06Z" w:initials="e">
    <w:p w14:paraId="EEDDEE13">
      <w:pPr>
        <w:pStyle w:val="7"/>
        <w:rPr>
          <w:rFonts w:hint="default" w:eastAsia="宋体"/>
          <w:lang w:val="en-US" w:eastAsia="zh-CN"/>
        </w:rPr>
      </w:pPr>
      <w:r>
        <w:rPr>
          <w:rFonts w:hint="eastAsia"/>
          <w:lang w:val="en-US" w:eastAsia="zh-CN"/>
        </w:rPr>
        <w:t>如果30万吨项目未验收，那么污水处理站产生污泥、加入的药剂等均应纳入本次环评中</w:t>
      </w:r>
    </w:p>
  </w:comment>
  <w:comment w:id="33" w:author="简約" w:date="2026-01-26T15:09:46Z" w:initials="">
    <w:p w14:paraId="FBFCF198">
      <w:pPr>
        <w:pStyle w:val="7"/>
        <w:rPr>
          <w:rFonts w:hint="default" w:eastAsia="宋体"/>
          <w:lang w:val="en-US" w:eastAsia="zh-CN"/>
        </w:rPr>
      </w:pPr>
      <w:r>
        <w:rPr>
          <w:rFonts w:hint="eastAsia"/>
          <w:lang w:val="en-US" w:eastAsia="zh-CN"/>
        </w:rPr>
        <w:t>见原辅料表</w:t>
      </w:r>
    </w:p>
  </w:comment>
  <w:comment w:id="34" w:author="锡林" w:date="2026-02-03T10:31:23Z" w:initials="">
    <w:p w14:paraId="D9EC4561">
      <w:pPr>
        <w:pStyle w:val="7"/>
        <w:rPr>
          <w:rFonts w:hint="default" w:eastAsia="宋体"/>
          <w:lang w:val="en-US" w:eastAsia="zh-CN"/>
        </w:rPr>
      </w:pPr>
      <w:r>
        <w:rPr>
          <w:rFonts w:hint="eastAsia"/>
          <w:lang w:val="en-US" w:eastAsia="zh-CN"/>
        </w:rPr>
        <w:t>事故水池 是否与园区事故水池联通</w:t>
      </w:r>
    </w:p>
  </w:comment>
  <w:comment w:id="35" w:author="什么" w:date="2026-01-26T19:49:07Z" w:initials="">
    <w:p w14:paraId="DCDE9543">
      <w:pPr>
        <w:pStyle w:val="7"/>
        <w:rPr>
          <w:rFonts w:hint="default" w:eastAsia="宋体"/>
          <w:lang w:val="en-US" w:eastAsia="zh-CN"/>
        </w:rPr>
      </w:pPr>
      <w:r>
        <w:rPr>
          <w:rFonts w:hint="eastAsia"/>
          <w:lang w:val="en-US" w:eastAsia="zh-CN"/>
        </w:rPr>
        <w:t>液氮？</w:t>
      </w:r>
    </w:p>
  </w:comment>
  <w:comment w:id="36" w:author="什么" w:date="2026-01-26T21:04:28Z" w:initials="">
    <w:p w14:paraId="FDE9B794">
      <w:pPr>
        <w:pStyle w:val="7"/>
        <w:rPr>
          <w:rFonts w:hint="default" w:eastAsia="宋体"/>
          <w:lang w:val="en-US" w:eastAsia="zh-CN"/>
        </w:rPr>
      </w:pPr>
      <w:r>
        <w:rPr>
          <w:rFonts w:hint="eastAsia"/>
          <w:lang w:val="en-US" w:eastAsia="zh-CN"/>
        </w:rPr>
        <w:t>这个应该是液氮储罐吧</w:t>
      </w:r>
    </w:p>
  </w:comment>
  <w:comment w:id="37" w:author="什么" w:date="2026-01-26T19:47:11Z" w:initials="">
    <w:p w14:paraId="97D7D96B">
      <w:pPr>
        <w:pStyle w:val="7"/>
        <w:rPr>
          <w:rFonts w:hint="eastAsia"/>
          <w:lang w:val="en-US" w:eastAsia="zh-CN"/>
        </w:rPr>
      </w:pPr>
      <w:r>
        <w:rPr>
          <w:rFonts w:hint="eastAsia"/>
          <w:lang w:val="en-US" w:eastAsia="zh-CN"/>
        </w:rPr>
        <w:t>这个不止一种产品吧</w:t>
      </w:r>
    </w:p>
    <w:p w14:paraId="F6D7EF92">
      <w:pPr>
        <w:rPr>
          <w:rFonts w:hint="default"/>
          <w:lang w:val="en-US" w:eastAsia="zh-CN"/>
        </w:rPr>
      </w:pPr>
      <w:r>
        <w:rPr>
          <w:rFonts w:hint="eastAsia"/>
          <w:lang w:val="en-US" w:eastAsia="zh-CN"/>
        </w:rPr>
        <w:t>这个会上业主单位说的应该是两种产品</w:t>
      </w:r>
    </w:p>
  </w:comment>
  <w:comment w:id="38" w:author="什么" w:date="2026-01-26T21:47:40Z" w:initials="">
    <w:p w14:paraId="FAE71640">
      <w:pPr>
        <w:pStyle w:val="7"/>
        <w:rPr>
          <w:rFonts w:hint="default" w:eastAsia="宋体"/>
          <w:lang w:val="en-US" w:eastAsia="zh-CN"/>
        </w:rPr>
      </w:pPr>
      <w:r>
        <w:rPr>
          <w:rFonts w:hint="eastAsia"/>
          <w:lang w:val="en-US" w:eastAsia="zh-CN"/>
        </w:rPr>
        <w:t>0#、-10#分别给出，20万吨分配开</w:t>
      </w:r>
    </w:p>
  </w:comment>
  <w:comment w:id="39" w:author="ehtjs" w:date="2026-01-05T23:11:49Z" w:initials="e">
    <w:p w14:paraId="BBEE91AA">
      <w:pPr>
        <w:pStyle w:val="7"/>
        <w:rPr>
          <w:rFonts w:hint="default" w:eastAsia="宋体"/>
          <w:lang w:val="en-US" w:eastAsia="zh-CN"/>
        </w:rPr>
      </w:pPr>
      <w:r>
        <w:rPr>
          <w:rFonts w:hint="eastAsia"/>
          <w:lang w:val="en-US" w:eastAsia="zh-CN"/>
        </w:rPr>
        <w:t>产品执行的是哪个标准里的参数要明确</w:t>
      </w:r>
    </w:p>
  </w:comment>
  <w:comment w:id="40" w:author="什么" w:date="2026-01-26T21:24:36Z" w:initials="">
    <w:p w14:paraId="577D07BE">
      <w:pPr>
        <w:pStyle w:val="7"/>
        <w:rPr>
          <w:rFonts w:hint="default" w:eastAsia="宋体"/>
          <w:lang w:val="en-US" w:eastAsia="zh-CN"/>
        </w:rPr>
      </w:pPr>
      <w:r>
        <w:rPr>
          <w:rFonts w:hint="eastAsia"/>
          <w:lang w:val="en-US" w:eastAsia="zh-CN"/>
        </w:rPr>
        <w:t>按照两种产品分别给出产品质量标准</w:t>
      </w:r>
    </w:p>
  </w:comment>
  <w:comment w:id="41" w:author="锡林" w:date="2026-02-03T10:32:34Z" w:initials="">
    <w:p w14:paraId="79FF1738">
      <w:pPr>
        <w:pStyle w:val="7"/>
        <w:rPr>
          <w:rFonts w:hint="default" w:eastAsia="宋体"/>
          <w:lang w:val="en-US" w:eastAsia="zh-CN"/>
        </w:rPr>
      </w:pPr>
      <w:r>
        <w:rPr>
          <w:rFonts w:hint="eastAsia"/>
          <w:lang w:val="en-US" w:eastAsia="zh-CN"/>
        </w:rPr>
        <w:t>不能用地下水 另找水源</w:t>
      </w:r>
    </w:p>
  </w:comment>
  <w:comment w:id="42" w:author="ehtjs" w:date="2026-01-06T09:32:07Z" w:initials="e">
    <w:p w14:paraId="7DA90544">
      <w:pPr>
        <w:pStyle w:val="7"/>
        <w:ind w:left="0" w:leftChars="0" w:firstLine="0" w:firstLineChars="0"/>
        <w:rPr>
          <w:rFonts w:hint="eastAsia" w:eastAsia="宋体"/>
          <w:lang w:val="en-US" w:eastAsia="zh-CN"/>
        </w:rPr>
      </w:pPr>
    </w:p>
  </w:comment>
  <w:comment w:id="44" w:author="什么" w:date="2026-01-26T21:25:20Z" w:initials="">
    <w:p w14:paraId="FE772F53">
      <w:pPr>
        <w:pStyle w:val="7"/>
        <w:rPr>
          <w:rFonts w:hint="eastAsia"/>
          <w:lang w:val="en-US" w:eastAsia="zh-CN"/>
        </w:rPr>
      </w:pPr>
      <w:r>
        <w:rPr>
          <w:rFonts w:hint="eastAsia"/>
          <w:lang w:val="en-US" w:eastAsia="zh-CN"/>
        </w:rPr>
        <w:t>污水处理和废气质量利旧工程着重说一下，工艺、处理能力，达标性等，</w:t>
      </w:r>
    </w:p>
    <w:p w14:paraId="766FF4DD">
      <w:pPr>
        <w:pStyle w:val="7"/>
        <w:rPr>
          <w:rFonts w:hint="default" w:eastAsia="宋体"/>
          <w:lang w:val="en-US" w:eastAsia="zh-CN"/>
        </w:rPr>
      </w:pPr>
      <w:r>
        <w:rPr>
          <w:rFonts w:hint="eastAsia"/>
          <w:lang w:val="en-US" w:eastAsia="zh-CN"/>
        </w:rPr>
        <w:t>污水处理这部分利旧可行性把现在处理事故废水水的监测结果说一下，作为废水处理设施利旧可行性的一部分</w:t>
      </w:r>
    </w:p>
  </w:comment>
  <w:comment w:id="43" w:author="ehtjs" w:date="2026-01-05T23:20:05Z" w:initials="e">
    <w:p w14:paraId="FEFF975A">
      <w:pPr>
        <w:pStyle w:val="7"/>
        <w:rPr>
          <w:rFonts w:hint="default" w:eastAsia="宋体"/>
          <w:lang w:val="en-US" w:eastAsia="zh-CN"/>
        </w:rPr>
      </w:pPr>
      <w:r>
        <w:rPr>
          <w:rFonts w:hint="eastAsia"/>
          <w:lang w:val="en-US" w:eastAsia="zh-CN"/>
        </w:rPr>
        <w:t>未验收如何能证明利旧的可行性</w:t>
      </w:r>
    </w:p>
  </w:comment>
  <w:comment w:id="45" w:author="什么" w:date="2026-01-26T21:27:41Z" w:initials="">
    <w:p w14:paraId="97FF8EDB">
      <w:pPr>
        <w:pStyle w:val="7"/>
        <w:rPr>
          <w:rFonts w:hint="default" w:eastAsia="宋体"/>
          <w:lang w:val="en-US" w:eastAsia="zh-CN"/>
        </w:rPr>
      </w:pPr>
      <w:r>
        <w:rPr>
          <w:rFonts w:hint="eastAsia"/>
          <w:lang w:val="en-US" w:eastAsia="zh-CN"/>
        </w:rPr>
        <w:t>这涉不涉及到现有场地的设施的拆除？注意这部分有固废，因为原生产线没有运行过，可以直接说明是一般固废</w:t>
      </w:r>
    </w:p>
  </w:comment>
  <w:comment w:id="46" w:author="简約" w:date="2026-01-29T14:30:20Z" w:initials="">
    <w:p w14:paraId="D67B80F9">
      <w:pPr>
        <w:pStyle w:val="7"/>
        <w:rPr>
          <w:rFonts w:hint="default" w:eastAsia="宋体"/>
          <w:lang w:val="en-US" w:eastAsia="zh-CN"/>
        </w:rPr>
      </w:pPr>
      <w:r>
        <w:rPr>
          <w:rFonts w:hint="eastAsia"/>
          <w:lang w:val="en-US" w:eastAsia="zh-CN"/>
        </w:rPr>
        <w:t>不涉及拆除，经过咨询市局，其他设备可保留，用于后期改建再利用起来</w:t>
      </w:r>
    </w:p>
  </w:comment>
  <w:comment w:id="47" w:author="ehtjs" w:date="2026-01-05T23:23:04Z" w:initials="e">
    <w:p w14:paraId="EE7E4EDA">
      <w:pPr>
        <w:pStyle w:val="7"/>
        <w:rPr>
          <w:rFonts w:hint="default" w:eastAsia="宋体"/>
          <w:lang w:val="en-US" w:eastAsia="zh-CN"/>
        </w:rPr>
      </w:pPr>
      <w:r>
        <w:rPr>
          <w:rFonts w:hint="eastAsia"/>
          <w:lang w:val="en-US" w:eastAsia="zh-CN"/>
        </w:rPr>
        <w:t>油气回收装置处不是有废气有组织排放吗？</w:t>
      </w:r>
    </w:p>
  </w:comment>
  <w:comment w:id="48" w:author="简約" w:date="2026-01-26T15:10:37Z" w:initials="">
    <w:p w14:paraId="F4BF099F">
      <w:pPr>
        <w:pStyle w:val="7"/>
        <w:rPr>
          <w:rFonts w:hint="eastAsia" w:eastAsia="宋体"/>
          <w:lang w:val="en-US" w:eastAsia="zh-CN"/>
        </w:rPr>
      </w:pPr>
      <w:r>
        <w:rPr>
          <w:rFonts w:hint="eastAsia"/>
          <w:lang w:val="en-US" w:eastAsia="zh-CN"/>
        </w:rPr>
        <w:t>已标注</w:t>
      </w:r>
    </w:p>
  </w:comment>
  <w:comment w:id="49" w:author="锡林" w:date="2026-02-03T10:34:04Z" w:initials="">
    <w:p w14:paraId="F1FB52F4">
      <w:pPr>
        <w:pStyle w:val="7"/>
        <w:ind w:left="0" w:leftChars="0" w:firstLine="0" w:firstLineChars="0"/>
        <w:rPr>
          <w:rFonts w:hint="default" w:eastAsia="宋体"/>
          <w:lang w:val="en-US" w:eastAsia="zh-CN"/>
        </w:rPr>
      </w:pPr>
      <w:r>
        <w:rPr>
          <w:rFonts w:hint="eastAsia"/>
          <w:lang w:val="en-US" w:eastAsia="zh-CN"/>
        </w:rPr>
        <w:t>核实是否用液蜡，原辅材料表中无，前后统一</w:t>
      </w:r>
    </w:p>
  </w:comment>
  <w:comment w:id="50" w:author="锡林" w:date="2026-02-03T10:34:54Z" w:initials="">
    <w:p w14:paraId="7D77B8FE">
      <w:pPr>
        <w:pStyle w:val="7"/>
        <w:rPr>
          <w:rFonts w:hint="default" w:eastAsia="宋体"/>
          <w:lang w:val="en-US" w:eastAsia="zh-CN"/>
        </w:rPr>
      </w:pPr>
      <w:r>
        <w:rPr>
          <w:rFonts w:hint="eastAsia"/>
          <w:lang w:val="en-US" w:eastAsia="zh-CN"/>
        </w:rPr>
        <w:t>油气回收装置还应产生废气G</w:t>
      </w:r>
    </w:p>
  </w:comment>
  <w:comment w:id="51" w:author="ehtjs" w:date="2026-01-06T09:38:15Z" w:initials="e">
    <w:p w14:paraId="EA915484">
      <w:pPr>
        <w:pStyle w:val="7"/>
        <w:rPr>
          <w:rFonts w:hint="default" w:eastAsia="宋体"/>
          <w:lang w:val="en-US" w:eastAsia="zh-CN"/>
        </w:rPr>
      </w:pPr>
      <w:r>
        <w:rPr>
          <w:rFonts w:hint="eastAsia"/>
          <w:lang w:val="en-US" w:eastAsia="zh-CN"/>
        </w:rPr>
        <w:t>靠管线输送吗</w:t>
      </w:r>
    </w:p>
  </w:comment>
  <w:comment w:id="52" w:author="ehtjs" w:date="2026-01-06T09:38:00Z" w:initials="e">
    <w:p w14:paraId="6BD40326">
      <w:pPr>
        <w:pStyle w:val="7"/>
        <w:rPr>
          <w:rFonts w:hint="default" w:eastAsia="宋体"/>
          <w:lang w:val="en-US" w:eastAsia="zh-CN"/>
        </w:rPr>
      </w:pPr>
      <w:r>
        <w:rPr>
          <w:rFonts w:hint="eastAsia"/>
          <w:lang w:val="en-US" w:eastAsia="zh-CN"/>
        </w:rPr>
        <w:t>靠管线输送吗？</w:t>
      </w:r>
    </w:p>
  </w:comment>
  <w:comment w:id="53" w:author="ehtjs" w:date="2026-01-06T09:39:06Z" w:initials="e">
    <w:p w14:paraId="FFF56312">
      <w:pPr>
        <w:pStyle w:val="7"/>
        <w:rPr>
          <w:rFonts w:hint="default" w:eastAsia="宋体"/>
          <w:lang w:val="en-US" w:eastAsia="zh-CN"/>
        </w:rPr>
      </w:pPr>
      <w:r>
        <w:rPr>
          <w:rFonts w:hint="eastAsia"/>
          <w:lang w:val="en-US" w:eastAsia="zh-CN"/>
        </w:rPr>
        <w:t>又靠管道输送回到装卸区？</w:t>
      </w:r>
    </w:p>
  </w:comment>
  <w:comment w:id="54" w:author="ehtjs" w:date="2026-01-05T23:28:10Z" w:initials="e">
    <w:p w14:paraId="7EFB2432">
      <w:pPr>
        <w:pStyle w:val="7"/>
        <w:rPr>
          <w:rFonts w:hint="default" w:eastAsia="宋体"/>
          <w:lang w:val="en-US" w:eastAsia="zh-CN"/>
        </w:rPr>
      </w:pPr>
      <w:r>
        <w:rPr>
          <w:rFonts w:hint="eastAsia"/>
          <w:lang w:val="en-US" w:eastAsia="zh-CN"/>
        </w:rPr>
        <w:t>会有氮气的损耗吧，原辅料、储存都要考虑</w:t>
      </w:r>
    </w:p>
  </w:comment>
  <w:comment w:id="55" w:author="什么" w:date="2026-01-26T21:29:28Z" w:initials="">
    <w:p w14:paraId="3FEAE80E">
      <w:pPr>
        <w:pStyle w:val="7"/>
        <w:rPr>
          <w:rFonts w:hint="default" w:eastAsia="宋体"/>
          <w:lang w:val="en-US" w:eastAsia="zh-CN"/>
        </w:rPr>
      </w:pPr>
      <w:r>
        <w:rPr>
          <w:rFonts w:hint="eastAsia"/>
          <w:lang w:val="en-US" w:eastAsia="zh-CN"/>
        </w:rPr>
        <w:t>污水处理污泥</w:t>
      </w:r>
    </w:p>
  </w:comment>
  <w:comment w:id="56" w:author="ehtjs" w:date="2026-01-05T23:34:03Z" w:initials="e">
    <w:p w14:paraId="EFFAE4B8">
      <w:pPr>
        <w:pStyle w:val="7"/>
        <w:rPr>
          <w:rFonts w:hint="default" w:eastAsia="宋体"/>
          <w:lang w:val="en-US" w:eastAsia="zh-CN"/>
        </w:rPr>
      </w:pPr>
      <w:r>
        <w:rPr>
          <w:rFonts w:hint="eastAsia"/>
          <w:lang w:val="en-US" w:eastAsia="zh-CN"/>
        </w:rPr>
        <w:t>项目不是未投产吗？哪里来的污染物排放？</w:t>
      </w:r>
    </w:p>
  </w:comment>
  <w:comment w:id="57" w:author="ehtjs" w:date="2026-01-05T23:35:33Z" w:initials="e">
    <w:p w14:paraId="169B90F3">
      <w:pPr>
        <w:pStyle w:val="7"/>
        <w:rPr>
          <w:rFonts w:hint="default" w:eastAsia="宋体"/>
          <w:lang w:val="en-US" w:eastAsia="zh-CN"/>
        </w:rPr>
      </w:pPr>
      <w:r>
        <w:rPr>
          <w:rFonts w:hint="eastAsia"/>
          <w:lang w:val="en-US" w:eastAsia="zh-CN"/>
        </w:rPr>
        <w:t>需更新</w:t>
      </w:r>
    </w:p>
  </w:comment>
  <w:comment w:id="58" w:author="什么" w:date="2026-01-26T21:36:24Z" w:initials="">
    <w:p w14:paraId="8FDCCBC3">
      <w:pPr>
        <w:pStyle w:val="7"/>
        <w:rPr>
          <w:rFonts w:hint="default" w:eastAsia="宋体"/>
          <w:lang w:val="en-US" w:eastAsia="zh-CN"/>
        </w:rPr>
      </w:pPr>
      <w:r>
        <w:rPr>
          <w:rFonts w:hint="eastAsia"/>
          <w:lang w:val="en-US" w:eastAsia="zh-CN"/>
        </w:rPr>
        <w:t>整体删掉吧，这个咱们不是说过了么，风险评估报告的内容就别提了</w:t>
      </w:r>
    </w:p>
  </w:comment>
  <w:comment w:id="59" w:author="ehtjs" w:date="2026-01-05T23:36:43Z" w:initials="e">
    <w:p w14:paraId="671D6432">
      <w:pPr>
        <w:pStyle w:val="7"/>
        <w:rPr>
          <w:rFonts w:hint="default" w:eastAsia="宋体"/>
          <w:lang w:val="en-US" w:eastAsia="zh-CN"/>
        </w:rPr>
      </w:pPr>
      <w:r>
        <w:rPr>
          <w:rFonts w:hint="eastAsia"/>
          <w:lang w:val="en-US" w:eastAsia="zh-CN"/>
        </w:rPr>
        <w:t>编号</w:t>
      </w:r>
    </w:p>
  </w:comment>
  <w:comment w:id="60" w:author="ehtjs" w:date="2026-01-06T09:43:49Z" w:initials="e">
    <w:p w14:paraId="F32F3DFD">
      <w:pPr>
        <w:pStyle w:val="7"/>
        <w:rPr>
          <w:rFonts w:hint="default" w:eastAsia="宋体"/>
          <w:lang w:val="en-US" w:eastAsia="zh-CN"/>
        </w:rPr>
      </w:pPr>
      <w:r>
        <w:rPr>
          <w:rFonts w:hint="eastAsia"/>
          <w:lang w:val="en-US" w:eastAsia="zh-CN"/>
        </w:rPr>
        <w:t>如果后续还有继续进行抽水，污水处理站是否有能力处理本项目废水要计算</w:t>
      </w:r>
    </w:p>
  </w:comment>
  <w:comment w:id="61" w:author="ehtjs" w:date="2026-01-05T23:44:50Z" w:initials="e">
    <w:p w14:paraId="BEFFE88A">
      <w:pPr>
        <w:pStyle w:val="7"/>
        <w:rPr>
          <w:rFonts w:hint="default" w:eastAsia="宋体"/>
          <w:lang w:val="en-US" w:eastAsia="zh-CN"/>
        </w:rPr>
      </w:pPr>
      <w:r>
        <w:rPr>
          <w:rFonts w:hint="eastAsia"/>
          <w:lang w:val="en-US" w:eastAsia="zh-CN"/>
        </w:rPr>
        <w:t>根据指南，因所在地块本身涉及污染事故，且存在污染途径，建议应在装卸区、罐区旁边布点留作背</w:t>
      </w:r>
    </w:p>
  </w:comment>
  <w:comment w:id="63" w:author="什么" w:date="2026-01-26T21:40:09Z" w:initials="">
    <w:p w14:paraId="37757381">
      <w:pPr>
        <w:pStyle w:val="7"/>
        <w:rPr>
          <w:rFonts w:hint="default" w:eastAsia="宋体"/>
          <w:lang w:val="en-US" w:eastAsia="zh-CN"/>
        </w:rPr>
      </w:pPr>
      <w:r>
        <w:rPr>
          <w:rFonts w:hint="eastAsia"/>
          <w:lang w:val="en-US" w:eastAsia="zh-CN"/>
        </w:rPr>
        <w:t>什么时候委托的，采样时间</w:t>
      </w:r>
    </w:p>
  </w:comment>
  <w:comment w:id="62" w:author="什么" w:date="2026-01-26T21:39:41Z" w:initials="">
    <w:p w14:paraId="7FB78551">
      <w:pPr>
        <w:pStyle w:val="7"/>
        <w:rPr>
          <w:rFonts w:hint="default" w:eastAsia="宋体"/>
          <w:lang w:val="en-US" w:eastAsia="zh-CN"/>
        </w:rPr>
      </w:pPr>
      <w:r>
        <w:rPr>
          <w:rFonts w:hint="eastAsia"/>
          <w:lang w:val="en-US" w:eastAsia="zh-CN"/>
        </w:rPr>
        <w:t xml:space="preserve">监测报告呢？附件放一下 </w:t>
      </w:r>
    </w:p>
  </w:comment>
  <w:comment w:id="64" w:author="什么" w:date="2026-01-26T21:42:49Z" w:initials="">
    <w:p w14:paraId="FC4F1B82">
      <w:pPr>
        <w:pStyle w:val="7"/>
      </w:pPr>
      <w:r>
        <w:drawing>
          <wp:inline distT="0" distB="0" distL="114300" distR="114300">
            <wp:extent cx="4350385" cy="936625"/>
            <wp:effectExtent l="0" t="0" r="12065" b="15875"/>
            <wp:docPr id="8"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true"/>
                    </pic:cNvPicPr>
                  </pic:nvPicPr>
                  <pic:blipFill>
                    <a:blip r:embed="rId1"/>
                    <a:stretch>
                      <a:fillRect/>
                    </a:stretch>
                  </pic:blipFill>
                  <pic:spPr>
                    <a:xfrm>
                      <a:off x="0" y="0"/>
                      <a:ext cx="4350385" cy="936625"/>
                    </a:xfrm>
                    <a:prstGeom prst="rect">
                      <a:avLst/>
                    </a:prstGeom>
                    <a:noFill/>
                    <a:ln>
                      <a:noFill/>
                    </a:ln>
                  </pic:spPr>
                </pic:pic>
              </a:graphicData>
            </a:graphic>
          </wp:inline>
        </w:drawing>
      </w:r>
    </w:p>
  </w:comment>
  <w:comment w:id="65" w:author="什么" w:date="2026-01-26T21:42:31Z" w:initials="">
    <w:p w14:paraId="F5C93E54">
      <w:pPr>
        <w:pStyle w:val="7"/>
        <w:rPr>
          <w:rFonts w:hint="default" w:eastAsia="宋体"/>
          <w:lang w:val="en-US" w:eastAsia="zh-CN"/>
        </w:rPr>
      </w:pPr>
      <w:r>
        <w:rPr>
          <w:rFonts w:hint="eastAsia"/>
          <w:lang w:val="en-US" w:eastAsia="zh-CN"/>
        </w:rPr>
        <w:t>算单因子指数，这个是否达标没这么写的，参照土壤导则</w:t>
      </w:r>
    </w:p>
  </w:comment>
  <w:comment w:id="66" w:author="ehtjs" w:date="2026-01-05T23:56:44Z" w:initials="e">
    <w:p w14:paraId="B3FD04A6">
      <w:pPr>
        <w:pStyle w:val="7"/>
        <w:rPr>
          <w:rFonts w:hint="default" w:eastAsia="宋体"/>
          <w:lang w:val="en-US" w:eastAsia="zh-CN"/>
        </w:rPr>
      </w:pPr>
      <w:r>
        <w:rPr>
          <w:rFonts w:hint="eastAsia"/>
          <w:lang w:val="en-US" w:eastAsia="zh-CN"/>
        </w:rPr>
        <w:t>核实是表3吧</w:t>
      </w:r>
    </w:p>
  </w:comment>
  <w:comment w:id="67" w:author="ehtjs" w:date="2026-01-05T23:58:46Z" w:initials="e">
    <w:p w14:paraId="37CC7D10">
      <w:pPr>
        <w:pStyle w:val="7"/>
        <w:rPr>
          <w:rFonts w:hint="eastAsia" w:eastAsia="宋体"/>
          <w:lang w:eastAsia="zh-CN"/>
        </w:rPr>
      </w:pPr>
      <w:r>
        <w:rPr>
          <w:rFonts w:hint="eastAsia"/>
          <w:lang w:eastAsia="zh-CN"/>
        </w:rPr>
        <w:t>？</w:t>
      </w:r>
    </w:p>
  </w:comment>
  <w:comment w:id="68" w:author="锡林" w:date="2026-02-03T10:41:33Z" w:initials="">
    <w:p w14:paraId="E873FD9C">
      <w:pPr>
        <w:pStyle w:val="7"/>
        <w:rPr>
          <w:rFonts w:hint="default" w:eastAsia="宋体"/>
          <w:lang w:val="en-US" w:eastAsia="zh-CN"/>
        </w:rPr>
      </w:pPr>
      <w:r>
        <w:rPr>
          <w:rFonts w:hint="eastAsia"/>
          <w:lang w:val="en-US" w:eastAsia="zh-CN"/>
        </w:rPr>
        <w:t>标准中此值为废水处理有机废气收集处理装置的排放限值</w:t>
      </w:r>
    </w:p>
  </w:comment>
  <w:comment w:id="69" w:author="简約" w:date="2026-02-03T16:34:49Z" w:initials="">
    <w:p w14:paraId="7FFF9C9C">
      <w:pPr>
        <w:pStyle w:val="7"/>
        <w:rPr>
          <w:rFonts w:hint="eastAsia" w:eastAsia="宋体"/>
          <w:lang w:val="en-US" w:eastAsia="zh-CN"/>
        </w:rPr>
      </w:pPr>
      <w:r>
        <w:rPr>
          <w:rFonts w:hint="eastAsia"/>
          <w:lang w:val="en-US" w:eastAsia="zh-CN"/>
        </w:rPr>
        <w:t>参照执行</w:t>
      </w:r>
    </w:p>
  </w:comment>
  <w:comment w:id="70" w:author="ehtjs" w:date="2026-01-05T23:56:28Z" w:initials="e">
    <w:p w14:paraId="D5EA4AF3">
      <w:pPr>
        <w:pStyle w:val="7"/>
        <w:rPr>
          <w:rFonts w:hint="default" w:eastAsia="宋体"/>
          <w:lang w:val="en-US" w:eastAsia="zh-CN"/>
        </w:rPr>
      </w:pPr>
    </w:p>
  </w:comment>
  <w:comment w:id="71" w:author="ehtjs" w:date="2026-01-05T23:59:42Z" w:initials="e">
    <w:p w14:paraId="6FAF5D39">
      <w:pPr>
        <w:pStyle w:val="7"/>
      </w:pPr>
    </w:p>
  </w:comment>
  <w:comment w:id="72" w:author="ehtjs" w:date="2026-01-06T09:48:40Z" w:initials="e">
    <w:p w14:paraId="FFAF71FC">
      <w:pPr>
        <w:pStyle w:val="7"/>
        <w:rPr>
          <w:rFonts w:hint="default" w:eastAsia="宋体"/>
          <w:lang w:val="en-US" w:eastAsia="zh-CN"/>
        </w:rPr>
      </w:pPr>
      <w:r>
        <w:rPr>
          <w:rFonts w:hint="eastAsia"/>
          <w:lang w:val="en-US" w:eastAsia="zh-CN"/>
        </w:rPr>
        <w:t>如果污水处理站做为本项目的一部分，而且后续要继续大量处理抽出的已被污染的地下水，那么指标应对照石油标准补全</w:t>
      </w:r>
    </w:p>
  </w:comment>
  <w:comment w:id="73" w:author="简約" w:date="2026-01-26T15:34:18Z" w:initials="">
    <w:p w14:paraId="3FFF43B7">
      <w:pPr>
        <w:pStyle w:val="7"/>
        <w:rPr>
          <w:rFonts w:hint="default" w:eastAsia="宋体"/>
          <w:lang w:val="en-US" w:eastAsia="zh-CN"/>
        </w:rPr>
      </w:pPr>
      <w:r>
        <w:rPr>
          <w:rFonts w:hint="eastAsia"/>
          <w:lang w:val="en-US" w:eastAsia="zh-CN"/>
        </w:rPr>
        <w:t>经过确认，本项目只是依托污水处理站，不算做本项目单独配套</w:t>
      </w:r>
    </w:p>
  </w:comment>
  <w:comment w:id="74" w:author="ehtjs" w:date="2026-01-05T23:53:40Z" w:initials="e">
    <w:p w14:paraId="AFFB73FD">
      <w:pPr>
        <w:pStyle w:val="7"/>
        <w:ind w:left="0" w:leftChars="0" w:firstLine="0" w:firstLineChars="0"/>
        <w:rPr>
          <w:rFonts w:hint="default" w:eastAsia="宋体"/>
          <w:lang w:val="en-US" w:eastAsia="zh-CN"/>
        </w:rPr>
      </w:pPr>
      <w:r>
        <w:rPr>
          <w:rFonts w:hint="eastAsia"/>
          <w:lang w:val="en-US" w:eastAsia="zh-CN"/>
        </w:rPr>
        <w:t>更新标准</w:t>
      </w:r>
    </w:p>
  </w:comment>
  <w:comment w:id="75" w:author="锡林" w:date="2026-02-03T10:52:36Z" w:initials="">
    <w:p w14:paraId="FFFFA0DC">
      <w:pPr>
        <w:pStyle w:val="7"/>
        <w:rPr>
          <w:rFonts w:hint="default" w:eastAsia="宋体"/>
          <w:lang w:val="en-US" w:eastAsia="zh-CN"/>
        </w:rPr>
      </w:pPr>
      <w:r>
        <w:rPr>
          <w:rFonts w:hint="eastAsia"/>
          <w:lang w:val="en-US" w:eastAsia="zh-CN"/>
        </w:rPr>
        <w:t>按照排污许可规范 许可有组织和无组织。无组织包括设备管件密封和储罐挥发等部分。总量文件是1.53.</w:t>
      </w:r>
    </w:p>
  </w:comment>
  <w:comment w:id="76" w:author="ehtjs" w:date="2026-01-06T00:05:16Z" w:initials="e">
    <w:p w14:paraId="BFF79AF7">
      <w:pPr>
        <w:pStyle w:val="7"/>
        <w:rPr>
          <w:rFonts w:hint="default" w:eastAsia="宋体"/>
          <w:lang w:val="en-US" w:eastAsia="zh-CN"/>
        </w:rPr>
      </w:pPr>
      <w:r>
        <w:rPr>
          <w:rFonts w:hint="eastAsia"/>
          <w:lang w:val="en-US" w:eastAsia="zh-CN"/>
        </w:rPr>
        <w:t>前后排放量不一致，核实后修改</w:t>
      </w:r>
    </w:p>
  </w:comment>
  <w:comment w:id="77" w:author="锡林" w:date="2026-02-03T10:56:23Z" w:initials="">
    <w:p w14:paraId="0E7F70F2">
      <w:pPr>
        <w:pStyle w:val="7"/>
        <w:rPr>
          <w:rFonts w:hint="default" w:eastAsia="宋体"/>
          <w:lang w:val="en-US" w:eastAsia="zh-CN"/>
        </w:rPr>
      </w:pPr>
      <w:r>
        <w:rPr>
          <w:rFonts w:hint="eastAsia"/>
          <w:lang w:val="en-US" w:eastAsia="zh-CN"/>
        </w:rPr>
        <w:t>达到什么标准</w:t>
      </w:r>
    </w:p>
  </w:comment>
  <w:comment w:id="78" w:author="锡林" w:date="2026-02-03T10:57:02Z" w:initials="">
    <w:p w14:paraId="F747C0CB">
      <w:pPr>
        <w:pStyle w:val="7"/>
        <w:rPr>
          <w:rFonts w:hint="default" w:eastAsia="宋体"/>
          <w:lang w:val="en-US" w:eastAsia="zh-CN"/>
        </w:rPr>
      </w:pPr>
      <w:r>
        <w:rPr>
          <w:rFonts w:hint="eastAsia"/>
          <w:lang w:val="en-US" w:eastAsia="zh-CN"/>
        </w:rPr>
        <w:t>核实执行标准 执行31570的话只有去除率</w:t>
      </w:r>
    </w:p>
  </w:comment>
  <w:comment w:id="79" w:author="锡林" w:date="2026-02-03T10:59:58Z" w:initials="">
    <w:p w14:paraId="FD5D8B9A">
      <w:pPr>
        <w:pStyle w:val="7"/>
        <w:rPr>
          <w:rFonts w:hint="default" w:eastAsia="宋体"/>
          <w:lang w:val="en-US" w:eastAsia="zh-CN"/>
        </w:rPr>
      </w:pPr>
      <w:r>
        <w:rPr>
          <w:rFonts w:hint="eastAsia"/>
          <w:lang w:val="en-US" w:eastAsia="zh-CN"/>
        </w:rPr>
        <w:t>自行监测指南应按照《排污单位自信监测技术指南 石油炼制工业》（HJ880），重新核实监测频次</w:t>
      </w:r>
    </w:p>
  </w:comment>
  <w:comment w:id="80" w:author="锡林" w:date="2026-02-03T10:58:18Z" w:initials="">
    <w:p w14:paraId="FFEECE89">
      <w:pPr>
        <w:pStyle w:val="7"/>
      </w:pPr>
    </w:p>
  </w:comment>
  <w:comment w:id="81" w:author="锡林" w:date="2026-02-03T11:01:01Z" w:initials="">
    <w:p w14:paraId="D37FB0CD">
      <w:pPr>
        <w:pStyle w:val="7"/>
      </w:pPr>
    </w:p>
  </w:comment>
  <w:comment w:id="82" w:author="ehtjs" w:date="2026-01-06T09:55:19Z" w:initials="e">
    <w:p w14:paraId="6DFF5CC7">
      <w:pPr>
        <w:pStyle w:val="7"/>
        <w:rPr>
          <w:rFonts w:hint="default" w:eastAsia="宋体"/>
          <w:lang w:val="en-US" w:eastAsia="zh-CN"/>
        </w:rPr>
      </w:pPr>
      <w:r>
        <w:rPr>
          <w:rFonts w:hint="eastAsia"/>
          <w:lang w:val="en-US" w:eastAsia="zh-CN"/>
        </w:rPr>
        <w:t>前面提到后续会加大抽水处理水量，核实剩余量够用吗？</w:t>
      </w:r>
    </w:p>
  </w:comment>
  <w:comment w:id="83" w:author="什么" w:date="2026-01-26T21:48:36Z" w:initials="">
    <w:p w14:paraId="5AE7DAFB">
      <w:pPr>
        <w:pStyle w:val="7"/>
        <w:rPr>
          <w:rFonts w:hint="default" w:eastAsia="宋体"/>
          <w:lang w:val="en-US" w:eastAsia="zh-CN"/>
        </w:rPr>
      </w:pPr>
      <w:r>
        <w:rPr>
          <w:rFonts w:hint="eastAsia"/>
          <w:lang w:val="en-US" w:eastAsia="zh-CN"/>
        </w:rPr>
        <w:t>这你直接写后续加大抽水量，污水处理厂处理能力不满足后续处理要求的时候，污水处理厂进行扩建大概这么个意思，要不这个地方有疑问</w:t>
      </w:r>
    </w:p>
  </w:comment>
  <w:comment w:id="84" w:author="锡林" w:date="2026-02-03T11:03:13Z" w:initials="">
    <w:p w14:paraId="77B90E01">
      <w:pPr>
        <w:pStyle w:val="7"/>
        <w:rPr>
          <w:rFonts w:hint="default" w:eastAsia="宋体"/>
          <w:lang w:val="en-US" w:eastAsia="zh-CN"/>
        </w:rPr>
      </w:pPr>
      <w:r>
        <w:rPr>
          <w:rFonts w:hint="eastAsia"/>
          <w:lang w:val="en-US" w:eastAsia="zh-CN"/>
        </w:rPr>
        <w:t>补充监测计划</w:t>
      </w:r>
    </w:p>
  </w:comment>
  <w:comment w:id="85" w:author="ehtjs" w:date="2026-01-06T09:56:59Z" w:initials="e">
    <w:p w14:paraId="78F67C32">
      <w:pPr>
        <w:pStyle w:val="7"/>
      </w:pPr>
      <w:r>
        <w:rPr>
          <w:rFonts w:hint="eastAsia"/>
          <w:lang w:val="en-US" w:eastAsia="zh-CN"/>
        </w:rPr>
        <w:t>和抽取污染的地下水是混合一起处理的吗？</w:t>
      </w:r>
    </w:p>
  </w:comment>
  <w:comment w:id="86" w:author="简約" w:date="2026-01-26T15:39:13Z" w:initials="">
    <w:p w14:paraId="DDFEFC42">
      <w:pPr>
        <w:pStyle w:val="7"/>
        <w:rPr>
          <w:rFonts w:hint="default" w:eastAsia="宋体"/>
          <w:lang w:val="en-US" w:eastAsia="zh-CN"/>
        </w:rPr>
      </w:pPr>
      <w:r>
        <w:rPr>
          <w:rFonts w:hint="eastAsia"/>
          <w:lang w:val="en-US" w:eastAsia="zh-CN"/>
        </w:rPr>
        <w:t>是的，罐区地面清洗水水质简单，主要为SS、石油类，且水量较少，不会对治理的地下水造成水质冲击。</w:t>
      </w:r>
    </w:p>
  </w:comment>
  <w:comment w:id="87" w:author="ehtjs" w:date="2026-01-06T09:57:58Z" w:initials="e">
    <w:p w14:paraId="7FFF88A0">
      <w:pPr>
        <w:pStyle w:val="7"/>
        <w:rPr>
          <w:rFonts w:hint="eastAsia" w:eastAsia="宋体"/>
          <w:lang w:val="en-US" w:eastAsia="zh-CN"/>
        </w:rPr>
      </w:pPr>
      <w:r>
        <w:rPr>
          <w:rFonts w:hint="eastAsia"/>
          <w:lang w:val="en-US" w:eastAsia="zh-CN"/>
        </w:rPr>
        <w:t>已过期</w:t>
      </w:r>
    </w:p>
  </w:comment>
  <w:comment w:id="88" w:author="简約" w:date="2026-01-26T15:40:49Z" w:initials="">
    <w:p w14:paraId="DF7FC799">
      <w:pPr>
        <w:pStyle w:val="7"/>
        <w:rPr>
          <w:rFonts w:hint="eastAsia" w:eastAsia="宋体"/>
          <w:lang w:val="en-US" w:eastAsia="zh-CN"/>
        </w:rPr>
      </w:pPr>
      <w:r>
        <w:rPr>
          <w:rFonts w:hint="eastAsia"/>
          <w:lang w:val="en-US" w:eastAsia="zh-CN"/>
        </w:rPr>
        <w:t>已补充新的</w:t>
      </w:r>
    </w:p>
  </w:comment>
  <w:comment w:id="89" w:author="ehtjs" w:date="2026-01-06T00:20:04Z" w:initials="e">
    <w:p w14:paraId="7FD6ABFE">
      <w:pPr>
        <w:pStyle w:val="7"/>
        <w:ind w:left="0" w:leftChars="0" w:firstLine="0" w:firstLineChars="0"/>
        <w:rPr>
          <w:rFonts w:hint="default" w:eastAsia="宋体"/>
          <w:lang w:val="en-US" w:eastAsia="zh-CN"/>
        </w:rPr>
      </w:pPr>
      <w:r>
        <w:rPr>
          <w:rFonts w:hint="eastAsia"/>
          <w:lang w:val="en-US" w:eastAsia="zh-CN"/>
        </w:rPr>
        <w:t>根据油气回收系统废气治理工艺涉及压缩，应考虑在内</w:t>
      </w:r>
    </w:p>
  </w:comment>
  <w:comment w:id="90" w:author="什么" w:date="2026-01-26T21:51:14Z" w:initials="">
    <w:p w14:paraId="6CDF7440">
      <w:pPr>
        <w:pStyle w:val="7"/>
      </w:pPr>
    </w:p>
  </w:comment>
  <w:comment w:id="91" w:author="什么" w:date="2026-01-26T21:51:10Z" w:initials="">
    <w:p w14:paraId="2F7CED91">
      <w:pPr>
        <w:pStyle w:val="7"/>
        <w:rPr>
          <w:rFonts w:hint="default" w:eastAsia="宋体"/>
          <w:lang w:val="en-US" w:eastAsia="zh-CN"/>
        </w:rPr>
      </w:pPr>
      <w:r>
        <w:rPr>
          <w:rFonts w:hint="eastAsia"/>
          <w:lang w:val="en-US" w:eastAsia="zh-CN"/>
        </w:rPr>
        <w:t>这个预测有问题，核实一下，如果作对的情况下，最大值应该是厂界的这个值，不可能是东南西北这几个值，要不厂界这个预测内容就没有意义了，核实一下。</w:t>
      </w:r>
    </w:p>
  </w:comment>
  <w:comment w:id="92" w:author="锡林" w:date="2026-02-03T11:04:14Z" w:initials="">
    <w:p w14:paraId="7EDFD642">
      <w:pPr>
        <w:pStyle w:val="7"/>
      </w:pPr>
    </w:p>
  </w:comment>
  <w:comment w:id="93" w:author="什么" w:date="2026-01-26T21:50:20Z" w:initials="">
    <w:p w14:paraId="9F9D1DB1">
      <w:pPr>
        <w:pStyle w:val="7"/>
        <w:rPr>
          <w:rFonts w:hint="default" w:eastAsia="宋体"/>
          <w:lang w:val="en-US" w:eastAsia="zh-CN"/>
        </w:rPr>
      </w:pPr>
      <w:r>
        <w:rPr>
          <w:rFonts w:hint="eastAsia"/>
          <w:lang w:val="en-US" w:eastAsia="zh-CN"/>
        </w:rPr>
        <w:t>跟踪检测计划，注意表头</w:t>
      </w:r>
    </w:p>
  </w:comment>
  <w:comment w:id="94" w:author="ehtjs" w:date="2026-01-06T00:24:31Z" w:initials="e">
    <w:p w14:paraId="F95B54C7">
      <w:pPr>
        <w:pStyle w:val="7"/>
      </w:pPr>
    </w:p>
  </w:comment>
  <w:comment w:id="95" w:author="ehtjs" w:date="2026-01-06T00:27:32Z" w:initials="e">
    <w:p w14:paraId="73F2735B">
      <w:pPr>
        <w:pStyle w:val="7"/>
        <w:rPr>
          <w:rFonts w:hint="default" w:eastAsia="宋体"/>
          <w:lang w:val="en-US" w:eastAsia="zh-CN"/>
        </w:rPr>
      </w:pPr>
      <w:r>
        <w:rPr>
          <w:rFonts w:hint="eastAsia"/>
          <w:lang w:val="en-US" w:eastAsia="zh-CN"/>
        </w:rPr>
        <w:t>建议装卸区、事故水池附近也应增设土壤监控点</w:t>
      </w:r>
    </w:p>
  </w:comment>
  <w:comment w:id="96" w:author="ehtjs" w:date="2026-01-06T10:03:46Z" w:initials="e">
    <w:p w14:paraId="3E297339">
      <w:pPr>
        <w:pStyle w:val="7"/>
        <w:ind w:left="0" w:leftChars="0" w:firstLine="0" w:firstLineChars="0"/>
        <w:rPr>
          <w:rFonts w:hint="default" w:eastAsia="宋体"/>
          <w:lang w:val="en-US" w:eastAsia="zh-CN"/>
        </w:rPr>
      </w:pPr>
      <w:r>
        <w:rPr>
          <w:rFonts w:hint="eastAsia"/>
          <w:lang w:val="en-US" w:eastAsia="zh-CN"/>
        </w:rPr>
        <w:t>现有工程不是没有运行过吗？如果按新建项目就不需要分析该部分内容</w:t>
      </w:r>
    </w:p>
  </w:comment>
  <w:comment w:id="97" w:author="ehtjs" w:date="2026-01-06T00:29:49Z" w:initials="e">
    <w:p w14:paraId="F08AF680">
      <w:pPr>
        <w:pStyle w:val="7"/>
        <w:rPr>
          <w:rFonts w:hint="eastAsia" w:eastAsia="宋体"/>
          <w:lang w:val="en-US" w:eastAsia="zh-CN"/>
        </w:rPr>
      </w:pPr>
      <w:r>
        <w:rPr>
          <w:rFonts w:hint="eastAsia"/>
          <w:lang w:val="en-US" w:eastAsia="zh-CN"/>
        </w:rPr>
        <w:t>补充</w:t>
      </w:r>
    </w:p>
  </w:comment>
  <w:comment w:id="98" w:author="ehtjs" w:date="2026-01-06T00:04:58Z" w:initials="e">
    <w:p w14:paraId="D77F5206">
      <w:pPr>
        <w:pStyle w:val="7"/>
        <w:rPr>
          <w:rFonts w:hint="default" w:eastAsia="宋体"/>
          <w:lang w:val="en-US" w:eastAsia="zh-CN"/>
        </w:rPr>
      </w:pPr>
      <w:r>
        <w:rPr>
          <w:rFonts w:hint="eastAsia"/>
          <w:lang w:val="en-US" w:eastAsia="zh-CN"/>
        </w:rPr>
        <w:t>前后不一致</w:t>
      </w:r>
    </w:p>
  </w:comment>
  <w:comment w:id="99" w:author="ehtjs" w:date="2026-01-06T10:44:20Z" w:initials="e">
    <w:p w14:paraId="65C72A64">
      <w:pPr>
        <w:pStyle w:val="7"/>
        <w:rPr>
          <w:rFonts w:hint="default" w:eastAsia="宋体"/>
          <w:lang w:val="en-US" w:eastAsia="zh-CN"/>
        </w:rPr>
      </w:pPr>
      <w:r>
        <w:rPr>
          <w:rFonts w:hint="eastAsia"/>
          <w:lang w:val="en-US" w:eastAsia="zh-CN"/>
        </w:rPr>
        <w:t>30万吨环评批复</w:t>
      </w:r>
    </w:p>
  </w:comment>
  <w:comment w:id="100" w:author="简約" w:date="2026-01-26T16:33:21Z" w:initials="">
    <w:p w14:paraId="A7D64913">
      <w:pPr>
        <w:pStyle w:val="7"/>
        <w:rPr>
          <w:rFonts w:hint="default" w:eastAsia="宋体"/>
          <w:lang w:val="en-US" w:eastAsia="zh-CN"/>
        </w:rPr>
      </w:pPr>
      <w:r>
        <w:rPr>
          <w:rFonts w:hint="eastAsia"/>
          <w:lang w:val="en-US" w:eastAsia="zh-CN"/>
        </w:rPr>
        <w:t>已补充，见附件5</w:t>
      </w:r>
    </w:p>
  </w:comment>
  <w:comment w:id="101" w:author="ehtjs" w:date="2026-01-05T17:39:34Z" w:initials="e">
    <w:p w14:paraId="6756B8FC">
      <w:pPr>
        <w:pStyle w:val="7"/>
        <w:rPr>
          <w:rFonts w:hint="default" w:eastAsia="宋体"/>
          <w:lang w:val="en-US" w:eastAsia="zh-CN"/>
        </w:rPr>
      </w:pPr>
      <w:r>
        <w:rPr>
          <w:rFonts w:hint="eastAsia"/>
          <w:lang w:val="en-US" w:eastAsia="zh-CN"/>
        </w:rPr>
        <w:t>协议已过期</w:t>
      </w:r>
    </w:p>
  </w:comment>
  <w:comment w:id="102" w:author="简約" w:date="2026-01-26T16:33:12Z" w:initials="">
    <w:p w14:paraId="45DF8002">
      <w:pPr>
        <w:pStyle w:val="7"/>
        <w:rPr>
          <w:rFonts w:hint="eastAsia" w:eastAsia="宋体"/>
          <w:lang w:val="en-US" w:eastAsia="zh-CN"/>
        </w:rPr>
      </w:pPr>
      <w:r>
        <w:rPr>
          <w:rFonts w:hint="eastAsia"/>
          <w:lang w:val="en-US" w:eastAsia="zh-CN"/>
        </w:rPr>
        <w:t>已更新</w:t>
      </w:r>
    </w:p>
  </w:comment>
  <w:comment w:id="103" w:author="ehtjs" w:date="2026-01-05T17:37:53Z" w:initials="e">
    <w:p w14:paraId="67BBB395">
      <w:pPr>
        <w:pStyle w:val="7"/>
      </w:pPr>
    </w:p>
  </w:comment>
  <w:comment w:id="104" w:author="ehtjs" w:date="2026-01-06T10:33:05Z" w:initials="e">
    <w:p w14:paraId="5FDF0DF3">
      <w:pPr>
        <w:pStyle w:val="7"/>
        <w:rPr>
          <w:rFonts w:hint="default" w:eastAsia="宋体"/>
          <w:lang w:val="en-US" w:eastAsia="zh-CN"/>
        </w:rPr>
      </w:pPr>
      <w:r>
        <w:rPr>
          <w:rFonts w:hint="eastAsia"/>
          <w:lang w:val="en-US" w:eastAsia="zh-CN"/>
        </w:rPr>
        <w:t>补充风险评价的目的、原则等内容</w:t>
      </w:r>
    </w:p>
  </w:comment>
  <w:comment w:id="105" w:author="什么" w:date="2026-01-26T22:29:29Z" w:initials="">
    <w:p w14:paraId="9EBB8332">
      <w:pPr>
        <w:pStyle w:val="7"/>
        <w:rPr>
          <w:rFonts w:hint="default" w:eastAsia="宋体"/>
          <w:lang w:val="en-US" w:eastAsia="zh-CN"/>
        </w:rPr>
      </w:pPr>
      <w:r>
        <w:rPr>
          <w:rFonts w:hint="eastAsia"/>
          <w:lang w:val="en-US" w:eastAsia="zh-CN"/>
        </w:rPr>
        <w:t>预测的图、表格</w:t>
      </w:r>
    </w:p>
  </w:comment>
  <w:comment w:id="106" w:author="ehtjs" w:date="2026-01-06T10:48:15Z" w:initials="e">
    <w:p w14:paraId="7CF3AC6E">
      <w:pPr>
        <w:pStyle w:val="7"/>
        <w:rPr>
          <w:rFonts w:hint="default" w:eastAsia="宋体"/>
          <w:lang w:val="en-US" w:eastAsia="zh-CN"/>
        </w:rPr>
      </w:pPr>
      <w:r>
        <w:rPr>
          <w:rFonts w:hint="eastAsia"/>
          <w:lang w:val="en-US" w:eastAsia="zh-CN"/>
        </w:rPr>
        <w:t>围堰渗透系数要求前后不一致</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FB5F4924" w15:done="0"/>
  <w15:commentEx w15:paraId="EDD7A2A1" w15:done="0"/>
  <w15:commentEx w15:paraId="1FF525EC" w15:done="0"/>
  <w15:commentEx w15:paraId="C07B36B3" w15:done="0"/>
  <w15:commentEx w15:paraId="BE9F2825" w15:done="0"/>
  <w15:commentEx w15:paraId="B67FC2F9" w15:done="0"/>
  <w15:commentEx w15:paraId="EF82556E" w15:done="0"/>
  <w15:commentEx w15:paraId="FD570598" w15:done="0"/>
  <w15:commentEx w15:paraId="F5EBDB15" w15:done="0"/>
  <w15:commentEx w15:paraId="FCFFA733" w15:done="0"/>
  <w15:commentEx w15:paraId="613FBD8A" w15:done="0"/>
  <w15:commentEx w15:paraId="7EEF824C" w15:done="0"/>
  <w15:commentEx w15:paraId="2DFFBA9B" w15:done="0"/>
  <w15:commentEx w15:paraId="E0D7F073" w15:done="0"/>
  <w15:commentEx w15:paraId="67674342" w15:done="0"/>
  <w15:commentEx w15:paraId="6BF76103" w15:done="0"/>
  <w15:commentEx w15:paraId="7BFDDFBC" w15:done="0"/>
  <w15:commentEx w15:paraId="37BA1DE1" w15:done="0"/>
  <w15:commentEx w15:paraId="BEFF057C" w15:done="0"/>
  <w15:commentEx w15:paraId="7FBFDB59" w15:done="0"/>
  <w15:commentEx w15:paraId="2E6A4739" w15:done="0"/>
  <w15:commentEx w15:paraId="4CDD3F9D" w15:done="0" w15:paraIdParent="2E6A4739"/>
  <w15:commentEx w15:paraId="3EF6DBBC" w15:done="0"/>
  <w15:commentEx w15:paraId="A3EFFD5A" w15:done="0"/>
  <w15:commentEx w15:paraId="FEEDCAEF" w15:done="0"/>
  <w15:commentEx w15:paraId="4F7FA32E" w15:done="0"/>
  <w15:commentEx w15:paraId="5FF9C193" w15:done="0"/>
  <w15:commentEx w15:paraId="F6C77229" w15:done="0"/>
  <w15:commentEx w15:paraId="FDEC3E51" w15:done="0"/>
  <w15:commentEx w15:paraId="BFF7D92D" w15:done="0"/>
  <w15:commentEx w15:paraId="BDED20D3" w15:done="0"/>
  <w15:commentEx w15:paraId="7EF7C350" w15:done="0"/>
  <w15:commentEx w15:paraId="EEDDEE13" w15:done="0"/>
  <w15:commentEx w15:paraId="FBFCF198" w15:done="0" w15:paraIdParent="EEDDEE13"/>
  <w15:commentEx w15:paraId="D9EC4561" w15:done="0"/>
  <w15:commentEx w15:paraId="DCDE9543" w15:done="0"/>
  <w15:commentEx w15:paraId="FDE9B794" w15:done="0"/>
  <w15:commentEx w15:paraId="F6D7EF92" w15:done="0"/>
  <w15:commentEx w15:paraId="FAE71640" w15:done="0"/>
  <w15:commentEx w15:paraId="BBEE91AA" w15:done="0"/>
  <w15:commentEx w15:paraId="577D07BE" w15:done="0"/>
  <w15:commentEx w15:paraId="79FF1738" w15:done="0"/>
  <w15:commentEx w15:paraId="7DA90544" w15:done="0"/>
  <w15:commentEx w15:paraId="766FF4DD" w15:done="0"/>
  <w15:commentEx w15:paraId="FEFF975A" w15:done="0"/>
  <w15:commentEx w15:paraId="97FF8EDB" w15:done="0"/>
  <w15:commentEx w15:paraId="D67B80F9" w15:done="0" w15:paraIdParent="97FF8EDB"/>
  <w15:commentEx w15:paraId="EE7E4EDA" w15:done="0"/>
  <w15:commentEx w15:paraId="F4BF099F" w15:done="0" w15:paraIdParent="EE7E4EDA"/>
  <w15:commentEx w15:paraId="F1FB52F4" w15:done="0"/>
  <w15:commentEx w15:paraId="7D77B8FE" w15:done="0"/>
  <w15:commentEx w15:paraId="EA915484" w15:done="0"/>
  <w15:commentEx w15:paraId="6BD40326" w15:done="0"/>
  <w15:commentEx w15:paraId="FFF56312" w15:done="0"/>
  <w15:commentEx w15:paraId="7EFB2432" w15:done="0"/>
  <w15:commentEx w15:paraId="3FEAE80E" w15:done="0"/>
  <w15:commentEx w15:paraId="EFFAE4B8" w15:done="0"/>
  <w15:commentEx w15:paraId="169B90F3" w15:done="0"/>
  <w15:commentEx w15:paraId="8FDCCBC3" w15:done="0"/>
  <w15:commentEx w15:paraId="671D6432" w15:done="0"/>
  <w15:commentEx w15:paraId="F32F3DFD" w15:done="0"/>
  <w15:commentEx w15:paraId="BEFFE88A" w15:done="0"/>
  <w15:commentEx w15:paraId="37757381" w15:done="0"/>
  <w15:commentEx w15:paraId="7FB78551" w15:done="0"/>
  <w15:commentEx w15:paraId="FC4F1B82" w15:done="0"/>
  <w15:commentEx w15:paraId="F5C93E54" w15:done="0"/>
  <w15:commentEx w15:paraId="B3FD04A6" w15:done="0"/>
  <w15:commentEx w15:paraId="37CC7D10" w15:done="0"/>
  <w15:commentEx w15:paraId="E873FD9C" w15:done="0"/>
  <w15:commentEx w15:paraId="7FFF9C9C" w15:done="0" w15:paraIdParent="E873FD9C"/>
  <w15:commentEx w15:paraId="D5EA4AF3" w15:done="0"/>
  <w15:commentEx w15:paraId="6FAF5D39" w15:done="0"/>
  <w15:commentEx w15:paraId="FFAF71FC" w15:done="0"/>
  <w15:commentEx w15:paraId="3FFF43B7" w15:done="0" w15:paraIdParent="FFAF71FC"/>
  <w15:commentEx w15:paraId="AFFB73FD" w15:done="0"/>
  <w15:commentEx w15:paraId="FFFFA0DC" w15:done="0"/>
  <w15:commentEx w15:paraId="BFF79AF7" w15:done="0"/>
  <w15:commentEx w15:paraId="0E7F70F2" w15:done="0"/>
  <w15:commentEx w15:paraId="F747C0CB" w15:done="0"/>
  <w15:commentEx w15:paraId="FD5D8B9A" w15:done="0"/>
  <w15:commentEx w15:paraId="FFEECE89" w15:done="0"/>
  <w15:commentEx w15:paraId="D37FB0CD" w15:done="0"/>
  <w15:commentEx w15:paraId="6DFF5CC7" w15:done="0"/>
  <w15:commentEx w15:paraId="5AE7DAFB" w15:done="0"/>
  <w15:commentEx w15:paraId="77B90E01" w15:done="0"/>
  <w15:commentEx w15:paraId="78F67C32" w15:done="0"/>
  <w15:commentEx w15:paraId="DDFEFC42" w15:done="0" w15:paraIdParent="78F67C32"/>
  <w15:commentEx w15:paraId="7FFF88A0" w15:done="0"/>
  <w15:commentEx w15:paraId="DF7FC799" w15:done="0" w15:paraIdParent="7FFF88A0"/>
  <w15:commentEx w15:paraId="7FD6ABFE" w15:done="0"/>
  <w15:commentEx w15:paraId="6CDF7440" w15:done="0"/>
  <w15:commentEx w15:paraId="2F7CED91" w15:done="0"/>
  <w15:commentEx w15:paraId="7EDFD642" w15:done="0"/>
  <w15:commentEx w15:paraId="9F9D1DB1" w15:done="0"/>
  <w15:commentEx w15:paraId="F95B54C7" w15:done="0"/>
  <w15:commentEx w15:paraId="73F2735B" w15:done="0"/>
  <w15:commentEx w15:paraId="3E297339" w15:done="0"/>
  <w15:commentEx w15:paraId="F08AF680" w15:done="0"/>
  <w15:commentEx w15:paraId="D77F5206" w15:done="0"/>
  <w15:commentEx w15:paraId="65C72A64" w15:done="0"/>
  <w15:commentEx w15:paraId="A7D64913" w15:done="0" w15:paraIdParent="65C72A64"/>
  <w15:commentEx w15:paraId="6756B8FC" w15:done="0"/>
  <w15:commentEx w15:paraId="45DF8002" w15:done="0" w15:paraIdParent="6756B8FC"/>
  <w15:commentEx w15:paraId="67BBB395" w15:done="0"/>
  <w15:commentEx w15:paraId="5FDF0DF3" w15:done="0"/>
  <w15:commentEx w15:paraId="9EBB8332" w15:done="0"/>
  <w15:commentEx w15:paraId="7CF3AC6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88"/>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Century">
    <w:altName w:val="FreeSerif"/>
    <w:panose1 w:val="02040604050505020304"/>
    <w:charset w:val="00"/>
    <w:family w:val="roman"/>
    <w:pitch w:val="default"/>
    <w:sig w:usb0="00000000" w:usb1="00000000" w:usb2="00000000" w:usb3="00000000" w:csb0="2000009F" w:csb1="DFD70000"/>
  </w:font>
  <w:font w:name="Arial Unicode MS">
    <w:altName w:val="Nimbus Roman No9 L"/>
    <w:panose1 w:val="020B0604020202020204"/>
    <w:charset w:val="86"/>
    <w:family w:val="swiss"/>
    <w:pitch w:val="default"/>
    <w:sig w:usb0="00000000" w:usb1="00000000" w:usb2="0000003F" w:usb3="00000000" w:csb0="603F01FF" w:csb1="FFFF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panose1 w:val="03000509000000000000"/>
    <w:charset w:val="86"/>
    <w:family w:val="script"/>
    <w:pitch w:val="default"/>
    <w:sig w:usb0="00000001" w:usb1="080E0000" w:usb2="00000000" w:usb3="00000000" w:csb0="00040000" w:csb1="00000000"/>
  </w:font>
  <w:font w:name="华文仿宋">
    <w:altName w:val="汉仪仿宋简"/>
    <w:panose1 w:val="02010600040101010101"/>
    <w:charset w:val="86"/>
    <w:family w:val="auto"/>
    <w:pitch w:val="default"/>
    <w:sig w:usb0="00000000" w:usb1="00000000" w:usb2="00000000" w:usb3="00000000" w:csb0="0004009F" w:csb1="DFD70000"/>
  </w:font>
  <w:font w:name="Helvetica">
    <w:altName w:val="仿宋"/>
    <w:panose1 w:val="00000000000000000000"/>
    <w:charset w:val="00"/>
    <w:family w:val="auto"/>
    <w:pitch w:val="default"/>
    <w:sig w:usb0="00000000" w:usb1="00000000" w:usb2="00000000" w:usb3="00000000" w:csb0="00000000" w:csb1="00000000"/>
  </w:font>
  <w:font w:name="Cambria Math">
    <w:altName w:val="DejaVu Math TeX Gyre"/>
    <w:panose1 w:val="02040503050406030204"/>
    <w:charset w:val="00"/>
    <w:family w:val="roman"/>
    <w:pitch w:val="default"/>
    <w:sig w:usb0="00000000" w:usb1="00000000" w:usb2="02000000" w:usb3="00000000" w:csb0="2000019F"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Arial">
    <w:altName w:val="Nimbus Roman No9 L"/>
    <w:panose1 w:val="00000000000000000000"/>
    <w:charset w:val="00"/>
    <w:family w:val="auto"/>
    <w:pitch w:val="default"/>
    <w:sig w:usb0="00000000" w:usb1="00000000" w:usb2="00000000" w:usb3="00000000" w:csb0="00000000" w:csb1="00000000"/>
  </w:font>
  <w:font w:name="方正宋体S-超大字符集">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DejaVu Math TeX Gyre">
    <w:panose1 w:val="02000503000000000000"/>
    <w:charset w:val="00"/>
    <w:family w:val="auto"/>
    <w:pitch w:val="default"/>
    <w:sig w:usb0="A10000EF" w:usb1="4201F9EE" w:usb2="02000000" w:usb3="00000000" w:csb0="60000193" w:csb1="0DD4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rap="around" w:vAnchor="text" w:hAnchor="margin" w:xAlign="center" w:y="1"/>
      <w:rPr>
        <w:rStyle w:val="31"/>
      </w:rPr>
    </w:pPr>
    <w:r>
      <w:fldChar w:fldCharType="begin"/>
    </w:r>
    <w:r>
      <w:rPr>
        <w:rStyle w:val="31"/>
      </w:rPr>
      <w:instrText xml:space="preserve">PAGE  </w:instrText>
    </w:r>
    <w:r>
      <w:fldChar w:fldCharType="end"/>
    </w:r>
  </w:p>
  <w:p>
    <w:pPr>
      <w:pStyle w:val="1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103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6"/>
                            <w:keepNext w:val="0"/>
                            <w:keepLines w:val="0"/>
                            <w:pageBreakBefore w:val="0"/>
                            <w:widowControl w:val="0"/>
                            <w:kinsoku/>
                            <w:wordWrap/>
                            <w:overflowPunct/>
                            <w:topLinePunct w:val="0"/>
                            <w:bidi w:val="0"/>
                            <w:adjustRightInd/>
                            <w:snapToGrid w:val="0"/>
                            <w:ind w:firstLine="0" w:firstLineChars="0"/>
                            <w:textAlignment w:val="auto"/>
                          </w:pPr>
                          <w:r>
                            <w:fldChar w:fldCharType="begin"/>
                          </w:r>
                          <w:r>
                            <w:instrText xml:space="preserve"> PAGE  \* MERGEFORMAT </w:instrText>
                          </w:r>
                          <w:r>
                            <w:fldChar w:fldCharType="separate"/>
                          </w:r>
                          <w:r>
                            <w:t>1</w:t>
                          </w:r>
                          <w:r>
                            <w:fldChar w:fldCharType="end"/>
                          </w:r>
                        </w:p>
                      </w:txbxContent>
                    </wps:txbx>
                    <wps:bodyPr vert="horz" wrap="none" lIns="0" tIns="0" rIns="0" bIns="0" anchor="t" anchorCtr="false" upright="false">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WAAAAZHJzL1BLAQIUABQAAAAIAIdO4kDOqXm5zwAAAAUBAAAPAAAAAAAA&#10;AAEAIAAAADgAAABkcnMvZG93bnJldi54bWxQSwECFAAUAAAACACHTuJAcgZ26cwBAAB/AwAADgAA&#10;AAAAAAABACAAAAA0AQAAZHJzL2Uyb0RvYy54bWxQSwUGAAAAAAYABgBZAQAAcgUAAAAA&#10;">
              <v:fill on="f" focussize="0,0"/>
              <v:stroke on="f"/>
              <v:imagedata o:title=""/>
              <o:lock v:ext="edit" aspectratio="f"/>
              <v:textbox inset="0mm,0mm,0mm,0mm" style="mso-fit-shape-to-text:t;">
                <w:txbxContent>
                  <w:p>
                    <w:pPr>
                      <w:pStyle w:val="16"/>
                      <w:keepNext w:val="0"/>
                      <w:keepLines w:val="0"/>
                      <w:pageBreakBefore w:val="0"/>
                      <w:widowControl w:val="0"/>
                      <w:kinsoku/>
                      <w:wordWrap/>
                      <w:overflowPunct/>
                      <w:topLinePunct w:val="0"/>
                      <w:bidi w:val="0"/>
                      <w:adjustRightInd/>
                      <w:snapToGrid w:val="0"/>
                      <w:ind w:firstLine="0" w:firstLineChars="0"/>
                      <w:textAlignment w:val="auto"/>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103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6"/>
                          </w:pPr>
                          <w:r>
                            <w:fldChar w:fldCharType="begin"/>
                          </w:r>
                          <w:r>
                            <w:instrText xml:space="preserve"> PAGE  \* MERGEFORMAT </w:instrText>
                          </w:r>
                          <w:r>
                            <w:fldChar w:fldCharType="separate"/>
                          </w:r>
                          <w:r>
                            <w:t>2</w:t>
                          </w:r>
                          <w:r>
                            <w:fldChar w:fldCharType="end"/>
                          </w:r>
                        </w:p>
                      </w:txbxContent>
                    </wps:txbx>
                    <wps:bodyPr wrap="none" lIns="0" tIns="0" rIns="0" bIns="0" upright="false">
                      <a:spAutoFit/>
                    </wps:bodyPr>
                  </wps:wsp>
                </a:graphicData>
              </a:graphic>
            </wp:anchor>
          </w:drawing>
        </mc:Choice>
        <mc:Fallback>
          <w:pict>
            <v:shape id="文本框 103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WAAAAZHJz&#10;L1BLAQIUABQAAAAIAIdO4kDOqXm5zwAAAAUBAAAPAAAAAAAAAAEAIAAAADgAAABkcnMvZG93bnJl&#10;di54bWxQSwECFAAUAAAACACHTuJAlac2FrcBAABWAwAADgAAAAAAAAABACAAAAA0AQAAZHJzL2Uy&#10;b0RvYy54bWxQSwUGAAAAAAYABgBZAQAAXQUAAAAA&#10;">
              <v:fill on="f" focussize="0,0"/>
              <v:stroke on="f"/>
              <v:imagedata o:title=""/>
              <o:lock v:ext="edit" aspectratio="f"/>
              <v:textbox inset="0mm,0mm,0mm,0mm" style="mso-fit-shape-to-text:t;">
                <w:txbxContent>
                  <w:p>
                    <w:pPr>
                      <w:pStyle w:val="16"/>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103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6"/>
                          </w:pPr>
                          <w:r>
                            <w:fldChar w:fldCharType="begin"/>
                          </w:r>
                          <w:r>
                            <w:instrText xml:space="preserve"> PAGE  \* MERGEFORMAT </w:instrText>
                          </w:r>
                          <w:r>
                            <w:fldChar w:fldCharType="separate"/>
                          </w:r>
                          <w:r>
                            <w:t>2</w:t>
                          </w:r>
                          <w:r>
                            <w:fldChar w:fldCharType="end"/>
                          </w:r>
                        </w:p>
                      </w:txbxContent>
                    </wps:txbx>
                    <wps:bodyPr vert="horz" wrap="none" lIns="0" tIns="0" rIns="0" bIns="0" anchor="t" anchorCtr="false" upright="false">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FgAAAGRycy9QSwECFAAUAAAACACHTuJAzql5uc8AAAAFAQAADwAAAAAA&#10;AAABACAAAAA4AAAAZHJzL2Rvd25yZXYueG1sUEsBAhQAFAAAAAgAh07iQEBSPdTNAQAAfwMAAA4A&#10;AAAAAAAAAQAgAAAANAEAAGRycy9lMm9Eb2MueG1sUEsFBgAAAAAGAAYAWQEAAHMFAAAAAA==&#10;">
              <v:fill on="f" focussize="0,0"/>
              <v:stroke on="f"/>
              <v:imagedata o:title=""/>
              <o:lock v:ext="edit" aspectratio="f"/>
              <v:textbox inset="0mm,0mm,0mm,0mm" style="mso-fit-shape-to-text:t;">
                <w:txbxContent>
                  <w:p>
                    <w:pPr>
                      <w:pStyle w:val="16"/>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103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6"/>
                          </w:pPr>
                          <w:r>
                            <w:fldChar w:fldCharType="begin"/>
                          </w:r>
                          <w:r>
                            <w:instrText xml:space="preserve"> PAGE  \* MERGEFORMAT </w:instrText>
                          </w:r>
                          <w:r>
                            <w:fldChar w:fldCharType="separate"/>
                          </w:r>
                          <w:r>
                            <w:t>7</w:t>
                          </w:r>
                          <w:r>
                            <w:fldChar w:fldCharType="end"/>
                          </w:r>
                        </w:p>
                      </w:txbxContent>
                    </wps:txbx>
                    <wps:bodyPr vert="horz" wrap="none" lIns="0" tIns="0" rIns="0" bIns="0" anchor="t" anchorCtr="false" upright="false">
                      <a:spAutoFit/>
                    </wps:bodyPr>
                  </wps:wsp>
                </a:graphicData>
              </a:graphic>
            </wp:anchor>
          </w:drawing>
        </mc:Choice>
        <mc:Fallback>
          <w:pict>
            <v:shape id="文本框 1034"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FgAAAGRycy9QSwECFAAUAAAACACHTuJAzql5uc8AAAAFAQAADwAAAAAA&#10;AAABACAAAAA4AAAAZHJzL2Rvd25yZXYueG1sUEsBAhQAFAAAAAgAh07iQJoXBnTNAQAAfwMAAA4A&#10;AAAAAAAAAQAgAAAANAEAAGRycy9lMm9Eb2MueG1sUEsFBgAAAAAGAAYAWQEAAHMFAAAAAA==&#10;">
              <v:fill on="f" focussize="0,0"/>
              <v:stroke on="f"/>
              <v:imagedata o:title=""/>
              <o:lock v:ext="edit" aspectratio="f"/>
              <v:textbox inset="0mm,0mm,0mm,0mm" style="mso-fit-shape-to-text:t;">
                <w:txbxContent>
                  <w:p>
                    <w:pPr>
                      <w:pStyle w:val="16"/>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081"/>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6" name="文本框 11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- 108 -</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GFYNsodAgAALQQAAA4AAAAAAAAAAQAgAAAANQ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- 108 -</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top w:val="none" w:color="auto" w:sz="0" w:space="0"/>
        <w:left w:val="none" w:color="auto" w:sz="0" w:space="0"/>
        <w:bottom w:val="none" w:color="auto" w:sz="0" w:space="1"/>
        <w:right w:val="none" w:color="auto" w:sz="0" w:space="0"/>
        <w:between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keepNext w:val="0"/>
      <w:keepLines w:val="0"/>
      <w:pageBreakBefore w:val="0"/>
      <w:widowControl w:val="0"/>
      <w:pBdr>
        <w:top w:val="none" w:color="auto" w:sz="0" w:space="1"/>
        <w:left w:val="none" w:color="auto" w:sz="0" w:space="4"/>
        <w:bottom w:val="thinThickSmallGap" w:color="auto" w:sz="12" w:space="1"/>
        <w:right w:val="none" w:color="auto" w:sz="0" w:space="4"/>
        <w:between w:val="none" w:color="auto" w:sz="0" w:space="0"/>
      </w:pBdr>
      <w:kinsoku/>
      <w:wordWrap/>
      <w:overflowPunct/>
      <w:topLinePunct w:val="0"/>
      <w:bidi w:val="0"/>
      <w:adjustRightInd/>
      <w:snapToGrid w:val="0"/>
      <w:spacing w:line="240" w:lineRule="auto"/>
      <w:ind w:firstLine="0" w:firstLineChars="0"/>
      <w:jc w:val="both"/>
      <w:textAlignment w:val="auto"/>
    </w:pPr>
    <w:r>
      <w:rPr>
        <w:rFonts w:hint="eastAsia"/>
        <w:lang w:val="en-US" w:eastAsia="zh-CN"/>
      </w:rPr>
      <w:t>鄂尔多斯市汇金达清洁溶剂油有限公司20万吨/年柴油调和项目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keepNext w:val="0"/>
      <w:keepLines w:val="0"/>
      <w:pageBreakBefore w:val="0"/>
      <w:widowControl w:val="0"/>
      <w:pBdr>
        <w:top w:val="none" w:color="auto" w:sz="0" w:space="1"/>
        <w:left w:val="none" w:color="auto" w:sz="0" w:space="4"/>
        <w:bottom w:val="thinThickSmallGap" w:color="auto" w:sz="12" w:space="1"/>
        <w:right w:val="none" w:color="auto" w:sz="0" w:space="4"/>
        <w:between w:val="none" w:color="auto" w:sz="0" w:space="0"/>
      </w:pBdr>
      <w:kinsoku/>
      <w:wordWrap/>
      <w:overflowPunct/>
      <w:topLinePunct w:val="0"/>
      <w:bidi w:val="0"/>
      <w:adjustRightInd/>
      <w:snapToGrid w:val="0"/>
      <w:spacing w:line="240" w:lineRule="auto"/>
      <w:ind w:firstLine="0" w:firstLineChars="0"/>
      <w:jc w:val="both"/>
      <w:textAlignment w:val="auto"/>
    </w:pPr>
    <w:r>
      <w:rPr>
        <w:rFonts w:hint="eastAsia"/>
        <w:lang w:val="en-US" w:eastAsia="zh-CN"/>
      </w:rPr>
      <w:t>鄂尔多斯市汇金达清洁溶剂油有限公司20万吨/年柴油调和项目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4D30332"/>
    <w:multiLevelType w:val="singleLevel"/>
    <w:tmpl w:val="14D30332"/>
    <w:lvl w:ilvl="0" w:tentative="0">
      <w:start w:val="1"/>
      <w:numFmt w:val="bullet"/>
      <w:pStyle w:val="11"/>
      <w:lvlText w:val=""/>
      <w:lvlJc w:val="left"/>
      <w:pPr>
        <w:tabs>
          <w:tab w:val="left" w:pos="2040"/>
        </w:tabs>
        <w:ind w:left="2040" w:hanging="360"/>
      </w:pPr>
      <w:rPr>
        <w:rFonts w:hint="default" w:ascii="Wingdings" w:hAnsi="Wingdings"/>
      </w:rPr>
    </w:lvl>
  </w:abstractNum>
  <w:abstractNum w:abstractNumId="1">
    <w:nsid w:val="28B8581D"/>
    <w:multiLevelType w:val="singleLevel"/>
    <w:tmpl w:val="28B8581D"/>
    <w:lvl w:ilvl="0" w:tentative="0">
      <w:start w:val="1"/>
      <w:numFmt w:val="decimal"/>
      <w:lvlText w:val="%1."/>
      <w:lvlJc w:val="left"/>
      <w:pPr>
        <w:ind w:left="425" w:hanging="425"/>
      </w:pPr>
      <w:rPr>
        <w:rFonts w:hint="default"/>
      </w:rPr>
    </w:lvl>
  </w:abstractNum>
  <w:abstractNum w:abstractNumId="2">
    <w:nsid w:val="33B51B6A"/>
    <w:multiLevelType w:val="singleLevel"/>
    <w:tmpl w:val="33B51B6A"/>
    <w:lvl w:ilvl="0" w:tentative="0">
      <w:start w:val="1"/>
      <w:numFmt w:val="decimal"/>
      <w:suff w:val="nothing"/>
      <w:lvlText w:val="（%1）"/>
      <w:lvlJc w:val="left"/>
    </w:lvl>
  </w:abstractNum>
  <w:abstractNum w:abstractNumId="3">
    <w:nsid w:val="41C5AD55"/>
    <w:multiLevelType w:val="singleLevel"/>
    <w:tmpl w:val="41C5AD55"/>
    <w:lvl w:ilvl="0" w:tentative="0">
      <w:start w:val="1"/>
      <w:numFmt w:val="decimal"/>
      <w:lvlText w:val="%1."/>
      <w:lvlJc w:val="left"/>
      <w:pPr>
        <w:tabs>
          <w:tab w:val="left" w:pos="312"/>
        </w:tabs>
      </w:pPr>
    </w:lvl>
  </w:abstractNum>
  <w:num w:numId="1">
    <w:abstractNumId w:val="0"/>
  </w:num>
  <w:num w:numId="2">
    <w:abstractNumId w:val="3"/>
  </w:num>
  <w:num w:numId="3">
    <w:abstractNumId w:val="1"/>
  </w:num>
  <w:num w:numId="4">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ehtjs">
    <w15:presenceInfo w15:providerId="None" w15:userId="ehtjs"/>
  </w15:person>
  <w15:person w15:author="什么">
    <w15:presenceInfo w15:providerId="WPS Office" w15:userId="4034688874"/>
  </w15:person>
  <w15:person w15:author="简約">
    <w15:presenceInfo w15:providerId="WPS Office" w15:userId="1628405100"/>
  </w15:person>
  <w15:person w15:author="锡林">
    <w15:presenceInfo w15:providerId="WPS Office" w15:userId="3295436764"/>
  </w15:person>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false"/>
  <w:bordersDoNotSurroundFooter w:val="fals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true"/>
  <w:characterSpacingControl w:val="compressPunctuation"/>
  <w:noLineBreaksAfter w:lang="zh-CN" w:val="([{·‘“〈《「『【〔〖（．［｛￡￥"/>
  <w:noLineBreaksBefore w:lang="zh-CN" w:val="!),.:;?]}¨·ˇˉ―‖’”…∶、。〃々〉》」』】〕〗！＂＇），．：；？］｀｜｝～￠"/>
  <w:doNotValidateAgainstSchema/>
  <w:doNotDemarcateInvalidXml/>
  <w:hdrShapeDefaults>
    <o:shapelayout v:ext="edit">
      <o:idmap v:ext="edit" data="2,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QyZWY4NzczNWEzNjAxOTdkOWVjYTQ2MWQ0OTUwZDM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2588"/>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383FF3"/>
    <w:rsid w:val="015D1E09"/>
    <w:rsid w:val="01875DDB"/>
    <w:rsid w:val="02355837"/>
    <w:rsid w:val="02697903"/>
    <w:rsid w:val="02D45050"/>
    <w:rsid w:val="02F96569"/>
    <w:rsid w:val="03A46BC1"/>
    <w:rsid w:val="03C74F1D"/>
    <w:rsid w:val="03D251BA"/>
    <w:rsid w:val="03EA7B21"/>
    <w:rsid w:val="04043713"/>
    <w:rsid w:val="047A6CDB"/>
    <w:rsid w:val="04D3021F"/>
    <w:rsid w:val="059F1C21"/>
    <w:rsid w:val="05F83EAE"/>
    <w:rsid w:val="06231E4A"/>
    <w:rsid w:val="063E7D85"/>
    <w:rsid w:val="06B156A8"/>
    <w:rsid w:val="07293586"/>
    <w:rsid w:val="07295285"/>
    <w:rsid w:val="07636392"/>
    <w:rsid w:val="076E3F95"/>
    <w:rsid w:val="07770C56"/>
    <w:rsid w:val="092217DD"/>
    <w:rsid w:val="092776B7"/>
    <w:rsid w:val="092D106B"/>
    <w:rsid w:val="093A7294"/>
    <w:rsid w:val="097906FF"/>
    <w:rsid w:val="09B61D71"/>
    <w:rsid w:val="09BF5183"/>
    <w:rsid w:val="0A263993"/>
    <w:rsid w:val="0A2D3AC2"/>
    <w:rsid w:val="0AA755DF"/>
    <w:rsid w:val="0B120D44"/>
    <w:rsid w:val="0BD27BF6"/>
    <w:rsid w:val="0C3B3C7D"/>
    <w:rsid w:val="0C7F01E4"/>
    <w:rsid w:val="0C8C0749"/>
    <w:rsid w:val="0CAB2EAE"/>
    <w:rsid w:val="0D417035"/>
    <w:rsid w:val="0D621C7D"/>
    <w:rsid w:val="0E73034D"/>
    <w:rsid w:val="0F13775A"/>
    <w:rsid w:val="0F5F45FE"/>
    <w:rsid w:val="0F664ADF"/>
    <w:rsid w:val="0F9A112B"/>
    <w:rsid w:val="0FC14148"/>
    <w:rsid w:val="100920B1"/>
    <w:rsid w:val="106D2F64"/>
    <w:rsid w:val="10A20412"/>
    <w:rsid w:val="10B63710"/>
    <w:rsid w:val="10BE7CBE"/>
    <w:rsid w:val="10F10820"/>
    <w:rsid w:val="110E3C0D"/>
    <w:rsid w:val="111C2F7A"/>
    <w:rsid w:val="11665CA1"/>
    <w:rsid w:val="116C5B4C"/>
    <w:rsid w:val="12404300"/>
    <w:rsid w:val="12B46304"/>
    <w:rsid w:val="12D82A43"/>
    <w:rsid w:val="1308062A"/>
    <w:rsid w:val="136E415C"/>
    <w:rsid w:val="13951726"/>
    <w:rsid w:val="14396509"/>
    <w:rsid w:val="148E6BEB"/>
    <w:rsid w:val="14A22A81"/>
    <w:rsid w:val="14DD2C3C"/>
    <w:rsid w:val="150030B9"/>
    <w:rsid w:val="15045108"/>
    <w:rsid w:val="15F1786F"/>
    <w:rsid w:val="16087E1D"/>
    <w:rsid w:val="1636770B"/>
    <w:rsid w:val="163A06DC"/>
    <w:rsid w:val="17701D14"/>
    <w:rsid w:val="17735226"/>
    <w:rsid w:val="189F624C"/>
    <w:rsid w:val="1917583F"/>
    <w:rsid w:val="19592352"/>
    <w:rsid w:val="19B75B57"/>
    <w:rsid w:val="19E76CD1"/>
    <w:rsid w:val="1A1C66C0"/>
    <w:rsid w:val="1A42393B"/>
    <w:rsid w:val="1AA72BF2"/>
    <w:rsid w:val="1AAD45DE"/>
    <w:rsid w:val="1AB00DBD"/>
    <w:rsid w:val="1B046F80"/>
    <w:rsid w:val="1B3267B5"/>
    <w:rsid w:val="1B40161D"/>
    <w:rsid w:val="1B441859"/>
    <w:rsid w:val="1B6606B1"/>
    <w:rsid w:val="1C5E7925"/>
    <w:rsid w:val="1CA176CF"/>
    <w:rsid w:val="1CBD66FD"/>
    <w:rsid w:val="1CFD070F"/>
    <w:rsid w:val="1D30062C"/>
    <w:rsid w:val="1D3B1A1B"/>
    <w:rsid w:val="1D48246B"/>
    <w:rsid w:val="1D5F6196"/>
    <w:rsid w:val="1D6132A5"/>
    <w:rsid w:val="1D8E56D5"/>
    <w:rsid w:val="1DD737EE"/>
    <w:rsid w:val="1E236A34"/>
    <w:rsid w:val="1E403142"/>
    <w:rsid w:val="1E5F613F"/>
    <w:rsid w:val="1E7A43DA"/>
    <w:rsid w:val="1FA140B4"/>
    <w:rsid w:val="1FE7539E"/>
    <w:rsid w:val="20671BE0"/>
    <w:rsid w:val="207241F0"/>
    <w:rsid w:val="20963CB8"/>
    <w:rsid w:val="20A81A1B"/>
    <w:rsid w:val="20B07FB6"/>
    <w:rsid w:val="20B646FB"/>
    <w:rsid w:val="20C60443"/>
    <w:rsid w:val="20D5588B"/>
    <w:rsid w:val="21393459"/>
    <w:rsid w:val="213B74B1"/>
    <w:rsid w:val="215A2310"/>
    <w:rsid w:val="2173141D"/>
    <w:rsid w:val="21DE318A"/>
    <w:rsid w:val="21EF5B80"/>
    <w:rsid w:val="22266AF2"/>
    <w:rsid w:val="22576990"/>
    <w:rsid w:val="22B46A6A"/>
    <w:rsid w:val="22F47480"/>
    <w:rsid w:val="236C49D9"/>
    <w:rsid w:val="2375388E"/>
    <w:rsid w:val="23DE1C48"/>
    <w:rsid w:val="240210CD"/>
    <w:rsid w:val="24BF09F7"/>
    <w:rsid w:val="24DD2189"/>
    <w:rsid w:val="24EB7E0B"/>
    <w:rsid w:val="252D53FE"/>
    <w:rsid w:val="25944892"/>
    <w:rsid w:val="25EC2D81"/>
    <w:rsid w:val="26DF701C"/>
    <w:rsid w:val="277057A2"/>
    <w:rsid w:val="283D3DC0"/>
    <w:rsid w:val="28E026ED"/>
    <w:rsid w:val="2915589E"/>
    <w:rsid w:val="29206EB8"/>
    <w:rsid w:val="29595666"/>
    <w:rsid w:val="29874881"/>
    <w:rsid w:val="29C015DB"/>
    <w:rsid w:val="29E325E0"/>
    <w:rsid w:val="2A452503"/>
    <w:rsid w:val="2A903DC0"/>
    <w:rsid w:val="2BA936A8"/>
    <w:rsid w:val="2C315A5A"/>
    <w:rsid w:val="2C3D45D8"/>
    <w:rsid w:val="2C4B1C25"/>
    <w:rsid w:val="2CA709F3"/>
    <w:rsid w:val="2D49667F"/>
    <w:rsid w:val="2D9E56F5"/>
    <w:rsid w:val="2E667F96"/>
    <w:rsid w:val="2E6E5AA9"/>
    <w:rsid w:val="2E8226AB"/>
    <w:rsid w:val="2F4B1946"/>
    <w:rsid w:val="2F612F58"/>
    <w:rsid w:val="2FA44190"/>
    <w:rsid w:val="2FD065E6"/>
    <w:rsid w:val="2FD96870"/>
    <w:rsid w:val="30176CEF"/>
    <w:rsid w:val="304F60D4"/>
    <w:rsid w:val="30580BC9"/>
    <w:rsid w:val="311E2ED7"/>
    <w:rsid w:val="315619EE"/>
    <w:rsid w:val="315C449C"/>
    <w:rsid w:val="31B82709"/>
    <w:rsid w:val="31D05482"/>
    <w:rsid w:val="31DE175D"/>
    <w:rsid w:val="32400B34"/>
    <w:rsid w:val="329E6876"/>
    <w:rsid w:val="333015F2"/>
    <w:rsid w:val="334B6320"/>
    <w:rsid w:val="338B6DEA"/>
    <w:rsid w:val="33D934D4"/>
    <w:rsid w:val="33FE2F6A"/>
    <w:rsid w:val="340E07E5"/>
    <w:rsid w:val="34235BF7"/>
    <w:rsid w:val="34437FBB"/>
    <w:rsid w:val="34A8413E"/>
    <w:rsid w:val="358C5FA8"/>
    <w:rsid w:val="35C15DF1"/>
    <w:rsid w:val="36074A7F"/>
    <w:rsid w:val="365E0BDF"/>
    <w:rsid w:val="36923549"/>
    <w:rsid w:val="36B75FBF"/>
    <w:rsid w:val="36BD0C45"/>
    <w:rsid w:val="36E2258A"/>
    <w:rsid w:val="3747333B"/>
    <w:rsid w:val="379B18CA"/>
    <w:rsid w:val="37E00298"/>
    <w:rsid w:val="38B302F9"/>
    <w:rsid w:val="38F12CD3"/>
    <w:rsid w:val="38F94775"/>
    <w:rsid w:val="392971ED"/>
    <w:rsid w:val="39325651"/>
    <w:rsid w:val="3971469F"/>
    <w:rsid w:val="39C421D4"/>
    <w:rsid w:val="3A872856"/>
    <w:rsid w:val="3B3763D1"/>
    <w:rsid w:val="3BB4400E"/>
    <w:rsid w:val="3C0E61B4"/>
    <w:rsid w:val="3C2F6E1E"/>
    <w:rsid w:val="3C4F64BA"/>
    <w:rsid w:val="3CDA245A"/>
    <w:rsid w:val="3CFF16C8"/>
    <w:rsid w:val="3D1E06B7"/>
    <w:rsid w:val="3D86765A"/>
    <w:rsid w:val="3DA22D23"/>
    <w:rsid w:val="3DA4796A"/>
    <w:rsid w:val="3DDA0CE2"/>
    <w:rsid w:val="3DE2791A"/>
    <w:rsid w:val="3EDA0523"/>
    <w:rsid w:val="3FFC610F"/>
    <w:rsid w:val="407A6407"/>
    <w:rsid w:val="4200449D"/>
    <w:rsid w:val="421075C9"/>
    <w:rsid w:val="4218116A"/>
    <w:rsid w:val="423A3BCC"/>
    <w:rsid w:val="424E57D2"/>
    <w:rsid w:val="42B26C49"/>
    <w:rsid w:val="430F2EFC"/>
    <w:rsid w:val="433A6FE6"/>
    <w:rsid w:val="43480868"/>
    <w:rsid w:val="4350713C"/>
    <w:rsid w:val="436653E0"/>
    <w:rsid w:val="43C4431A"/>
    <w:rsid w:val="43C7383A"/>
    <w:rsid w:val="44B951CC"/>
    <w:rsid w:val="44CD14E0"/>
    <w:rsid w:val="44F20B0B"/>
    <w:rsid w:val="451505D5"/>
    <w:rsid w:val="452E5F4C"/>
    <w:rsid w:val="45612018"/>
    <w:rsid w:val="458946E9"/>
    <w:rsid w:val="45A47C0E"/>
    <w:rsid w:val="45A8769B"/>
    <w:rsid w:val="46577FD6"/>
    <w:rsid w:val="46B41ACF"/>
    <w:rsid w:val="46D955A7"/>
    <w:rsid w:val="47133957"/>
    <w:rsid w:val="47656D85"/>
    <w:rsid w:val="47A07E0C"/>
    <w:rsid w:val="4870272E"/>
    <w:rsid w:val="48D55147"/>
    <w:rsid w:val="49292CBC"/>
    <w:rsid w:val="499B14DA"/>
    <w:rsid w:val="49DC7715"/>
    <w:rsid w:val="4A023139"/>
    <w:rsid w:val="4A193C5A"/>
    <w:rsid w:val="4A7B576F"/>
    <w:rsid w:val="4AAE1D62"/>
    <w:rsid w:val="4AF561A9"/>
    <w:rsid w:val="4C4A0649"/>
    <w:rsid w:val="4C7E5ECA"/>
    <w:rsid w:val="4C876AA5"/>
    <w:rsid w:val="4D0E00FB"/>
    <w:rsid w:val="4D176606"/>
    <w:rsid w:val="4DE8262D"/>
    <w:rsid w:val="4DEC4FB0"/>
    <w:rsid w:val="4E075D8A"/>
    <w:rsid w:val="4EC00FAD"/>
    <w:rsid w:val="4F360F61"/>
    <w:rsid w:val="4F9843DC"/>
    <w:rsid w:val="4FA156DD"/>
    <w:rsid w:val="4FC62A8C"/>
    <w:rsid w:val="4FE20F0D"/>
    <w:rsid w:val="4FE51552"/>
    <w:rsid w:val="4FF17FC8"/>
    <w:rsid w:val="50504C4B"/>
    <w:rsid w:val="509C6E7C"/>
    <w:rsid w:val="5162104E"/>
    <w:rsid w:val="51EC14F7"/>
    <w:rsid w:val="52F1442F"/>
    <w:rsid w:val="52FB3ADA"/>
    <w:rsid w:val="532F2A48"/>
    <w:rsid w:val="53A039CC"/>
    <w:rsid w:val="53A1505A"/>
    <w:rsid w:val="54063E08"/>
    <w:rsid w:val="541F2B8E"/>
    <w:rsid w:val="543437E8"/>
    <w:rsid w:val="54F73313"/>
    <w:rsid w:val="54F80955"/>
    <w:rsid w:val="554F18E1"/>
    <w:rsid w:val="555170A7"/>
    <w:rsid w:val="556E2FD4"/>
    <w:rsid w:val="5587536D"/>
    <w:rsid w:val="559B174B"/>
    <w:rsid w:val="55CE0CF4"/>
    <w:rsid w:val="569A72B7"/>
    <w:rsid w:val="56B22A9C"/>
    <w:rsid w:val="57B72A76"/>
    <w:rsid w:val="57C3426C"/>
    <w:rsid w:val="57CE1F93"/>
    <w:rsid w:val="57D2199B"/>
    <w:rsid w:val="57EE0DC4"/>
    <w:rsid w:val="588743D1"/>
    <w:rsid w:val="5887701A"/>
    <w:rsid w:val="58890142"/>
    <w:rsid w:val="59077032"/>
    <w:rsid w:val="59C0439F"/>
    <w:rsid w:val="5A9C7376"/>
    <w:rsid w:val="5ABE2233"/>
    <w:rsid w:val="5B537E07"/>
    <w:rsid w:val="5BDF5D95"/>
    <w:rsid w:val="5BFE7528"/>
    <w:rsid w:val="5CA75BBE"/>
    <w:rsid w:val="5D9560D4"/>
    <w:rsid w:val="5E2467F1"/>
    <w:rsid w:val="5EA14C6C"/>
    <w:rsid w:val="5F066572"/>
    <w:rsid w:val="5F1A2B43"/>
    <w:rsid w:val="5F5C5FB8"/>
    <w:rsid w:val="5FB837BB"/>
    <w:rsid w:val="60CC405A"/>
    <w:rsid w:val="611D2893"/>
    <w:rsid w:val="612B2F35"/>
    <w:rsid w:val="61C918FB"/>
    <w:rsid w:val="61E215D8"/>
    <w:rsid w:val="621B3775"/>
    <w:rsid w:val="62364782"/>
    <w:rsid w:val="62C40BBA"/>
    <w:rsid w:val="631C6ABE"/>
    <w:rsid w:val="63563AB0"/>
    <w:rsid w:val="6394356A"/>
    <w:rsid w:val="63C61B2C"/>
    <w:rsid w:val="63D40BE9"/>
    <w:rsid w:val="64102431"/>
    <w:rsid w:val="64231050"/>
    <w:rsid w:val="646148EF"/>
    <w:rsid w:val="64A5243A"/>
    <w:rsid w:val="64F531DE"/>
    <w:rsid w:val="650E70C3"/>
    <w:rsid w:val="65373578"/>
    <w:rsid w:val="671F124A"/>
    <w:rsid w:val="677A33C6"/>
    <w:rsid w:val="68127AD7"/>
    <w:rsid w:val="681F6961"/>
    <w:rsid w:val="68610A2F"/>
    <w:rsid w:val="68751207"/>
    <w:rsid w:val="68805514"/>
    <w:rsid w:val="69316E2F"/>
    <w:rsid w:val="694E2071"/>
    <w:rsid w:val="69766163"/>
    <w:rsid w:val="697A3B33"/>
    <w:rsid w:val="69D44760"/>
    <w:rsid w:val="6A3F387A"/>
    <w:rsid w:val="6A520EC7"/>
    <w:rsid w:val="6A8234B2"/>
    <w:rsid w:val="6AF87E20"/>
    <w:rsid w:val="6B1448B9"/>
    <w:rsid w:val="6B322639"/>
    <w:rsid w:val="6B4D303F"/>
    <w:rsid w:val="6B680BAF"/>
    <w:rsid w:val="6C636C38"/>
    <w:rsid w:val="6CE27FDC"/>
    <w:rsid w:val="6D001653"/>
    <w:rsid w:val="6DB34098"/>
    <w:rsid w:val="6DB545B6"/>
    <w:rsid w:val="6DE02FB4"/>
    <w:rsid w:val="6E514CED"/>
    <w:rsid w:val="6EB563D5"/>
    <w:rsid w:val="6ED92677"/>
    <w:rsid w:val="6EE519EE"/>
    <w:rsid w:val="6F0B4673"/>
    <w:rsid w:val="6F225983"/>
    <w:rsid w:val="6FFC5590"/>
    <w:rsid w:val="705F536A"/>
    <w:rsid w:val="706D1DD0"/>
    <w:rsid w:val="70856B87"/>
    <w:rsid w:val="70D527EE"/>
    <w:rsid w:val="715B5300"/>
    <w:rsid w:val="71D27F8A"/>
    <w:rsid w:val="71EA67C2"/>
    <w:rsid w:val="72553024"/>
    <w:rsid w:val="72A42E14"/>
    <w:rsid w:val="72E228F8"/>
    <w:rsid w:val="73122968"/>
    <w:rsid w:val="731F5D5E"/>
    <w:rsid w:val="736B1B84"/>
    <w:rsid w:val="73C51AD5"/>
    <w:rsid w:val="73F903D0"/>
    <w:rsid w:val="741E793C"/>
    <w:rsid w:val="745E3944"/>
    <w:rsid w:val="75E7058A"/>
    <w:rsid w:val="7635099D"/>
    <w:rsid w:val="77613082"/>
    <w:rsid w:val="77762421"/>
    <w:rsid w:val="779276DF"/>
    <w:rsid w:val="77B56B1F"/>
    <w:rsid w:val="77C60872"/>
    <w:rsid w:val="780F09F4"/>
    <w:rsid w:val="783764D9"/>
    <w:rsid w:val="78886D34"/>
    <w:rsid w:val="78A90480"/>
    <w:rsid w:val="78D6452E"/>
    <w:rsid w:val="79004B1D"/>
    <w:rsid w:val="7947435C"/>
    <w:rsid w:val="799960B8"/>
    <w:rsid w:val="7A364017"/>
    <w:rsid w:val="7A8265E1"/>
    <w:rsid w:val="7B686D42"/>
    <w:rsid w:val="7B841746"/>
    <w:rsid w:val="7BFD79FD"/>
    <w:rsid w:val="7C327BE4"/>
    <w:rsid w:val="7C4418C6"/>
    <w:rsid w:val="7C611D76"/>
    <w:rsid w:val="7C6C5AC7"/>
    <w:rsid w:val="7CC6544B"/>
    <w:rsid w:val="7D0239FF"/>
    <w:rsid w:val="7D3C7AA7"/>
    <w:rsid w:val="7D5E40CD"/>
    <w:rsid w:val="7DCD56F2"/>
    <w:rsid w:val="7EF61360"/>
    <w:rsid w:val="7F001CE7"/>
    <w:rsid w:val="7F435C81"/>
    <w:rsid w:val="7FCA13CF"/>
    <w:rsid w:val="7FE47E50"/>
    <w:rsid w:val="DF7F9462"/>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nhideWhenUsed="0" w:uiPriority="9"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qFormat="1"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99"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99"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locked/>
    <w:uiPriority w:val="99"/>
    <w:pPr>
      <w:keepNext/>
      <w:overflowPunct w:val="0"/>
      <w:snapToGrid w:val="0"/>
      <w:spacing w:line="240" w:lineRule="auto"/>
      <w:ind w:left="0" w:firstLine="0" w:firstLineChars="0"/>
      <w:outlineLvl w:val="0"/>
    </w:pPr>
    <w:rPr>
      <w:rFonts w:eastAsia="黑体"/>
      <w:b/>
      <w:bCs/>
      <w:color w:val="000000"/>
      <w:kern w:val="44"/>
      <w:sz w:val="24"/>
      <w:szCs w:val="30"/>
    </w:rPr>
  </w:style>
  <w:style w:type="paragraph" w:styleId="3">
    <w:name w:val="heading 2"/>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qFormat/>
    <w:locked/>
    <w:uiPriority w:val="9"/>
    <w:pPr>
      <w:keepNext/>
      <w:keepLines/>
      <w:spacing w:before="260" w:after="260" w:line="416" w:lineRule="auto"/>
      <w:outlineLvl w:val="2"/>
    </w:pPr>
    <w:rPr>
      <w:b/>
      <w:bCs/>
      <w:sz w:val="32"/>
      <w:szCs w:val="32"/>
    </w:rPr>
  </w:style>
  <w:style w:type="paragraph" w:styleId="5">
    <w:name w:val="heading 4"/>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29">
    <w:name w:val="Default Paragraph Font"/>
    <w:semiHidden/>
    <w:qFormat/>
    <w:uiPriority w:val="0"/>
  </w:style>
  <w:style w:type="table" w:default="1" w:styleId="27">
    <w:name w:val="Normal Table"/>
    <w:semiHidden/>
    <w:qFormat/>
    <w:uiPriority w:val="0"/>
    <w:tblPr>
      <w:tblCellMar>
        <w:top w:w="0" w:type="dxa"/>
        <w:left w:w="108" w:type="dxa"/>
        <w:bottom w:w="0" w:type="dxa"/>
        <w:right w:w="108" w:type="dxa"/>
      </w:tblCellMar>
    </w:tblPr>
  </w:style>
  <w:style w:type="paragraph" w:styleId="6">
    <w:name w:val="Normal Indent"/>
    <w:basedOn w:val="1"/>
    <w:qFormat/>
    <w:locked/>
    <w:uiPriority w:val="0"/>
    <w:pPr>
      <w:adjustRightInd w:val="0"/>
      <w:spacing w:line="320" w:lineRule="atLeast"/>
      <w:ind w:firstLine="420"/>
      <w:textAlignment w:val="baseline"/>
    </w:pPr>
    <w:rPr>
      <w:rFonts w:ascii="Times New Roman" w:hAnsi="Times New Roman" w:eastAsia="宋体" w:cs="Times New Roman"/>
      <w:kern w:val="0"/>
      <w:sz w:val="21"/>
      <w:szCs w:val="20"/>
    </w:rPr>
  </w:style>
  <w:style w:type="paragraph" w:styleId="7">
    <w:name w:val="annotation text"/>
    <w:basedOn w:val="1"/>
    <w:next w:val="1"/>
    <w:link w:val="45"/>
    <w:semiHidden/>
    <w:qFormat/>
    <w:uiPriority w:val="0"/>
    <w:pPr>
      <w:jc w:val="left"/>
    </w:pPr>
    <w:rPr>
      <w:kern w:val="0"/>
      <w:sz w:val="24"/>
      <w:szCs w:val="20"/>
    </w:rPr>
  </w:style>
  <w:style w:type="paragraph" w:styleId="8">
    <w:name w:val="Body Text"/>
    <w:basedOn w:val="1"/>
    <w:link w:val="46"/>
    <w:qFormat/>
    <w:uiPriority w:val="0"/>
    <w:pPr>
      <w:widowControl/>
      <w:snapToGrid w:val="0"/>
      <w:spacing w:before="60" w:after="160" w:line="259" w:lineRule="auto"/>
      <w:ind w:right="113"/>
    </w:pPr>
    <w:rPr>
      <w:kern w:val="0"/>
      <w:sz w:val="18"/>
      <w:szCs w:val="20"/>
    </w:rPr>
  </w:style>
  <w:style w:type="paragraph" w:styleId="9">
    <w:name w:val="Body Text Indent"/>
    <w:basedOn w:val="1"/>
    <w:next w:val="1"/>
    <w:link w:val="44"/>
    <w:qFormat/>
    <w:uiPriority w:val="0"/>
    <w:pPr>
      <w:spacing w:after="120"/>
      <w:ind w:left="420" w:leftChars="200"/>
    </w:pPr>
    <w:rPr>
      <w:kern w:val="0"/>
      <w:sz w:val="24"/>
      <w:szCs w:val="20"/>
    </w:rPr>
  </w:style>
  <w:style w:type="paragraph" w:styleId="10">
    <w:name w:val="Plain Text"/>
    <w:basedOn w:val="1"/>
    <w:qFormat/>
    <w:locked/>
    <w:uiPriority w:val="99"/>
    <w:rPr>
      <w:rFonts w:ascii="宋体" w:hAnsi="Courier New" w:cs="Century"/>
      <w:szCs w:val="21"/>
    </w:rPr>
  </w:style>
  <w:style w:type="paragraph" w:styleId="11">
    <w:name w:val="List Bullet 5"/>
    <w:basedOn w:val="1"/>
    <w:qFormat/>
    <w:locked/>
    <w:uiPriority w:val="0"/>
    <w:pPr>
      <w:numPr>
        <w:ilvl w:val="0"/>
        <w:numId w:val="1"/>
      </w:numPr>
    </w:pPr>
  </w:style>
  <w:style w:type="paragraph" w:styleId="12">
    <w:name w:val="Date"/>
    <w:basedOn w:val="1"/>
    <w:next w:val="1"/>
    <w:link w:val="47"/>
    <w:qFormat/>
    <w:uiPriority w:val="0"/>
    <w:pPr>
      <w:ind w:left="100" w:leftChars="2500"/>
    </w:pPr>
    <w:rPr>
      <w:kern w:val="0"/>
      <w:sz w:val="24"/>
      <w:szCs w:val="20"/>
    </w:rPr>
  </w:style>
  <w:style w:type="paragraph" w:styleId="13">
    <w:name w:val="Body Text Indent 2"/>
    <w:basedOn w:val="1"/>
    <w:next w:val="1"/>
    <w:qFormat/>
    <w:locked/>
    <w:uiPriority w:val="0"/>
    <w:pPr>
      <w:ind w:firstLine="570"/>
    </w:pPr>
    <w:rPr>
      <w:sz w:val="28"/>
    </w:rPr>
  </w:style>
  <w:style w:type="paragraph" w:styleId="14">
    <w:name w:val="endnote text"/>
    <w:basedOn w:val="1"/>
    <w:qFormat/>
    <w:locked/>
    <w:uiPriority w:val="0"/>
    <w:pPr>
      <w:snapToGrid w:val="0"/>
      <w:jc w:val="left"/>
    </w:pPr>
  </w:style>
  <w:style w:type="paragraph" w:styleId="15">
    <w:name w:val="Balloon Text"/>
    <w:basedOn w:val="1"/>
    <w:link w:val="48"/>
    <w:semiHidden/>
    <w:qFormat/>
    <w:uiPriority w:val="0"/>
    <w:rPr>
      <w:kern w:val="0"/>
      <w:sz w:val="18"/>
      <w:szCs w:val="20"/>
    </w:rPr>
  </w:style>
  <w:style w:type="paragraph" w:styleId="16">
    <w:name w:val="footer"/>
    <w:basedOn w:val="1"/>
    <w:link w:val="49"/>
    <w:qFormat/>
    <w:uiPriority w:val="99"/>
    <w:pPr>
      <w:tabs>
        <w:tab w:val="center" w:pos="4153"/>
        <w:tab w:val="right" w:pos="8306"/>
      </w:tabs>
      <w:snapToGrid w:val="0"/>
      <w:jc w:val="left"/>
    </w:pPr>
    <w:rPr>
      <w:kern w:val="0"/>
      <w:sz w:val="18"/>
      <w:szCs w:val="20"/>
    </w:rPr>
  </w:style>
  <w:style w:type="paragraph" w:styleId="17">
    <w:name w:val="header"/>
    <w:basedOn w:val="1"/>
    <w:link w:val="50"/>
    <w:qFormat/>
    <w:uiPriority w:val="0"/>
    <w:pPr>
      <w:pBdr>
        <w:bottom w:val="single" w:color="auto" w:sz="6" w:space="1"/>
      </w:pBdr>
      <w:tabs>
        <w:tab w:val="center" w:pos="4153"/>
        <w:tab w:val="right" w:pos="8306"/>
      </w:tabs>
      <w:snapToGrid w:val="0"/>
      <w:jc w:val="center"/>
    </w:pPr>
    <w:rPr>
      <w:kern w:val="0"/>
      <w:sz w:val="18"/>
      <w:szCs w:val="20"/>
    </w:rPr>
  </w:style>
  <w:style w:type="paragraph" w:styleId="18">
    <w:name w:val="index heading"/>
    <w:basedOn w:val="1"/>
    <w:next w:val="19"/>
    <w:qFormat/>
    <w:locked/>
    <w:uiPriority w:val="0"/>
    <w:pPr>
      <w:spacing w:line="480" w:lineRule="exact"/>
    </w:pPr>
    <w:rPr>
      <w:rFonts w:ascii="Arial" w:hAnsi="Arial" w:cs="Arial"/>
      <w:b/>
      <w:bCs/>
      <w:sz w:val="24"/>
      <w:szCs w:val="20"/>
    </w:rPr>
  </w:style>
  <w:style w:type="paragraph" w:styleId="19">
    <w:name w:val="index 1"/>
    <w:basedOn w:val="1"/>
    <w:next w:val="1"/>
    <w:qFormat/>
    <w:locked/>
    <w:uiPriority w:val="0"/>
  </w:style>
  <w:style w:type="paragraph" w:styleId="20">
    <w:name w:val="toc 2"/>
    <w:basedOn w:val="1"/>
    <w:next w:val="1"/>
    <w:qFormat/>
    <w:locked/>
    <w:uiPriority w:val="0"/>
    <w:pPr>
      <w:ind w:left="420" w:leftChars="200"/>
    </w:pPr>
  </w:style>
  <w:style w:type="paragraph" w:styleId="21">
    <w:name w:val="Body Text 2"/>
    <w:basedOn w:val="1"/>
    <w:next w:val="1"/>
    <w:qFormat/>
    <w:locked/>
    <w:uiPriority w:val="0"/>
    <w:pPr>
      <w:spacing w:after="120" w:line="480" w:lineRule="auto"/>
    </w:pPr>
  </w:style>
  <w:style w:type="paragraph" w:styleId="22">
    <w:name w:val="Normal (Web)"/>
    <w:basedOn w:val="1"/>
    <w:link w:val="51"/>
    <w:qFormat/>
    <w:uiPriority w:val="0"/>
    <w:pPr>
      <w:widowControl/>
      <w:spacing w:before="100" w:beforeAutospacing="1" w:after="100" w:afterAutospacing="1"/>
      <w:jc w:val="left"/>
    </w:pPr>
    <w:rPr>
      <w:rFonts w:ascii="宋体" w:hAnsi="宋体"/>
      <w:kern w:val="0"/>
      <w:sz w:val="24"/>
      <w:szCs w:val="20"/>
    </w:rPr>
  </w:style>
  <w:style w:type="paragraph" w:styleId="23">
    <w:name w:val="Title"/>
    <w:basedOn w:val="1"/>
    <w:next w:val="1"/>
    <w:qFormat/>
    <w:locked/>
    <w:uiPriority w:val="0"/>
    <w:pPr>
      <w:spacing w:before="60" w:after="60" w:line="576" w:lineRule="auto"/>
      <w:ind w:firstLine="0" w:firstLineChars="0"/>
      <w:jc w:val="left"/>
      <w:outlineLvl w:val="0"/>
    </w:pPr>
    <w:rPr>
      <w:b/>
      <w:bCs/>
      <w:sz w:val="36"/>
      <w:szCs w:val="32"/>
      <w:lang w:val="zh-CN"/>
    </w:rPr>
  </w:style>
  <w:style w:type="paragraph" w:styleId="24">
    <w:name w:val="annotation subject"/>
    <w:basedOn w:val="7"/>
    <w:next w:val="7"/>
    <w:link w:val="52"/>
    <w:semiHidden/>
    <w:qFormat/>
    <w:uiPriority w:val="0"/>
    <w:rPr>
      <w:b/>
      <w:sz w:val="24"/>
      <w:szCs w:val="20"/>
    </w:rPr>
  </w:style>
  <w:style w:type="paragraph" w:styleId="25">
    <w:name w:val="Body Text First Indent"/>
    <w:basedOn w:val="8"/>
    <w:next w:val="1"/>
    <w:qFormat/>
    <w:locked/>
    <w:uiPriority w:val="99"/>
    <w:pPr>
      <w:ind w:firstLine="420" w:firstLineChars="100"/>
    </w:pPr>
  </w:style>
  <w:style w:type="paragraph" w:styleId="26">
    <w:name w:val="Body Text First Indent 2"/>
    <w:basedOn w:val="9"/>
    <w:next w:val="1"/>
    <w:qFormat/>
    <w:locked/>
    <w:uiPriority w:val="0"/>
    <w:pPr>
      <w:spacing w:after="120" w:afterLines="0" w:line="240" w:lineRule="auto"/>
      <w:ind w:left="420" w:leftChars="200" w:firstLine="420" w:firstLineChars="200"/>
    </w:pPr>
    <w:rPr>
      <w:sz w:val="21"/>
      <w:szCs w:val="24"/>
    </w:rPr>
  </w:style>
  <w:style w:type="table" w:styleId="28">
    <w:name w:val="Table Grid"/>
    <w:basedOn w:val="27"/>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qFormat/>
    <w:locked/>
    <w:uiPriority w:val="0"/>
    <w:rPr>
      <w:b/>
    </w:rPr>
  </w:style>
  <w:style w:type="character" w:styleId="31">
    <w:name w:val="page number"/>
    <w:basedOn w:val="29"/>
    <w:qFormat/>
    <w:locked/>
    <w:uiPriority w:val="0"/>
  </w:style>
  <w:style w:type="character" w:styleId="32">
    <w:name w:val="Emphasis"/>
    <w:basedOn w:val="29"/>
    <w:qFormat/>
    <w:locked/>
    <w:uiPriority w:val="0"/>
    <w:rPr>
      <w:i/>
    </w:rPr>
  </w:style>
  <w:style w:type="character" w:styleId="33">
    <w:name w:val="annotation reference"/>
    <w:semiHidden/>
    <w:qFormat/>
    <w:uiPriority w:val="0"/>
    <w:rPr>
      <w:sz w:val="21"/>
    </w:rPr>
  </w:style>
  <w:style w:type="paragraph" w:customStyle="1" w:styleId="34">
    <w:name w:val="样式 标题 1一级标题 + 段前: 0.5 行 段后: 0.5 行"/>
    <w:basedOn w:val="2"/>
    <w:qFormat/>
    <w:uiPriority w:val="99"/>
    <w:pPr>
      <w:spacing w:line="320" w:lineRule="exact"/>
      <w:outlineLvl w:val="9"/>
    </w:pPr>
    <w:rPr>
      <w:spacing w:val="-6"/>
      <w:sz w:val="21"/>
      <w:szCs w:val="21"/>
    </w:rPr>
  </w:style>
  <w:style w:type="paragraph" w:customStyle="1" w:styleId="35">
    <w:name w:val="样式 样式 样式 四号 左侧:  1.53 厘米 + 首行缩进:  2 字符 + 居中 左侧:  2 字符 首行缩进:  2..."/>
    <w:basedOn w:val="36"/>
    <w:qFormat/>
    <w:uiPriority w:val="0"/>
    <w:pPr>
      <w:jc w:val="center"/>
    </w:pPr>
  </w:style>
  <w:style w:type="paragraph" w:customStyle="1" w:styleId="36">
    <w:name w:val="样式 样式 四号 左侧:  1.53 厘米 + 首行缩进:  2 字符"/>
    <w:basedOn w:val="37"/>
    <w:qFormat/>
    <w:uiPriority w:val="0"/>
    <w:pPr>
      <w:ind w:left="200" w:leftChars="200"/>
    </w:pPr>
    <w:rPr>
      <w:szCs w:val="20"/>
    </w:rPr>
  </w:style>
  <w:style w:type="paragraph" w:customStyle="1" w:styleId="37">
    <w:name w:val="样式 四号 左侧:  1.53 厘米"/>
    <w:basedOn w:val="1"/>
    <w:qFormat/>
    <w:uiPriority w:val="0"/>
    <w:pPr>
      <w:adjustRightInd w:val="0"/>
    </w:pPr>
    <w:rPr>
      <w:w w:val="90"/>
      <w:sz w:val="28"/>
      <w:szCs w:val="28"/>
    </w:rPr>
  </w:style>
  <w:style w:type="paragraph" w:customStyle="1" w:styleId="38">
    <w:name w:val="Date1"/>
    <w:basedOn w:val="1"/>
    <w:next w:val="1"/>
    <w:qFormat/>
    <w:uiPriority w:val="0"/>
    <w:pPr>
      <w:adjustRightInd w:val="0"/>
      <w:jc w:val="left"/>
      <w:textAlignment w:val="baseline"/>
    </w:pPr>
    <w:rPr>
      <w:rFonts w:ascii="宋体" w:hAnsi="宋体"/>
      <w:sz w:val="28"/>
      <w:szCs w:val="20"/>
    </w:rPr>
  </w:style>
  <w:style w:type="paragraph" w:customStyle="1" w:styleId="39">
    <w:name w:val="xl27"/>
    <w:basedOn w:val="1"/>
    <w:next w:val="7"/>
    <w:qFormat/>
    <w:uiPriority w:val="0"/>
    <w:pPr>
      <w:widowControl/>
      <w:pBdr>
        <w:bottom w:val="single" w:color="auto" w:sz="4" w:space="0"/>
        <w:right w:val="single" w:color="auto" w:sz="4" w:space="0"/>
      </w:pBdr>
      <w:adjustRightInd w:val="0"/>
      <w:snapToGrid w:val="0"/>
      <w:spacing w:before="100" w:beforeAutospacing="1" w:after="100" w:afterAutospacing="1" w:line="500" w:lineRule="exact"/>
      <w:jc w:val="center"/>
    </w:pPr>
    <w:rPr>
      <w:rFonts w:eastAsia="Arial Unicode MS"/>
      <w:kern w:val="0"/>
      <w:szCs w:val="21"/>
    </w:rPr>
  </w:style>
  <w:style w:type="paragraph" w:customStyle="1" w:styleId="40">
    <w:name w:val="Default"/>
    <w:basedOn w:val="41"/>
    <w:next w:val="42"/>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1">
    <w:name w:val="文本"/>
    <w:basedOn w:val="1"/>
    <w:next w:val="1"/>
    <w:qFormat/>
    <w:uiPriority w:val="0"/>
    <w:pPr>
      <w:autoSpaceDE w:val="0"/>
      <w:autoSpaceDN w:val="0"/>
      <w:ind w:firstLine="480"/>
    </w:pPr>
    <w:rPr>
      <w:lang w:val="zh-CN"/>
    </w:rPr>
  </w:style>
  <w:style w:type="paragraph" w:customStyle="1" w:styleId="42">
    <w:name w:val="表格文字"/>
    <w:basedOn w:val="8"/>
    <w:next w:val="1"/>
    <w:qFormat/>
    <w:uiPriority w:val="0"/>
    <w:pPr>
      <w:widowControl w:val="0"/>
      <w:autoSpaceDE w:val="0"/>
      <w:autoSpaceDN w:val="0"/>
      <w:adjustRightInd w:val="0"/>
      <w:textAlignment w:val="baseline"/>
    </w:pPr>
    <w:rPr>
      <w:rFonts w:ascii="宋体" w:hAnsi="Times New Roman" w:eastAsia="宋体" w:cs="Times New Roman"/>
      <w:color w:val="000000"/>
      <w:sz w:val="24"/>
      <w:lang w:val="en-US" w:eastAsia="zh-CN" w:bidi="ar-SA"/>
    </w:rPr>
  </w:style>
  <w:style w:type="paragraph" w:customStyle="1" w:styleId="43">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character" w:customStyle="1" w:styleId="44">
    <w:name w:val="正文文本缩进 Char"/>
    <w:link w:val="9"/>
    <w:semiHidden/>
    <w:qFormat/>
    <w:locked/>
    <w:uiPriority w:val="0"/>
    <w:rPr>
      <w:rFonts w:ascii="Times New Roman" w:hAnsi="Times New Roman" w:eastAsia="宋体"/>
      <w:sz w:val="24"/>
    </w:rPr>
  </w:style>
  <w:style w:type="character" w:customStyle="1" w:styleId="45">
    <w:name w:val="批注文字 Char"/>
    <w:link w:val="7"/>
    <w:qFormat/>
    <w:locked/>
    <w:uiPriority w:val="0"/>
    <w:rPr>
      <w:rFonts w:ascii="Times New Roman" w:hAnsi="Times New Roman" w:eastAsia="宋体"/>
      <w:sz w:val="24"/>
    </w:rPr>
  </w:style>
  <w:style w:type="character" w:customStyle="1" w:styleId="46">
    <w:name w:val="正文文本 Char"/>
    <w:link w:val="8"/>
    <w:qFormat/>
    <w:locked/>
    <w:uiPriority w:val="0"/>
    <w:rPr>
      <w:sz w:val="18"/>
    </w:rPr>
  </w:style>
  <w:style w:type="character" w:customStyle="1" w:styleId="47">
    <w:name w:val="日期 Char"/>
    <w:link w:val="12"/>
    <w:qFormat/>
    <w:locked/>
    <w:uiPriority w:val="0"/>
    <w:rPr>
      <w:rFonts w:ascii="Times New Roman" w:hAnsi="Times New Roman" w:eastAsia="宋体"/>
      <w:sz w:val="24"/>
    </w:rPr>
  </w:style>
  <w:style w:type="character" w:customStyle="1" w:styleId="48">
    <w:name w:val="批注框文本 Char"/>
    <w:link w:val="15"/>
    <w:semiHidden/>
    <w:qFormat/>
    <w:locked/>
    <w:uiPriority w:val="0"/>
    <w:rPr>
      <w:rFonts w:ascii="Times New Roman" w:hAnsi="Times New Roman" w:eastAsia="宋体"/>
      <w:sz w:val="18"/>
    </w:rPr>
  </w:style>
  <w:style w:type="character" w:customStyle="1" w:styleId="49">
    <w:name w:val="页脚 Char"/>
    <w:link w:val="16"/>
    <w:qFormat/>
    <w:locked/>
    <w:uiPriority w:val="99"/>
    <w:rPr>
      <w:sz w:val="18"/>
    </w:rPr>
  </w:style>
  <w:style w:type="character" w:customStyle="1" w:styleId="50">
    <w:name w:val="页眉 Char"/>
    <w:link w:val="17"/>
    <w:qFormat/>
    <w:locked/>
    <w:uiPriority w:val="0"/>
    <w:rPr>
      <w:sz w:val="18"/>
    </w:rPr>
  </w:style>
  <w:style w:type="character" w:customStyle="1" w:styleId="51">
    <w:name w:val="普通(网站) Char"/>
    <w:link w:val="22"/>
    <w:qFormat/>
    <w:locked/>
    <w:uiPriority w:val="0"/>
    <w:rPr>
      <w:rFonts w:ascii="宋体" w:hAnsi="宋体" w:eastAsia="宋体"/>
      <w:sz w:val="24"/>
    </w:rPr>
  </w:style>
  <w:style w:type="character" w:customStyle="1" w:styleId="52">
    <w:name w:val="批注主题 Char"/>
    <w:link w:val="24"/>
    <w:semiHidden/>
    <w:qFormat/>
    <w:locked/>
    <w:uiPriority w:val="0"/>
    <w:rPr>
      <w:rFonts w:ascii="Times New Roman" w:hAnsi="Times New Roman" w:eastAsia="宋体"/>
      <w:b/>
      <w:kern w:val="2"/>
      <w:sz w:val="24"/>
    </w:rPr>
  </w:style>
  <w:style w:type="paragraph" w:customStyle="1" w:styleId="53">
    <w:name w:val="[1]正文"/>
    <w:basedOn w:val="1"/>
    <w:qFormat/>
    <w:uiPriority w:val="0"/>
    <w:pPr>
      <w:autoSpaceDE w:val="0"/>
      <w:autoSpaceDN w:val="0"/>
      <w:ind w:firstLine="200" w:firstLineChars="200"/>
    </w:pPr>
    <w:rPr>
      <w:color w:val="000000"/>
      <w:kern w:val="0"/>
      <w:szCs w:val="24"/>
      <w:lang w:val="zh-CN"/>
    </w:rPr>
  </w:style>
  <w:style w:type="character" w:customStyle="1" w:styleId="54">
    <w:name w:val="页脚 字符"/>
    <w:basedOn w:val="29"/>
    <w:qFormat/>
    <w:uiPriority w:val="99"/>
  </w:style>
  <w:style w:type="character" w:customStyle="1" w:styleId="55">
    <w:name w:val="正文文本 字符1"/>
    <w:semiHidden/>
    <w:qFormat/>
    <w:uiPriority w:val="0"/>
    <w:rPr>
      <w:rFonts w:ascii="Times New Roman" w:hAnsi="Times New Roman" w:eastAsia="宋体"/>
      <w:sz w:val="24"/>
    </w:rPr>
  </w:style>
  <w:style w:type="character" w:customStyle="1" w:styleId="56">
    <w:name w:val="表格 Char"/>
    <w:link w:val="57"/>
    <w:qFormat/>
    <w:locked/>
    <w:uiPriority w:val="0"/>
    <w:rPr>
      <w:rFonts w:ascii="宋体"/>
      <w:sz w:val="21"/>
    </w:rPr>
  </w:style>
  <w:style w:type="paragraph" w:customStyle="1" w:styleId="57">
    <w:name w:val="表格"/>
    <w:basedOn w:val="6"/>
    <w:link w:val="56"/>
    <w:qFormat/>
    <w:uiPriority w:val="0"/>
    <w:pPr>
      <w:adjustRightInd w:val="0"/>
      <w:snapToGrid w:val="0"/>
      <w:spacing w:beforeLines="10" w:afterLines="10" w:line="259" w:lineRule="auto"/>
      <w:jc w:val="center"/>
    </w:pPr>
    <w:rPr>
      <w:rFonts w:ascii="宋体"/>
      <w:kern w:val="0"/>
      <w:szCs w:val="20"/>
    </w:rPr>
  </w:style>
  <w:style w:type="character" w:customStyle="1" w:styleId="58">
    <w:name w:val="日期 字符"/>
    <w:semiHidden/>
    <w:qFormat/>
    <w:uiPriority w:val="0"/>
    <w:rPr>
      <w:rFonts w:ascii="Times New Roman" w:hAnsi="Times New Roman" w:eastAsia="宋体"/>
      <w:sz w:val="24"/>
    </w:rPr>
  </w:style>
  <w:style w:type="character" w:customStyle="1" w:styleId="59">
    <w:name w:val="批注文字 字符1"/>
    <w:semiHidden/>
    <w:qFormat/>
    <w:uiPriority w:val="0"/>
    <w:rPr>
      <w:rFonts w:ascii="Times New Roman" w:hAnsi="Times New Roman" w:eastAsia="宋体"/>
      <w:sz w:val="24"/>
    </w:rPr>
  </w:style>
  <w:style w:type="paragraph" w:customStyle="1" w:styleId="60">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1">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2">
    <w:name w:val="李-正文"/>
    <w:basedOn w:val="1"/>
    <w:qFormat/>
    <w:uiPriority w:val="0"/>
    <w:pPr>
      <w:spacing w:line="360" w:lineRule="auto"/>
      <w:ind w:firstLine="560" w:firstLineChars="200"/>
    </w:pPr>
    <w:rPr>
      <w:rFonts w:ascii="Times New Roman" w:hAnsi="Times New Roman"/>
      <w:sz w:val="24"/>
    </w:rPr>
  </w:style>
  <w:style w:type="paragraph" w:customStyle="1" w:styleId="63">
    <w:name w:val="p0"/>
    <w:basedOn w:val="1"/>
    <w:qFormat/>
    <w:uiPriority w:val="0"/>
    <w:pPr>
      <w:widowControl/>
    </w:pPr>
    <w:rPr>
      <w:kern w:val="0"/>
    </w:rPr>
  </w:style>
  <w:style w:type="character" w:customStyle="1" w:styleId="64">
    <w:name w:val="表文字 Char Char Char Char Char Char"/>
    <w:qFormat/>
    <w:uiPriority w:val="0"/>
    <w:rPr>
      <w:rFonts w:eastAsia="宋体"/>
      <w:kern w:val="2"/>
      <w:sz w:val="21"/>
      <w:szCs w:val="21"/>
      <w:lang w:val="en-US" w:eastAsia="zh-CN" w:bidi="ar-SA"/>
    </w:rPr>
  </w:style>
  <w:style w:type="paragraph" w:customStyle="1" w:styleId="65">
    <w:name w:val="龙正文表格"/>
    <w:basedOn w:val="1"/>
    <w:qFormat/>
    <w:uiPriority w:val="0"/>
    <w:pPr>
      <w:autoSpaceDE w:val="0"/>
      <w:autoSpaceDN w:val="0"/>
      <w:adjustRightInd w:val="0"/>
      <w:jc w:val="center"/>
    </w:pPr>
    <w:rPr>
      <w:rFonts w:hAnsi="宋体"/>
      <w:kern w:val="0"/>
      <w:szCs w:val="21"/>
    </w:rPr>
  </w:style>
  <w:style w:type="paragraph" w:customStyle="1" w:styleId="66">
    <w:name w:val="小标题"/>
    <w:basedOn w:val="67"/>
    <w:qFormat/>
    <w:uiPriority w:val="0"/>
    <w:pPr>
      <w:spacing w:line="480" w:lineRule="exact"/>
      <w:ind w:firstLine="0" w:firstLineChars="0"/>
      <w:jc w:val="left"/>
    </w:pPr>
    <w:rPr>
      <w:rFonts w:eastAsia="宋体"/>
      <w:b/>
      <w:color w:val="000000"/>
      <w:sz w:val="24"/>
    </w:rPr>
  </w:style>
  <w:style w:type="paragraph" w:customStyle="1" w:styleId="67">
    <w:name w:val="List Paragraph"/>
    <w:basedOn w:val="1"/>
    <w:qFormat/>
    <w:uiPriority w:val="99"/>
    <w:pPr>
      <w:ind w:firstLine="420" w:firstLineChars="200"/>
    </w:pPr>
  </w:style>
  <w:style w:type="paragraph" w:customStyle="1" w:styleId="68">
    <w:name w:val="报告表样式"/>
    <w:basedOn w:val="1"/>
    <w:qFormat/>
    <w:uiPriority w:val="0"/>
    <w:pPr>
      <w:adjustRightInd w:val="0"/>
      <w:snapToGrid w:val="0"/>
      <w:spacing w:line="360" w:lineRule="auto"/>
      <w:ind w:firstLine="200" w:firstLineChars="200"/>
    </w:pPr>
    <w:rPr>
      <w:kern w:val="0"/>
      <w:sz w:val="28"/>
      <w:szCs w:val="28"/>
    </w:rPr>
  </w:style>
  <w:style w:type="paragraph" w:customStyle="1" w:styleId="69">
    <w:name w:val="样式1"/>
    <w:basedOn w:val="18"/>
    <w:next w:val="1"/>
    <w:qFormat/>
    <w:uiPriority w:val="0"/>
    <w:pPr>
      <w:snapToGrid w:val="0"/>
      <w:jc w:val="center"/>
    </w:pPr>
    <w:rPr>
      <w:rFonts w:ascii="宋体" w:eastAsia="宋体"/>
      <w:sz w:val="21"/>
    </w:rPr>
  </w:style>
  <w:style w:type="paragraph" w:customStyle="1" w:styleId="70">
    <w:name w:val="Ay正文"/>
    <w:basedOn w:val="1"/>
    <w:qFormat/>
    <w:uiPriority w:val="0"/>
    <w:pPr>
      <w:spacing w:line="360" w:lineRule="auto"/>
      <w:ind w:firstLine="200" w:firstLineChars="200"/>
    </w:pPr>
    <w:rPr>
      <w:sz w:val="24"/>
    </w:rPr>
  </w:style>
  <w:style w:type="paragraph" w:customStyle="1" w:styleId="71">
    <w:name w:val="表格--兰"/>
    <w:basedOn w:val="1"/>
    <w:qFormat/>
    <w:uiPriority w:val="0"/>
    <w:pPr>
      <w:spacing w:line="360" w:lineRule="auto"/>
      <w:ind w:firstLine="720" w:firstLineChars="200"/>
      <w:jc w:val="center"/>
      <w:textAlignment w:val="center"/>
    </w:pPr>
    <w:rPr>
      <w:sz w:val="24"/>
    </w:rPr>
  </w:style>
  <w:style w:type="paragraph" w:customStyle="1" w:styleId="72">
    <w:name w:val="B-表内"/>
    <w:basedOn w:val="1"/>
    <w:qFormat/>
    <w:uiPriority w:val="0"/>
    <w:pPr>
      <w:jc w:val="center"/>
    </w:pPr>
    <w:rPr>
      <w:bCs/>
    </w:rPr>
  </w:style>
  <w:style w:type="paragraph" w:customStyle="1" w:styleId="73">
    <w:name w:val="ae正文zzzzzzzz"/>
    <w:basedOn w:val="1"/>
    <w:qFormat/>
    <w:uiPriority w:val="0"/>
    <w:rPr>
      <w:rFonts w:cs="宋体"/>
      <w:szCs w:val="20"/>
    </w:rPr>
  </w:style>
  <w:style w:type="paragraph" w:customStyle="1" w:styleId="74">
    <w:name w:val="正文A"/>
    <w:basedOn w:val="1"/>
    <w:qFormat/>
    <w:uiPriority w:val="0"/>
    <w:pPr>
      <w:spacing w:line="360" w:lineRule="auto"/>
      <w:ind w:firstLine="720" w:firstLineChars="200"/>
    </w:pPr>
    <w:rPr>
      <w:sz w:val="24"/>
    </w:rPr>
  </w:style>
  <w:style w:type="paragraph" w:customStyle="1" w:styleId="75">
    <w:name w:val="样式5"/>
    <w:basedOn w:val="76"/>
    <w:qFormat/>
    <w:uiPriority w:val="0"/>
    <w:pPr>
      <w:tabs>
        <w:tab w:val="left" w:pos="420"/>
        <w:tab w:val="left" w:pos="630"/>
        <w:tab w:val="right" w:leader="dot" w:pos="9174"/>
      </w:tabs>
    </w:pPr>
    <w:rPr>
      <w:rFonts w:ascii="Times New Roman"/>
    </w:rPr>
  </w:style>
  <w:style w:type="paragraph" w:customStyle="1" w:styleId="76">
    <w:name w:val="正文1"/>
    <w:basedOn w:val="1"/>
    <w:qFormat/>
    <w:uiPriority w:val="0"/>
    <w:pPr>
      <w:widowControl/>
      <w:spacing w:line="360" w:lineRule="auto"/>
      <w:ind w:firstLine="482"/>
    </w:pPr>
    <w:rPr>
      <w:kern w:val="0"/>
      <w:sz w:val="24"/>
    </w:rPr>
  </w:style>
  <w:style w:type="paragraph" w:customStyle="1" w:styleId="77">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0"/>
    </w:rPr>
  </w:style>
  <w:style w:type="character" w:customStyle="1" w:styleId="78">
    <w:name w:val="font01"/>
    <w:basedOn w:val="29"/>
    <w:qFormat/>
    <w:uiPriority w:val="0"/>
    <w:rPr>
      <w:rFonts w:hint="eastAsia" w:ascii="宋体" w:hAnsi="宋体" w:eastAsia="宋体" w:cs="宋体"/>
      <w:color w:val="000000"/>
      <w:sz w:val="21"/>
      <w:szCs w:val="21"/>
      <w:u w:val="none"/>
    </w:rPr>
  </w:style>
  <w:style w:type="character" w:customStyle="1" w:styleId="79">
    <w:name w:val="标题 2 Char Char"/>
    <w:qFormat/>
    <w:uiPriority w:val="0"/>
    <w:rPr>
      <w:rFonts w:eastAsia="宋体"/>
      <w:b/>
      <w:sz w:val="24"/>
      <w:lang w:val="en-US" w:eastAsia="zh-CN" w:bidi="ar-SA"/>
    </w:rPr>
  </w:style>
  <w:style w:type="paragraph" w:customStyle="1" w:styleId="80">
    <w:name w:val="Table Paragraph"/>
    <w:basedOn w:val="1"/>
    <w:qFormat/>
    <w:uiPriority w:val="1"/>
    <w:pPr>
      <w:spacing w:before="38"/>
      <w:jc w:val="center"/>
    </w:pPr>
    <w:rPr>
      <w:rFonts w:ascii="宋体" w:hAnsi="宋体" w:cs="宋体"/>
      <w:lang w:val="zh-CN" w:bidi="zh-CN"/>
    </w:rPr>
  </w:style>
  <w:style w:type="paragraph" w:customStyle="1" w:styleId="81">
    <w:name w:val="表中文字"/>
    <w:basedOn w:val="10"/>
    <w:next w:val="1"/>
    <w:qFormat/>
    <w:uiPriority w:val="0"/>
    <w:pPr>
      <w:tabs>
        <w:tab w:val="left" w:pos="0"/>
      </w:tabs>
      <w:snapToGrid w:val="0"/>
      <w:jc w:val="center"/>
    </w:pPr>
  </w:style>
  <w:style w:type="paragraph" w:customStyle="1" w:styleId="82">
    <w:name w:val="表格正文"/>
    <w:basedOn w:val="1"/>
    <w:next w:val="1"/>
    <w:qFormat/>
    <w:uiPriority w:val="0"/>
    <w:pPr>
      <w:spacing w:line="240" w:lineRule="auto"/>
      <w:ind w:firstLine="0" w:firstLineChars="0"/>
      <w:jc w:val="center"/>
    </w:pPr>
    <w:rPr>
      <w:rFonts w:eastAsia="宋体"/>
      <w:sz w:val="21"/>
      <w:szCs w:val="21"/>
    </w:rPr>
  </w:style>
  <w:style w:type="paragraph" w:customStyle="1" w:styleId="83">
    <w:name w:val="环评报告表新版-正文"/>
    <w:basedOn w:val="1"/>
    <w:qFormat/>
    <w:uiPriority w:val="0"/>
    <w:pPr>
      <w:autoSpaceDE w:val="0"/>
      <w:autoSpaceDN w:val="0"/>
      <w:adjustRightInd w:val="0"/>
      <w:snapToGrid w:val="0"/>
      <w:spacing w:line="360" w:lineRule="exact"/>
      <w:ind w:firstLine="200" w:firstLineChars="200"/>
    </w:pPr>
    <w:rPr>
      <w:rFonts w:cs="宋体"/>
      <w:kern w:val="0"/>
      <w:sz w:val="24"/>
      <w:szCs w:val="21"/>
    </w:rPr>
  </w:style>
  <w:style w:type="paragraph" w:customStyle="1" w:styleId="84">
    <w:name w:val="环评3级标题"/>
    <w:basedOn w:val="1"/>
    <w:qFormat/>
    <w:uiPriority w:val="0"/>
    <w:pPr>
      <w:spacing w:line="400" w:lineRule="exact"/>
      <w:outlineLvl w:val="2"/>
    </w:pPr>
    <w:rPr>
      <w:b/>
      <w:sz w:val="24"/>
    </w:rPr>
  </w:style>
  <w:style w:type="paragraph" w:customStyle="1" w:styleId="85">
    <w:name w:val="常用表头样式"/>
    <w:basedOn w:val="25"/>
    <w:next w:val="1"/>
    <w:qFormat/>
    <w:uiPriority w:val="0"/>
    <w:pPr>
      <w:overflowPunct w:val="0"/>
      <w:autoSpaceDE w:val="0"/>
      <w:autoSpaceDN w:val="0"/>
      <w:adjustRightInd w:val="0"/>
      <w:spacing w:after="0" w:afterLines="0" w:line="360" w:lineRule="auto"/>
      <w:ind w:firstLine="0" w:firstLineChars="0"/>
      <w:jc w:val="center"/>
      <w:textAlignment w:val="baseline"/>
    </w:pPr>
    <w:rPr>
      <w:rFonts w:ascii="黑体" w:hAnsi="Times New Roman" w:eastAsia="仿宋_GB2312"/>
      <w:b/>
      <w:szCs w:val="21"/>
    </w:rPr>
  </w:style>
  <w:style w:type="character" w:customStyle="1" w:styleId="86">
    <w:name w:val="font21"/>
    <w:basedOn w:val="29"/>
    <w:qFormat/>
    <w:uiPriority w:val="0"/>
    <w:rPr>
      <w:rFonts w:hint="eastAsia" w:ascii="宋体" w:hAnsi="宋体" w:eastAsia="宋体" w:cs="宋体"/>
      <w:color w:val="000000"/>
      <w:sz w:val="21"/>
      <w:szCs w:val="21"/>
      <w:u w:val="none"/>
    </w:rPr>
  </w:style>
  <w:style w:type="paragraph" w:customStyle="1" w:styleId="87">
    <w:name w:val="样式 正文缩进正文缩进2正文缩进 Char Char正文缩进 Char Char Char Char正文缩进 Char ..."/>
    <w:basedOn w:val="6"/>
    <w:qFormat/>
    <w:uiPriority w:val="0"/>
    <w:pPr>
      <w:spacing w:line="240" w:lineRule="auto"/>
      <w:ind w:firstLine="0" w:firstLineChars="0"/>
    </w:pPr>
    <w:rPr>
      <w:rFonts w:ascii="Times New Roman" w:eastAsia="宋体"/>
      <w:w w:val="80"/>
      <w:sz w:val="18"/>
      <w:szCs w:val="15"/>
    </w:rPr>
  </w:style>
  <w:style w:type="paragraph" w:customStyle="1" w:styleId="88">
    <w:name w:val="正文首行缩进2个字"/>
    <w:basedOn w:val="1"/>
    <w:qFormat/>
    <w:uiPriority w:val="0"/>
    <w:pPr>
      <w:ind w:firstLine="200" w:firstLineChars="200"/>
    </w:pPr>
    <w:rPr>
      <w:spacing w:val="3"/>
    </w:rPr>
  </w:style>
  <w:style w:type="paragraph" w:customStyle="1" w:styleId="89">
    <w:name w:val="段"/>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90">
    <w:name w:val="报告表正文"/>
    <w:basedOn w:val="1"/>
    <w:semiHidden/>
    <w:qFormat/>
    <w:uiPriority w:val="0"/>
    <w:pPr>
      <w:adjustRightInd w:val="0"/>
      <w:spacing w:line="312" w:lineRule="auto"/>
      <w:ind w:left="113" w:right="113" w:firstLine="482" w:firstLineChars="200"/>
    </w:pPr>
    <w:rPr>
      <w:rFonts w:ascii="Calibri" w:hAnsi="Calibri"/>
      <w:sz w:val="24"/>
      <w:szCs w:val="20"/>
    </w:rPr>
  </w:style>
  <w:style w:type="paragraph" w:customStyle="1" w:styleId="91">
    <w:name w:val="表格内容"/>
    <w:basedOn w:val="1"/>
    <w:qFormat/>
    <w:uiPriority w:val="0"/>
    <w:pPr>
      <w:widowControl w:val="0"/>
      <w:spacing w:line="240" w:lineRule="auto"/>
      <w:jc w:val="center"/>
    </w:pPr>
    <w:rPr>
      <w:snapToGrid w:val="0"/>
      <w:color w:val="000000" w:themeColor="text1"/>
      <w:sz w:val="21"/>
      <w14:textFill>
        <w14:solidFill>
          <w14:schemeClr w14:val="tx1"/>
        </w14:solidFill>
      </w14:textFill>
    </w:rPr>
  </w:style>
  <w:style w:type="paragraph" w:customStyle="1" w:styleId="92">
    <w:name w:val="B-表头"/>
    <w:basedOn w:val="1"/>
    <w:qFormat/>
    <w:uiPriority w:val="0"/>
    <w:pPr>
      <w:jc w:val="center"/>
    </w:pPr>
    <w:rPr>
      <w:b/>
      <w:bCs/>
      <w:sz w:val="24"/>
    </w:rPr>
  </w:style>
  <w:style w:type="paragraph" w:customStyle="1" w:styleId="93">
    <w:name w:val="1 表格 内容全部"/>
    <w:basedOn w:val="1"/>
    <w:next w:val="94"/>
    <w:qFormat/>
    <w:uiPriority w:val="0"/>
    <w:pPr>
      <w:tabs>
        <w:tab w:val="left" w:pos="0"/>
      </w:tabs>
      <w:spacing w:line="240" w:lineRule="auto"/>
      <w:ind w:firstLine="0" w:firstLineChars="0"/>
      <w:jc w:val="center"/>
    </w:pPr>
    <w:rPr>
      <w:sz w:val="21"/>
    </w:rPr>
  </w:style>
  <w:style w:type="paragraph" w:customStyle="1" w:styleId="94">
    <w:name w:val="1 正文"/>
    <w:basedOn w:val="1"/>
    <w:qFormat/>
    <w:uiPriority w:val="0"/>
    <w:pPr>
      <w:ind w:firstLine="0" w:firstLineChars="0"/>
    </w:pPr>
    <w:rPr>
      <w:rFonts w:hint="eastAsia"/>
    </w:rPr>
  </w:style>
  <w:style w:type="paragraph" w:customStyle="1" w:styleId="95">
    <w:name w:val="正文2"/>
    <w:next w:val="1"/>
    <w:qFormat/>
    <w:uiPriority w:val="0"/>
    <w:pPr>
      <w:widowControl w:val="0"/>
      <w:adjustRightInd w:val="0"/>
      <w:snapToGrid w:val="0"/>
      <w:spacing w:line="440" w:lineRule="atLeast"/>
      <w:ind w:firstLine="567"/>
      <w:jc w:val="both"/>
    </w:pPr>
    <w:rPr>
      <w:rFonts w:ascii="Calibri" w:hAnsi="Calibri" w:eastAsia="宋体" w:cs="Times New Roman"/>
      <w:kern w:val="2"/>
      <w:sz w:val="24"/>
      <w:szCs w:val="20"/>
      <w:lang w:val="en-US" w:eastAsia="zh-CN" w:bidi="ar-SA"/>
    </w:rPr>
  </w:style>
  <w:style w:type="paragraph" w:customStyle="1" w:styleId="96">
    <w:name w:val="Table Text"/>
    <w:basedOn w:val="57"/>
    <w:semiHidden/>
    <w:qFormat/>
    <w:uiPriority w:val="0"/>
    <w:rPr>
      <w:rFonts w:ascii="宋体" w:hAnsi="宋体" w:eastAsia="宋体" w:cs="宋体"/>
      <w:sz w:val="21"/>
      <w:szCs w:val="21"/>
      <w:lang w:val="en-US" w:eastAsia="en-US" w:bidi="ar-SA"/>
    </w:rPr>
  </w:style>
  <w:style w:type="character" w:customStyle="1" w:styleId="97">
    <w:name w:val="font31"/>
    <w:basedOn w:val="29"/>
    <w:qFormat/>
    <w:uiPriority w:val="0"/>
    <w:rPr>
      <w:rFonts w:ascii="Times New Roman" w:hAnsi="Times New Roman" w:cs="Times New Roman"/>
      <w:color w:val="000000"/>
      <w:kern w:val="0"/>
      <w:sz w:val="18"/>
      <w:szCs w:val="18"/>
      <w:lang w:eastAsia="en-US"/>
    </w:rPr>
  </w:style>
  <w:style w:type="character" w:customStyle="1" w:styleId="98">
    <w:name w:val="font41"/>
    <w:basedOn w:val="29"/>
    <w:qFormat/>
    <w:uiPriority w:val="0"/>
    <w:rPr>
      <w:rFonts w:hint="default" w:ascii="Times New Roman" w:hAnsi="Times New Roman" w:cs="Times New Roman"/>
      <w:color w:val="000000"/>
      <w:sz w:val="20"/>
      <w:szCs w:val="20"/>
      <w:u w:val="none"/>
      <w:vertAlign w:val="superscript"/>
    </w:rPr>
  </w:style>
  <w:style w:type="table" w:customStyle="1" w:styleId="99">
    <w:name w:val="Table Normal"/>
    <w:semiHidden/>
    <w:unhideWhenUsed/>
    <w:qFormat/>
    <w:uiPriority w:val="0"/>
    <w:tblPr>
      <w:tblCellMar>
        <w:top w:w="0" w:type="dxa"/>
        <w:left w:w="0" w:type="dxa"/>
        <w:bottom w:w="0" w:type="dxa"/>
        <w:right w:w="0" w:type="dxa"/>
      </w:tblCellMar>
    </w:tblPr>
  </w:style>
  <w:style w:type="character" w:customStyle="1" w:styleId="100">
    <w:name w:val="font11"/>
    <w:basedOn w:val="29"/>
    <w:qFormat/>
    <w:uiPriority w:val="0"/>
    <w:rPr>
      <w:rFonts w:hint="eastAsia" w:ascii="宋体" w:hAnsi="宋体" w:eastAsia="宋体" w:cs="宋体"/>
      <w:b/>
      <w:bCs/>
      <w:color w:val="000000"/>
      <w:sz w:val="18"/>
      <w:szCs w:val="18"/>
      <w:u w:val="none"/>
    </w:rPr>
  </w:style>
  <w:style w:type="paragraph" w:customStyle="1" w:styleId="101">
    <w:name w:val="0-正文"/>
    <w:basedOn w:val="1"/>
    <w:qFormat/>
    <w:uiPriority w:val="0"/>
    <w:pPr>
      <w:widowControl/>
      <w:snapToGrid w:val="0"/>
      <w:spacing w:line="360" w:lineRule="auto"/>
      <w:ind w:firstLine="480" w:firstLineChars="200"/>
      <w:jc w:val="left"/>
    </w:pPr>
    <w:rPr>
      <w:kern w:val="0"/>
      <w:sz w:val="24"/>
    </w:rPr>
  </w:style>
  <w:style w:type="character" w:customStyle="1" w:styleId="102">
    <w:name w:val="fontstyle01"/>
    <w:qFormat/>
    <w:uiPriority w:val="0"/>
    <w:rPr>
      <w:rFonts w:hint="eastAsia" w:ascii="宋体" w:hAnsi="宋体" w:eastAsia="宋体"/>
      <w:color w:val="000000"/>
      <w:sz w:val="24"/>
      <w:szCs w:val="24"/>
    </w:rPr>
  </w:style>
  <w:style w:type="paragraph" w:customStyle="1" w:styleId="103">
    <w:name w:val="表格。。"/>
    <w:basedOn w:val="1"/>
    <w:qFormat/>
    <w:uiPriority w:val="0"/>
    <w:pPr>
      <w:spacing w:line="240" w:lineRule="auto"/>
      <w:ind w:firstLine="0" w:firstLineChars="0"/>
      <w:jc w:val="center"/>
    </w:pPr>
    <w:rPr>
      <w:sz w:val="21"/>
    </w:rPr>
  </w:style>
  <w:style w:type="paragraph" w:customStyle="1" w:styleId="104">
    <w:name w:val="yt正文"/>
    <w:basedOn w:val="6"/>
    <w:next w:val="1"/>
    <w:qFormat/>
    <w:uiPriority w:val="0"/>
    <w:pPr>
      <w:spacing w:line="360" w:lineRule="auto"/>
      <w:ind w:firstLine="723" w:firstLineChars="200"/>
    </w:pPr>
    <w:rPr>
      <w:rFonts w:ascii="Times New Roman" w:hAnsi="Times New Roman" w:eastAsia="宋体" w:cs="Times New Roman"/>
      <w:sz w:val="24"/>
      <w:szCs w:val="28"/>
    </w:rPr>
  </w:style>
  <w:style w:type="paragraph" w:customStyle="1" w:styleId="105">
    <w:name w:val="表头"/>
    <w:basedOn w:val="6"/>
    <w:next w:val="1"/>
    <w:qFormat/>
    <w:uiPriority w:val="0"/>
    <w:pPr>
      <w:ind w:firstLine="0"/>
      <w:jc w:val="center"/>
    </w:pPr>
    <w:rPr>
      <w:rFonts w:ascii="宋体" w:eastAsia="宋体" w:cs="宋体"/>
      <w:spacing w:val="6"/>
      <w:kern w:val="10"/>
      <w:sz w:val="24"/>
      <w:szCs w:val="24"/>
      <w:lang w:val="en-US" w:eastAsia="zh-CN"/>
    </w:rPr>
  </w:style>
  <w:style w:type="paragraph" w:customStyle="1" w:styleId="106">
    <w:name w:val="表格内容-BH"/>
    <w:basedOn w:val="1"/>
    <w:qFormat/>
    <w:uiPriority w:val="0"/>
    <w:pPr>
      <w:adjustRightInd w:val="0"/>
      <w:snapToGrid w:val="0"/>
    </w:pPr>
    <w:rPr>
      <w:rFonts w:ascii="Times New Roman" w:hAnsi="Times New Roman" w:eastAsia="宋体" w:cs="Times New Roman"/>
    </w:rPr>
  </w:style>
  <w:style w:type="paragraph" w:customStyle="1" w:styleId="107">
    <w:name w:val="图题-BH"/>
    <w:basedOn w:val="1"/>
    <w:next w:val="1"/>
    <w:qFormat/>
    <w:uiPriority w:val="0"/>
    <w:pPr>
      <w:adjustRightInd w:val="0"/>
      <w:snapToGrid w:val="0"/>
      <w:spacing w:line="360" w:lineRule="auto"/>
    </w:pPr>
    <w:rPr>
      <w:rFonts w:ascii="Times New Roman" w:hAnsi="Times New Roman" w:eastAsia="宋体" w:cs="Times New Roman"/>
      <w:b/>
      <w:kern w:val="0"/>
      <w:szCs w:val="20"/>
    </w:rPr>
  </w:style>
  <w:style w:type="character" w:customStyle="1" w:styleId="108">
    <w:name w:val="font51"/>
    <w:basedOn w:val="29"/>
    <w:qFormat/>
    <w:uiPriority w:val="0"/>
    <w:rPr>
      <w:rFonts w:ascii="宋体" w:hAnsi="宋体" w:eastAsia="宋体" w:cs="宋体"/>
      <w:color w:val="000000"/>
      <w:sz w:val="16"/>
      <w:szCs w:val="16"/>
      <w:u w:val="none"/>
    </w:rPr>
  </w:style>
  <w:style w:type="character" w:customStyle="1" w:styleId="109">
    <w:name w:val="font61"/>
    <w:basedOn w:val="29"/>
    <w:qFormat/>
    <w:uiPriority w:val="0"/>
    <w:rPr>
      <w:rFonts w:ascii="宋体" w:hAnsi="宋体" w:eastAsia="宋体" w:cs="宋体"/>
      <w:color w:val="000000"/>
      <w:sz w:val="10"/>
      <w:szCs w:val="10"/>
      <w:u w:val="none"/>
    </w:rPr>
  </w:style>
  <w:style w:type="character" w:customStyle="1" w:styleId="110">
    <w:name w:val="font71"/>
    <w:basedOn w:val="29"/>
    <w:qFormat/>
    <w:uiPriority w:val="0"/>
    <w:rPr>
      <w:rFonts w:ascii="宋体" w:hAnsi="宋体" w:eastAsia="宋体" w:cs="宋体"/>
      <w:color w:val="000000"/>
      <w:sz w:val="12"/>
      <w:szCs w:val="12"/>
      <w:u w:val="single"/>
    </w:rPr>
  </w:style>
  <w:style w:type="paragraph" w:customStyle="1" w:styleId="111">
    <w:name w:val="TX-表头"/>
    <w:qFormat/>
    <w:uiPriority w:val="0"/>
    <w:pPr>
      <w:jc w:val="center"/>
    </w:pPr>
    <w:rPr>
      <w:rFonts w:ascii="Times New Roman" w:hAnsi="Times New Roman" w:eastAsia="仿宋" w:cs="Times New Roman"/>
      <w:b/>
      <w:kern w:val="2"/>
      <w:sz w:val="24"/>
      <w:szCs w:val="22"/>
      <w:lang w:val="en-US" w:eastAsia="zh-CN" w:bidi="ar-SA"/>
    </w:rPr>
  </w:style>
</w:styles>
</file>

<file path=word/_rels/comments.xml.rels><?xml version="1.0" encoding="UTF-8" standalone="yes"?>
<Relationships xmlns="http://schemas.openxmlformats.org/package/2006/relationships"><Relationship Id="rId1" Type="http://schemas.openxmlformats.org/officeDocument/2006/relationships/image" Target="media/image1.png"/></Relationship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png"/><Relationship Id="rId97" Type="http://schemas.openxmlformats.org/officeDocument/2006/relationships/image" Target="media/image79.png"/><Relationship Id="rId96" Type="http://schemas.openxmlformats.org/officeDocument/2006/relationships/image" Target="media/image78.png"/><Relationship Id="rId95" Type="http://schemas.openxmlformats.org/officeDocument/2006/relationships/image" Target="media/image77.png"/><Relationship Id="rId94" Type="http://schemas.openxmlformats.org/officeDocument/2006/relationships/image" Target="media/image76.png"/><Relationship Id="rId93" Type="http://schemas.openxmlformats.org/officeDocument/2006/relationships/image" Target="media/image75.png"/><Relationship Id="rId92" Type="http://schemas.openxmlformats.org/officeDocument/2006/relationships/image" Target="media/image74.png"/><Relationship Id="rId91" Type="http://schemas.openxmlformats.org/officeDocument/2006/relationships/image" Target="media/image73.png"/><Relationship Id="rId90" Type="http://schemas.openxmlformats.org/officeDocument/2006/relationships/image" Target="media/image72.png"/><Relationship Id="rId9" Type="http://schemas.openxmlformats.org/officeDocument/2006/relationships/footer" Target="footer2.xml"/><Relationship Id="rId89" Type="http://schemas.openxmlformats.org/officeDocument/2006/relationships/image" Target="media/image71.png"/><Relationship Id="rId88" Type="http://schemas.openxmlformats.org/officeDocument/2006/relationships/image" Target="media/image70.png"/><Relationship Id="rId87" Type="http://schemas.openxmlformats.org/officeDocument/2006/relationships/image" Target="media/image69.png"/><Relationship Id="rId86" Type="http://schemas.openxmlformats.org/officeDocument/2006/relationships/image" Target="media/image68.jpeg"/><Relationship Id="rId85" Type="http://schemas.openxmlformats.org/officeDocument/2006/relationships/image" Target="media/image67.jpeg"/><Relationship Id="rId84" Type="http://schemas.openxmlformats.org/officeDocument/2006/relationships/image" Target="media/image66.jpeg"/><Relationship Id="rId83" Type="http://schemas.openxmlformats.org/officeDocument/2006/relationships/image" Target="media/image65.jpe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1.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header" Target="header1.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emf"/><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jpeg"/><Relationship Id="rId6" Type="http://schemas.openxmlformats.org/officeDocument/2006/relationships/endnotes" Target="endnotes.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jpeg"/><Relationship Id="rId50" Type="http://schemas.openxmlformats.org/officeDocument/2006/relationships/image" Target="media/image32.jpeg"/><Relationship Id="rId5" Type="http://schemas.openxmlformats.org/officeDocument/2006/relationships/footnotes" Target="footnotes.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microsoft.com/office/2011/relationships/commentsExtended" Target="commentsExtended.xml"/><Relationship Id="rId39" Type="http://schemas.openxmlformats.org/officeDocument/2006/relationships/image" Target="media/image21.jpeg"/><Relationship Id="rId38" Type="http://schemas.openxmlformats.org/officeDocument/2006/relationships/image" Target="media/image20.png"/><Relationship Id="rId37" Type="http://schemas.openxmlformats.org/officeDocument/2006/relationships/image" Target="media/image19.jpeg"/><Relationship Id="rId36" Type="http://schemas.openxmlformats.org/officeDocument/2006/relationships/image" Target="media/image18.png"/><Relationship Id="rId35" Type="http://schemas.openxmlformats.org/officeDocument/2006/relationships/image" Target="media/image17.jpeg"/><Relationship Id="rId34" Type="http://schemas.openxmlformats.org/officeDocument/2006/relationships/image" Target="media/image16.jpeg"/><Relationship Id="rId33" Type="http://schemas.openxmlformats.org/officeDocument/2006/relationships/image" Target="media/image15.png"/><Relationship Id="rId32" Type="http://schemas.openxmlformats.org/officeDocument/2006/relationships/image" Target="media/image14.jpeg"/><Relationship Id="rId31" Type="http://schemas.openxmlformats.org/officeDocument/2006/relationships/image" Target="media/image13.png"/><Relationship Id="rId30" Type="http://schemas.openxmlformats.org/officeDocument/2006/relationships/image" Target="media/image12.jpeg"/><Relationship Id="rId3" Type="http://schemas.openxmlformats.org/officeDocument/2006/relationships/comments" Target="comments.xml"/><Relationship Id="rId29" Type="http://schemas.openxmlformats.org/officeDocument/2006/relationships/image" Target="media/image11.png"/><Relationship Id="rId28" Type="http://schemas.openxmlformats.org/officeDocument/2006/relationships/image" Target="media/image10.jpe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wmf"/><Relationship Id="rId23" Type="http://schemas.openxmlformats.org/officeDocument/2006/relationships/oleObject" Target="embeddings/oleObject1.bin"/><Relationship Id="rId22" Type="http://schemas.openxmlformats.org/officeDocument/2006/relationships/image" Target="media/image5.jpe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jpeg"/><Relationship Id="rId18" Type="http://schemas.openxmlformats.org/officeDocument/2006/relationships/theme" Target="theme/theme1.xml"/><Relationship Id="rId17" Type="http://schemas.openxmlformats.org/officeDocument/2006/relationships/footer" Target="footer8.xml"/><Relationship Id="rId162" Type="http://schemas.microsoft.com/office/2011/relationships/people" Target="people.xml"/><Relationship Id="rId161" Type="http://schemas.openxmlformats.org/officeDocument/2006/relationships/fontTable" Target="fontTable.xml"/><Relationship Id="rId160" Type="http://schemas.openxmlformats.org/officeDocument/2006/relationships/numbering" Target="numbering.xml"/><Relationship Id="rId16" Type="http://schemas.openxmlformats.org/officeDocument/2006/relationships/header" Target="header3.xml"/><Relationship Id="rId159" Type="http://schemas.openxmlformats.org/officeDocument/2006/relationships/customXml" Target="../customXml/item1.xml"/><Relationship Id="rId158" Type="http://schemas.openxmlformats.org/officeDocument/2006/relationships/image" Target="media/image140.png"/><Relationship Id="rId157" Type="http://schemas.openxmlformats.org/officeDocument/2006/relationships/image" Target="media/image139.png"/><Relationship Id="rId156" Type="http://schemas.openxmlformats.org/officeDocument/2006/relationships/image" Target="media/image138.png"/><Relationship Id="rId155" Type="http://schemas.openxmlformats.org/officeDocument/2006/relationships/image" Target="media/image137.png"/><Relationship Id="rId154" Type="http://schemas.openxmlformats.org/officeDocument/2006/relationships/image" Target="media/image136.png"/><Relationship Id="rId153" Type="http://schemas.openxmlformats.org/officeDocument/2006/relationships/image" Target="media/image135.png"/><Relationship Id="rId152" Type="http://schemas.openxmlformats.org/officeDocument/2006/relationships/image" Target="media/image134.png"/><Relationship Id="rId151" Type="http://schemas.openxmlformats.org/officeDocument/2006/relationships/image" Target="media/image133.png"/><Relationship Id="rId150" Type="http://schemas.openxmlformats.org/officeDocument/2006/relationships/image" Target="media/image132.png"/><Relationship Id="rId15" Type="http://schemas.openxmlformats.org/officeDocument/2006/relationships/footer" Target="footer7.xml"/><Relationship Id="rId149" Type="http://schemas.openxmlformats.org/officeDocument/2006/relationships/image" Target="media/image131.png"/><Relationship Id="rId148" Type="http://schemas.openxmlformats.org/officeDocument/2006/relationships/image" Target="media/image130.png"/><Relationship Id="rId147" Type="http://schemas.openxmlformats.org/officeDocument/2006/relationships/image" Target="media/image129.png"/><Relationship Id="rId146" Type="http://schemas.openxmlformats.org/officeDocument/2006/relationships/image" Target="media/image128.jpeg"/><Relationship Id="rId145" Type="http://schemas.openxmlformats.org/officeDocument/2006/relationships/image" Target="media/image127.png"/><Relationship Id="rId144" Type="http://schemas.openxmlformats.org/officeDocument/2006/relationships/image" Target="media/image126.png"/><Relationship Id="rId143" Type="http://schemas.openxmlformats.org/officeDocument/2006/relationships/image" Target="media/image125.png"/><Relationship Id="rId142" Type="http://schemas.openxmlformats.org/officeDocument/2006/relationships/image" Target="media/image124.png"/><Relationship Id="rId141" Type="http://schemas.openxmlformats.org/officeDocument/2006/relationships/image" Target="media/image123.png"/><Relationship Id="rId140" Type="http://schemas.openxmlformats.org/officeDocument/2006/relationships/image" Target="media/image122.png"/><Relationship Id="rId14" Type="http://schemas.openxmlformats.org/officeDocument/2006/relationships/footer" Target="footer6.xml"/><Relationship Id="rId139" Type="http://schemas.openxmlformats.org/officeDocument/2006/relationships/image" Target="media/image121.png"/><Relationship Id="rId138" Type="http://schemas.openxmlformats.org/officeDocument/2006/relationships/image" Target="media/image120.png"/><Relationship Id="rId137" Type="http://schemas.openxmlformats.org/officeDocument/2006/relationships/image" Target="media/image119.png"/><Relationship Id="rId136" Type="http://schemas.openxmlformats.org/officeDocument/2006/relationships/image" Target="media/image118.png"/><Relationship Id="rId135" Type="http://schemas.openxmlformats.org/officeDocument/2006/relationships/image" Target="media/image117.png"/><Relationship Id="rId134" Type="http://schemas.openxmlformats.org/officeDocument/2006/relationships/image" Target="media/image116.png"/><Relationship Id="rId133" Type="http://schemas.openxmlformats.org/officeDocument/2006/relationships/image" Target="media/image115.png"/><Relationship Id="rId132" Type="http://schemas.openxmlformats.org/officeDocument/2006/relationships/image" Target="media/image114.png"/><Relationship Id="rId131" Type="http://schemas.openxmlformats.org/officeDocument/2006/relationships/image" Target="media/image113.png"/><Relationship Id="rId130" Type="http://schemas.openxmlformats.org/officeDocument/2006/relationships/image" Target="media/image112.png"/><Relationship Id="rId13" Type="http://schemas.openxmlformats.org/officeDocument/2006/relationships/footer" Target="footer5.xml"/><Relationship Id="rId129" Type="http://schemas.openxmlformats.org/officeDocument/2006/relationships/image" Target="media/image111.png"/><Relationship Id="rId128" Type="http://schemas.openxmlformats.org/officeDocument/2006/relationships/image" Target="media/image110.png"/><Relationship Id="rId127" Type="http://schemas.openxmlformats.org/officeDocument/2006/relationships/image" Target="media/image109.png"/><Relationship Id="rId126" Type="http://schemas.openxmlformats.org/officeDocument/2006/relationships/image" Target="media/image108.png"/><Relationship Id="rId125" Type="http://schemas.openxmlformats.org/officeDocument/2006/relationships/image" Target="media/image107.png"/><Relationship Id="rId124" Type="http://schemas.openxmlformats.org/officeDocument/2006/relationships/image" Target="media/image106.png"/><Relationship Id="rId123" Type="http://schemas.openxmlformats.org/officeDocument/2006/relationships/image" Target="media/image105.png"/><Relationship Id="rId122" Type="http://schemas.openxmlformats.org/officeDocument/2006/relationships/image" Target="media/image104.png"/><Relationship Id="rId121" Type="http://schemas.openxmlformats.org/officeDocument/2006/relationships/image" Target="media/image103.png"/><Relationship Id="rId120" Type="http://schemas.openxmlformats.org/officeDocument/2006/relationships/image" Target="media/image102.png"/><Relationship Id="rId12" Type="http://schemas.openxmlformats.org/officeDocument/2006/relationships/footer" Target="footer4.xml"/><Relationship Id="rId119" Type="http://schemas.openxmlformats.org/officeDocument/2006/relationships/image" Target="media/image101.png"/><Relationship Id="rId118" Type="http://schemas.openxmlformats.org/officeDocument/2006/relationships/image" Target="media/image100.png"/><Relationship Id="rId117" Type="http://schemas.openxmlformats.org/officeDocument/2006/relationships/image" Target="media/image99.png"/><Relationship Id="rId116" Type="http://schemas.openxmlformats.org/officeDocument/2006/relationships/image" Target="media/image98.png"/><Relationship Id="rId115" Type="http://schemas.openxmlformats.org/officeDocument/2006/relationships/image" Target="media/image97.png"/><Relationship Id="rId114" Type="http://schemas.openxmlformats.org/officeDocument/2006/relationships/image" Target="media/image96.png"/><Relationship Id="rId113" Type="http://schemas.openxmlformats.org/officeDocument/2006/relationships/image" Target="media/image95.png"/><Relationship Id="rId112" Type="http://schemas.openxmlformats.org/officeDocument/2006/relationships/image" Target="media/image94.png"/><Relationship Id="rId111" Type="http://schemas.openxmlformats.org/officeDocument/2006/relationships/image" Target="media/image93.png"/><Relationship Id="rId110" Type="http://schemas.openxmlformats.org/officeDocument/2006/relationships/image" Target="media/image92.png"/><Relationship Id="rId11" Type="http://schemas.openxmlformats.org/officeDocument/2006/relationships/footer" Target="footer3.xml"/><Relationship Id="rId109" Type="http://schemas.openxmlformats.org/officeDocument/2006/relationships/image" Target="media/image91.png"/><Relationship Id="rId108" Type="http://schemas.openxmlformats.org/officeDocument/2006/relationships/image" Target="media/image90.png"/><Relationship Id="rId107" Type="http://schemas.openxmlformats.org/officeDocument/2006/relationships/image" Target="media/image89.png"/><Relationship Id="rId106" Type="http://schemas.openxmlformats.org/officeDocument/2006/relationships/image" Target="media/image88.png"/><Relationship Id="rId105" Type="http://schemas.openxmlformats.org/officeDocument/2006/relationships/image" Target="media/image87.png"/><Relationship Id="rId104" Type="http://schemas.openxmlformats.org/officeDocument/2006/relationships/image" Target="media/image86.png"/><Relationship Id="rId103" Type="http://schemas.openxmlformats.org/officeDocument/2006/relationships/image" Target="media/image85.png"/><Relationship Id="rId102" Type="http://schemas.openxmlformats.org/officeDocument/2006/relationships/image" Target="media/image84.png"/><Relationship Id="rId101" Type="http://schemas.openxmlformats.org/officeDocument/2006/relationships/image" Target="media/image83.png"/><Relationship Id="rId100" Type="http://schemas.openxmlformats.org/officeDocument/2006/relationships/image" Target="media/image82.png"/><Relationship Id="rId10" Type="http://schemas.openxmlformats.org/officeDocument/2006/relationships/header" Target="header2.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home/greatwall/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extobjs>
    <extobj name="F360BE8B-6686-4F3D-AEAF-501FE73E4058-1">
      <extobjdata type="F360BE8B-6686-4F3D-AEAF-501FE73E4058" data="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"/>
    </extobj>
    <extobj name="F360BE8B-6686-4F3D-AEAF-501FE73E4058-2">
      <extobjdata type="F360BE8B-6686-4F3D-AEAF-501FE73E4058" data="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"/>
    </extobj>
    <extobj name="F360BE8B-6686-4F3D-AEAF-501FE73E4058-3">
      <extobjdata type="F360BE8B-6686-4F3D-AEAF-501FE73E4058" data="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202</Pages>
  <Words>20274</Words>
  <Characters>22739</Characters>
  <Lines>13</Lines>
  <Paragraphs>3</Paragraphs>
  <TotalTime>2</TotalTime>
  <ScaleCrop>false</ScaleCrop>
  <LinksUpToDate>false</LinksUpToDate>
  <CharactersWithSpaces>23119</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lhj</dc:creator>
  <cp:lastModifiedBy>greatwall</cp:lastModifiedBy>
  <cp:lastPrinted>2025-09-15T09:59:00Z</cp:lastPrinted>
  <dcterms:modified xsi:type="dcterms:W3CDTF">2026-03-18T09:25:15Z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y fmtid="{D5CDD505-2E9C-101B-9397-08002B2CF9AE}" pid="3" name="ICV">
    <vt:lpwstr>DE2102FE362541DD9B111A65D8F64B55_13</vt:lpwstr>
  </property>
  <property fmtid="{D5CDD505-2E9C-101B-9397-08002B2CF9AE}" pid="4" name="KSOTemplateDocerSaveRecord">
    <vt:lpwstr>eyJoZGlkIjoiN2RhNWYxMDFmMTU0ZWI4ODk1ODU0ZGRhN2E1ZjdkMDEiLCJ1c2VySWQiOiI1MDQ2MzM5NTAifQ==</vt:lpwstr>
  </property>
</Properties>
</file>