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ind w:firstLine="0" w:firstLineChars="0"/>
        <w:jc w:val="center"/>
        <w:outlineLvl w:val="0"/>
        <w:rPr>
          <w:rFonts w:eastAsia="方正小标宋_GBK"/>
          <w:bCs/>
          <w:color w:val="auto"/>
          <w:sz w:val="72"/>
          <w:szCs w:val="72"/>
        </w:rPr>
      </w:pPr>
    </w:p>
    <w:p>
      <w:pPr>
        <w:adjustRightInd w:val="0"/>
        <w:snapToGrid w:val="0"/>
        <w:ind w:firstLine="0" w:firstLineChars="0"/>
        <w:jc w:val="center"/>
        <w:outlineLvl w:val="0"/>
        <w:rPr>
          <w:rFonts w:eastAsia="方正小标宋_GBK"/>
          <w:bCs/>
          <w:color w:val="auto"/>
          <w:sz w:val="72"/>
          <w:szCs w:val="72"/>
        </w:rPr>
      </w:pPr>
    </w:p>
    <w:p>
      <w:pPr>
        <w:adjustRightInd w:val="0"/>
        <w:snapToGrid w:val="0"/>
        <w:ind w:firstLine="0" w:firstLineChars="0"/>
        <w:jc w:val="center"/>
        <w:outlineLvl w:val="0"/>
        <w:rPr>
          <w:rFonts w:eastAsia="方正小标宋_GBK"/>
          <w:bCs/>
          <w:color w:val="auto"/>
          <w:sz w:val="72"/>
          <w:szCs w:val="72"/>
        </w:rPr>
      </w:pPr>
    </w:p>
    <w:p>
      <w:pPr>
        <w:adjustRightInd w:val="0"/>
        <w:snapToGrid w:val="0"/>
        <w:ind w:firstLine="0" w:firstLineChars="0"/>
        <w:jc w:val="center"/>
        <w:outlineLvl w:val="0"/>
        <w:rPr>
          <w:rFonts w:eastAsia="方正小标宋_GBK"/>
          <w:bCs/>
          <w:color w:val="auto"/>
          <w:sz w:val="72"/>
          <w:szCs w:val="72"/>
        </w:rPr>
      </w:pPr>
      <w:r>
        <w:rPr>
          <w:rFonts w:eastAsia="方正小标宋_GBK"/>
          <w:bCs/>
          <w:color w:val="auto"/>
          <w:sz w:val="72"/>
          <w:szCs w:val="72"/>
        </w:rPr>
        <w:t>建设项目环境影响报告表</w:t>
      </w:r>
    </w:p>
    <w:p>
      <w:pPr>
        <w:adjustRightInd w:val="0"/>
        <w:snapToGrid w:val="0"/>
        <w:spacing w:before="192" w:beforeLines="80"/>
        <w:ind w:firstLine="0" w:firstLineChars="0"/>
        <w:jc w:val="center"/>
        <w:rPr>
          <w:rFonts w:eastAsia="楷体_GB2312"/>
          <w:bCs/>
          <w:color w:val="auto"/>
          <w:sz w:val="48"/>
          <w:szCs w:val="48"/>
        </w:rPr>
      </w:pPr>
      <w:r>
        <w:rPr>
          <w:rFonts w:eastAsia="楷体_GB2312"/>
          <w:bCs/>
          <w:color w:val="auto"/>
          <w:sz w:val="48"/>
          <w:szCs w:val="48"/>
        </w:rPr>
        <w:t>（污染影响类）</w:t>
      </w:r>
    </w:p>
    <w:p>
      <w:pPr>
        <w:adjustRightInd w:val="0"/>
        <w:snapToGrid w:val="0"/>
        <w:spacing w:before="192" w:beforeLines="80"/>
        <w:ind w:firstLine="0" w:firstLineChars="0"/>
        <w:jc w:val="center"/>
        <w:rPr>
          <w:rFonts w:eastAsia="楷体_GB2312"/>
          <w:bCs/>
          <w:color w:val="auto"/>
          <w:sz w:val="48"/>
          <w:szCs w:val="48"/>
        </w:rPr>
      </w:pPr>
    </w:p>
    <w:p>
      <w:pPr>
        <w:ind w:firstLine="1040"/>
        <w:jc w:val="center"/>
        <w:rPr>
          <w:rFonts w:eastAsia="仿宋"/>
          <w:color w:val="auto"/>
          <w:sz w:val="52"/>
          <w:szCs w:val="52"/>
        </w:rPr>
      </w:pPr>
    </w:p>
    <w:p>
      <w:pPr>
        <w:ind w:firstLine="1040"/>
        <w:jc w:val="center"/>
        <w:rPr>
          <w:rFonts w:eastAsia="仿宋"/>
          <w:color w:val="auto"/>
          <w:sz w:val="52"/>
          <w:szCs w:val="52"/>
        </w:rPr>
      </w:pPr>
    </w:p>
    <w:p>
      <w:pPr>
        <w:adjustRightInd w:val="0"/>
        <w:snapToGrid w:val="0"/>
        <w:spacing w:line="288" w:lineRule="auto"/>
        <w:ind w:firstLine="0" w:firstLineChars="0"/>
        <w:rPr>
          <w:rFonts w:eastAsia="仿宋_GB2312"/>
          <w:b/>
          <w:bCs/>
          <w:color w:val="auto"/>
          <w:sz w:val="32"/>
          <w:szCs w:val="32"/>
          <w:u w:val="single"/>
        </w:rPr>
      </w:pPr>
      <w:r>
        <w:rPr>
          <w:rFonts w:eastAsia="仿宋_GB2312"/>
          <w:b/>
          <w:bCs/>
          <w:color w:val="auto"/>
          <w:sz w:val="32"/>
          <w:szCs w:val="32"/>
        </w:rPr>
        <w:t>项目名称</w:t>
      </w:r>
      <w:r>
        <w:rPr>
          <w:rFonts w:hint="eastAsia" w:eastAsia="仿宋_GB2312"/>
          <w:b/>
          <w:bCs/>
          <w:color w:val="auto"/>
          <w:sz w:val="32"/>
          <w:szCs w:val="32"/>
        </w:rPr>
        <w:t>：</w:t>
      </w:r>
      <w:r>
        <w:rPr>
          <w:rFonts w:hint="eastAsia" w:eastAsia="仿宋_GB2312"/>
          <w:b/>
          <w:bCs/>
          <w:color w:val="auto"/>
          <w:sz w:val="32"/>
          <w:szCs w:val="32"/>
          <w:u w:val="single"/>
        </w:rPr>
        <w:t>伊金霍洛旗新街马秦壕鑫源洗煤厂煤炭烘干项目</w:t>
      </w:r>
      <w:r>
        <w:rPr>
          <w:rFonts w:eastAsia="仿宋_GB2312"/>
          <w:b/>
          <w:bCs/>
          <w:color w:val="auto"/>
          <w:sz w:val="32"/>
          <w:szCs w:val="32"/>
        </w:rPr>
        <w:t>建设单位（盖章）</w:t>
      </w:r>
      <w:r>
        <w:rPr>
          <w:rFonts w:hint="eastAsia" w:eastAsia="仿宋_GB2312"/>
          <w:b/>
          <w:bCs/>
          <w:color w:val="auto"/>
          <w:sz w:val="32"/>
          <w:szCs w:val="32"/>
        </w:rPr>
        <w:t>：</w:t>
      </w:r>
      <w:r>
        <w:rPr>
          <w:rFonts w:hint="eastAsia" w:eastAsia="仿宋_GB2312"/>
          <w:b/>
          <w:bCs/>
          <w:color w:val="auto"/>
          <w:sz w:val="32"/>
          <w:szCs w:val="32"/>
          <w:u w:val="single"/>
        </w:rPr>
        <w:t>伊金霍洛旗新街马秦壕鑫源洗煤厂</w:t>
      </w:r>
    </w:p>
    <w:p>
      <w:pPr>
        <w:adjustRightInd w:val="0"/>
        <w:snapToGrid w:val="0"/>
        <w:spacing w:line="288" w:lineRule="auto"/>
        <w:ind w:firstLine="0" w:firstLineChars="0"/>
        <w:jc w:val="center"/>
        <w:rPr>
          <w:rFonts w:eastAsia="仿宋_GB2312"/>
          <w:b/>
          <w:bCs/>
          <w:color w:val="auto"/>
          <w:sz w:val="32"/>
          <w:szCs w:val="32"/>
          <w:u w:val="single"/>
        </w:rPr>
      </w:pPr>
      <w:r>
        <w:rPr>
          <w:rFonts w:eastAsia="仿宋_GB2312"/>
          <w:b/>
          <w:bCs/>
          <w:color w:val="auto"/>
          <w:sz w:val="32"/>
          <w:szCs w:val="32"/>
        </w:rPr>
        <w:t>编制日期</w:t>
      </w:r>
      <w:r>
        <w:rPr>
          <w:rFonts w:hint="eastAsia" w:eastAsia="仿宋_GB2312"/>
          <w:b/>
          <w:bCs/>
          <w:color w:val="auto"/>
          <w:sz w:val="32"/>
          <w:szCs w:val="32"/>
        </w:rPr>
        <w:t>：</w:t>
      </w:r>
      <w:r>
        <w:rPr>
          <w:rFonts w:eastAsia="仿宋_GB2312"/>
          <w:b/>
          <w:bCs/>
          <w:color w:val="auto"/>
          <w:sz w:val="32"/>
          <w:szCs w:val="32"/>
          <w:u w:val="single"/>
        </w:rPr>
        <w:t>202</w:t>
      </w:r>
      <w:r>
        <w:rPr>
          <w:rFonts w:hint="eastAsia" w:eastAsia="仿宋_GB2312"/>
          <w:b/>
          <w:bCs/>
          <w:color w:val="auto"/>
          <w:sz w:val="32"/>
          <w:szCs w:val="32"/>
          <w:u w:val="single"/>
        </w:rPr>
        <w:t>5</w:t>
      </w:r>
      <w:r>
        <w:rPr>
          <w:rFonts w:eastAsia="仿宋_GB2312"/>
          <w:b/>
          <w:bCs/>
          <w:color w:val="auto"/>
          <w:sz w:val="32"/>
          <w:szCs w:val="32"/>
          <w:u w:val="single"/>
        </w:rPr>
        <w:t>年</w:t>
      </w:r>
      <w:r>
        <w:rPr>
          <w:rFonts w:hint="eastAsia" w:eastAsia="仿宋_GB2312"/>
          <w:b/>
          <w:bCs/>
          <w:color w:val="auto"/>
          <w:sz w:val="32"/>
          <w:szCs w:val="32"/>
          <w:u w:val="single"/>
        </w:rPr>
        <w:t>12</w:t>
      </w:r>
      <w:r>
        <w:rPr>
          <w:rFonts w:eastAsia="仿宋_GB2312"/>
          <w:b/>
          <w:bCs/>
          <w:color w:val="auto"/>
          <w:sz w:val="32"/>
          <w:szCs w:val="32"/>
          <w:u w:val="single"/>
        </w:rPr>
        <w:t>月</w:t>
      </w:r>
    </w:p>
    <w:p>
      <w:pPr>
        <w:adjustRightInd w:val="0"/>
        <w:snapToGrid w:val="0"/>
        <w:spacing w:line="288" w:lineRule="auto"/>
        <w:ind w:firstLine="0" w:firstLineChars="0"/>
        <w:jc w:val="center"/>
        <w:rPr>
          <w:rFonts w:eastAsia="仿宋_GB2312"/>
          <w:b/>
          <w:bCs/>
          <w:color w:val="auto"/>
          <w:sz w:val="32"/>
          <w:szCs w:val="32"/>
          <w:u w:val="single"/>
        </w:rPr>
      </w:pPr>
    </w:p>
    <w:p>
      <w:pPr>
        <w:adjustRightInd w:val="0"/>
        <w:snapToGrid w:val="0"/>
        <w:spacing w:line="288" w:lineRule="auto"/>
        <w:ind w:firstLine="0" w:firstLineChars="0"/>
        <w:jc w:val="center"/>
        <w:rPr>
          <w:rFonts w:eastAsia="仿宋_GB2312"/>
          <w:b/>
          <w:bCs/>
          <w:color w:val="auto"/>
          <w:sz w:val="32"/>
          <w:szCs w:val="32"/>
          <w:u w:val="single"/>
        </w:rPr>
      </w:pPr>
    </w:p>
    <w:p>
      <w:pPr>
        <w:adjustRightInd w:val="0"/>
        <w:snapToGrid w:val="0"/>
        <w:spacing w:line="288" w:lineRule="auto"/>
        <w:ind w:firstLine="0" w:firstLineChars="0"/>
        <w:jc w:val="center"/>
        <w:rPr>
          <w:rFonts w:eastAsia="仿宋_GB2312"/>
          <w:b/>
          <w:bCs/>
          <w:color w:val="auto"/>
          <w:sz w:val="32"/>
          <w:szCs w:val="32"/>
          <w:u w:val="single"/>
        </w:rPr>
      </w:pPr>
    </w:p>
    <w:p>
      <w:pPr>
        <w:adjustRightInd w:val="0"/>
        <w:snapToGrid w:val="0"/>
        <w:spacing w:line="288" w:lineRule="auto"/>
        <w:ind w:firstLine="0" w:firstLineChars="0"/>
        <w:rPr>
          <w:rFonts w:eastAsia="楷体_GB2312"/>
          <w:b/>
          <w:bCs/>
          <w:color w:val="auto"/>
          <w:sz w:val="36"/>
          <w:szCs w:val="36"/>
        </w:rPr>
      </w:pPr>
    </w:p>
    <w:p>
      <w:pPr>
        <w:adjustRightInd w:val="0"/>
        <w:snapToGrid w:val="0"/>
        <w:spacing w:line="288" w:lineRule="auto"/>
        <w:ind w:firstLine="0" w:firstLineChars="0"/>
        <w:jc w:val="center"/>
        <w:rPr>
          <w:rFonts w:eastAsia="楷体_GB2312"/>
          <w:b/>
          <w:bCs/>
          <w:color w:val="auto"/>
          <w:sz w:val="36"/>
          <w:szCs w:val="36"/>
        </w:rPr>
      </w:pPr>
      <w:r>
        <w:rPr>
          <w:rFonts w:eastAsia="楷体_GB2312"/>
          <w:b/>
          <w:bCs/>
          <w:color w:val="auto"/>
          <w:sz w:val="36"/>
          <w:szCs w:val="36"/>
        </w:rPr>
        <w:t>中华人民共和国生态环境部制</w:t>
      </w:r>
    </w:p>
    <w:p>
      <w:pPr>
        <w:pStyle w:val="18"/>
        <w:ind w:firstLine="600"/>
        <w:jc w:val="center"/>
        <w:outlineLvl w:val="0"/>
        <w:rPr>
          <w:rFonts w:ascii="Times New Roman" w:hAnsi="Times New Roman" w:eastAsia="黑体"/>
          <w:snapToGrid w:val="0"/>
          <w:color w:val="auto"/>
          <w:sz w:val="30"/>
          <w:szCs w:val="30"/>
        </w:rPr>
      </w:pPr>
    </w:p>
    <w:p>
      <w:pPr>
        <w:pStyle w:val="18"/>
        <w:ind w:firstLine="600"/>
        <w:jc w:val="center"/>
        <w:outlineLvl w:val="0"/>
        <w:rPr>
          <w:rFonts w:ascii="Times New Roman" w:hAnsi="Times New Roman" w:eastAsia="黑体"/>
          <w:snapToGrid w:val="0"/>
          <w:color w:val="auto"/>
          <w:sz w:val="30"/>
          <w:szCs w:val="30"/>
        </w:rPr>
      </w:pPr>
    </w:p>
    <w:p>
      <w:pPr>
        <w:pStyle w:val="18"/>
        <w:ind w:firstLine="600"/>
        <w:jc w:val="center"/>
        <w:outlineLvl w:val="0"/>
        <w:rPr>
          <w:rFonts w:ascii="Times New Roman" w:hAnsi="Times New Roman" w:eastAsia="黑体"/>
          <w:snapToGrid w:val="0"/>
          <w:color w:val="auto"/>
          <w:sz w:val="30"/>
          <w:szCs w:val="30"/>
        </w:rPr>
        <w:sectPr>
          <w:headerReference r:id="rId7" w:type="default"/>
          <w:footerReference r:id="rId8" w:type="default"/>
          <w:pgSz w:w="11906" w:h="16838"/>
          <w:pgMar w:top="1440" w:right="1800" w:bottom="1440" w:left="1800" w:header="1191" w:footer="964" w:gutter="0"/>
          <w:pgNumType w:fmt="numberInDash" w:start="1"/>
          <w:cols w:space="720" w:num="1"/>
          <w:docGrid w:linePitch="312" w:charSpace="0"/>
        </w:sectPr>
      </w:pPr>
    </w:p>
    <w:p>
      <w:pPr>
        <w:pStyle w:val="18"/>
        <w:ind w:firstLine="600"/>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一、建设项目基本情况</w:t>
      </w:r>
    </w:p>
    <w:tbl>
      <w:tblPr>
        <w:tblStyle w:val="21"/>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339"/>
        <w:gridCol w:w="1041"/>
        <w:gridCol w:w="1745"/>
        <w:gridCol w:w="1992"/>
        <w:gridCol w:w="275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0" w:type="dxa"/>
            <w:gridSpan w:val="2"/>
            <w:tcMar>
              <w:top w:w="16" w:type="dxa"/>
              <w:left w:w="16" w:type="dxa"/>
              <w:right w:w="16" w:type="dxa"/>
            </w:tcMar>
            <w:vAlign w:val="center"/>
          </w:tcPr>
          <w:p>
            <w:pPr>
              <w:adjustRightInd w:val="0"/>
              <w:snapToGrid w:val="0"/>
              <w:spacing w:line="240" w:lineRule="auto"/>
              <w:ind w:firstLine="0" w:firstLineChars="0"/>
              <w:jc w:val="center"/>
              <w:rPr>
                <w:color w:val="auto"/>
              </w:rPr>
            </w:pPr>
            <w:r>
              <w:rPr>
                <w:color w:val="auto"/>
              </w:rPr>
              <w:t>建设项目名称</w:t>
            </w:r>
          </w:p>
        </w:tc>
        <w:tc>
          <w:tcPr>
            <w:tcW w:w="6490" w:type="dxa"/>
            <w:gridSpan w:val="3"/>
            <w:vAlign w:val="center"/>
          </w:tcPr>
          <w:p>
            <w:pPr>
              <w:adjustRightInd w:val="0"/>
              <w:snapToGrid w:val="0"/>
              <w:spacing w:line="240" w:lineRule="auto"/>
              <w:ind w:firstLine="0" w:firstLineChars="0"/>
              <w:jc w:val="center"/>
              <w:rPr>
                <w:color w:val="auto"/>
              </w:rPr>
            </w:pPr>
            <w:r>
              <w:rPr>
                <w:rFonts w:hint="eastAsia"/>
                <w:color w:val="auto"/>
              </w:rPr>
              <w:t>伊金霍洛旗新街马秦壕鑫源洗煤厂煤炭烘干项目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0" w:type="dxa"/>
            <w:gridSpan w:val="2"/>
            <w:tcMar>
              <w:top w:w="16" w:type="dxa"/>
              <w:left w:w="16" w:type="dxa"/>
              <w:right w:w="16" w:type="dxa"/>
            </w:tcMar>
            <w:vAlign w:val="center"/>
          </w:tcPr>
          <w:p>
            <w:pPr>
              <w:adjustRightInd w:val="0"/>
              <w:snapToGrid w:val="0"/>
              <w:spacing w:line="240" w:lineRule="auto"/>
              <w:ind w:firstLine="0" w:firstLineChars="0"/>
              <w:jc w:val="center"/>
              <w:rPr>
                <w:color w:val="auto"/>
              </w:rPr>
            </w:pPr>
            <w:r>
              <w:rPr>
                <w:color w:val="auto"/>
              </w:rPr>
              <w:t>项目代码</w:t>
            </w:r>
          </w:p>
        </w:tc>
        <w:tc>
          <w:tcPr>
            <w:tcW w:w="6490" w:type="dxa"/>
            <w:gridSpan w:val="3"/>
            <w:vAlign w:val="center"/>
          </w:tcPr>
          <w:p>
            <w:pPr>
              <w:adjustRightInd w:val="0"/>
              <w:snapToGrid w:val="0"/>
              <w:spacing w:line="240" w:lineRule="auto"/>
              <w:ind w:firstLine="0" w:firstLineChars="0"/>
              <w:jc w:val="center"/>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380" w:type="dxa"/>
            <w:gridSpan w:val="2"/>
            <w:tcMar>
              <w:top w:w="16" w:type="dxa"/>
              <w:left w:w="16" w:type="dxa"/>
              <w:right w:w="16" w:type="dxa"/>
            </w:tcMar>
            <w:vAlign w:val="center"/>
          </w:tcPr>
          <w:p>
            <w:pPr>
              <w:adjustRightInd w:val="0"/>
              <w:snapToGrid w:val="0"/>
              <w:spacing w:line="240" w:lineRule="auto"/>
              <w:ind w:firstLine="0" w:firstLineChars="0"/>
              <w:jc w:val="center"/>
              <w:rPr>
                <w:color w:val="auto"/>
              </w:rPr>
            </w:pPr>
            <w:r>
              <w:rPr>
                <w:color w:val="auto"/>
              </w:rPr>
              <w:t>建设单位联系人</w:t>
            </w:r>
          </w:p>
        </w:tc>
        <w:tc>
          <w:tcPr>
            <w:tcW w:w="1745" w:type="dxa"/>
            <w:vAlign w:val="center"/>
          </w:tcPr>
          <w:p>
            <w:pPr>
              <w:adjustRightInd w:val="0"/>
              <w:snapToGrid w:val="0"/>
              <w:spacing w:line="240" w:lineRule="auto"/>
              <w:ind w:firstLine="0" w:firstLineChars="0"/>
              <w:jc w:val="center"/>
              <w:rPr>
                <w:color w:val="auto"/>
              </w:rPr>
            </w:pPr>
            <w:r>
              <w:rPr>
                <w:color w:val="auto"/>
              </w:rPr>
              <w:t>赵后捷</w:t>
            </w:r>
          </w:p>
        </w:tc>
        <w:tc>
          <w:tcPr>
            <w:tcW w:w="1992" w:type="dxa"/>
            <w:vAlign w:val="center"/>
          </w:tcPr>
          <w:p>
            <w:pPr>
              <w:adjustRightInd w:val="0"/>
              <w:snapToGrid w:val="0"/>
              <w:spacing w:line="240" w:lineRule="auto"/>
              <w:ind w:firstLine="0" w:firstLineChars="0"/>
              <w:jc w:val="center"/>
              <w:rPr>
                <w:color w:val="auto"/>
              </w:rPr>
            </w:pPr>
            <w:r>
              <w:rPr>
                <w:color w:val="auto"/>
              </w:rPr>
              <w:t>联系方式</w:t>
            </w:r>
          </w:p>
        </w:tc>
        <w:tc>
          <w:tcPr>
            <w:tcW w:w="2753" w:type="dxa"/>
            <w:vAlign w:val="center"/>
          </w:tcPr>
          <w:p>
            <w:pPr>
              <w:adjustRightInd w:val="0"/>
              <w:snapToGrid w:val="0"/>
              <w:spacing w:line="240" w:lineRule="auto"/>
              <w:ind w:firstLine="0" w:firstLineChars="0"/>
              <w:jc w:val="center"/>
              <w:rPr>
                <w:color w:val="auto"/>
              </w:rPr>
            </w:pPr>
            <w:r>
              <w:rPr>
                <w:color w:val="auto"/>
              </w:rPr>
              <w:t>13924012228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0" w:type="dxa"/>
            <w:gridSpan w:val="2"/>
            <w:tcMar>
              <w:top w:w="16" w:type="dxa"/>
              <w:left w:w="16" w:type="dxa"/>
              <w:right w:w="16" w:type="dxa"/>
            </w:tcMar>
            <w:vAlign w:val="center"/>
          </w:tcPr>
          <w:p>
            <w:pPr>
              <w:adjustRightInd w:val="0"/>
              <w:snapToGrid w:val="0"/>
              <w:spacing w:line="240" w:lineRule="auto"/>
              <w:ind w:firstLine="0" w:firstLineChars="0"/>
              <w:jc w:val="center"/>
              <w:rPr>
                <w:color w:val="auto"/>
              </w:rPr>
            </w:pPr>
            <w:r>
              <w:rPr>
                <w:color w:val="auto"/>
              </w:rPr>
              <w:t>建设地点</w:t>
            </w:r>
          </w:p>
        </w:tc>
        <w:tc>
          <w:tcPr>
            <w:tcW w:w="6490" w:type="dxa"/>
            <w:gridSpan w:val="3"/>
            <w:vAlign w:val="center"/>
          </w:tcPr>
          <w:p>
            <w:pPr>
              <w:adjustRightInd w:val="0"/>
              <w:snapToGrid w:val="0"/>
              <w:spacing w:line="240" w:lineRule="auto"/>
              <w:ind w:firstLine="0" w:firstLineChars="0"/>
              <w:jc w:val="center"/>
              <w:rPr>
                <w:color w:val="auto"/>
              </w:rPr>
            </w:pPr>
            <w:r>
              <w:rPr>
                <w:rFonts w:hint="eastAsia"/>
                <w:color w:val="auto"/>
              </w:rPr>
              <w:t>内蒙古自治区鄂尔多斯市伊金霍洛旗札萨克镇新街区马秦壕，伊金霍洛旗新街马秦壕鑫源洗煤厂现有工业场地内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0" w:type="dxa"/>
            <w:gridSpan w:val="2"/>
            <w:tcMar>
              <w:top w:w="16" w:type="dxa"/>
              <w:left w:w="16" w:type="dxa"/>
              <w:right w:w="16" w:type="dxa"/>
            </w:tcMar>
            <w:vAlign w:val="center"/>
          </w:tcPr>
          <w:p>
            <w:pPr>
              <w:adjustRightInd w:val="0"/>
              <w:snapToGrid w:val="0"/>
              <w:spacing w:line="240" w:lineRule="auto"/>
              <w:ind w:firstLine="0" w:firstLineChars="0"/>
              <w:jc w:val="center"/>
              <w:rPr>
                <w:color w:val="auto"/>
              </w:rPr>
            </w:pPr>
            <w:r>
              <w:rPr>
                <w:color w:val="auto"/>
              </w:rPr>
              <w:t>地理坐标</w:t>
            </w:r>
          </w:p>
        </w:tc>
        <w:tc>
          <w:tcPr>
            <w:tcW w:w="6490" w:type="dxa"/>
            <w:gridSpan w:val="3"/>
            <w:vAlign w:val="center"/>
          </w:tcPr>
          <w:p>
            <w:pPr>
              <w:adjustRightInd w:val="0"/>
              <w:snapToGrid w:val="0"/>
              <w:spacing w:line="240" w:lineRule="auto"/>
              <w:ind w:firstLine="0" w:firstLineChars="0"/>
              <w:jc w:val="center"/>
              <w:rPr>
                <w:color w:val="auto"/>
              </w:rPr>
            </w:pPr>
            <w:r>
              <w:rPr>
                <w:color w:val="auto"/>
              </w:rPr>
              <w:t>（</w:t>
            </w:r>
            <w:r>
              <w:rPr>
                <w:rFonts w:hint="eastAsia"/>
                <w:color w:val="auto"/>
              </w:rPr>
              <w:t>109</w:t>
            </w:r>
            <w:r>
              <w:rPr>
                <w:color w:val="auto"/>
              </w:rPr>
              <w:t>度</w:t>
            </w:r>
            <w:r>
              <w:rPr>
                <w:rFonts w:hint="eastAsia"/>
                <w:color w:val="auto"/>
              </w:rPr>
              <w:t>54</w:t>
            </w:r>
            <w:r>
              <w:rPr>
                <w:color w:val="auto"/>
              </w:rPr>
              <w:t>分</w:t>
            </w:r>
            <w:r>
              <w:rPr>
                <w:rFonts w:hint="eastAsia"/>
                <w:color w:val="auto"/>
              </w:rPr>
              <w:t>57.506</w:t>
            </w:r>
            <w:r>
              <w:rPr>
                <w:color w:val="auto"/>
              </w:rPr>
              <w:t>秒，</w:t>
            </w:r>
            <w:r>
              <w:rPr>
                <w:rFonts w:hint="eastAsia"/>
                <w:color w:val="auto"/>
              </w:rPr>
              <w:t>39</w:t>
            </w:r>
            <w:r>
              <w:rPr>
                <w:color w:val="auto"/>
              </w:rPr>
              <w:t>度</w:t>
            </w:r>
            <w:r>
              <w:rPr>
                <w:rFonts w:hint="eastAsia"/>
                <w:color w:val="auto"/>
              </w:rPr>
              <w:t>11</w:t>
            </w:r>
            <w:r>
              <w:rPr>
                <w:color w:val="auto"/>
              </w:rPr>
              <w:t>分</w:t>
            </w:r>
            <w:r>
              <w:rPr>
                <w:rFonts w:hint="eastAsia"/>
                <w:color w:val="auto"/>
              </w:rPr>
              <w:t>53.609</w:t>
            </w:r>
            <w:r>
              <w:rPr>
                <w:color w:val="auto"/>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380" w:type="dxa"/>
            <w:gridSpan w:val="2"/>
            <w:tcMar>
              <w:top w:w="16" w:type="dxa"/>
              <w:left w:w="16" w:type="dxa"/>
              <w:right w:w="16" w:type="dxa"/>
            </w:tcMar>
            <w:vAlign w:val="center"/>
          </w:tcPr>
          <w:p>
            <w:pPr>
              <w:adjustRightInd w:val="0"/>
              <w:snapToGrid w:val="0"/>
              <w:spacing w:line="240" w:lineRule="auto"/>
              <w:ind w:firstLine="0" w:firstLineChars="0"/>
              <w:jc w:val="center"/>
              <w:rPr>
                <w:color w:val="auto"/>
              </w:rPr>
            </w:pPr>
            <w:r>
              <w:rPr>
                <w:color w:val="auto"/>
              </w:rPr>
              <w:t>国民经济</w:t>
            </w:r>
          </w:p>
          <w:p>
            <w:pPr>
              <w:adjustRightInd w:val="0"/>
              <w:snapToGrid w:val="0"/>
              <w:spacing w:line="240" w:lineRule="auto"/>
              <w:ind w:firstLine="0" w:firstLineChars="0"/>
              <w:jc w:val="center"/>
              <w:rPr>
                <w:color w:val="auto"/>
              </w:rPr>
            </w:pPr>
            <w:r>
              <w:rPr>
                <w:color w:val="auto"/>
              </w:rPr>
              <w:t>行业类别</w:t>
            </w:r>
          </w:p>
        </w:tc>
        <w:tc>
          <w:tcPr>
            <w:tcW w:w="1745" w:type="dxa"/>
            <w:vAlign w:val="center"/>
          </w:tcPr>
          <w:p>
            <w:pPr>
              <w:adjustRightInd w:val="0"/>
              <w:snapToGrid w:val="0"/>
              <w:spacing w:line="240" w:lineRule="auto"/>
              <w:ind w:firstLine="0" w:firstLineChars="0"/>
              <w:rPr>
                <w:color w:val="auto"/>
              </w:rPr>
            </w:pPr>
            <w:r>
              <w:rPr>
                <w:color w:val="auto"/>
              </w:rPr>
              <w:t>C2529其他煤炭加工</w:t>
            </w:r>
            <w:r>
              <w:rPr>
                <w:rFonts w:hint="eastAsia"/>
                <w:color w:val="auto"/>
              </w:rPr>
              <w:t>；</w:t>
            </w:r>
          </w:p>
          <w:p>
            <w:pPr>
              <w:adjustRightInd w:val="0"/>
              <w:snapToGrid w:val="0"/>
              <w:spacing w:line="240" w:lineRule="auto"/>
              <w:ind w:firstLine="0" w:firstLineChars="0"/>
              <w:rPr>
                <w:color w:val="auto"/>
              </w:rPr>
            </w:pPr>
            <w:r>
              <w:rPr>
                <w:rFonts w:hint="eastAsia"/>
                <w:color w:val="auto"/>
              </w:rPr>
              <w:t>D4620污水处理及其再生利用；D4430热力生产和供应</w:t>
            </w:r>
          </w:p>
        </w:tc>
        <w:tc>
          <w:tcPr>
            <w:tcW w:w="1992" w:type="dxa"/>
            <w:vAlign w:val="center"/>
          </w:tcPr>
          <w:p>
            <w:pPr>
              <w:adjustRightInd w:val="0"/>
              <w:snapToGrid w:val="0"/>
              <w:spacing w:line="240" w:lineRule="auto"/>
              <w:ind w:firstLine="0" w:firstLineChars="0"/>
              <w:jc w:val="center"/>
              <w:rPr>
                <w:color w:val="auto"/>
              </w:rPr>
            </w:pPr>
            <w:bookmarkStart w:id="0" w:name="_Hlk49843745"/>
            <w:r>
              <w:rPr>
                <w:color w:val="auto"/>
              </w:rPr>
              <w:t>建设项目</w:t>
            </w:r>
          </w:p>
          <w:p>
            <w:pPr>
              <w:adjustRightInd w:val="0"/>
              <w:snapToGrid w:val="0"/>
              <w:spacing w:line="240" w:lineRule="auto"/>
              <w:ind w:firstLine="0" w:firstLineChars="0"/>
              <w:jc w:val="center"/>
              <w:rPr>
                <w:color w:val="auto"/>
              </w:rPr>
            </w:pPr>
            <w:r>
              <w:rPr>
                <w:color w:val="auto"/>
              </w:rPr>
              <w:t>行业类别</w:t>
            </w:r>
            <w:bookmarkEnd w:id="0"/>
          </w:p>
        </w:tc>
        <w:tc>
          <w:tcPr>
            <w:tcW w:w="2753" w:type="dxa"/>
            <w:vAlign w:val="center"/>
          </w:tcPr>
          <w:p>
            <w:pPr>
              <w:adjustRightInd w:val="0"/>
              <w:snapToGrid w:val="0"/>
              <w:spacing w:line="240" w:lineRule="auto"/>
              <w:ind w:firstLine="0" w:firstLineChars="0"/>
              <w:rPr>
                <w:color w:val="auto"/>
              </w:rPr>
            </w:pPr>
            <w:r>
              <w:rPr>
                <w:color w:val="auto"/>
              </w:rPr>
              <w:t>二十二、石油、煤炭及其他燃料加工业42煤炭加工252其他煤炭加工</w:t>
            </w:r>
            <w:r>
              <w:rPr>
                <w:rFonts w:hint="eastAsia"/>
                <w:color w:val="auto"/>
              </w:rPr>
              <w:t>；</w:t>
            </w:r>
          </w:p>
          <w:p>
            <w:pPr>
              <w:adjustRightInd w:val="0"/>
              <w:snapToGrid w:val="0"/>
              <w:spacing w:line="240" w:lineRule="auto"/>
              <w:ind w:firstLine="0" w:firstLineChars="0"/>
              <w:rPr>
                <w:color w:val="auto"/>
              </w:rPr>
            </w:pPr>
            <w:r>
              <w:rPr>
                <w:rFonts w:hint="eastAsia"/>
                <w:color w:val="auto"/>
              </w:rPr>
              <w:t>四十一、电力、热力生产和供应业</w:t>
            </w:r>
            <w:r>
              <w:rPr>
                <w:color w:val="auto"/>
              </w:rPr>
              <w:t>91、热力生产和供应工程（包括建设单位自建自用的供热工程）天然气锅炉总容量1吨/小时（0.7兆瓦）以上的</w:t>
            </w:r>
            <w:r>
              <w:rPr>
                <w:rFonts w:hint="eastAsia"/>
                <w:color w:val="auto"/>
              </w:rPr>
              <w:t>；</w:t>
            </w:r>
          </w:p>
          <w:p>
            <w:pPr>
              <w:adjustRightInd w:val="0"/>
              <w:snapToGrid w:val="0"/>
              <w:spacing w:line="240" w:lineRule="auto"/>
              <w:ind w:firstLine="0" w:firstLineChars="0"/>
              <w:rPr>
                <w:color w:val="auto"/>
              </w:rPr>
            </w:pPr>
            <w:r>
              <w:rPr>
                <w:rFonts w:hint="eastAsia"/>
                <w:color w:val="auto"/>
              </w:rPr>
              <w:t>四十三、水的生产和供应业-新建、扩建其他工业废水处理的；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380" w:type="dxa"/>
            <w:gridSpan w:val="2"/>
            <w:tcMar>
              <w:top w:w="16" w:type="dxa"/>
              <w:left w:w="16" w:type="dxa"/>
              <w:right w:w="16" w:type="dxa"/>
            </w:tcMar>
            <w:vAlign w:val="center"/>
          </w:tcPr>
          <w:p>
            <w:pPr>
              <w:adjustRightInd w:val="0"/>
              <w:snapToGrid w:val="0"/>
              <w:spacing w:line="240" w:lineRule="auto"/>
              <w:ind w:firstLine="0" w:firstLineChars="0"/>
              <w:jc w:val="center"/>
              <w:rPr>
                <w:color w:val="auto"/>
              </w:rPr>
            </w:pPr>
            <w:r>
              <w:rPr>
                <w:color w:val="auto"/>
              </w:rPr>
              <w:t>建设性质</w:t>
            </w:r>
          </w:p>
        </w:tc>
        <w:tc>
          <w:tcPr>
            <w:tcW w:w="1745" w:type="dxa"/>
            <w:vAlign w:val="center"/>
          </w:tcPr>
          <w:p>
            <w:pPr>
              <w:spacing w:line="240" w:lineRule="auto"/>
              <w:ind w:firstLine="0" w:firstLineChars="0"/>
              <w:jc w:val="left"/>
              <w:rPr>
                <w:color w:val="auto"/>
              </w:rPr>
            </w:pPr>
            <w:r>
              <w:rPr>
                <w:rFonts w:hint="eastAsia"/>
                <w:color w:val="auto"/>
              </w:rPr>
              <w:t>□</w:t>
            </w:r>
            <w:r>
              <w:rPr>
                <w:color w:val="auto"/>
              </w:rPr>
              <w:t>新建（迁建）</w:t>
            </w:r>
          </w:p>
          <w:p>
            <w:pPr>
              <w:spacing w:line="240" w:lineRule="auto"/>
              <w:ind w:firstLine="0" w:firstLineChars="0"/>
              <w:jc w:val="left"/>
              <w:rPr>
                <w:color w:val="auto"/>
              </w:rPr>
            </w:pPr>
            <w:r>
              <w:rPr>
                <w:rFonts w:hint="eastAsia"/>
                <w:color w:val="auto"/>
              </w:rPr>
              <w:t>□技改</w:t>
            </w:r>
          </w:p>
          <w:p>
            <w:pPr>
              <w:spacing w:line="240" w:lineRule="auto"/>
              <w:ind w:firstLine="0" w:firstLineChars="0"/>
              <w:jc w:val="left"/>
              <w:rPr>
                <w:color w:val="auto"/>
              </w:rPr>
            </w:pPr>
            <w:r>
              <w:rPr>
                <w:rFonts w:hint="eastAsia"/>
                <w:color w:val="auto"/>
              </w:rPr>
              <w:t>☑</w:t>
            </w:r>
            <w:r>
              <w:rPr>
                <w:color w:val="auto"/>
              </w:rPr>
              <w:t>扩建</w:t>
            </w:r>
          </w:p>
          <w:p>
            <w:pPr>
              <w:spacing w:line="240" w:lineRule="auto"/>
              <w:ind w:firstLine="0" w:firstLineChars="0"/>
              <w:jc w:val="left"/>
              <w:rPr>
                <w:color w:val="auto"/>
              </w:rPr>
            </w:pPr>
            <w:r>
              <w:rPr>
                <w:rFonts w:hint="eastAsia"/>
                <w:color w:val="auto"/>
              </w:rPr>
              <w:t>□</w:t>
            </w:r>
            <w:r>
              <w:rPr>
                <w:color w:val="auto"/>
              </w:rPr>
              <w:t>技术改造</w:t>
            </w:r>
          </w:p>
        </w:tc>
        <w:tc>
          <w:tcPr>
            <w:tcW w:w="1992" w:type="dxa"/>
            <w:vAlign w:val="center"/>
          </w:tcPr>
          <w:p>
            <w:pPr>
              <w:adjustRightInd w:val="0"/>
              <w:snapToGrid w:val="0"/>
              <w:spacing w:line="240" w:lineRule="auto"/>
              <w:ind w:firstLine="0" w:firstLineChars="0"/>
              <w:jc w:val="center"/>
              <w:rPr>
                <w:color w:val="auto"/>
              </w:rPr>
            </w:pPr>
            <w:r>
              <w:rPr>
                <w:color w:val="auto"/>
              </w:rPr>
              <w:t>建设项目</w:t>
            </w:r>
          </w:p>
          <w:p>
            <w:pPr>
              <w:adjustRightInd w:val="0"/>
              <w:snapToGrid w:val="0"/>
              <w:spacing w:line="240" w:lineRule="auto"/>
              <w:ind w:firstLine="0" w:firstLineChars="0"/>
              <w:jc w:val="center"/>
              <w:rPr>
                <w:color w:val="auto"/>
              </w:rPr>
            </w:pPr>
            <w:r>
              <w:rPr>
                <w:color w:val="auto"/>
              </w:rPr>
              <w:t>申报情形</w:t>
            </w:r>
          </w:p>
        </w:tc>
        <w:tc>
          <w:tcPr>
            <w:tcW w:w="2753" w:type="dxa"/>
            <w:vAlign w:val="center"/>
          </w:tcPr>
          <w:p>
            <w:pPr>
              <w:spacing w:line="240" w:lineRule="auto"/>
              <w:ind w:firstLine="0" w:firstLineChars="0"/>
              <w:jc w:val="left"/>
              <w:rPr>
                <w:color w:val="auto"/>
              </w:rPr>
            </w:pPr>
            <w:r>
              <w:rPr>
                <w:rFonts w:hint="eastAsia"/>
                <w:color w:val="auto"/>
              </w:rPr>
              <w:t>☑</w:t>
            </w:r>
            <w:r>
              <w:rPr>
                <w:color w:val="auto"/>
              </w:rPr>
              <w:t>首次申报项目</w:t>
            </w:r>
          </w:p>
          <w:p>
            <w:pPr>
              <w:spacing w:line="240" w:lineRule="auto"/>
              <w:ind w:firstLine="0" w:firstLineChars="0"/>
              <w:jc w:val="left"/>
              <w:rPr>
                <w:color w:val="auto"/>
              </w:rPr>
            </w:pPr>
            <w:r>
              <w:rPr>
                <w:rFonts w:hint="eastAsia"/>
                <w:color w:val="auto"/>
              </w:rPr>
              <w:t>□</w:t>
            </w:r>
            <w:r>
              <w:rPr>
                <w:color w:val="auto"/>
              </w:rPr>
              <w:t>不予批准后再次申报项目</w:t>
            </w:r>
          </w:p>
          <w:p>
            <w:pPr>
              <w:spacing w:line="240" w:lineRule="auto"/>
              <w:ind w:firstLine="0" w:firstLineChars="0"/>
              <w:jc w:val="left"/>
              <w:rPr>
                <w:color w:val="auto"/>
              </w:rPr>
            </w:pPr>
            <w:r>
              <w:rPr>
                <w:rFonts w:hint="eastAsia"/>
                <w:color w:val="auto"/>
              </w:rPr>
              <w:t>□</w:t>
            </w:r>
            <w:r>
              <w:rPr>
                <w:color w:val="auto"/>
              </w:rPr>
              <w:t>超五年重新审核项目</w:t>
            </w:r>
          </w:p>
          <w:p>
            <w:pPr>
              <w:spacing w:line="240" w:lineRule="auto"/>
              <w:ind w:firstLine="0" w:firstLineChars="0"/>
              <w:jc w:val="left"/>
              <w:rPr>
                <w:color w:val="auto"/>
              </w:rPr>
            </w:pPr>
            <w:r>
              <w:rPr>
                <w:rFonts w:hint="eastAsia"/>
                <w:color w:val="auto"/>
              </w:rPr>
              <w:t>□</w:t>
            </w:r>
            <w:r>
              <w:rPr>
                <w:color w:val="auto"/>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380" w:type="dxa"/>
            <w:gridSpan w:val="2"/>
            <w:tcMar>
              <w:top w:w="16" w:type="dxa"/>
              <w:left w:w="16" w:type="dxa"/>
              <w:right w:w="16" w:type="dxa"/>
            </w:tcMar>
            <w:vAlign w:val="center"/>
          </w:tcPr>
          <w:p>
            <w:pPr>
              <w:adjustRightInd w:val="0"/>
              <w:snapToGrid w:val="0"/>
              <w:spacing w:line="240" w:lineRule="auto"/>
              <w:ind w:firstLine="0" w:firstLineChars="0"/>
              <w:jc w:val="center"/>
              <w:rPr>
                <w:color w:val="auto"/>
              </w:rPr>
            </w:pPr>
            <w:r>
              <w:rPr>
                <w:color w:val="auto"/>
              </w:rPr>
              <w:t>项目审批（核准/备案）部门（选填）</w:t>
            </w:r>
          </w:p>
        </w:tc>
        <w:tc>
          <w:tcPr>
            <w:tcW w:w="1745" w:type="dxa"/>
            <w:vAlign w:val="center"/>
          </w:tcPr>
          <w:p>
            <w:pPr>
              <w:adjustRightInd w:val="0"/>
              <w:snapToGrid w:val="0"/>
              <w:spacing w:line="240" w:lineRule="auto"/>
              <w:ind w:firstLine="0" w:firstLineChars="0"/>
              <w:jc w:val="center"/>
              <w:rPr>
                <w:color w:val="auto"/>
              </w:rPr>
            </w:pPr>
            <w:r>
              <w:rPr>
                <w:rFonts w:hint="eastAsia"/>
                <w:color w:val="auto"/>
              </w:rPr>
              <w:t>/</w:t>
            </w:r>
          </w:p>
        </w:tc>
        <w:tc>
          <w:tcPr>
            <w:tcW w:w="1992" w:type="dxa"/>
            <w:vAlign w:val="center"/>
          </w:tcPr>
          <w:p>
            <w:pPr>
              <w:adjustRightInd w:val="0"/>
              <w:snapToGrid w:val="0"/>
              <w:spacing w:line="240" w:lineRule="auto"/>
              <w:ind w:firstLine="0" w:firstLineChars="0"/>
              <w:jc w:val="center"/>
              <w:rPr>
                <w:color w:val="auto"/>
              </w:rPr>
            </w:pPr>
            <w:r>
              <w:rPr>
                <w:color w:val="auto"/>
              </w:rPr>
              <w:t>项目审批（核准/</w:t>
            </w:r>
          </w:p>
          <w:p>
            <w:pPr>
              <w:adjustRightInd w:val="0"/>
              <w:snapToGrid w:val="0"/>
              <w:spacing w:line="240" w:lineRule="auto"/>
              <w:ind w:firstLine="0" w:firstLineChars="0"/>
              <w:jc w:val="center"/>
              <w:rPr>
                <w:color w:val="auto"/>
              </w:rPr>
            </w:pPr>
            <w:r>
              <w:rPr>
                <w:color w:val="auto"/>
              </w:rPr>
              <w:t>备案）文号（选填）</w:t>
            </w:r>
          </w:p>
        </w:tc>
        <w:tc>
          <w:tcPr>
            <w:tcW w:w="2753" w:type="dxa"/>
            <w:vAlign w:val="center"/>
          </w:tcPr>
          <w:p>
            <w:pPr>
              <w:adjustRightInd w:val="0"/>
              <w:snapToGrid w:val="0"/>
              <w:spacing w:line="240" w:lineRule="auto"/>
              <w:ind w:firstLine="0" w:firstLineChars="0"/>
              <w:jc w:val="center"/>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0" w:type="dxa"/>
            <w:gridSpan w:val="2"/>
            <w:tcMar>
              <w:top w:w="16" w:type="dxa"/>
              <w:left w:w="16" w:type="dxa"/>
              <w:right w:w="16" w:type="dxa"/>
            </w:tcMar>
            <w:vAlign w:val="center"/>
          </w:tcPr>
          <w:p>
            <w:pPr>
              <w:adjustRightInd w:val="0"/>
              <w:snapToGrid w:val="0"/>
              <w:spacing w:line="240" w:lineRule="auto"/>
              <w:ind w:firstLine="0" w:firstLineChars="0"/>
              <w:jc w:val="center"/>
              <w:rPr>
                <w:color w:val="auto"/>
              </w:rPr>
            </w:pPr>
            <w:r>
              <w:rPr>
                <w:color w:val="auto"/>
              </w:rPr>
              <w:t>总投资（万元）</w:t>
            </w:r>
          </w:p>
        </w:tc>
        <w:tc>
          <w:tcPr>
            <w:tcW w:w="1745" w:type="dxa"/>
            <w:vAlign w:val="center"/>
          </w:tcPr>
          <w:p>
            <w:pPr>
              <w:adjustRightInd w:val="0"/>
              <w:snapToGrid w:val="0"/>
              <w:spacing w:line="240" w:lineRule="auto"/>
              <w:ind w:firstLine="0" w:firstLineChars="0"/>
              <w:jc w:val="center"/>
              <w:rPr>
                <w:color w:val="auto"/>
                <w:highlight w:val="green"/>
              </w:rPr>
            </w:pPr>
            <w:r>
              <w:rPr>
                <w:rFonts w:hint="eastAsia"/>
                <w:color w:val="auto"/>
              </w:rPr>
              <w:t>2500</w:t>
            </w:r>
          </w:p>
        </w:tc>
        <w:tc>
          <w:tcPr>
            <w:tcW w:w="1992" w:type="dxa"/>
            <w:tcMar>
              <w:top w:w="16" w:type="dxa"/>
              <w:left w:w="16" w:type="dxa"/>
              <w:right w:w="16" w:type="dxa"/>
            </w:tcMar>
            <w:vAlign w:val="center"/>
          </w:tcPr>
          <w:p>
            <w:pPr>
              <w:adjustRightInd w:val="0"/>
              <w:snapToGrid w:val="0"/>
              <w:spacing w:line="240" w:lineRule="auto"/>
              <w:ind w:firstLine="0" w:firstLineChars="0"/>
              <w:jc w:val="center"/>
              <w:rPr>
                <w:color w:val="auto"/>
                <w:highlight w:val="green"/>
              </w:rPr>
            </w:pPr>
            <w:r>
              <w:rPr>
                <w:color w:val="auto"/>
              </w:rPr>
              <w:t>环保投资（万元）</w:t>
            </w:r>
          </w:p>
        </w:tc>
        <w:tc>
          <w:tcPr>
            <w:tcW w:w="2753" w:type="dxa"/>
            <w:vAlign w:val="center"/>
          </w:tcPr>
          <w:p>
            <w:pPr>
              <w:adjustRightInd w:val="0"/>
              <w:snapToGrid w:val="0"/>
              <w:spacing w:line="240" w:lineRule="auto"/>
              <w:ind w:firstLine="0" w:firstLineChars="0"/>
              <w:jc w:val="center"/>
              <w:rPr>
                <w:color w:val="auto"/>
              </w:rPr>
            </w:pPr>
            <w:r>
              <w:rPr>
                <w:rFonts w:hint="eastAsia"/>
                <w:color w:val="auto"/>
              </w:rPr>
              <w:t>95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0" w:type="dxa"/>
            <w:gridSpan w:val="2"/>
            <w:tcMar>
              <w:top w:w="16" w:type="dxa"/>
              <w:left w:w="16" w:type="dxa"/>
              <w:right w:w="16" w:type="dxa"/>
            </w:tcMar>
            <w:vAlign w:val="center"/>
          </w:tcPr>
          <w:p>
            <w:pPr>
              <w:adjustRightInd w:val="0"/>
              <w:snapToGrid w:val="0"/>
              <w:spacing w:line="240" w:lineRule="auto"/>
              <w:ind w:firstLine="0" w:firstLineChars="0"/>
              <w:jc w:val="center"/>
              <w:rPr>
                <w:color w:val="auto"/>
              </w:rPr>
            </w:pPr>
            <w:r>
              <w:rPr>
                <w:color w:val="auto"/>
              </w:rPr>
              <w:t>环保投资占比（%）</w:t>
            </w:r>
          </w:p>
        </w:tc>
        <w:tc>
          <w:tcPr>
            <w:tcW w:w="1745" w:type="dxa"/>
            <w:vAlign w:val="center"/>
          </w:tcPr>
          <w:p>
            <w:pPr>
              <w:adjustRightInd w:val="0"/>
              <w:snapToGrid w:val="0"/>
              <w:spacing w:line="240" w:lineRule="auto"/>
              <w:ind w:firstLine="0" w:firstLineChars="0"/>
              <w:jc w:val="center"/>
              <w:rPr>
                <w:color w:val="auto"/>
              </w:rPr>
            </w:pPr>
            <w:r>
              <w:rPr>
                <w:rFonts w:hint="eastAsia"/>
                <w:color w:val="auto"/>
              </w:rPr>
              <w:t>3.8</w:t>
            </w:r>
          </w:p>
        </w:tc>
        <w:tc>
          <w:tcPr>
            <w:tcW w:w="1992" w:type="dxa"/>
            <w:tcMar>
              <w:top w:w="16" w:type="dxa"/>
              <w:left w:w="16" w:type="dxa"/>
              <w:right w:w="16" w:type="dxa"/>
            </w:tcMar>
            <w:vAlign w:val="center"/>
          </w:tcPr>
          <w:p>
            <w:pPr>
              <w:adjustRightInd w:val="0"/>
              <w:snapToGrid w:val="0"/>
              <w:spacing w:line="240" w:lineRule="auto"/>
              <w:ind w:firstLine="0" w:firstLineChars="0"/>
              <w:jc w:val="center"/>
              <w:rPr>
                <w:color w:val="auto"/>
              </w:rPr>
            </w:pPr>
            <w:r>
              <w:rPr>
                <w:color w:val="auto"/>
              </w:rPr>
              <w:t>施工工期</w:t>
            </w:r>
          </w:p>
        </w:tc>
        <w:tc>
          <w:tcPr>
            <w:tcW w:w="2753" w:type="dxa"/>
            <w:vAlign w:val="center"/>
          </w:tcPr>
          <w:p>
            <w:pPr>
              <w:adjustRightInd w:val="0"/>
              <w:snapToGrid w:val="0"/>
              <w:spacing w:line="240" w:lineRule="auto"/>
              <w:ind w:firstLine="0" w:firstLineChars="0"/>
              <w:jc w:val="center"/>
              <w:rPr>
                <w:color w:val="auto"/>
              </w:rPr>
            </w:pPr>
            <w:r>
              <w:rPr>
                <w:rFonts w:hint="eastAsia"/>
                <w:color w:val="auto"/>
              </w:rPr>
              <w:t>6个月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0" w:type="dxa"/>
            <w:gridSpan w:val="2"/>
            <w:tcMar>
              <w:top w:w="16" w:type="dxa"/>
              <w:left w:w="16" w:type="dxa"/>
              <w:right w:w="16" w:type="dxa"/>
            </w:tcMar>
            <w:vAlign w:val="center"/>
          </w:tcPr>
          <w:p>
            <w:pPr>
              <w:adjustRightInd w:val="0"/>
              <w:snapToGrid w:val="0"/>
              <w:spacing w:line="240" w:lineRule="auto"/>
              <w:ind w:firstLine="0" w:firstLineChars="0"/>
              <w:jc w:val="center"/>
              <w:rPr>
                <w:color w:val="auto"/>
              </w:rPr>
            </w:pPr>
            <w:r>
              <w:rPr>
                <w:color w:val="auto"/>
              </w:rPr>
              <w:t>是否开工建设</w:t>
            </w:r>
          </w:p>
        </w:tc>
        <w:tc>
          <w:tcPr>
            <w:tcW w:w="1745" w:type="dxa"/>
            <w:vAlign w:val="center"/>
          </w:tcPr>
          <w:p>
            <w:pPr>
              <w:adjustRightInd w:val="0"/>
              <w:snapToGrid w:val="0"/>
              <w:spacing w:line="240" w:lineRule="auto"/>
              <w:ind w:firstLine="0" w:firstLineChars="0"/>
              <w:rPr>
                <w:color w:val="auto"/>
              </w:rPr>
            </w:pPr>
            <w:r>
              <w:rPr>
                <w:rFonts w:hint="eastAsia"/>
                <w:color w:val="auto"/>
              </w:rPr>
              <w:t>☑</w:t>
            </w:r>
            <w:r>
              <w:rPr>
                <w:color w:val="auto"/>
              </w:rPr>
              <w:t>否</w:t>
            </w:r>
          </w:p>
          <w:p>
            <w:pPr>
              <w:adjustRightInd w:val="0"/>
              <w:snapToGrid w:val="0"/>
              <w:spacing w:line="240" w:lineRule="auto"/>
              <w:ind w:firstLine="0" w:firstLineChars="0"/>
              <w:rPr>
                <w:color w:val="auto"/>
              </w:rPr>
            </w:pPr>
            <w:r>
              <w:rPr>
                <w:rFonts w:hint="eastAsia"/>
                <w:color w:val="auto"/>
              </w:rPr>
              <w:t>□</w:t>
            </w:r>
            <w:r>
              <w:rPr>
                <w:color w:val="auto"/>
              </w:rPr>
              <w:t>是</w:t>
            </w:r>
            <w:r>
              <w:rPr>
                <w:rFonts w:hint="eastAsia"/>
                <w:color w:val="auto"/>
              </w:rPr>
              <w:t>：</w:t>
            </w:r>
          </w:p>
        </w:tc>
        <w:tc>
          <w:tcPr>
            <w:tcW w:w="1992" w:type="dxa"/>
            <w:tcMar>
              <w:top w:w="16" w:type="dxa"/>
              <w:left w:w="16" w:type="dxa"/>
              <w:right w:w="16" w:type="dxa"/>
            </w:tcMar>
            <w:vAlign w:val="center"/>
          </w:tcPr>
          <w:p>
            <w:pPr>
              <w:adjustRightInd w:val="0"/>
              <w:snapToGrid w:val="0"/>
              <w:spacing w:line="240" w:lineRule="auto"/>
              <w:ind w:firstLine="0" w:firstLineChars="0"/>
              <w:jc w:val="center"/>
              <w:rPr>
                <w:color w:val="auto"/>
              </w:rPr>
            </w:pPr>
            <w:r>
              <w:rPr>
                <w:color w:val="auto"/>
                <w:spacing w:val="-6"/>
              </w:rPr>
              <w:t>用地面积（</w:t>
            </w:r>
            <w:r>
              <w:rPr>
                <w:rFonts w:hint="eastAsia"/>
                <w:color w:val="auto"/>
                <w:spacing w:val="-6"/>
              </w:rPr>
              <w:t>㎡</w:t>
            </w:r>
            <w:r>
              <w:rPr>
                <w:color w:val="auto"/>
                <w:spacing w:val="-6"/>
              </w:rPr>
              <w:t>）</w:t>
            </w:r>
          </w:p>
        </w:tc>
        <w:tc>
          <w:tcPr>
            <w:tcW w:w="2753" w:type="dxa"/>
            <w:vAlign w:val="center"/>
          </w:tcPr>
          <w:p>
            <w:pPr>
              <w:adjustRightInd w:val="0"/>
              <w:snapToGrid w:val="0"/>
              <w:spacing w:line="240" w:lineRule="auto"/>
              <w:ind w:firstLine="0" w:firstLineChars="0"/>
              <w:jc w:val="center"/>
              <w:rPr>
                <w:color w:val="auto"/>
              </w:rPr>
            </w:pPr>
            <w:r>
              <w:rPr>
                <w:rFonts w:hint="eastAsia"/>
                <w:color w:val="auto"/>
              </w:rPr>
              <w:t>41447（本次工程占地面积为10224㎡，无新增占地）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0" w:type="dxa"/>
            <w:gridSpan w:val="2"/>
            <w:vAlign w:val="center"/>
          </w:tcPr>
          <w:p>
            <w:pPr>
              <w:autoSpaceDE w:val="0"/>
              <w:autoSpaceDN w:val="0"/>
              <w:adjustRightInd w:val="0"/>
              <w:snapToGrid w:val="0"/>
              <w:spacing w:line="240" w:lineRule="auto"/>
              <w:ind w:firstLine="0" w:firstLineChars="0"/>
              <w:jc w:val="center"/>
              <w:rPr>
                <w:color w:val="auto"/>
                <w:kern w:val="0"/>
              </w:rPr>
            </w:pPr>
            <w:r>
              <w:rPr>
                <w:color w:val="auto"/>
                <w:kern w:val="0"/>
              </w:rPr>
              <w:t>专项评价设置情况</w:t>
            </w:r>
          </w:p>
        </w:tc>
        <w:tc>
          <w:tcPr>
            <w:tcW w:w="6490" w:type="dxa"/>
            <w:gridSpan w:val="3"/>
            <w:vAlign w:val="center"/>
          </w:tcPr>
          <w:p>
            <w:pPr>
              <w:ind w:firstLine="480"/>
              <w:rPr>
                <w:color w:val="auto"/>
              </w:rPr>
            </w:pPr>
            <w:r>
              <w:rPr>
                <w:rFonts w:hint="eastAsia"/>
                <w:color w:val="auto"/>
              </w:rPr>
              <w:t>根据建设项目环境影响报告表编制技术指南（污染影响类），本项目不开展专项评价。</w:t>
            </w:r>
          </w:p>
          <w:p>
            <w:pPr>
              <w:ind w:firstLine="0" w:firstLineChars="0"/>
              <w:jc w:val="center"/>
              <w:rPr>
                <w:rFonts w:ascii="宋体" w:hAnsi="宋体" w:cs="宋体"/>
                <w:b/>
                <w:bCs/>
                <w:color w:val="auto"/>
                <w:kern w:val="0"/>
              </w:rPr>
            </w:pPr>
            <w:r>
              <w:rPr>
                <w:rFonts w:hint="eastAsia"/>
                <w:b/>
                <w:bCs/>
                <w:color w:val="auto"/>
              </w:rPr>
              <w:t>表1-1项目专项评价设置情况判定表</w:t>
            </w:r>
          </w:p>
          <w:tbl>
            <w:tblPr>
              <w:tblStyle w:val="22"/>
              <w:tblW w:w="63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6"/>
              <w:gridCol w:w="3542"/>
              <w:gridCol w:w="1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1246" w:type="dxa"/>
                  <w:vAlign w:val="center"/>
                </w:tcPr>
                <w:p>
                  <w:pPr>
                    <w:spacing w:line="240" w:lineRule="auto"/>
                    <w:ind w:firstLine="0" w:firstLineChars="0"/>
                    <w:jc w:val="center"/>
                    <w:rPr>
                      <w:color w:val="auto"/>
                    </w:rPr>
                  </w:pPr>
                  <w:r>
                    <w:rPr>
                      <w:rFonts w:hint="eastAsia"/>
                      <w:color w:val="auto"/>
                    </w:rPr>
                    <w:t>专项评价的类别</w:t>
                  </w:r>
                </w:p>
              </w:tc>
              <w:tc>
                <w:tcPr>
                  <w:tcW w:w="3542" w:type="dxa"/>
                  <w:vAlign w:val="center"/>
                </w:tcPr>
                <w:p>
                  <w:pPr>
                    <w:spacing w:line="240" w:lineRule="auto"/>
                    <w:ind w:firstLine="0" w:firstLineChars="0"/>
                    <w:jc w:val="center"/>
                    <w:rPr>
                      <w:color w:val="auto"/>
                    </w:rPr>
                  </w:pPr>
                  <w:r>
                    <w:rPr>
                      <w:rFonts w:hint="eastAsia"/>
                      <w:color w:val="auto"/>
                    </w:rPr>
                    <w:t>设置原则</w:t>
                  </w:r>
                </w:p>
              </w:tc>
              <w:tc>
                <w:tcPr>
                  <w:tcW w:w="1530" w:type="dxa"/>
                  <w:vAlign w:val="center"/>
                </w:tcPr>
                <w:p>
                  <w:pPr>
                    <w:spacing w:line="240" w:lineRule="auto"/>
                    <w:ind w:firstLine="0" w:firstLineChars="0"/>
                    <w:jc w:val="center"/>
                    <w:rPr>
                      <w:color w:val="auto"/>
                    </w:rPr>
                  </w:pPr>
                  <w:r>
                    <w:rPr>
                      <w:rFonts w:hint="eastAsia"/>
                      <w:color w:val="auto"/>
                    </w:rPr>
                    <w:t>本项目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1246" w:type="dxa"/>
                  <w:vAlign w:val="center"/>
                </w:tcPr>
                <w:p>
                  <w:pPr>
                    <w:spacing w:line="240" w:lineRule="auto"/>
                    <w:ind w:firstLine="0" w:firstLineChars="0"/>
                    <w:jc w:val="center"/>
                    <w:rPr>
                      <w:color w:val="auto"/>
                    </w:rPr>
                  </w:pPr>
                  <w:r>
                    <w:rPr>
                      <w:rFonts w:hint="eastAsia"/>
                      <w:color w:val="auto"/>
                    </w:rPr>
                    <w:t>大气</w:t>
                  </w:r>
                </w:p>
              </w:tc>
              <w:tc>
                <w:tcPr>
                  <w:tcW w:w="3542" w:type="dxa"/>
                  <w:vAlign w:val="center"/>
                </w:tcPr>
                <w:p>
                  <w:pPr>
                    <w:spacing w:line="240" w:lineRule="auto"/>
                    <w:ind w:firstLine="0" w:firstLineChars="0"/>
                    <w:rPr>
                      <w:color w:val="auto"/>
                    </w:rPr>
                  </w:pPr>
                  <w:r>
                    <w:rPr>
                      <w:color w:val="auto"/>
                    </w:rPr>
                    <w:t>排放废气含有毒有害污染物、二噁英、苯并[a]芘、氰化物、氯气且厂界外500米范围内有环境空气保护目标的建设项目</w:t>
                  </w:r>
                  <w:r>
                    <w:rPr>
                      <w:rFonts w:hint="eastAsia"/>
                      <w:color w:val="auto"/>
                    </w:rPr>
                    <w:t>。</w:t>
                  </w:r>
                </w:p>
              </w:tc>
              <w:tc>
                <w:tcPr>
                  <w:tcW w:w="1530" w:type="dxa"/>
                  <w:vAlign w:val="center"/>
                </w:tcPr>
                <w:p>
                  <w:pPr>
                    <w:spacing w:line="240" w:lineRule="auto"/>
                    <w:ind w:firstLine="0" w:firstLineChars="0"/>
                    <w:rPr>
                      <w:color w:val="auto"/>
                    </w:rPr>
                  </w:pPr>
                  <w:r>
                    <w:rPr>
                      <w:rFonts w:hint="eastAsia"/>
                      <w:color w:val="auto"/>
                    </w:rPr>
                    <w:t>本项目排放废气中不含有毒有害污染物等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trPr>
              <w:tc>
                <w:tcPr>
                  <w:tcW w:w="1246" w:type="dxa"/>
                  <w:vAlign w:val="center"/>
                </w:tcPr>
                <w:p>
                  <w:pPr>
                    <w:spacing w:line="240" w:lineRule="auto"/>
                    <w:ind w:firstLine="0" w:firstLineChars="0"/>
                    <w:jc w:val="center"/>
                    <w:rPr>
                      <w:color w:val="auto"/>
                    </w:rPr>
                  </w:pPr>
                  <w:r>
                    <w:rPr>
                      <w:rFonts w:hint="eastAsia"/>
                      <w:color w:val="auto"/>
                    </w:rPr>
                    <w:t>地表水</w:t>
                  </w:r>
                </w:p>
              </w:tc>
              <w:tc>
                <w:tcPr>
                  <w:tcW w:w="3542" w:type="dxa"/>
                  <w:vAlign w:val="center"/>
                </w:tcPr>
                <w:p>
                  <w:pPr>
                    <w:spacing w:line="240" w:lineRule="auto"/>
                    <w:ind w:firstLine="0" w:firstLineChars="0"/>
                    <w:rPr>
                      <w:color w:val="auto"/>
                    </w:rPr>
                  </w:pPr>
                  <w:r>
                    <w:rPr>
                      <w:color w:val="auto"/>
                    </w:rPr>
                    <w:t>新增工业废水直排建设项目（槽罐车外送污水处理厂的除外）；新增废水直排的污水集中处理厂</w:t>
                  </w:r>
                  <w:r>
                    <w:rPr>
                      <w:rFonts w:hint="eastAsia"/>
                      <w:color w:val="auto"/>
                    </w:rPr>
                    <w:t>。</w:t>
                  </w:r>
                </w:p>
              </w:tc>
              <w:tc>
                <w:tcPr>
                  <w:tcW w:w="1530" w:type="dxa"/>
                  <w:vAlign w:val="center"/>
                </w:tcPr>
                <w:p>
                  <w:pPr>
                    <w:spacing w:line="240" w:lineRule="auto"/>
                    <w:ind w:firstLine="0" w:firstLineChars="0"/>
                    <w:rPr>
                      <w:color w:val="auto"/>
                    </w:rPr>
                  </w:pPr>
                  <w:r>
                    <w:rPr>
                      <w:rFonts w:hint="eastAsia"/>
                      <w:color w:val="auto"/>
                    </w:rPr>
                    <w:t>本项目无生产废水外排。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480" w:hRule="atLeast"/>
              </w:trPr>
              <w:tc>
                <w:tcPr>
                  <w:tcW w:w="1246" w:type="dxa"/>
                  <w:vAlign w:val="center"/>
                </w:tcPr>
                <w:p>
                  <w:pPr>
                    <w:spacing w:line="240" w:lineRule="auto"/>
                    <w:ind w:firstLine="0" w:firstLineChars="0"/>
                    <w:jc w:val="center"/>
                    <w:rPr>
                      <w:color w:val="auto"/>
                    </w:rPr>
                  </w:pPr>
                  <w:r>
                    <w:rPr>
                      <w:rFonts w:hint="eastAsia"/>
                      <w:color w:val="auto"/>
                    </w:rPr>
                    <w:t>环境风险</w:t>
                  </w:r>
                </w:p>
              </w:tc>
              <w:tc>
                <w:tcPr>
                  <w:tcW w:w="3542" w:type="dxa"/>
                  <w:vAlign w:val="center"/>
                </w:tcPr>
                <w:p>
                  <w:pPr>
                    <w:spacing w:line="240" w:lineRule="auto"/>
                    <w:ind w:firstLine="0" w:firstLineChars="0"/>
                    <w:jc w:val="center"/>
                    <w:rPr>
                      <w:color w:val="auto"/>
                    </w:rPr>
                  </w:pPr>
                  <w:r>
                    <w:rPr>
                      <w:color w:val="auto"/>
                    </w:rPr>
                    <w:t>有毒有害和易燃易爆危险物质存储量超过临界量的建设项目</w:t>
                  </w:r>
                  <w:r>
                    <w:rPr>
                      <w:rFonts w:hint="eastAsia"/>
                      <w:color w:val="auto"/>
                    </w:rPr>
                    <w:t>。</w:t>
                  </w:r>
                </w:p>
              </w:tc>
              <w:tc>
                <w:tcPr>
                  <w:tcW w:w="1530" w:type="dxa"/>
                  <w:vAlign w:val="center"/>
                </w:tcPr>
                <w:p>
                  <w:pPr>
                    <w:spacing w:line="240" w:lineRule="auto"/>
                    <w:ind w:firstLine="0" w:firstLineChars="0"/>
                    <w:jc w:val="center"/>
                    <w:rPr>
                      <w:color w:val="auto"/>
                    </w:rPr>
                  </w:pPr>
                  <w:r>
                    <w:rPr>
                      <w:color w:val="auto"/>
                    </w:rPr>
                    <w:t>本项目生产过</w:t>
                  </w:r>
                  <w:r>
                    <w:rPr>
                      <w:rFonts w:hint="eastAsia"/>
                      <w:color w:val="auto"/>
                    </w:rPr>
                    <w:t>程中</w:t>
                  </w:r>
                  <w:r>
                    <w:rPr>
                      <w:color w:val="auto"/>
                    </w:rPr>
                    <w:t>涉及</w:t>
                  </w:r>
                  <w:r>
                    <w:rPr>
                      <w:rFonts w:hint="eastAsia"/>
                      <w:color w:val="auto"/>
                    </w:rPr>
                    <w:t>的</w:t>
                  </w:r>
                  <w:r>
                    <w:rPr>
                      <w:color w:val="auto"/>
                    </w:rPr>
                    <w:t>有毒有害和易燃易爆危险物质</w:t>
                  </w:r>
                  <w:r>
                    <w:rPr>
                      <w:rFonts w:hint="eastAsia"/>
                      <w:color w:val="auto"/>
                    </w:rPr>
                    <w:t>天然气超过临界量，经过风险分析章节进行分析，本项目风险分析为简单分析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92" w:hRule="atLeast"/>
              </w:trPr>
              <w:tc>
                <w:tcPr>
                  <w:tcW w:w="1246" w:type="dxa"/>
                  <w:vAlign w:val="center"/>
                </w:tcPr>
                <w:p>
                  <w:pPr>
                    <w:spacing w:line="240" w:lineRule="auto"/>
                    <w:ind w:firstLine="0" w:firstLineChars="0"/>
                    <w:jc w:val="center"/>
                    <w:rPr>
                      <w:color w:val="auto"/>
                    </w:rPr>
                  </w:pPr>
                  <w:r>
                    <w:rPr>
                      <w:rFonts w:hint="eastAsia"/>
                      <w:color w:val="auto"/>
                    </w:rPr>
                    <w:t>生态</w:t>
                  </w:r>
                </w:p>
              </w:tc>
              <w:tc>
                <w:tcPr>
                  <w:tcW w:w="3542" w:type="dxa"/>
                  <w:vAlign w:val="center"/>
                </w:tcPr>
                <w:p>
                  <w:pPr>
                    <w:spacing w:line="240" w:lineRule="auto"/>
                    <w:ind w:firstLine="0" w:firstLineChars="0"/>
                    <w:rPr>
                      <w:color w:val="auto"/>
                    </w:rPr>
                  </w:pPr>
                  <w:r>
                    <w:rPr>
                      <w:color w:val="auto"/>
                    </w:rPr>
                    <w:t>取水口下游500米范围内有重要水生生物的自然产卵场、索饵场、越冬场和洄游通道的新增河道取水的污染类建设项目</w:t>
                  </w:r>
                  <w:r>
                    <w:rPr>
                      <w:rFonts w:hint="eastAsia"/>
                      <w:color w:val="auto"/>
                    </w:rPr>
                    <w:t>。</w:t>
                  </w:r>
                </w:p>
              </w:tc>
              <w:tc>
                <w:tcPr>
                  <w:tcW w:w="1530" w:type="dxa"/>
                  <w:vAlign w:val="center"/>
                </w:tcPr>
                <w:p>
                  <w:pPr>
                    <w:spacing w:line="240" w:lineRule="auto"/>
                    <w:ind w:firstLine="0" w:firstLineChars="0"/>
                    <w:jc w:val="center"/>
                    <w:rPr>
                      <w:color w:val="auto"/>
                    </w:rPr>
                  </w:pPr>
                  <w:r>
                    <w:rPr>
                      <w:rFonts w:hint="eastAsia"/>
                      <w:color w:val="auto"/>
                    </w:rPr>
                    <w:t>本项目</w:t>
                  </w:r>
                  <w:r>
                    <w:rPr>
                      <w:color w:val="auto"/>
                    </w:rPr>
                    <w:t>无河道取水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246" w:type="dxa"/>
                  <w:vAlign w:val="center"/>
                </w:tcPr>
                <w:p>
                  <w:pPr>
                    <w:spacing w:line="240" w:lineRule="auto"/>
                    <w:ind w:firstLine="0" w:firstLineChars="0"/>
                    <w:jc w:val="center"/>
                    <w:rPr>
                      <w:color w:val="auto"/>
                    </w:rPr>
                  </w:pPr>
                  <w:r>
                    <w:rPr>
                      <w:rFonts w:hint="eastAsia"/>
                      <w:color w:val="auto"/>
                    </w:rPr>
                    <w:t>海洋</w:t>
                  </w:r>
                </w:p>
              </w:tc>
              <w:tc>
                <w:tcPr>
                  <w:tcW w:w="3542" w:type="dxa"/>
                  <w:vAlign w:val="center"/>
                </w:tcPr>
                <w:p>
                  <w:pPr>
                    <w:spacing w:line="240" w:lineRule="auto"/>
                    <w:ind w:firstLine="0" w:firstLineChars="0"/>
                    <w:rPr>
                      <w:color w:val="auto"/>
                    </w:rPr>
                  </w:pPr>
                  <w:r>
                    <w:rPr>
                      <w:color w:val="auto"/>
                    </w:rPr>
                    <w:t>直接向海排放污染物的海洋工程建设项目</w:t>
                  </w:r>
                  <w:r>
                    <w:rPr>
                      <w:rFonts w:hint="eastAsia"/>
                      <w:color w:val="auto"/>
                    </w:rPr>
                    <w:t>。</w:t>
                  </w:r>
                </w:p>
              </w:tc>
              <w:tc>
                <w:tcPr>
                  <w:tcW w:w="1530" w:type="dxa"/>
                  <w:vAlign w:val="center"/>
                </w:tcPr>
                <w:p>
                  <w:pPr>
                    <w:spacing w:line="240" w:lineRule="auto"/>
                    <w:ind w:firstLine="0" w:firstLineChars="0"/>
                    <w:jc w:val="center"/>
                    <w:rPr>
                      <w:color w:val="auto"/>
                    </w:rPr>
                  </w:pPr>
                  <w:r>
                    <w:rPr>
                      <w:rFonts w:hint="eastAsia"/>
                      <w:color w:val="auto"/>
                    </w:rPr>
                    <w:t>本项目无排放口</w:t>
                  </w:r>
                </w:p>
              </w:tc>
            </w:tr>
          </w:tbl>
          <w:p>
            <w:pPr>
              <w:autoSpaceDE w:val="0"/>
              <w:autoSpaceDN w:val="0"/>
              <w:adjustRightInd w:val="0"/>
              <w:snapToGrid w:val="0"/>
              <w:spacing w:line="240" w:lineRule="auto"/>
              <w:ind w:firstLine="0" w:firstLineChars="0"/>
              <w:jc w:val="center"/>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2380" w:type="dxa"/>
            <w:gridSpan w:val="2"/>
            <w:vAlign w:val="center"/>
          </w:tcPr>
          <w:p>
            <w:pPr>
              <w:autoSpaceDE w:val="0"/>
              <w:autoSpaceDN w:val="0"/>
              <w:adjustRightInd w:val="0"/>
              <w:snapToGrid w:val="0"/>
              <w:spacing w:line="240" w:lineRule="auto"/>
              <w:ind w:firstLine="0" w:firstLineChars="0"/>
              <w:jc w:val="center"/>
              <w:rPr>
                <w:color w:val="auto"/>
                <w:kern w:val="0"/>
              </w:rPr>
            </w:pPr>
            <w:r>
              <w:rPr>
                <w:color w:val="auto"/>
              </w:rPr>
              <w:t>规划情况</w:t>
            </w:r>
          </w:p>
        </w:tc>
        <w:tc>
          <w:tcPr>
            <w:tcW w:w="6490" w:type="dxa"/>
            <w:gridSpan w:val="3"/>
            <w:vAlign w:val="center"/>
          </w:tcPr>
          <w:p>
            <w:pPr>
              <w:ind w:firstLine="480"/>
              <w:rPr>
                <w:color w:val="auto"/>
              </w:rPr>
            </w:pPr>
            <w:r>
              <w:rPr>
                <w:color w:val="auto"/>
              </w:rPr>
              <w:t>2008年</w:t>
            </w:r>
            <w:r>
              <w:rPr>
                <w:rFonts w:hint="eastAsia"/>
                <w:color w:val="auto"/>
              </w:rPr>
              <w:t>，</w:t>
            </w:r>
            <w:r>
              <w:rPr>
                <w:color w:val="auto"/>
              </w:rPr>
              <w:t>中煤科工集团南京设计研究院有限公司编制完成《内蒙古自治区鄂尔多斯新街矿区总体规划》，2010年国家发展和改革委员会以“发改能源</w:t>
            </w:r>
            <w:r>
              <w:rPr>
                <w:rFonts w:hint="eastAsia"/>
                <w:color w:val="auto"/>
              </w:rPr>
              <w:t>〔2010〕</w:t>
            </w:r>
            <w:r>
              <w:rPr>
                <w:color w:val="auto"/>
              </w:rPr>
              <w:t>1911号”对《国家发展改革委关于内蒙古自治区鄂尔多斯新街矿区总体规划的批复》予以批复</w:t>
            </w:r>
            <w:r>
              <w:rPr>
                <w:rFonts w:hint="eastAsia"/>
                <w:color w:val="auto"/>
              </w:rPr>
              <w:t>。</w:t>
            </w:r>
          </w:p>
          <w:p>
            <w:pPr>
              <w:ind w:firstLine="480"/>
              <w:rPr>
                <w:color w:val="auto"/>
                <w:highlight w:val="yellow"/>
              </w:rPr>
            </w:pPr>
            <w:r>
              <w:rPr>
                <w:color w:val="auto"/>
              </w:rPr>
              <w:t>2024年</w:t>
            </w:r>
            <w:r>
              <w:rPr>
                <w:rFonts w:hint="eastAsia"/>
                <w:color w:val="auto"/>
              </w:rPr>
              <w:t>6月，</w:t>
            </w:r>
            <w:r>
              <w:rPr>
                <w:color w:val="auto"/>
              </w:rPr>
              <w:t>中煤科工集团南京设计研究院编制完成《内蒙古自治区鄂尔多斯市东胜煤田新街煤炭矿区总体规划（修编）》</w:t>
            </w:r>
            <w:r>
              <w:rPr>
                <w:rFonts w:hint="eastAsia"/>
                <w:color w:val="auto"/>
              </w:rPr>
              <w:t>。2024年国家发展和改革委员会以</w:t>
            </w:r>
            <w:r>
              <w:rPr>
                <w:color w:val="auto"/>
              </w:rPr>
              <w:t>发改能源〔2024〕937号</w:t>
            </w:r>
            <w:r>
              <w:rPr>
                <w:rFonts w:hint="eastAsia"/>
                <w:color w:val="auto"/>
              </w:rPr>
              <w:t>对《内蒙古自治区鄂尔多斯市东胜煤田新街煤炭矿区总体规划（修编）》予以批复。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7" w:hRule="atLeast"/>
          <w:jc w:val="center"/>
        </w:trPr>
        <w:tc>
          <w:tcPr>
            <w:tcW w:w="2380" w:type="dxa"/>
            <w:gridSpan w:val="2"/>
            <w:vAlign w:val="center"/>
          </w:tcPr>
          <w:p>
            <w:pPr>
              <w:adjustRightInd w:val="0"/>
              <w:snapToGrid w:val="0"/>
              <w:spacing w:line="240" w:lineRule="auto"/>
              <w:ind w:firstLine="0" w:firstLineChars="0"/>
              <w:jc w:val="center"/>
              <w:rPr>
                <w:color w:val="auto"/>
              </w:rPr>
            </w:pPr>
            <w:r>
              <w:rPr>
                <w:color w:val="auto"/>
              </w:rPr>
              <w:t>规划环境影响</w:t>
            </w:r>
          </w:p>
          <w:p>
            <w:pPr>
              <w:adjustRightInd w:val="0"/>
              <w:snapToGrid w:val="0"/>
              <w:spacing w:line="240" w:lineRule="auto"/>
              <w:ind w:firstLine="0" w:firstLineChars="0"/>
              <w:jc w:val="center"/>
              <w:rPr>
                <w:color w:val="auto"/>
                <w:kern w:val="0"/>
              </w:rPr>
            </w:pPr>
            <w:r>
              <w:rPr>
                <w:color w:val="auto"/>
              </w:rPr>
              <w:t>评价情况</w:t>
            </w:r>
          </w:p>
        </w:tc>
        <w:tc>
          <w:tcPr>
            <w:tcW w:w="6490" w:type="dxa"/>
            <w:gridSpan w:val="3"/>
            <w:vAlign w:val="center"/>
          </w:tcPr>
          <w:p>
            <w:pPr>
              <w:ind w:firstLine="480"/>
              <w:rPr>
                <w:color w:val="auto"/>
              </w:rPr>
            </w:pPr>
            <w:r>
              <w:rPr>
                <w:color w:val="auto"/>
              </w:rPr>
              <w:t>规划环境影响评价文件名称</w:t>
            </w:r>
            <w:r>
              <w:rPr>
                <w:rFonts w:hint="eastAsia"/>
                <w:color w:val="auto"/>
              </w:rPr>
              <w:t>：《鄂尔多斯市新街矿区总体规划（修编）环境影响报告书》</w:t>
            </w:r>
          </w:p>
          <w:p>
            <w:pPr>
              <w:ind w:firstLine="480"/>
              <w:rPr>
                <w:color w:val="auto"/>
              </w:rPr>
            </w:pPr>
            <w:r>
              <w:rPr>
                <w:color w:val="auto"/>
              </w:rPr>
              <w:t>审查机关</w:t>
            </w:r>
            <w:r>
              <w:rPr>
                <w:rFonts w:hint="eastAsia"/>
                <w:color w:val="auto"/>
              </w:rPr>
              <w:t>：内蒙古自治区能源局</w:t>
            </w:r>
          </w:p>
          <w:p>
            <w:pPr>
              <w:ind w:firstLine="480"/>
              <w:rPr>
                <w:color w:val="auto"/>
                <w:highlight w:val="yellow"/>
              </w:rPr>
            </w:pPr>
            <w:r>
              <w:rPr>
                <w:color w:val="auto"/>
              </w:rPr>
              <w:t>审查文件名称及文号</w:t>
            </w:r>
            <w:r>
              <w:rPr>
                <w:rFonts w:hint="eastAsia"/>
                <w:color w:val="auto"/>
              </w:rPr>
              <w:t>：《内蒙古自治区鄂尔多斯市东胜煤田新街煤炭矿区总体规划（修编）环境影响报告书》的审查意见，环审〔2023〕71号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27" w:hRule="atLeast"/>
          <w:jc w:val="center"/>
        </w:trPr>
        <w:tc>
          <w:tcPr>
            <w:tcW w:w="2380" w:type="dxa"/>
            <w:gridSpan w:val="2"/>
            <w:vAlign w:val="center"/>
          </w:tcPr>
          <w:p>
            <w:pPr>
              <w:autoSpaceDE w:val="0"/>
              <w:autoSpaceDN w:val="0"/>
              <w:adjustRightInd w:val="0"/>
              <w:snapToGrid w:val="0"/>
              <w:spacing w:line="240" w:lineRule="auto"/>
              <w:ind w:firstLine="0" w:firstLineChars="0"/>
              <w:jc w:val="center"/>
              <w:rPr>
                <w:color w:val="auto"/>
                <w:kern w:val="0"/>
              </w:rPr>
            </w:pPr>
            <w:r>
              <w:rPr>
                <w:color w:val="auto"/>
                <w:kern w:val="0"/>
              </w:rPr>
              <w:t>规划及规划环境</w:t>
            </w:r>
          </w:p>
          <w:p>
            <w:pPr>
              <w:autoSpaceDE w:val="0"/>
              <w:autoSpaceDN w:val="0"/>
              <w:adjustRightInd w:val="0"/>
              <w:snapToGrid w:val="0"/>
              <w:spacing w:line="240" w:lineRule="auto"/>
              <w:ind w:firstLine="0" w:firstLineChars="0"/>
              <w:jc w:val="center"/>
              <w:rPr>
                <w:color w:val="auto"/>
                <w:kern w:val="0"/>
              </w:rPr>
            </w:pPr>
            <w:r>
              <w:rPr>
                <w:color w:val="auto"/>
                <w:kern w:val="0"/>
              </w:rPr>
              <w:t>影响评价符合性分析</w:t>
            </w:r>
          </w:p>
        </w:tc>
        <w:tc>
          <w:tcPr>
            <w:tcW w:w="6490" w:type="dxa"/>
            <w:gridSpan w:val="3"/>
            <w:vAlign w:val="center"/>
          </w:tcPr>
          <w:p>
            <w:pPr>
              <w:ind w:firstLine="480"/>
              <w:rPr>
                <w:color w:val="auto"/>
              </w:rPr>
            </w:pPr>
            <w:r>
              <w:rPr>
                <w:rFonts w:hint="eastAsia"/>
                <w:color w:val="auto"/>
              </w:rPr>
              <w:t>新街矿区属于国家大型煤炭基地神东煤炭基地东胜矿区，位于内蒙古自治区鄂尔多斯市伊金霍洛旗。矿区规划总面积725.75平方公里，保有查明资源储量109.92亿吨，主要含煤地层为侏罗系中下统延安组，可采煤层13层，平均埋深616米，以不黏煤为主。矿区规划总规模5900万吨/年，均衡生产时间39年。矿区拟规划7个井田和1个勘查区，其中现有矿井4个，包括红庆河井田（800万吨/年）、察哈素井田（800万吨/年）、尔林兔井田（1300万吨/年）、马秦壕井田（1000万吨/年）；新建矿井3个，包括红庆河二号井田（800万吨/年）、察哈素二号井田（800万吨/年）、楚鲁图井田（400万吨/年）。规划在察哈素二号井田、楚鲁图井田新增2座同等规模选煤厂，红庆河二号和红庆河井田、尔林兔井田、马秦壕井田利用现有选煤厂进行改扩建，察哈素井田利用现有选煤厂，原煤入洗率100%。规划洗选矸石全部用于井下充填、塌陷区治理等，产品煤主要采用铁路运输方式外运。</w:t>
            </w:r>
          </w:p>
          <w:p>
            <w:pPr>
              <w:ind w:firstLine="480"/>
              <w:rPr>
                <w:color w:val="auto"/>
              </w:rPr>
            </w:pPr>
            <w:r>
              <w:rPr>
                <w:rFonts w:hint="eastAsia"/>
                <w:color w:val="auto"/>
                <w:lang w:val="en-US" w:eastAsia="zh-CN"/>
              </w:rPr>
              <w:t>本项目位于内蒙古自治区鄂尔多斯市伊金霍洛旗札萨克镇新街区马秦壕，伊金霍洛旗新街马秦壕鑫源洗煤厂现有工业场地内属于新街矿区，</w:t>
            </w:r>
            <w:r>
              <w:rPr>
                <w:rFonts w:hint="eastAsia"/>
                <w:color w:val="auto"/>
              </w:rPr>
              <w:t>与</w:t>
            </w:r>
            <w:r>
              <w:rPr>
                <w:rFonts w:hint="eastAsia"/>
                <w:color w:val="auto"/>
              </w:rPr>
              <w:t>《内蒙古自治区鄂尔多斯市东胜煤田新街煤炭矿区总体规划（修编）环境影响报告书》及审查意见符合性分析。</w:t>
            </w:r>
          </w:p>
          <w:p>
            <w:pPr>
              <w:ind w:firstLine="0" w:firstLineChars="0"/>
              <w:jc w:val="center"/>
              <w:rPr>
                <w:b/>
                <w:bCs/>
                <w:color w:val="auto"/>
              </w:rPr>
            </w:pPr>
            <w:r>
              <w:rPr>
                <w:rFonts w:hint="eastAsia"/>
                <w:b/>
                <w:bCs/>
                <w:color w:val="auto"/>
              </w:rPr>
              <w:t>表1-2符合性分析</w:t>
            </w:r>
          </w:p>
          <w:tbl>
            <w:tblPr>
              <w:tblStyle w:val="22"/>
              <w:tblW w:w="62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3"/>
              <w:gridCol w:w="2662"/>
              <w:gridCol w:w="2238"/>
              <w:gridCol w:w="8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tcPr>
                <w:p>
                  <w:pPr>
                    <w:spacing w:line="240" w:lineRule="auto"/>
                    <w:ind w:firstLine="0" w:firstLineChars="0"/>
                    <w:jc w:val="center"/>
                    <w:rPr>
                      <w:color w:val="auto"/>
                    </w:rPr>
                  </w:pPr>
                  <w:r>
                    <w:rPr>
                      <w:rFonts w:hint="eastAsia"/>
                      <w:color w:val="auto"/>
                    </w:rPr>
                    <w:t>序号</w:t>
                  </w:r>
                </w:p>
              </w:tc>
              <w:tc>
                <w:tcPr>
                  <w:tcW w:w="2662" w:type="dxa"/>
                </w:tcPr>
                <w:p>
                  <w:pPr>
                    <w:spacing w:line="240" w:lineRule="auto"/>
                    <w:ind w:firstLine="0" w:firstLineChars="0"/>
                    <w:jc w:val="center"/>
                    <w:rPr>
                      <w:color w:val="auto"/>
                    </w:rPr>
                  </w:pPr>
                  <w:r>
                    <w:rPr>
                      <w:rFonts w:hint="eastAsia"/>
                      <w:color w:val="auto"/>
                    </w:rPr>
                    <w:t>规划环评及审查意见</w:t>
                  </w:r>
                </w:p>
              </w:tc>
              <w:tc>
                <w:tcPr>
                  <w:tcW w:w="2238" w:type="dxa"/>
                </w:tcPr>
                <w:p>
                  <w:pPr>
                    <w:spacing w:line="240" w:lineRule="auto"/>
                    <w:ind w:firstLine="0" w:firstLineChars="0"/>
                    <w:jc w:val="center"/>
                    <w:rPr>
                      <w:color w:val="auto"/>
                    </w:rPr>
                  </w:pPr>
                  <w:r>
                    <w:rPr>
                      <w:rFonts w:hint="eastAsia"/>
                      <w:color w:val="auto"/>
                    </w:rPr>
                    <w:t>本项目建设内容</w:t>
                  </w:r>
                </w:p>
              </w:tc>
              <w:tc>
                <w:tcPr>
                  <w:tcW w:w="831" w:type="dxa"/>
                </w:tcPr>
                <w:p>
                  <w:pPr>
                    <w:spacing w:line="240" w:lineRule="auto"/>
                    <w:ind w:firstLine="0" w:firstLineChars="0"/>
                    <w:jc w:val="center"/>
                    <w:rPr>
                      <w:color w:val="auto"/>
                    </w:rPr>
                  </w:pPr>
                  <w:r>
                    <w:rPr>
                      <w:rFonts w:hint="eastAsia"/>
                      <w:color w:val="auto"/>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tcPr>
                <w:p>
                  <w:pPr>
                    <w:spacing w:line="240" w:lineRule="auto"/>
                    <w:ind w:firstLine="0" w:firstLineChars="0"/>
                    <w:jc w:val="center"/>
                    <w:rPr>
                      <w:color w:val="auto"/>
                    </w:rPr>
                  </w:pPr>
                  <w:r>
                    <w:rPr>
                      <w:rFonts w:hint="eastAsia"/>
                      <w:color w:val="auto"/>
                    </w:rPr>
                    <w:t>1</w:t>
                  </w:r>
                </w:p>
              </w:tc>
              <w:tc>
                <w:tcPr>
                  <w:tcW w:w="2662" w:type="dxa"/>
                </w:tcPr>
                <w:p>
                  <w:pPr>
                    <w:spacing w:line="240" w:lineRule="auto"/>
                    <w:ind w:firstLine="0" w:firstLineChars="0"/>
                    <w:rPr>
                      <w:color w:val="auto"/>
                    </w:rPr>
                  </w:pPr>
                  <w:r>
                    <w:rPr>
                      <w:rFonts w:hint="eastAsia"/>
                      <w:color w:val="auto"/>
                    </w:rPr>
                    <w:t>坚持生态优先、节约集约、绿色低碳发展。坚持以习近平生态文明思想为指导，严格落实习近平总书记关于内蒙古自治区生态环境保护的重要指示批示精神，以推动区域高质量发展为总体目标，根据区域主导生态功能，将严守生态保护红线、严格维护区域防风固沙和典型草原沙漠化控制主导生态功能、保护良好水生态功能等内容纳入《规划》的生态环境保护目标，并进一步明确和细化。统筹考虑生态环境保护和国家能源保障要求，切实落实《报告书》提出的各项《规划》优化调整建议和生态环境保护对策措施，促进矿区开发与生态环境保护相协调，维护区域生态安全。</w:t>
                  </w:r>
                </w:p>
              </w:tc>
              <w:tc>
                <w:tcPr>
                  <w:tcW w:w="2238" w:type="dxa"/>
                </w:tcPr>
                <w:p>
                  <w:pPr>
                    <w:spacing w:line="240" w:lineRule="auto"/>
                    <w:ind w:firstLine="0" w:firstLineChars="0"/>
                    <w:jc w:val="center"/>
                    <w:rPr>
                      <w:color w:val="auto"/>
                    </w:rPr>
                  </w:pPr>
                  <w:r>
                    <w:rPr>
                      <w:rFonts w:hint="eastAsia"/>
                      <w:color w:val="auto"/>
                    </w:rPr>
                    <w:t>本项目位于内蒙古自治区鄂尔多斯市伊金霍洛旗札萨克镇新街区马秦壕，伊金霍洛旗新街马秦壕鑫源洗煤厂现有工业场地内建设，符合项目区“三线一单”要求。</w:t>
                  </w:r>
                </w:p>
              </w:tc>
              <w:tc>
                <w:tcPr>
                  <w:tcW w:w="831" w:type="dxa"/>
                </w:tcPr>
                <w:p>
                  <w:pPr>
                    <w:spacing w:line="240" w:lineRule="auto"/>
                    <w:ind w:firstLine="0" w:firstLineChars="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tcPr>
                <w:p>
                  <w:pPr>
                    <w:spacing w:line="240" w:lineRule="auto"/>
                    <w:ind w:firstLine="0" w:firstLineChars="0"/>
                    <w:jc w:val="center"/>
                    <w:rPr>
                      <w:color w:val="auto"/>
                    </w:rPr>
                  </w:pPr>
                  <w:r>
                    <w:rPr>
                      <w:rFonts w:hint="eastAsia"/>
                      <w:color w:val="auto"/>
                    </w:rPr>
                    <w:t>2</w:t>
                  </w:r>
                </w:p>
              </w:tc>
              <w:tc>
                <w:tcPr>
                  <w:tcW w:w="2662" w:type="dxa"/>
                </w:tcPr>
                <w:p>
                  <w:pPr>
                    <w:spacing w:line="240" w:lineRule="auto"/>
                    <w:ind w:firstLine="0" w:firstLineChars="0"/>
                    <w:rPr>
                      <w:color w:val="auto"/>
                    </w:rPr>
                  </w:pPr>
                  <w:r>
                    <w:rPr>
                      <w:rFonts w:hint="eastAsia"/>
                      <w:color w:val="auto"/>
                    </w:rPr>
                    <w:t>控制矿区开发强度，优化建设时序。严格落实《报告书》提出的矿区建设时序优化调整建议，同意《报告书》从减缓对札萨克镇饮用水水源地、红碱淖流域生态环境影响角度提出的暂缓开发楚鲁图井田的建议。统筹考虑红碱淖流域保护和国家能源保供要求，进一步论证马秦壕井田规模环境可行性，根据论证结果进一步优化开采强度，并采取区域煤层限采、充填开采等措施，以减缓对红碱淖流域水资源与生态环境的影响。对导水裂缝带导通白垩系区域、安定组隔水层剩余厚度小于20米区域和地表积水区应严格落实保水采煤措施。深化不同充填开采的材料和方式的技术、经济、环境可行性论证，各井田采取的充填、注浆等保水采煤措施应确保充填材料浸出液满足相关标准和要求，确保不对地下水环境质量造成不良影响。</w:t>
                  </w:r>
                </w:p>
              </w:tc>
              <w:tc>
                <w:tcPr>
                  <w:tcW w:w="2238" w:type="dxa"/>
                </w:tcPr>
                <w:p>
                  <w:pPr>
                    <w:spacing w:line="240" w:lineRule="auto"/>
                    <w:ind w:firstLine="0" w:firstLineChars="0"/>
                    <w:rPr>
                      <w:color w:val="auto"/>
                    </w:rPr>
                  </w:pPr>
                  <w:r>
                    <w:rPr>
                      <w:rFonts w:hint="eastAsia"/>
                      <w:color w:val="auto"/>
                    </w:rPr>
                    <w:t>本项目位于内蒙古自治区鄂尔多斯市伊金霍洛旗札萨克镇新街区马秦壕，伊金霍洛旗新街马秦壕鑫源洗煤厂现有工业场地内建设，无新增占地，不涉及上述问题。</w:t>
                  </w:r>
                </w:p>
              </w:tc>
              <w:tc>
                <w:tcPr>
                  <w:tcW w:w="831" w:type="dxa"/>
                </w:tcPr>
                <w:p>
                  <w:pPr>
                    <w:spacing w:line="240" w:lineRule="auto"/>
                    <w:ind w:firstLine="0" w:firstLineChars="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43" w:type="dxa"/>
                </w:tcPr>
                <w:p>
                  <w:pPr>
                    <w:spacing w:line="240" w:lineRule="auto"/>
                    <w:ind w:firstLine="0" w:firstLineChars="0"/>
                    <w:jc w:val="center"/>
                    <w:rPr>
                      <w:color w:val="auto"/>
                    </w:rPr>
                  </w:pPr>
                  <w:r>
                    <w:rPr>
                      <w:rFonts w:hint="eastAsia"/>
                      <w:color w:val="auto"/>
                    </w:rPr>
                    <w:t>3</w:t>
                  </w:r>
                </w:p>
              </w:tc>
              <w:tc>
                <w:tcPr>
                  <w:tcW w:w="2662" w:type="dxa"/>
                </w:tcPr>
                <w:p>
                  <w:pPr>
                    <w:spacing w:line="240" w:lineRule="auto"/>
                    <w:ind w:firstLine="0" w:firstLineChars="0"/>
                    <w:rPr>
                      <w:color w:val="auto"/>
                    </w:rPr>
                  </w:pPr>
                  <w:r>
                    <w:rPr>
                      <w:rFonts w:hint="eastAsia"/>
                      <w:color w:val="auto"/>
                    </w:rPr>
                    <w:t>严格保护生态空间，优化矿区开发布局。主动对接内蒙古自治区和鄂尔多斯市国土空间规划，加强《规划》与区域生态环境分区管控方案、主体功能区规划、生态功能区划、内蒙古自治区“十四五”矿产资源总体规划及规划环评等的协调衔接，确保符合相关管控和保护要求。对涉及的鄂尔多斯市城市禁采区、红庆河城址、铁路、公路、气井、输气管线、供水管线、输电线路等环境保护目标采取划定禁采区、留设保护煤柱等保护措施，根据地表沉陷观测结果，必要时修正禁采区或保护煤柱范围，尽量预防或者减轻矿区开采对保护目标产生的不良影响。原则上察哈素二号井田、尔林兔井田开采应避让与红碱淖汇水区重叠区域，红庆河二号井田应避让甘珠庙饮用水水源地补给区，并对红碱淖流域、甘珠庙饮用水水源地开展地下水长期监测，根据影响情况和后续水文地质资料深度及时优化调整开采方案，确保减缓对红碱淖流域和饮用水水源地的影响。严格落实马秦壕井田西部边界为札萨克河留设200米保护煤柱要求。通格朗河、木独石梨河、活鸡兔沟、呼和乌素沟、札萨克水库等区域应采取严格保护措施，加强监测，确保河流水生态功能不降低。矿区规划矿井均涉及基本草原，应加强与草原保护的协调，按照《关于实行征占用草原林地分区用途管控的通知》（内林草草监发〔2021〕257号）要求，位于西部区域生态保护红线外的基本草原区应严格控制新上矿产资源开发项目，除保障国家能源战略安全的项目外，不得新设（增扩）矿业权。项目实施应符合《内蒙古自治区煤炭管理条例》第九条“严格控制在生态保护红线外草原区规划建设新的煤炭开发项目、扩大露天开采区域，确有特殊需要的，由自治区人民政府依照国家和自治区有关规定审批”的规定，否则不得开采。按照法律法规和主管部门要求，做好二级国家级公益林、永久基本农田等的保护、恢复和补偿，确保其生态功能不降低。</w:t>
                  </w:r>
                </w:p>
              </w:tc>
              <w:tc>
                <w:tcPr>
                  <w:tcW w:w="2238" w:type="dxa"/>
                </w:tcPr>
                <w:p>
                  <w:pPr>
                    <w:spacing w:line="240" w:lineRule="auto"/>
                    <w:ind w:firstLine="0" w:firstLineChars="0"/>
                    <w:rPr>
                      <w:b/>
                      <w:bCs/>
                      <w:color w:val="auto"/>
                    </w:rPr>
                  </w:pPr>
                  <w:r>
                    <w:rPr>
                      <w:rFonts w:hint="eastAsia"/>
                      <w:color w:val="auto"/>
                    </w:rPr>
                    <w:t>本项目位于内蒙古自治区鄂尔多斯市伊金霍洛旗札萨克镇新街区马秦壕，伊金霍洛旗新街马秦壕鑫源洗煤厂现有工业场地内建设，无新增占地，不涉及鄂尔多斯市城市禁采区、红庆河城址、铁路、公路、气井、输气管线、供水管线、输电线路。不涉及察哈素二号井田、尔林兔井田、红庆河二号井田开采。</w:t>
                  </w:r>
                </w:p>
              </w:tc>
              <w:tc>
                <w:tcPr>
                  <w:tcW w:w="831" w:type="dxa"/>
                </w:tcPr>
                <w:p>
                  <w:pPr>
                    <w:spacing w:line="240" w:lineRule="auto"/>
                    <w:ind w:firstLine="0" w:firstLineChars="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tcPr>
                <w:p>
                  <w:pPr>
                    <w:spacing w:line="240" w:lineRule="auto"/>
                    <w:ind w:firstLine="0" w:firstLineChars="0"/>
                    <w:jc w:val="center"/>
                    <w:rPr>
                      <w:color w:val="auto"/>
                    </w:rPr>
                  </w:pPr>
                  <w:r>
                    <w:rPr>
                      <w:rFonts w:hint="eastAsia"/>
                      <w:color w:val="auto"/>
                    </w:rPr>
                    <w:t>4</w:t>
                  </w:r>
                </w:p>
              </w:tc>
              <w:tc>
                <w:tcPr>
                  <w:tcW w:w="2662" w:type="dxa"/>
                </w:tcPr>
                <w:p>
                  <w:pPr>
                    <w:spacing w:line="240" w:lineRule="auto"/>
                    <w:ind w:firstLine="0" w:firstLineChars="0"/>
                    <w:jc w:val="center"/>
                    <w:rPr>
                      <w:color w:val="auto"/>
                    </w:rPr>
                  </w:pPr>
                  <w:r>
                    <w:rPr>
                      <w:rFonts w:hint="eastAsia"/>
                      <w:color w:val="auto"/>
                    </w:rPr>
                    <w:t>严格生态环境准入。全面落实各项资源环境要求，矿区煤炭开采污染物排放以及生产用水、能耗、物耗等应达到清洁生产一级指标。根据区域矿井水综合利用管网建设进展和矿区建设时序，加快矿井水综合利用进度，提高节水水平，置换区域地下水取水；矿井水等污（废）水经处理符合相关要求后分质回用，剩余矿井水用作红碱淖流域生态补水或提供给周边企业综合利用，提高水资源利用效率，最大限度减小矿井水和高盐水蓄水池渗漏对地下水环境的影响。矿井水处置产生的杂盐应结合属性鉴定结果，按照相关规范要求妥善处置。统筹矿区各矿井矸石填充、离层注浆等项目实施进展，因地制宜选择合理的煤矸石综合利用方式，实现生产期掘进矸石不出井，鼓励煤矸石用于井下充填、离层注浆、沉陷治理等，确保矸石得到合理处置。加强矿区煤炭贮存、转载、装卸的扬尘污染防治，红庆河二号井田新建燃气或清洁能源锅炉，确保符合区域大气环境质量改善要求。矿区应加强温室气体管控，积极开展矿井乏风余热利用相关研究，优先采用新能源施工机械，进一步优化地销煤运输方式，加大铁路等清洁运输比例。</w:t>
                  </w:r>
                </w:p>
              </w:tc>
              <w:tc>
                <w:tcPr>
                  <w:tcW w:w="2238" w:type="dxa"/>
                </w:tcPr>
                <w:p>
                  <w:pPr>
                    <w:spacing w:line="240" w:lineRule="auto"/>
                    <w:ind w:firstLine="0" w:firstLineChars="0"/>
                    <w:rPr>
                      <w:color w:val="auto"/>
                    </w:rPr>
                  </w:pPr>
                  <w:r>
                    <w:rPr>
                      <w:rFonts w:hint="eastAsia"/>
                      <w:color w:val="auto"/>
                    </w:rPr>
                    <w:t>本项目位于内蒙古自治区鄂尔多斯市伊金霍洛旗札萨克镇新街区马秦壕，伊金霍洛旗新街马秦壕鑫源洗煤厂现有工业场地内建设，无新增占地，环境管控单元编码为ZH15062720007，环境管控单元名称为新街矿区，管控单元分类属于重点管控单元，本项目符合生态环境准入。本项目无新增劳动定员，无新增生活污水；生产废水经自建废水处理厂处理后，最终全部回用，无外排废水。本项目不涉及矸石综合利用。</w:t>
                  </w:r>
                </w:p>
              </w:tc>
              <w:tc>
                <w:tcPr>
                  <w:tcW w:w="831" w:type="dxa"/>
                </w:tcPr>
                <w:p>
                  <w:pPr>
                    <w:spacing w:line="240" w:lineRule="auto"/>
                    <w:ind w:firstLine="0" w:firstLineChars="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tcPr>
                <w:p>
                  <w:pPr>
                    <w:spacing w:line="240" w:lineRule="auto"/>
                    <w:ind w:firstLine="0" w:firstLineChars="0"/>
                    <w:jc w:val="center"/>
                    <w:rPr>
                      <w:color w:val="auto"/>
                    </w:rPr>
                  </w:pPr>
                  <w:r>
                    <w:rPr>
                      <w:rFonts w:hint="eastAsia"/>
                      <w:color w:val="auto"/>
                    </w:rPr>
                    <w:t>5</w:t>
                  </w:r>
                </w:p>
              </w:tc>
              <w:tc>
                <w:tcPr>
                  <w:tcW w:w="2662" w:type="dxa"/>
                </w:tcPr>
                <w:p>
                  <w:pPr>
                    <w:spacing w:line="240" w:lineRule="auto"/>
                    <w:ind w:firstLine="0" w:firstLineChars="0"/>
                    <w:rPr>
                      <w:color w:val="auto"/>
                    </w:rPr>
                  </w:pPr>
                  <w:r>
                    <w:rPr>
                      <w:rFonts w:hint="eastAsia"/>
                      <w:color w:val="auto"/>
                    </w:rPr>
                    <w:t>加强生态修复设计，强化区域生态修复。严格控制矿区开发扰动范围，加大环境治理和生态修复力度，开展区域矿区开发对地下水影响及红碱淖国家级自然保护区的累积性影响等相关研究，结合红碱淖国家级自然保护区相关保护规划及管理要求，明确红碱淖流域生态补水原则，严格落实红碱淖流域生态保护与修复措施，切实预防或者减轻规划实施的生态环境影响，保障区域生态功能。生态修复应坚持因地制宜原则，重建与周边生态环境相协调的植物群落，保护和恢复生物多样性，最终形成可自然维持的生态系统。</w:t>
                  </w:r>
                </w:p>
              </w:tc>
              <w:tc>
                <w:tcPr>
                  <w:tcW w:w="2238" w:type="dxa"/>
                </w:tcPr>
                <w:p>
                  <w:pPr>
                    <w:spacing w:line="240" w:lineRule="auto"/>
                    <w:ind w:firstLine="0" w:firstLineChars="0"/>
                    <w:rPr>
                      <w:color w:val="auto"/>
                    </w:rPr>
                  </w:pPr>
                  <w:r>
                    <w:rPr>
                      <w:rFonts w:hint="eastAsia"/>
                      <w:color w:val="auto"/>
                    </w:rPr>
                    <w:t>本项目不涉及红碱淖国家级自然保护区。</w:t>
                  </w:r>
                </w:p>
              </w:tc>
              <w:tc>
                <w:tcPr>
                  <w:tcW w:w="831" w:type="dxa"/>
                </w:tcPr>
                <w:p>
                  <w:pPr>
                    <w:spacing w:line="240" w:lineRule="auto"/>
                    <w:ind w:firstLine="0" w:firstLineChars="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tcPr>
                <w:p>
                  <w:pPr>
                    <w:spacing w:line="240" w:lineRule="auto"/>
                    <w:ind w:firstLine="0" w:firstLineChars="0"/>
                    <w:jc w:val="center"/>
                    <w:rPr>
                      <w:color w:val="auto"/>
                    </w:rPr>
                  </w:pPr>
                  <w:r>
                    <w:rPr>
                      <w:rFonts w:hint="eastAsia"/>
                      <w:color w:val="auto"/>
                    </w:rPr>
                    <w:t>6</w:t>
                  </w:r>
                </w:p>
              </w:tc>
              <w:tc>
                <w:tcPr>
                  <w:tcW w:w="2662" w:type="dxa"/>
                </w:tcPr>
                <w:p>
                  <w:pPr>
                    <w:spacing w:line="240" w:lineRule="auto"/>
                    <w:ind w:firstLine="0" w:firstLineChars="0"/>
                    <w:rPr>
                      <w:color w:val="auto"/>
                    </w:rPr>
                  </w:pPr>
                  <w:r>
                    <w:rPr>
                      <w:rFonts w:hint="eastAsia"/>
                      <w:color w:val="auto"/>
                    </w:rPr>
                    <w:t>强化现有问题整改。在《规划》实施中，加强对现有生态环境问题的整改。红庆河煤矿和马秦壕煤矿应严格落实黄河流域生态环境警示片披露问题综合整治要求。针对马秦壕煤矿矿井水综合利用率低和未实施矸石井下填充工程，尔林兔井田洗选矸石未综合利用，矿区长期地表岩移、地下水和生态监测系统建设滞后等问题，制定详细整改方案，明确责任主体和整改时限。</w:t>
                  </w:r>
                </w:p>
              </w:tc>
              <w:tc>
                <w:tcPr>
                  <w:tcW w:w="2238" w:type="dxa"/>
                </w:tcPr>
                <w:p>
                  <w:pPr>
                    <w:spacing w:line="240" w:lineRule="auto"/>
                    <w:ind w:firstLine="0" w:firstLineChars="0"/>
                    <w:jc w:val="center"/>
                    <w:rPr>
                      <w:color w:val="auto"/>
                    </w:rPr>
                  </w:pPr>
                  <w:r>
                    <w:rPr>
                      <w:rFonts w:hint="eastAsia"/>
                      <w:color w:val="auto"/>
                    </w:rPr>
                    <w:t>本项目不涉及。</w:t>
                  </w:r>
                </w:p>
              </w:tc>
              <w:tc>
                <w:tcPr>
                  <w:tcW w:w="831" w:type="dxa"/>
                </w:tcPr>
                <w:p>
                  <w:pPr>
                    <w:spacing w:line="240" w:lineRule="auto"/>
                    <w:ind w:firstLine="0" w:firstLineChars="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tcPr>
                <w:p>
                  <w:pPr>
                    <w:spacing w:line="240" w:lineRule="auto"/>
                    <w:ind w:firstLine="0" w:firstLineChars="0"/>
                    <w:jc w:val="center"/>
                    <w:rPr>
                      <w:color w:val="auto"/>
                    </w:rPr>
                  </w:pPr>
                  <w:r>
                    <w:rPr>
                      <w:rFonts w:hint="eastAsia"/>
                      <w:color w:val="auto"/>
                    </w:rPr>
                    <w:t>7</w:t>
                  </w:r>
                </w:p>
              </w:tc>
              <w:tc>
                <w:tcPr>
                  <w:tcW w:w="2662" w:type="dxa"/>
                </w:tcPr>
                <w:p>
                  <w:pPr>
                    <w:spacing w:line="240" w:lineRule="auto"/>
                    <w:ind w:firstLine="0" w:firstLineChars="0"/>
                    <w:rPr>
                      <w:color w:val="auto"/>
                    </w:rPr>
                  </w:pPr>
                  <w:r>
                    <w:rPr>
                      <w:rFonts w:hint="eastAsia"/>
                      <w:color w:val="auto"/>
                    </w:rPr>
                    <w:t>加强矿区环境管理。督促建设单位落实煤炭开采生态环境保护的主体责任。加强生态环境监测，建立生态环境及地下水长期监测机制，加强导水裂隙带发育高度</w:t>
                  </w:r>
                  <w:bookmarkStart w:id="4" w:name="_GoBack"/>
                  <w:bookmarkEnd w:id="4"/>
                  <w:r>
                    <w:rPr>
                      <w:rFonts w:hint="eastAsia"/>
                      <w:color w:val="auto"/>
                    </w:rPr>
                    <w:t>探测。对可能受采煤影响的红碱淖国家级自然保护区、查干淖水厂饮用水水源地等水源保护区、札萨克河等地表水体、成吉思汗国家森林公园等保护目标开展长期监测，必要时优化调整开采方案，强化生态环境保护对策措施，保障区域生态功能。</w:t>
                  </w:r>
                </w:p>
              </w:tc>
              <w:tc>
                <w:tcPr>
                  <w:tcW w:w="2238" w:type="dxa"/>
                </w:tcPr>
                <w:p>
                  <w:pPr>
                    <w:spacing w:line="240" w:lineRule="auto"/>
                    <w:ind w:firstLine="0" w:firstLineChars="0"/>
                    <w:jc w:val="center"/>
                    <w:rPr>
                      <w:color w:val="auto"/>
                    </w:rPr>
                  </w:pPr>
                  <w:r>
                    <w:rPr>
                      <w:rFonts w:hint="eastAsia"/>
                      <w:color w:val="auto"/>
                    </w:rPr>
                    <w:t>本项目不涉及煤炭开采。</w:t>
                  </w:r>
                </w:p>
              </w:tc>
              <w:tc>
                <w:tcPr>
                  <w:tcW w:w="831" w:type="dxa"/>
                </w:tcPr>
                <w:p>
                  <w:pPr>
                    <w:spacing w:line="240" w:lineRule="auto"/>
                    <w:ind w:firstLine="0" w:firstLineChars="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tcPr>
                <w:p>
                  <w:pPr>
                    <w:spacing w:line="240" w:lineRule="auto"/>
                    <w:ind w:firstLine="0" w:firstLineChars="0"/>
                    <w:jc w:val="center"/>
                    <w:rPr>
                      <w:color w:val="auto"/>
                    </w:rPr>
                  </w:pPr>
                  <w:r>
                    <w:rPr>
                      <w:rFonts w:hint="eastAsia"/>
                      <w:color w:val="auto"/>
                    </w:rPr>
                    <w:t>8</w:t>
                  </w:r>
                </w:p>
              </w:tc>
              <w:tc>
                <w:tcPr>
                  <w:tcW w:w="2662" w:type="dxa"/>
                </w:tcPr>
                <w:p>
                  <w:pPr>
                    <w:spacing w:line="240" w:lineRule="auto"/>
                    <w:ind w:firstLine="0" w:firstLineChars="0"/>
                    <w:rPr>
                      <w:rFonts w:hint="eastAsia" w:eastAsia="宋体"/>
                      <w:color w:val="auto"/>
                      <w:lang w:eastAsia="zh-CN"/>
                    </w:rPr>
                  </w:pPr>
                  <w:r>
                    <w:rPr>
                      <w:rFonts w:hint="eastAsia"/>
                      <w:color w:val="auto"/>
                    </w:rPr>
                    <w:t>在《规划》实施过程中，适时开展环境影响跟踪评价，将现有问题整改落实情况和《规划》实施对生态、地下水、地表水、大气环境以及重要环境保护目标等的影响作为跟踪评价重点内容。在《规划》修编时应重新编制环境影响报告书</w:t>
                  </w:r>
                  <w:r>
                    <w:rPr>
                      <w:rFonts w:hint="eastAsia"/>
                      <w:color w:val="auto"/>
                      <w:lang w:eastAsia="zh-CN"/>
                    </w:rPr>
                    <w:t>。</w:t>
                  </w:r>
                </w:p>
              </w:tc>
              <w:tc>
                <w:tcPr>
                  <w:tcW w:w="2238" w:type="dxa"/>
                </w:tcPr>
                <w:p>
                  <w:pPr>
                    <w:spacing w:line="240" w:lineRule="auto"/>
                    <w:ind w:firstLine="0" w:firstLineChars="0"/>
                    <w:rPr>
                      <w:color w:val="auto"/>
                    </w:rPr>
                  </w:pPr>
                  <w:r>
                    <w:rPr>
                      <w:rFonts w:hint="eastAsia"/>
                      <w:color w:val="auto"/>
                    </w:rPr>
                    <w:t>本项目制定了环境影响跟踪监测计划，项目运行后定期按照自行监测计划，按时进行自行监测。</w:t>
                  </w:r>
                </w:p>
              </w:tc>
              <w:tc>
                <w:tcPr>
                  <w:tcW w:w="831" w:type="dxa"/>
                </w:tcPr>
                <w:p>
                  <w:pPr>
                    <w:spacing w:line="240" w:lineRule="auto"/>
                    <w:ind w:firstLine="0" w:firstLineChars="0"/>
                    <w:jc w:val="center"/>
                    <w:rPr>
                      <w:color w:val="auto"/>
                    </w:rPr>
                  </w:pPr>
                  <w:r>
                    <w:rPr>
                      <w:rFonts w:hint="eastAsia"/>
                      <w:color w:val="auto"/>
                    </w:rPr>
                    <w:t>符合</w:t>
                  </w:r>
                </w:p>
              </w:tc>
            </w:tr>
          </w:tbl>
          <w:p>
            <w:pPr>
              <w:ind w:firstLine="0" w:firstLineChars="0"/>
              <w:rPr>
                <w:color w:val="auto"/>
              </w:rPr>
            </w:pPr>
            <w:r>
              <w:rPr>
                <w:color w:val="auto"/>
              </w:rPr>
              <mc:AlternateContent>
                <mc:Choice Requires="wps">
                  <w:drawing>
                    <wp:anchor distT="0" distB="0" distL="114300" distR="114300" simplePos="0" relativeHeight="251688960" behindDoc="0" locked="0" layoutInCell="1" allowOverlap="1">
                      <wp:simplePos x="0" y="0"/>
                      <wp:positionH relativeFrom="column">
                        <wp:posOffset>2738755</wp:posOffset>
                      </wp:positionH>
                      <wp:positionV relativeFrom="paragraph">
                        <wp:posOffset>1165860</wp:posOffset>
                      </wp:positionV>
                      <wp:extent cx="998855" cy="313690"/>
                      <wp:effectExtent l="36830" t="12700" r="31115" b="168910"/>
                      <wp:wrapNone/>
                      <wp:docPr id="35" name="矩形标注 35"/>
                      <wp:cNvGraphicFramePr/>
                      <a:graphic xmlns:a="http://schemas.openxmlformats.org/drawingml/2006/main">
                        <a:graphicData uri="http://schemas.microsoft.com/office/word/2010/wordprocessingShape">
                          <wps:wsp>
                            <wps:cNvSpPr/>
                            <wps:spPr>
                              <a:xfrm>
                                <a:off x="5253990" y="5672455"/>
                                <a:ext cx="998855" cy="313690"/>
                              </a:xfrm>
                              <a:prstGeom prst="wedgeRectCallout">
                                <a:avLst>
                                  <a:gd name="adj1" fmla="val -52447"/>
                                  <a:gd name="adj2" fmla="val 96896"/>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pPr>
                                    <w:ind w:firstLine="0" w:firstLineChars="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215.65pt;margin-top:91.8pt;height:24.7pt;width:78.65pt;z-index:251688960;v-text-anchor:middle;mso-width-relative:page;mso-height-relative:page;" filled="f" stroked="t" coordsize="21600,21600" o:gfxdata="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WAAAAZHJzL1BLAQIUABQAAAAIAIdO4kD0rIfh2AAAAAsBAAAPAAAAAAAA&#10;AAEAIAAAADgAAABkcnMvZG93bnJldi54bWxQSwECFAAUAAAACACHTuJAT55XVqcCAAATBQAADgAA&#10;AAAAAAABACAAAAA9AQAAZHJzL2Uyb0RvYy54bWxQSwUGAAAAAAYABgBZAQAAVgYAAAAA&#10;" adj="0,31730">
                      <v:fill on="f" focussize="0,0"/>
                      <v:stroke weight="2pt" color="#376092 [2404]" joinstyle="round"/>
                      <v:imagedata o:title=""/>
                      <o:lock v:ext="edit" aspectratio="f"/>
                      <v:textbox>
                        <w:txbxContent>
                          <w:p>
                            <w:pPr>
                              <w:ind w:firstLine="0" w:firstLineChars="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本项目位置</w:t>
                            </w:r>
                          </w:p>
                        </w:txbxContent>
                      </v:textbox>
                    </v:shape>
                  </w:pict>
                </mc:Fallback>
              </mc:AlternateContent>
            </w:r>
            <w:r>
              <w:rPr>
                <w:color w:val="auto"/>
              </w:rPr>
              <w:drawing>
                <wp:inline distT="0" distB="0" distL="114300" distR="114300">
                  <wp:extent cx="3982720" cy="4833620"/>
                  <wp:effectExtent l="0" t="0" r="17780" b="5080"/>
                  <wp:docPr id="34"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true"/>
                          </pic:cNvPicPr>
                        </pic:nvPicPr>
                        <pic:blipFill>
                          <a:blip r:embed="rId15"/>
                          <a:stretch>
                            <a:fillRect/>
                          </a:stretch>
                        </pic:blipFill>
                        <pic:spPr>
                          <a:xfrm>
                            <a:off x="0" y="0"/>
                            <a:ext cx="3982720" cy="4833620"/>
                          </a:xfrm>
                          <a:prstGeom prst="rect">
                            <a:avLst/>
                          </a:prstGeom>
                          <a:noFill/>
                          <a:ln>
                            <a:noFill/>
                          </a:ln>
                        </pic:spPr>
                      </pic:pic>
                    </a:graphicData>
                  </a:graphic>
                </wp:inline>
              </w:drawing>
            </w:r>
          </w:p>
          <w:p>
            <w:pPr>
              <w:bidi w:val="0"/>
              <w:rPr>
                <w:color w:val="auto"/>
              </w:rPr>
            </w:pPr>
            <w:r>
              <w:rPr>
                <w:rFonts w:hint="eastAsia"/>
                <w:b/>
                <w:bCs/>
                <w:color w:val="auto"/>
              </w:rPr>
              <w:t>图1-1本项目与新街矿区总体规划位置关系图</w:t>
            </w:r>
            <w:r>
              <w:rPr>
                <w:color w:val="auto"/>
              </w:rPr>
              <w:commentReference w:id="0"/>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83" w:hRule="atLeast"/>
          <w:jc w:val="center"/>
        </w:trPr>
        <w:tc>
          <w:tcPr>
            <w:tcW w:w="1339" w:type="dxa"/>
            <w:vAlign w:val="center"/>
          </w:tcPr>
          <w:p>
            <w:pPr>
              <w:autoSpaceDE w:val="0"/>
              <w:autoSpaceDN w:val="0"/>
              <w:adjustRightInd w:val="0"/>
              <w:snapToGrid w:val="0"/>
              <w:spacing w:line="240" w:lineRule="auto"/>
              <w:ind w:firstLine="0" w:firstLineChars="0"/>
              <w:jc w:val="center"/>
              <w:rPr>
                <w:color w:val="auto"/>
                <w:kern w:val="0"/>
              </w:rPr>
            </w:pPr>
            <w:r>
              <w:rPr>
                <w:color w:val="auto"/>
                <w:kern w:val="0"/>
              </w:rPr>
              <w:t>其他符合性分析</w:t>
            </w:r>
          </w:p>
        </w:tc>
        <w:tc>
          <w:tcPr>
            <w:tcW w:w="7531" w:type="dxa"/>
            <w:gridSpan w:val="4"/>
            <w:vAlign w:val="center"/>
          </w:tcPr>
          <w:p>
            <w:pPr>
              <w:ind w:firstLine="482"/>
              <w:rPr>
                <w:b/>
                <w:bCs/>
                <w:color w:val="auto"/>
              </w:rPr>
            </w:pPr>
            <w:r>
              <w:rPr>
                <w:rFonts w:hint="eastAsia"/>
                <w:b/>
                <w:bCs/>
                <w:color w:val="auto"/>
              </w:rPr>
              <w:t>一、产业政策符合性分析</w:t>
            </w:r>
          </w:p>
          <w:p>
            <w:pPr>
              <w:ind w:firstLine="480"/>
              <w:rPr>
                <w:color w:val="auto"/>
              </w:rPr>
            </w:pPr>
            <w:r>
              <w:rPr>
                <w:rFonts w:hint="eastAsia"/>
                <w:color w:val="auto"/>
              </w:rPr>
              <w:t>本项目为煤炭加工项目，经查阅《产业结构调整指导目录（2024年本）》，煤炭加工属于“其他煤炭加工”不属于限制和淘汰类，属于允许类，符合国家政策；本项目配套的天然气蒸汽锅炉</w:t>
            </w:r>
            <w:r>
              <w:rPr>
                <w:color w:val="auto"/>
              </w:rPr>
              <w:t>既不属于鼓励类，也不属于限制类和淘汰类，视为允许类项目。</w:t>
            </w:r>
            <w:commentRangeStart w:id="1"/>
            <w:r>
              <w:rPr>
                <w:rFonts w:hint="eastAsia"/>
                <w:color w:val="auto"/>
                <w:highlight w:val="none"/>
                <w:lang w:val="en-US" w:eastAsia="zh-CN"/>
              </w:rPr>
              <w:t>废水处理站项目属于鼓励类项目</w:t>
            </w:r>
            <w:commentRangeEnd w:id="1"/>
            <w:r>
              <w:rPr>
                <w:color w:val="auto"/>
              </w:rPr>
              <w:commentReference w:id="1"/>
            </w:r>
            <w:r>
              <w:rPr>
                <w:rFonts w:hint="eastAsia"/>
                <w:color w:val="auto"/>
                <w:highlight w:val="none"/>
                <w:lang w:val="en-US" w:eastAsia="zh-CN"/>
              </w:rPr>
              <w:t>，</w:t>
            </w:r>
            <w:r>
              <w:rPr>
                <w:rFonts w:hint="eastAsia"/>
                <w:color w:val="auto"/>
              </w:rPr>
              <w:t>属于“四十二、环境保护与资源节约综合利用；</w:t>
            </w:r>
            <w:r>
              <w:rPr>
                <w:rFonts w:hint="eastAsia"/>
                <w:color w:val="auto"/>
              </w:rPr>
              <w:t>10．工业“三废”循环利用”，</w:t>
            </w:r>
            <w:r>
              <w:rPr>
                <w:color w:val="auto"/>
              </w:rPr>
              <w:t>因此，</w:t>
            </w:r>
            <w:r>
              <w:rPr>
                <w:rFonts w:hint="eastAsia"/>
                <w:color w:val="auto"/>
              </w:rPr>
              <w:t>综上所述，</w:t>
            </w:r>
            <w:r>
              <w:rPr>
                <w:color w:val="auto"/>
              </w:rPr>
              <w:t>本工程的建设符合我国现行产业政策的相关要求。</w:t>
            </w:r>
          </w:p>
          <w:p>
            <w:pPr>
              <w:ind w:firstLine="482"/>
              <w:rPr>
                <w:b/>
                <w:bCs/>
                <w:color w:val="auto"/>
              </w:rPr>
            </w:pPr>
            <w:r>
              <w:rPr>
                <w:rFonts w:hint="eastAsia"/>
                <w:b/>
                <w:bCs/>
                <w:color w:val="auto"/>
              </w:rPr>
              <w:t>二、生态环境分区管控符合性分析</w:t>
            </w:r>
          </w:p>
          <w:p>
            <w:pPr>
              <w:ind w:firstLine="482"/>
              <w:rPr>
                <w:b/>
                <w:bCs/>
                <w:color w:val="auto"/>
              </w:rPr>
            </w:pPr>
            <w:r>
              <w:rPr>
                <w:rFonts w:hint="eastAsia"/>
                <w:b/>
                <w:bCs/>
                <w:color w:val="auto"/>
                <w:lang w:eastAsia="zh-CN"/>
              </w:rPr>
              <w:t>1.</w:t>
            </w:r>
            <w:r>
              <w:rPr>
                <w:rFonts w:hint="eastAsia"/>
                <w:b/>
                <w:bCs/>
                <w:color w:val="auto"/>
              </w:rPr>
              <w:t>生态保护红线</w:t>
            </w:r>
          </w:p>
          <w:p>
            <w:pPr>
              <w:ind w:firstLine="480"/>
              <w:rPr>
                <w:color w:val="auto"/>
              </w:rPr>
            </w:pPr>
            <w:r>
              <w:rPr>
                <w:rFonts w:hint="eastAsia"/>
                <w:color w:val="auto"/>
              </w:rPr>
              <w:t>《鄂尔多斯市生态环境分区管控动态更新成果（2023年版）》指出：“依据生态保护红线、环境质量底线、资源利用上线等调整情况，结合全市经济社会发展和生态环境保护实际，调整优先保护、重点管控、一般管控三类环境管控单元，分区分类实施精细化管控。优先保护单元突出系统性保护，保持空间格局基本稳定，部分单元结合生态保护红线予以调整；重点管控单元突出精细化管理，空间格局与环境治理格局相匹配，部分单元根据产业园区、矿区和城镇开发边界进行调整；一般管控单元保持基本稳定，为经济社会发展和生态环境保护预留空间。”调整后，全市按优先保护、重点管控、一般管控三大类划分为171个环境管控单元。其中，优先保护单元76个，面积占比64.35%；重点管控单元86个，面积占比28.10%；一般管控单元9个，面积占比7.56%。优先保护单元以生态环境保护优先为原则，依法禁止或限制大规模、高强度的工业开发和城镇建设，确保生态环境功能不降低。重点管控单元应不断提升资源利用效率，有针对性地加强污染物排放控制和环境风险防控，解决生态环境质量不达标、生态环境风险高等问题。一般管控单元主要落实生态环境保护基本要求。</w:t>
            </w:r>
          </w:p>
          <w:p>
            <w:pPr>
              <w:ind w:firstLine="480"/>
              <w:rPr>
                <w:color w:val="auto"/>
              </w:rPr>
            </w:pPr>
            <w:r>
              <w:rPr>
                <w:rFonts w:hint="eastAsia"/>
                <w:color w:val="auto"/>
              </w:rPr>
              <w:t>本项目位于内蒙古自治区鄂尔多斯市伊金霍洛旗札萨克镇新街区马秦壕，伊金霍洛旗新街马秦壕鑫源洗煤厂现有工业场地内建设，根据鄂尔多斯市环境管控单元图，项目位于伊金霍洛旗的重点管控单元（新街矿区）。选址不涉及自然保护区、风景名胜区、世界文化自然遗产、国家森林公园和地质公园、集中式饮用水水源地等禁止开发区域，因此项目选址不涉及生态保护红线，符合生态红线管控要求。</w:t>
            </w:r>
          </w:p>
          <w:p>
            <w:pPr>
              <w:ind w:firstLine="482"/>
              <w:rPr>
                <w:b/>
                <w:bCs/>
                <w:color w:val="auto"/>
              </w:rPr>
            </w:pPr>
            <w:r>
              <w:rPr>
                <w:rFonts w:hint="eastAsia"/>
                <w:b/>
                <w:bCs/>
                <w:color w:val="auto"/>
                <w:lang w:eastAsia="zh-CN"/>
              </w:rPr>
              <w:t>2.</w:t>
            </w:r>
            <w:r>
              <w:rPr>
                <w:rFonts w:hint="eastAsia"/>
                <w:b/>
                <w:bCs/>
                <w:color w:val="auto"/>
              </w:rPr>
              <w:t>环境质量底线</w:t>
            </w:r>
          </w:p>
          <w:p>
            <w:pPr>
              <w:ind w:firstLine="480"/>
              <w:rPr>
                <w:color w:val="auto"/>
              </w:rPr>
            </w:pPr>
            <w:r>
              <w:rPr>
                <w:rFonts w:hint="eastAsia"/>
                <w:color w:val="auto"/>
              </w:rPr>
              <w:t>根据内蒙古自治区生态环境厅2025年5月29日公布的《2024年内蒙古自治区生态环境状况公报》中的数据，鄂尔多斯市环境空气质量达标，项目所在区域为达标区。本项目特征污染物为TSP，监测数据引用《马秦壕煤矿配套混凝土搅拌站项目环境影响报告表》中环境空气质量现状监测结果，根据现状监测结果项目区TSP满足《环境空气质量标准》（GB3095-2012）二级标准及其修改单限值要求。本项目产生的废气、废水、噪声、固废在采取相应措施后，不会造成所在区域环境功能的改变，对环境影响较小。</w:t>
            </w:r>
          </w:p>
          <w:p>
            <w:pPr>
              <w:ind w:firstLine="480"/>
              <w:rPr>
                <w:color w:val="auto"/>
              </w:rPr>
            </w:pPr>
            <w:r>
              <w:rPr>
                <w:rFonts w:hint="eastAsia"/>
                <w:color w:val="auto"/>
              </w:rPr>
              <w:t>综上，本项目建设符合环境质量底线的要求，不会影响全区生态环境质量改善主要目标的实现。</w:t>
            </w:r>
          </w:p>
          <w:p>
            <w:pPr>
              <w:ind w:firstLine="482"/>
              <w:rPr>
                <w:b/>
                <w:bCs/>
                <w:color w:val="auto"/>
              </w:rPr>
            </w:pPr>
            <w:r>
              <w:rPr>
                <w:rFonts w:hint="eastAsia"/>
                <w:b/>
                <w:bCs/>
                <w:color w:val="auto"/>
                <w:lang w:eastAsia="zh-CN"/>
              </w:rPr>
              <w:t>3.</w:t>
            </w:r>
            <w:r>
              <w:rPr>
                <w:rFonts w:hint="eastAsia"/>
                <w:b/>
                <w:bCs/>
                <w:color w:val="auto"/>
              </w:rPr>
              <w:t>资源利用上线</w:t>
            </w:r>
          </w:p>
          <w:p>
            <w:pPr>
              <w:ind w:firstLine="480"/>
              <w:rPr>
                <w:color w:val="auto"/>
              </w:rPr>
            </w:pPr>
            <w:r>
              <w:rPr>
                <w:rFonts w:hint="eastAsia"/>
                <w:color w:val="auto"/>
              </w:rPr>
              <w:t>项目运营过程中消耗一定量的水、电等资源，本项目资源消耗量相对区域资源总量所占比例较少，符合资源利用上线要求。</w:t>
            </w:r>
          </w:p>
          <w:p>
            <w:pPr>
              <w:ind w:firstLine="482"/>
              <w:rPr>
                <w:b/>
                <w:bCs/>
                <w:color w:val="auto"/>
              </w:rPr>
            </w:pPr>
            <w:r>
              <w:rPr>
                <w:rFonts w:hint="eastAsia"/>
                <w:b/>
                <w:bCs/>
                <w:color w:val="auto"/>
                <w:lang w:eastAsia="zh-CN"/>
              </w:rPr>
              <w:t>4.</w:t>
            </w:r>
            <w:r>
              <w:rPr>
                <w:rFonts w:hint="eastAsia"/>
                <w:b/>
                <w:bCs/>
                <w:color w:val="auto"/>
              </w:rPr>
              <w:t>生态环境准入清单</w:t>
            </w:r>
          </w:p>
          <w:p>
            <w:pPr>
              <w:ind w:firstLine="480"/>
              <w:rPr>
                <w:color w:val="auto"/>
              </w:rPr>
            </w:pPr>
            <w:r>
              <w:rPr>
                <w:rFonts w:hint="eastAsia"/>
                <w:color w:val="auto"/>
              </w:rPr>
              <w:t>根据《鄂尔多斯市生态环境准入清单》，本项目位于内蒙古自治区鄂尔多斯市伊金霍洛旗札萨克镇新街区马秦壕，伊金霍洛旗新街马秦壕鑫源洗煤厂现有工业场地内建设，环境管控单元编码为ZH15062720007，环境管控单元名称为新街矿区，管控单元分类属于重点管控单元，与该单元的管控要求见下表1-3。</w:t>
            </w:r>
          </w:p>
          <w:p>
            <w:pPr>
              <w:spacing w:line="240" w:lineRule="auto"/>
              <w:ind w:firstLine="0" w:firstLineChars="0"/>
              <w:jc w:val="center"/>
              <w:rPr>
                <w:b/>
                <w:bCs/>
                <w:color w:val="auto"/>
              </w:rPr>
            </w:pPr>
            <w:r>
              <w:rPr>
                <w:rFonts w:hint="eastAsia"/>
                <w:b/>
                <w:bCs/>
                <w:color w:val="auto"/>
              </w:rPr>
              <w:t>表1-3单元管控要求相符性分析</w:t>
            </w:r>
          </w:p>
          <w:tbl>
            <w:tblPr>
              <w:tblStyle w:val="22"/>
              <w:tblW w:w="72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4"/>
              <w:gridCol w:w="2962"/>
              <w:gridCol w:w="2388"/>
              <w:gridCol w:w="9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3916" w:type="dxa"/>
                  <w:gridSpan w:val="2"/>
                  <w:vAlign w:val="center"/>
                </w:tcPr>
                <w:p>
                  <w:pPr>
                    <w:spacing w:line="240" w:lineRule="auto"/>
                    <w:ind w:firstLine="0" w:firstLineChars="0"/>
                    <w:rPr>
                      <w:color w:val="auto"/>
                    </w:rPr>
                  </w:pPr>
                  <w:r>
                    <w:rPr>
                      <w:rFonts w:hint="eastAsia"/>
                      <w:color w:val="auto"/>
                    </w:rPr>
                    <w:t>管控要求</w:t>
                  </w:r>
                </w:p>
              </w:tc>
              <w:tc>
                <w:tcPr>
                  <w:tcW w:w="2388" w:type="dxa"/>
                  <w:vAlign w:val="center"/>
                </w:tcPr>
                <w:p>
                  <w:pPr>
                    <w:spacing w:line="240" w:lineRule="auto"/>
                    <w:ind w:firstLine="0" w:firstLineChars="0"/>
                    <w:rPr>
                      <w:color w:val="auto"/>
                    </w:rPr>
                  </w:pPr>
                  <w:r>
                    <w:rPr>
                      <w:rFonts w:hint="eastAsia"/>
                      <w:color w:val="auto"/>
                    </w:rPr>
                    <w:t>本项目情况</w:t>
                  </w:r>
                </w:p>
              </w:tc>
              <w:tc>
                <w:tcPr>
                  <w:tcW w:w="994" w:type="dxa"/>
                  <w:vAlign w:val="center"/>
                </w:tcPr>
                <w:p>
                  <w:pPr>
                    <w:spacing w:line="240" w:lineRule="auto"/>
                    <w:ind w:firstLine="0" w:firstLineChars="0"/>
                    <w:rPr>
                      <w:color w:val="auto"/>
                    </w:rPr>
                  </w:pPr>
                  <w:r>
                    <w:rPr>
                      <w:rFonts w:hint="eastAsia"/>
                      <w:color w:val="auto"/>
                    </w:rPr>
                    <w:t>相符性分析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0" w:hRule="atLeast"/>
                <w:jc w:val="center"/>
              </w:trPr>
              <w:tc>
                <w:tcPr>
                  <w:tcW w:w="954" w:type="dxa"/>
                  <w:vAlign w:val="center"/>
                </w:tcPr>
                <w:p>
                  <w:pPr>
                    <w:spacing w:line="240" w:lineRule="auto"/>
                    <w:ind w:firstLine="0" w:firstLineChars="0"/>
                    <w:rPr>
                      <w:color w:val="auto"/>
                    </w:rPr>
                  </w:pPr>
                  <w:r>
                    <w:rPr>
                      <w:rFonts w:hint="eastAsia"/>
                      <w:color w:val="auto"/>
                    </w:rPr>
                    <w:t>资源利用效率要求</w:t>
                  </w:r>
                </w:p>
              </w:tc>
              <w:tc>
                <w:tcPr>
                  <w:tcW w:w="2962" w:type="dxa"/>
                  <w:vAlign w:val="center"/>
                </w:tcPr>
                <w:p>
                  <w:pPr>
                    <w:spacing w:line="240" w:lineRule="auto"/>
                    <w:ind w:firstLine="0" w:firstLineChars="0"/>
                    <w:rPr>
                      <w:color w:val="auto"/>
                    </w:rPr>
                  </w:pPr>
                  <w:r>
                    <w:rPr>
                      <w:rFonts w:hint="eastAsia"/>
                      <w:color w:val="auto"/>
                    </w:rPr>
                    <w:t>1.原煤入选率不低于75%；煤矸石综合利用率应达到75%以上；矿井水、疏干水应采用洁净化、资源化技术和工艺进行合理处置，处置率达到100%。</w:t>
                  </w:r>
                </w:p>
                <w:p>
                  <w:pPr>
                    <w:spacing w:line="240" w:lineRule="auto"/>
                    <w:ind w:firstLine="0" w:firstLineChars="0"/>
                    <w:rPr>
                      <w:color w:val="auto"/>
                    </w:rPr>
                  </w:pPr>
                  <w:r>
                    <w:rPr>
                      <w:rFonts w:hint="eastAsia"/>
                      <w:color w:val="auto"/>
                    </w:rPr>
                    <w:t>2.煤矿采区回采率、原煤入选率、煤矸石与共伴生矿产资源综合利用率等三项指标符合自然资源部发布的《煤炭资源合理开发利用“三率”指标要求（试行）》。</w:t>
                  </w:r>
                </w:p>
                <w:p>
                  <w:pPr>
                    <w:spacing w:line="240" w:lineRule="auto"/>
                    <w:ind w:firstLine="0" w:firstLineChars="0"/>
                    <w:rPr>
                      <w:color w:val="auto"/>
                    </w:rPr>
                  </w:pPr>
                  <w:r>
                    <w:rPr>
                      <w:rFonts w:hint="eastAsia"/>
                      <w:color w:val="auto"/>
                    </w:rPr>
                    <w:t>3.严格执行取用水总量控制制度，推进矿井水综合利用，煤炭矿区的补充用水、周边地区生产和生态用水应优先使用矿井水，加强洗煤废水循环利用。</w:t>
                  </w:r>
                </w:p>
                <w:p>
                  <w:pPr>
                    <w:spacing w:line="240" w:lineRule="auto"/>
                    <w:ind w:firstLine="0" w:firstLineChars="0"/>
                    <w:rPr>
                      <w:color w:val="auto"/>
                    </w:rPr>
                  </w:pPr>
                  <w:r>
                    <w:rPr>
                      <w:rFonts w:hint="eastAsia"/>
                      <w:color w:val="auto"/>
                    </w:rPr>
                    <w:t>4.限制勘查开发过程中对环境破坏较大的砂金等重砂矿物，原则上不再新设勘查项目，确需新立的必须通过环境影响评估，并征得环保部门同意。禁止勘查超贫磁铁。</w:t>
                  </w:r>
                </w:p>
              </w:tc>
              <w:tc>
                <w:tcPr>
                  <w:tcW w:w="2388" w:type="dxa"/>
                  <w:vAlign w:val="center"/>
                </w:tcPr>
                <w:p>
                  <w:pPr>
                    <w:spacing w:line="240" w:lineRule="auto"/>
                    <w:ind w:firstLine="0" w:firstLineChars="0"/>
                    <w:rPr>
                      <w:color w:val="auto"/>
                    </w:rPr>
                  </w:pPr>
                  <w:r>
                    <w:rPr>
                      <w:rFonts w:hint="eastAsia"/>
                      <w:color w:val="auto"/>
                    </w:rPr>
                    <w:t>1.本项目不进行原煤的洗选，仅对原料煤进行烘干处理，不涉及煤矸石综合利用，不涉及矿井水及疏干水的处理处置。</w:t>
                  </w:r>
                </w:p>
                <w:p>
                  <w:pPr>
                    <w:spacing w:line="240" w:lineRule="auto"/>
                    <w:ind w:firstLine="0" w:firstLineChars="0"/>
                    <w:rPr>
                      <w:color w:val="auto"/>
                    </w:rPr>
                  </w:pPr>
                  <w:r>
                    <w:rPr>
                      <w:rFonts w:hint="eastAsia"/>
                      <w:color w:val="auto"/>
                    </w:rPr>
                    <w:t>2.本项目不涉及煤矿采区回采、原煤入选、煤矸石与共伴生矿产资源综合利用。</w:t>
                  </w:r>
                </w:p>
                <w:p>
                  <w:pPr>
                    <w:spacing w:line="240" w:lineRule="auto"/>
                    <w:ind w:firstLine="0" w:firstLineChars="0"/>
                    <w:rPr>
                      <w:color w:val="auto"/>
                    </w:rPr>
                  </w:pPr>
                  <w:r>
                    <w:rPr>
                      <w:rFonts w:hint="eastAsia"/>
                      <w:color w:val="auto"/>
                    </w:rPr>
                    <w:t>3.本项目无新增劳动定员，无新增生活用水；生产用水包括成品堆场喷淋降尘用水、软化设备用水、设备反冲洗用水，软化设备用水依托厂区现有供水系统鄂尔多斯市圣圆水务集团有限责任公司矿井疏干水提供。成品堆场喷淋降尘用水、反冲洗用水由自建废水处理站出水提供。</w:t>
                  </w:r>
                </w:p>
                <w:p>
                  <w:pPr>
                    <w:spacing w:line="240" w:lineRule="auto"/>
                    <w:ind w:firstLine="0" w:firstLineChars="0"/>
                    <w:rPr>
                      <w:color w:val="auto"/>
                    </w:rPr>
                  </w:pPr>
                  <w:r>
                    <w:rPr>
                      <w:rFonts w:hint="eastAsia"/>
                      <w:color w:val="auto"/>
                    </w:rPr>
                    <w:t>4.本项目不涉及。</w:t>
                  </w:r>
                </w:p>
              </w:tc>
              <w:tc>
                <w:tcPr>
                  <w:tcW w:w="994" w:type="dxa"/>
                  <w:vAlign w:val="center"/>
                </w:tcPr>
                <w:p>
                  <w:pPr>
                    <w:spacing w:line="240" w:lineRule="auto"/>
                    <w:ind w:firstLine="0" w:firstLineChars="0"/>
                    <w:rPr>
                      <w:color w:val="auto"/>
                    </w:rPr>
                  </w:pPr>
                  <w:r>
                    <w:rPr>
                      <w:rFonts w:hint="eastAsia"/>
                      <w:color w:val="auto"/>
                    </w:rPr>
                    <w:t>符合</w:t>
                  </w:r>
                </w:p>
              </w:tc>
            </w:tr>
          </w:tbl>
          <w:p>
            <w:pPr>
              <w:ind w:firstLine="480"/>
              <w:rPr>
                <w:color w:val="auto"/>
              </w:rPr>
            </w:pPr>
            <w:r>
              <w:rPr>
                <w:rFonts w:hint="eastAsia"/>
                <w:color w:val="auto"/>
              </w:rPr>
              <w:t>因此本项目所在地满足鄂尔多斯市生态环境准入清单的要求。</w:t>
            </w:r>
          </w:p>
          <w:p>
            <w:pPr>
              <w:ind w:firstLine="0" w:firstLineChars="0"/>
              <w:rPr>
                <w:b/>
                <w:bCs/>
                <w:color w:val="auto"/>
              </w:rPr>
            </w:pPr>
            <w:r>
              <w:rPr>
                <w:color w:val="auto"/>
              </w:rPr>
              <w:drawing>
                <wp:inline distT="0" distB="0" distL="114300" distR="114300">
                  <wp:extent cx="4589780" cy="2928620"/>
                  <wp:effectExtent l="0" t="0" r="12700" b="12700"/>
                  <wp:docPr id="9"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15"/>
                          <pic:cNvPicPr>
                            <a:picLocks noChangeAspect="true"/>
                          </pic:cNvPicPr>
                        </pic:nvPicPr>
                        <pic:blipFill>
                          <a:blip r:embed="rId16"/>
                          <a:stretch>
                            <a:fillRect/>
                          </a:stretch>
                        </pic:blipFill>
                        <pic:spPr>
                          <a:xfrm>
                            <a:off x="0" y="0"/>
                            <a:ext cx="4589780" cy="2928620"/>
                          </a:xfrm>
                          <a:prstGeom prst="rect">
                            <a:avLst/>
                          </a:prstGeom>
                          <a:noFill/>
                          <a:ln>
                            <a:noFill/>
                          </a:ln>
                        </pic:spPr>
                      </pic:pic>
                    </a:graphicData>
                  </a:graphic>
                </wp:inline>
              </w:drawing>
            </w:r>
          </w:p>
          <w:p>
            <w:pPr>
              <w:ind w:firstLine="0" w:firstLineChars="0"/>
              <w:rPr>
                <w:b/>
                <w:bCs/>
                <w:color w:val="auto"/>
              </w:rPr>
            </w:pPr>
            <w:r>
              <w:rPr>
                <w:color w:val="auto"/>
              </w:rPr>
              <w:drawing>
                <wp:inline distT="0" distB="0" distL="114300" distR="114300">
                  <wp:extent cx="4580255" cy="3205480"/>
                  <wp:effectExtent l="0" t="0" r="6985" b="10160"/>
                  <wp:docPr id="10"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16"/>
                          <pic:cNvPicPr>
                            <a:picLocks noChangeAspect="true"/>
                          </pic:cNvPicPr>
                        </pic:nvPicPr>
                        <pic:blipFill>
                          <a:blip r:embed="rId17"/>
                          <a:stretch>
                            <a:fillRect/>
                          </a:stretch>
                        </pic:blipFill>
                        <pic:spPr>
                          <a:xfrm>
                            <a:off x="0" y="0"/>
                            <a:ext cx="4580255" cy="3205480"/>
                          </a:xfrm>
                          <a:prstGeom prst="rect">
                            <a:avLst/>
                          </a:prstGeom>
                          <a:noFill/>
                          <a:ln>
                            <a:noFill/>
                          </a:ln>
                        </pic:spPr>
                      </pic:pic>
                    </a:graphicData>
                  </a:graphic>
                </wp:inline>
              </w:drawing>
            </w:r>
          </w:p>
          <w:p>
            <w:pPr>
              <w:ind w:firstLine="0" w:firstLineChars="0"/>
              <w:rPr>
                <w:b/>
                <w:bCs/>
                <w:color w:val="auto"/>
              </w:rPr>
            </w:pPr>
            <w:r>
              <w:rPr>
                <w:color w:val="auto"/>
              </w:rPr>
              <w:drawing>
                <wp:inline distT="0" distB="0" distL="114300" distR="114300">
                  <wp:extent cx="4649470" cy="3240405"/>
                  <wp:effectExtent l="0" t="0" r="13970" b="5715"/>
                  <wp:docPr id="31"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17"/>
                          <pic:cNvPicPr>
                            <a:picLocks noChangeAspect="true"/>
                          </pic:cNvPicPr>
                        </pic:nvPicPr>
                        <pic:blipFill>
                          <a:blip r:embed="rId18"/>
                          <a:stretch>
                            <a:fillRect/>
                          </a:stretch>
                        </pic:blipFill>
                        <pic:spPr>
                          <a:xfrm>
                            <a:off x="0" y="0"/>
                            <a:ext cx="4649470" cy="3240405"/>
                          </a:xfrm>
                          <a:prstGeom prst="rect">
                            <a:avLst/>
                          </a:prstGeom>
                          <a:noFill/>
                          <a:ln>
                            <a:noFill/>
                          </a:ln>
                        </pic:spPr>
                      </pic:pic>
                    </a:graphicData>
                  </a:graphic>
                </wp:inline>
              </w:drawing>
            </w:r>
          </w:p>
          <w:p>
            <w:pPr>
              <w:ind w:firstLine="0" w:firstLineChars="0"/>
              <w:jc w:val="center"/>
              <w:rPr>
                <w:b/>
                <w:bCs/>
                <w:color w:val="auto"/>
              </w:rPr>
            </w:pPr>
            <w:r>
              <w:rPr>
                <w:rFonts w:hint="eastAsia"/>
                <w:b/>
                <w:bCs/>
                <w:color w:val="auto"/>
              </w:rPr>
              <w:t>图1-1管控单元查询结果</w:t>
            </w:r>
          </w:p>
          <w:p>
            <w:pPr>
              <w:ind w:firstLine="0" w:firstLineChars="0"/>
              <w:jc w:val="center"/>
              <w:rPr>
                <w:b/>
                <w:bCs/>
                <w:color w:val="auto"/>
                <w:sz w:val="22"/>
                <w:szCs w:val="22"/>
              </w:rPr>
            </w:pPr>
            <w:r>
              <w:rPr>
                <w:rFonts w:hint="eastAsia"/>
                <w:b/>
                <w:bCs/>
                <w:color w:val="auto"/>
                <w:sz w:val="22"/>
                <w:szCs w:val="22"/>
              </w:rPr>
              <w:t>三、项目与《鄂尔多斯市空气质量持续改善行动实施方案》符合性分析</w:t>
            </w:r>
          </w:p>
          <w:p>
            <w:pPr>
              <w:pStyle w:val="32"/>
              <w:ind w:firstLine="0" w:firstLineChars="0"/>
              <w:jc w:val="center"/>
              <w:rPr>
                <w:color w:val="auto"/>
                <w:sz w:val="22"/>
                <w:szCs w:val="22"/>
              </w:rPr>
            </w:pPr>
            <w:r>
              <w:rPr>
                <w:rFonts w:hint="eastAsia"/>
                <w:b/>
                <w:bCs/>
                <w:color w:val="auto"/>
                <w:sz w:val="22"/>
                <w:szCs w:val="22"/>
              </w:rPr>
              <w:t>表1-4与《鄂尔多斯市空气质量持续改善行动实施方案》符合性分析</w:t>
            </w:r>
          </w:p>
          <w:tbl>
            <w:tblPr>
              <w:tblStyle w:val="22"/>
              <w:tblW w:w="73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1"/>
              <w:gridCol w:w="2885"/>
              <w:gridCol w:w="2815"/>
              <w:gridCol w:w="8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dxa"/>
                </w:tcPr>
                <w:p>
                  <w:pPr>
                    <w:pStyle w:val="32"/>
                    <w:spacing w:line="240" w:lineRule="auto"/>
                    <w:ind w:firstLine="0" w:firstLineChars="0"/>
                    <w:jc w:val="center"/>
                    <w:rPr>
                      <w:color w:val="auto"/>
                      <w:sz w:val="21"/>
                      <w:szCs w:val="21"/>
                    </w:rPr>
                  </w:pPr>
                  <w:r>
                    <w:rPr>
                      <w:rFonts w:hint="eastAsia"/>
                      <w:color w:val="auto"/>
                      <w:sz w:val="21"/>
                      <w:szCs w:val="21"/>
                    </w:rPr>
                    <w:t>序号</w:t>
                  </w:r>
                </w:p>
              </w:tc>
              <w:tc>
                <w:tcPr>
                  <w:tcW w:w="2885" w:type="dxa"/>
                </w:tcPr>
                <w:p>
                  <w:pPr>
                    <w:pStyle w:val="32"/>
                    <w:spacing w:line="240" w:lineRule="auto"/>
                    <w:ind w:firstLine="0" w:firstLineChars="0"/>
                    <w:jc w:val="center"/>
                    <w:rPr>
                      <w:color w:val="auto"/>
                      <w:sz w:val="21"/>
                      <w:szCs w:val="21"/>
                    </w:rPr>
                  </w:pPr>
                  <w:r>
                    <w:rPr>
                      <w:rFonts w:hint="eastAsia"/>
                      <w:color w:val="auto"/>
                      <w:sz w:val="21"/>
                      <w:szCs w:val="21"/>
                    </w:rPr>
                    <w:t>要求</w:t>
                  </w:r>
                </w:p>
              </w:tc>
              <w:tc>
                <w:tcPr>
                  <w:tcW w:w="2815" w:type="dxa"/>
                </w:tcPr>
                <w:p>
                  <w:pPr>
                    <w:pStyle w:val="32"/>
                    <w:spacing w:line="240" w:lineRule="auto"/>
                    <w:ind w:firstLine="0" w:firstLineChars="0"/>
                    <w:jc w:val="center"/>
                    <w:rPr>
                      <w:color w:val="auto"/>
                      <w:sz w:val="21"/>
                      <w:szCs w:val="21"/>
                    </w:rPr>
                  </w:pPr>
                  <w:r>
                    <w:rPr>
                      <w:rFonts w:hint="eastAsia"/>
                      <w:color w:val="auto"/>
                      <w:sz w:val="21"/>
                      <w:szCs w:val="21"/>
                    </w:rPr>
                    <w:t>项目情况</w:t>
                  </w:r>
                </w:p>
              </w:tc>
              <w:tc>
                <w:tcPr>
                  <w:tcW w:w="854" w:type="dxa"/>
                </w:tcPr>
                <w:p>
                  <w:pPr>
                    <w:pStyle w:val="32"/>
                    <w:spacing w:line="240" w:lineRule="auto"/>
                    <w:ind w:firstLine="0" w:firstLineChars="0"/>
                    <w:jc w:val="center"/>
                    <w:rPr>
                      <w:color w:val="auto"/>
                      <w:sz w:val="21"/>
                      <w:szCs w:val="21"/>
                    </w:rPr>
                  </w:pPr>
                  <w:r>
                    <w:rPr>
                      <w:rFonts w:hint="eastAsia"/>
                      <w:color w:val="auto"/>
                      <w:sz w:val="21"/>
                      <w:szCs w:val="21"/>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5" w:type="dxa"/>
                  <w:gridSpan w:val="4"/>
                </w:tcPr>
                <w:p>
                  <w:pPr>
                    <w:pStyle w:val="32"/>
                    <w:spacing w:line="240" w:lineRule="auto"/>
                    <w:ind w:firstLine="0" w:firstLineChars="0"/>
                    <w:jc w:val="center"/>
                    <w:rPr>
                      <w:color w:val="auto"/>
                      <w:sz w:val="21"/>
                      <w:szCs w:val="21"/>
                    </w:rPr>
                  </w:pPr>
                  <w:r>
                    <w:rPr>
                      <w:rFonts w:hint="eastAsia"/>
                      <w:color w:val="auto"/>
                      <w:sz w:val="21"/>
                      <w:szCs w:val="21"/>
                    </w:rPr>
                    <w:t>一、总体要求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dxa"/>
                </w:tcPr>
                <w:p>
                  <w:pPr>
                    <w:pStyle w:val="32"/>
                    <w:spacing w:line="240" w:lineRule="auto"/>
                    <w:ind w:firstLine="0" w:firstLineChars="0"/>
                    <w:jc w:val="center"/>
                    <w:rPr>
                      <w:color w:val="auto"/>
                      <w:sz w:val="21"/>
                      <w:szCs w:val="21"/>
                    </w:rPr>
                  </w:pPr>
                  <w:r>
                    <w:rPr>
                      <w:rFonts w:hint="eastAsia"/>
                      <w:color w:val="auto"/>
                      <w:sz w:val="21"/>
                      <w:szCs w:val="21"/>
                    </w:rPr>
                    <w:t>1</w:t>
                  </w:r>
                </w:p>
              </w:tc>
              <w:tc>
                <w:tcPr>
                  <w:tcW w:w="2885" w:type="dxa"/>
                </w:tcPr>
                <w:p>
                  <w:pPr>
                    <w:pStyle w:val="32"/>
                    <w:spacing w:line="240" w:lineRule="auto"/>
                    <w:ind w:firstLine="0" w:firstLineChars="0"/>
                    <w:rPr>
                      <w:color w:val="auto"/>
                      <w:sz w:val="21"/>
                      <w:szCs w:val="21"/>
                    </w:rPr>
                  </w:pPr>
                  <w:r>
                    <w:rPr>
                      <w:rFonts w:hint="eastAsia"/>
                      <w:color w:val="auto"/>
                      <w:sz w:val="21"/>
                      <w:szCs w:val="21"/>
                    </w:rPr>
                    <w:t>重点区域。空气质量持续改善行动实施分区管理，准格尔旗、达拉特旗、棋盘井蒙西地区为重点区域。</w:t>
                  </w:r>
                </w:p>
              </w:tc>
              <w:tc>
                <w:tcPr>
                  <w:tcW w:w="2815" w:type="dxa"/>
                </w:tcPr>
                <w:p>
                  <w:pPr>
                    <w:pStyle w:val="32"/>
                    <w:spacing w:line="240" w:lineRule="auto"/>
                    <w:ind w:firstLine="0" w:firstLineChars="0"/>
                    <w:jc w:val="center"/>
                    <w:rPr>
                      <w:color w:val="auto"/>
                      <w:sz w:val="21"/>
                      <w:szCs w:val="21"/>
                    </w:rPr>
                  </w:pPr>
                  <w:r>
                    <w:rPr>
                      <w:rFonts w:hint="eastAsia"/>
                      <w:color w:val="auto"/>
                      <w:sz w:val="21"/>
                      <w:szCs w:val="21"/>
                    </w:rPr>
                    <w:t>本项目位于伊金霍洛旗，不属于重点区域。</w:t>
                  </w:r>
                </w:p>
              </w:tc>
              <w:tc>
                <w:tcPr>
                  <w:tcW w:w="854" w:type="dxa"/>
                </w:tcPr>
                <w:p>
                  <w:pPr>
                    <w:pStyle w:val="32"/>
                    <w:spacing w:line="240" w:lineRule="auto"/>
                    <w:ind w:firstLine="0" w:firstLineChars="0"/>
                    <w:jc w:val="center"/>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61" w:type="dxa"/>
                </w:tcPr>
                <w:p>
                  <w:pPr>
                    <w:pStyle w:val="32"/>
                    <w:spacing w:line="240" w:lineRule="auto"/>
                    <w:ind w:firstLine="0" w:firstLineChars="0"/>
                    <w:jc w:val="center"/>
                    <w:rPr>
                      <w:color w:val="auto"/>
                      <w:sz w:val="21"/>
                      <w:szCs w:val="21"/>
                    </w:rPr>
                  </w:pPr>
                  <w:r>
                    <w:rPr>
                      <w:rFonts w:hint="eastAsia"/>
                      <w:color w:val="auto"/>
                      <w:sz w:val="21"/>
                      <w:szCs w:val="21"/>
                    </w:rPr>
                    <w:t>2</w:t>
                  </w:r>
                </w:p>
              </w:tc>
              <w:tc>
                <w:tcPr>
                  <w:tcW w:w="2885" w:type="dxa"/>
                </w:tcPr>
                <w:p>
                  <w:pPr>
                    <w:pStyle w:val="32"/>
                    <w:spacing w:line="240" w:lineRule="auto"/>
                    <w:ind w:firstLine="0" w:firstLineChars="0"/>
                    <w:rPr>
                      <w:color w:val="auto"/>
                      <w:sz w:val="21"/>
                      <w:szCs w:val="21"/>
                    </w:rPr>
                  </w:pPr>
                  <w:r>
                    <w:rPr>
                      <w:rFonts w:hint="eastAsia"/>
                      <w:color w:val="auto"/>
                      <w:sz w:val="21"/>
                      <w:szCs w:val="21"/>
                    </w:rPr>
                    <w:t>主要目标。到2025年，全市细颗粒物（PM</w:t>
                  </w:r>
                  <w:r>
                    <w:rPr>
                      <w:rFonts w:hint="eastAsia"/>
                      <w:color w:val="auto"/>
                      <w:sz w:val="21"/>
                      <w:szCs w:val="21"/>
                      <w:vertAlign w:val="subscript"/>
                    </w:rPr>
                    <w:t>2.5</w:t>
                  </w:r>
                  <w:r>
                    <w:rPr>
                      <w:rFonts w:hint="eastAsia"/>
                      <w:color w:val="auto"/>
                      <w:sz w:val="21"/>
                      <w:szCs w:val="21"/>
                    </w:rPr>
                    <w:t>）年均浓度保持在22微克/立方米以下，优良天数比率达到89.9%以上，重度及以上污染天数比率控制在0%以内；氮氧化物、挥发性有机物排放总量较2020年分别下降10%以上；鄂托克高新技术产业开发区棋盘井产业园细颗粒物（PM</w:t>
                  </w:r>
                  <w:r>
                    <w:rPr>
                      <w:rFonts w:hint="eastAsia"/>
                      <w:color w:val="auto"/>
                      <w:sz w:val="21"/>
                      <w:szCs w:val="21"/>
                      <w:vertAlign w:val="subscript"/>
                    </w:rPr>
                    <w:t>2.5</w:t>
                  </w:r>
                  <w:r>
                    <w:rPr>
                      <w:rFonts w:hint="eastAsia"/>
                      <w:color w:val="auto"/>
                      <w:sz w:val="21"/>
                      <w:szCs w:val="21"/>
                    </w:rPr>
                    <w:t>）、可吸入颗粒物（PM</w:t>
                  </w:r>
                  <w:r>
                    <w:rPr>
                      <w:rFonts w:hint="eastAsia"/>
                      <w:color w:val="auto"/>
                      <w:sz w:val="21"/>
                      <w:szCs w:val="21"/>
                      <w:vertAlign w:val="subscript"/>
                    </w:rPr>
                    <w:t>10</w:t>
                  </w:r>
                  <w:r>
                    <w:rPr>
                      <w:rFonts w:hint="eastAsia"/>
                      <w:color w:val="auto"/>
                      <w:sz w:val="21"/>
                      <w:szCs w:val="21"/>
                    </w:rPr>
                    <w:t>）年均浓度分别控制在25微克/立方米、81微克/立方米以下，重度污染天数比率不高于0.3%，优良天数比率达到84.1%以上；鄂托克高新技术产业开发区蒙西产业园细颗粒物（PM</w:t>
                  </w:r>
                  <w:r>
                    <w:rPr>
                      <w:rFonts w:hint="eastAsia"/>
                      <w:color w:val="auto"/>
                      <w:sz w:val="21"/>
                      <w:szCs w:val="21"/>
                      <w:vertAlign w:val="subscript"/>
                    </w:rPr>
                    <w:t>2.5</w:t>
                  </w:r>
                  <w:r>
                    <w:rPr>
                      <w:rFonts w:hint="eastAsia"/>
                      <w:color w:val="auto"/>
                      <w:sz w:val="21"/>
                      <w:szCs w:val="21"/>
                    </w:rPr>
                    <w:t>）、可吸入颗粒物（PM</w:t>
                  </w:r>
                  <w:r>
                    <w:rPr>
                      <w:rFonts w:hint="eastAsia"/>
                      <w:color w:val="auto"/>
                      <w:sz w:val="21"/>
                      <w:szCs w:val="21"/>
                      <w:vertAlign w:val="subscript"/>
                    </w:rPr>
                    <w:t>10</w:t>
                  </w:r>
                  <w:r>
                    <w:rPr>
                      <w:rFonts w:hint="eastAsia"/>
                      <w:color w:val="auto"/>
                      <w:sz w:val="21"/>
                      <w:szCs w:val="21"/>
                    </w:rPr>
                    <w:t>）年均浓度分别控制在33微克/立方米、75微克/立方米以下，重度污染天数比率不高于0.3%，优良天数比率达到85.9%以上。</w:t>
                  </w:r>
                </w:p>
              </w:tc>
              <w:tc>
                <w:tcPr>
                  <w:tcW w:w="2815" w:type="dxa"/>
                </w:tcPr>
                <w:p>
                  <w:pPr>
                    <w:pStyle w:val="32"/>
                    <w:spacing w:line="240" w:lineRule="auto"/>
                    <w:ind w:firstLine="0" w:firstLineChars="0"/>
                    <w:rPr>
                      <w:color w:val="auto"/>
                      <w:sz w:val="21"/>
                      <w:szCs w:val="21"/>
                    </w:rPr>
                  </w:pPr>
                  <w:r>
                    <w:rPr>
                      <w:rFonts w:hint="eastAsia"/>
                      <w:color w:val="auto"/>
                      <w:sz w:val="21"/>
                      <w:szCs w:val="21"/>
                    </w:rPr>
                    <w:t>根据内蒙古自治区生态环境厅2025年6月4日发布的《2024年内蒙古自治区生态环境状况公报》数据，鄂尔多斯市区域基本污染物各污染物平均浓度均优于《环境空气质量标准》（GB3095-2012）中二级标准限值。</w:t>
                  </w:r>
                </w:p>
              </w:tc>
              <w:tc>
                <w:tcPr>
                  <w:tcW w:w="854" w:type="dxa"/>
                </w:tcPr>
                <w:p>
                  <w:pPr>
                    <w:pStyle w:val="32"/>
                    <w:spacing w:line="240" w:lineRule="auto"/>
                    <w:ind w:firstLine="0" w:firstLineChars="0"/>
                    <w:jc w:val="center"/>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5" w:type="dxa"/>
                  <w:gridSpan w:val="4"/>
                </w:tcPr>
                <w:p>
                  <w:pPr>
                    <w:pStyle w:val="32"/>
                    <w:spacing w:line="240" w:lineRule="auto"/>
                    <w:ind w:firstLine="0" w:firstLineChars="0"/>
                    <w:jc w:val="center"/>
                    <w:rPr>
                      <w:color w:val="auto"/>
                      <w:sz w:val="21"/>
                      <w:szCs w:val="21"/>
                    </w:rPr>
                  </w:pPr>
                  <w:r>
                    <w:rPr>
                      <w:rFonts w:hint="eastAsia"/>
                      <w:color w:val="auto"/>
                      <w:sz w:val="21"/>
                      <w:szCs w:val="21"/>
                    </w:rPr>
                    <w:t>二、加快推进发展方式绿色转型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dxa"/>
                </w:tcPr>
                <w:p>
                  <w:pPr>
                    <w:pStyle w:val="32"/>
                    <w:spacing w:line="240" w:lineRule="auto"/>
                    <w:ind w:firstLine="0" w:firstLineChars="0"/>
                    <w:jc w:val="center"/>
                    <w:rPr>
                      <w:color w:val="auto"/>
                      <w:sz w:val="21"/>
                      <w:szCs w:val="21"/>
                    </w:rPr>
                  </w:pPr>
                  <w:r>
                    <w:rPr>
                      <w:rFonts w:hint="eastAsia"/>
                      <w:color w:val="auto"/>
                      <w:sz w:val="21"/>
                      <w:szCs w:val="21"/>
                    </w:rPr>
                    <w:t>1</w:t>
                  </w:r>
                </w:p>
              </w:tc>
              <w:tc>
                <w:tcPr>
                  <w:tcW w:w="2885" w:type="dxa"/>
                </w:tcPr>
                <w:p>
                  <w:pPr>
                    <w:pStyle w:val="32"/>
                    <w:spacing w:line="240" w:lineRule="auto"/>
                    <w:ind w:firstLine="0" w:firstLineChars="0"/>
                    <w:rPr>
                      <w:color w:val="auto"/>
                      <w:sz w:val="21"/>
                      <w:szCs w:val="21"/>
                    </w:rPr>
                  </w:pPr>
                  <w:r>
                    <w:rPr>
                      <w:rFonts w:hint="eastAsia"/>
                      <w:color w:val="auto"/>
                      <w:sz w:val="21"/>
                      <w:szCs w:val="21"/>
                    </w:rPr>
                    <w:t>调整优化产业结构和布局。优化绿色生产空间，严格落实生态环境“三线一单”空间管控机制，合理布局工业集聚区，构建聚焦主业、错位竞争、分布集中的产业发展格局。新改扩建项目严格落实国家和自治区产业规划、产业政策、生态环境分区管控、环境影响评价、节能审查、产能置换、碳达峰等要求，原则上采用清洁运输方式。严格执行国家和自治区关于禁止核准、备案产能严重过剩行业新增产能的要求，及时分解落实国家和自治区下达我市落后产能淘汰任务。严禁新增钢铁产能，推行钢铁、焦化、烧结一体化布局，推动焦化产业链向下游高附加值精细化工产品延伸。除电力和热力生产供应行业以外，其它涉及产能置换的项目，被置换产能及配套设施关停后，新建项目方可投产。落实水泥常态化错峰生产。（牵头单位：市发展和改革委员会、市工业和信息化局、市生态环境局，配合单位：市能源局；本方案各项工作均需各旗区人民政府落实）</w:t>
                  </w:r>
                </w:p>
              </w:tc>
              <w:tc>
                <w:tcPr>
                  <w:tcW w:w="2815" w:type="dxa"/>
                </w:tcPr>
                <w:p>
                  <w:pPr>
                    <w:pStyle w:val="32"/>
                    <w:spacing w:line="240" w:lineRule="auto"/>
                    <w:ind w:firstLine="0" w:firstLineChars="0"/>
                    <w:rPr>
                      <w:color w:val="auto"/>
                      <w:sz w:val="21"/>
                      <w:szCs w:val="21"/>
                    </w:rPr>
                  </w:pPr>
                  <w:r>
                    <w:rPr>
                      <w:rFonts w:hint="eastAsia"/>
                      <w:color w:val="auto"/>
                      <w:sz w:val="21"/>
                      <w:szCs w:val="21"/>
                    </w:rPr>
                    <w:t>根据上述分析，本项目符合“三线一单”空间管控机制，本项目符合产业政策、生态环境分区管控、环境影响评价等要求。本项目原料及产品的运输均采用全封闭输送皮带进行运输。</w:t>
                  </w:r>
                </w:p>
              </w:tc>
              <w:tc>
                <w:tcPr>
                  <w:tcW w:w="854" w:type="dxa"/>
                </w:tcPr>
                <w:p>
                  <w:pPr>
                    <w:pStyle w:val="32"/>
                    <w:spacing w:line="240" w:lineRule="auto"/>
                    <w:ind w:firstLine="0" w:firstLineChars="0"/>
                    <w:jc w:val="center"/>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dxa"/>
                </w:tcPr>
                <w:p>
                  <w:pPr>
                    <w:pStyle w:val="32"/>
                    <w:spacing w:line="240" w:lineRule="auto"/>
                    <w:ind w:firstLine="0" w:firstLineChars="0"/>
                    <w:jc w:val="center"/>
                    <w:rPr>
                      <w:color w:val="auto"/>
                      <w:sz w:val="21"/>
                      <w:szCs w:val="21"/>
                    </w:rPr>
                  </w:pPr>
                  <w:r>
                    <w:rPr>
                      <w:rFonts w:hint="eastAsia"/>
                      <w:color w:val="auto"/>
                      <w:sz w:val="21"/>
                      <w:szCs w:val="21"/>
                    </w:rPr>
                    <w:t>2</w:t>
                  </w:r>
                </w:p>
              </w:tc>
              <w:tc>
                <w:tcPr>
                  <w:tcW w:w="2885" w:type="dxa"/>
                </w:tcPr>
                <w:p>
                  <w:pPr>
                    <w:pStyle w:val="32"/>
                    <w:spacing w:line="240" w:lineRule="auto"/>
                    <w:ind w:firstLine="0" w:firstLineChars="0"/>
                    <w:rPr>
                      <w:color w:val="auto"/>
                      <w:sz w:val="21"/>
                      <w:szCs w:val="21"/>
                    </w:rPr>
                  </w:pPr>
                  <w:r>
                    <w:rPr>
                      <w:rFonts w:hint="eastAsia"/>
                      <w:color w:val="auto"/>
                      <w:sz w:val="21"/>
                      <w:szCs w:val="21"/>
                    </w:rPr>
                    <w:t>健全绿色低碳产业体系。聚焦构筑世界级现代煤化工产业，促进煤化工产业高端化、多元化、低碳化发展，建成产业门类最全、产业链条最长、产业体系最完整、产业技术最先进、产业规模最大的世界级现代煤化工产业集聚区。培育绿色创新发展动能，大力发展新一代信息技术、新材料、高端装备、新能源汽车等新兴产业，加快形成一批战略性新兴产业集群。打造“中国典范、世界标杆”的零碳产业园，推动零碳标准体系尽快上升为国家标准。推进重点行业绿色化升级，加快实施化工、电力、建材、钢铁等行业绿色化改造。推动传统产业生态化发展，支持传统产业工艺升级、产品升级、链条升级，推动传统产业向高端化、绿色化发展。加快推进鄂托克低碳示范园区建设，率先探索走出一条高载能产业低碳发展新路子。加大监督检查力度，严防“散乱污”企业反弹。（牵头单位：市发展和改革委员会，配合单位：市工业和信息化局、市生态环境局、市能源局）</w:t>
                  </w:r>
                </w:p>
              </w:tc>
              <w:tc>
                <w:tcPr>
                  <w:tcW w:w="2815" w:type="dxa"/>
                </w:tcPr>
                <w:p>
                  <w:pPr>
                    <w:pStyle w:val="32"/>
                    <w:spacing w:line="240" w:lineRule="auto"/>
                    <w:ind w:firstLine="0" w:firstLineChars="0"/>
                    <w:rPr>
                      <w:color w:val="auto"/>
                      <w:sz w:val="21"/>
                      <w:szCs w:val="21"/>
                    </w:rPr>
                  </w:pPr>
                  <w:r>
                    <w:rPr>
                      <w:rFonts w:hint="eastAsia"/>
                      <w:color w:val="auto"/>
                      <w:sz w:val="21"/>
                      <w:szCs w:val="21"/>
                    </w:rPr>
                    <w:t>本项目为煤炭烘干项目，本项目的实施可推动煤炭资源由传统燃料、优质原料转变，对实现碳达峰碳中和目标、促进国民经济可持续发展具有重大战略意义。</w:t>
                  </w:r>
                </w:p>
              </w:tc>
              <w:tc>
                <w:tcPr>
                  <w:tcW w:w="854" w:type="dxa"/>
                </w:tcPr>
                <w:p>
                  <w:pPr>
                    <w:pStyle w:val="32"/>
                    <w:spacing w:line="240" w:lineRule="auto"/>
                    <w:ind w:firstLine="0" w:firstLineChars="0"/>
                    <w:jc w:val="center"/>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61" w:type="dxa"/>
                </w:tcPr>
                <w:p>
                  <w:pPr>
                    <w:pStyle w:val="32"/>
                    <w:spacing w:line="240" w:lineRule="auto"/>
                    <w:ind w:firstLine="0" w:firstLineChars="0"/>
                    <w:jc w:val="center"/>
                    <w:rPr>
                      <w:color w:val="auto"/>
                      <w:sz w:val="21"/>
                      <w:szCs w:val="21"/>
                    </w:rPr>
                  </w:pPr>
                  <w:r>
                    <w:rPr>
                      <w:rFonts w:hint="eastAsia"/>
                      <w:color w:val="auto"/>
                      <w:sz w:val="21"/>
                      <w:szCs w:val="21"/>
                    </w:rPr>
                    <w:t>3</w:t>
                  </w:r>
                </w:p>
              </w:tc>
              <w:tc>
                <w:tcPr>
                  <w:tcW w:w="2885" w:type="dxa"/>
                </w:tcPr>
                <w:p>
                  <w:pPr>
                    <w:pStyle w:val="32"/>
                    <w:spacing w:line="240" w:lineRule="auto"/>
                    <w:ind w:firstLine="0" w:firstLineChars="0"/>
                    <w:rPr>
                      <w:color w:val="auto"/>
                      <w:sz w:val="21"/>
                      <w:szCs w:val="21"/>
                    </w:rPr>
                  </w:pPr>
                  <w:r>
                    <w:rPr>
                      <w:rFonts w:hint="eastAsia"/>
                      <w:color w:val="auto"/>
                      <w:sz w:val="21"/>
                      <w:szCs w:val="21"/>
                    </w:rPr>
                    <w:t>实施低（无）挥发性有机物含量原辅材料替代。严把项目环境影响评价准入关，严格执行挥发性有机物含量限值标准，控制生产和使用高挥发性有机物含量涂料、油墨、胶粘剂、清洗剂等建设项目。对现有使用企业制定实施低（无）挥发性有机物含量原辅材料替代计划。房屋建筑和市政工程推广使用低（无）挥发性有机物含量涂料和胶粘剂。（牵头单位：市生态环境局、市工业和信息化局、市住房和城乡建设局，配合单位：市公安局）</w:t>
                  </w:r>
                </w:p>
              </w:tc>
              <w:tc>
                <w:tcPr>
                  <w:tcW w:w="2815" w:type="dxa"/>
                </w:tcPr>
                <w:p>
                  <w:pPr>
                    <w:pStyle w:val="32"/>
                    <w:spacing w:line="240" w:lineRule="auto"/>
                    <w:ind w:firstLine="0" w:firstLineChars="0"/>
                    <w:jc w:val="center"/>
                    <w:rPr>
                      <w:color w:val="auto"/>
                      <w:sz w:val="21"/>
                      <w:szCs w:val="21"/>
                    </w:rPr>
                  </w:pPr>
                  <w:r>
                    <w:rPr>
                      <w:rFonts w:hint="eastAsia"/>
                      <w:color w:val="auto"/>
                      <w:sz w:val="21"/>
                      <w:szCs w:val="21"/>
                    </w:rPr>
                    <w:t>本项目不涉及挥发性有机物原辅材料。</w:t>
                  </w:r>
                </w:p>
              </w:tc>
              <w:tc>
                <w:tcPr>
                  <w:tcW w:w="854" w:type="dxa"/>
                </w:tcPr>
                <w:p>
                  <w:pPr>
                    <w:pStyle w:val="32"/>
                    <w:spacing w:line="240" w:lineRule="auto"/>
                    <w:ind w:firstLine="0" w:firstLineChars="0"/>
                    <w:jc w:val="center"/>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5" w:type="dxa"/>
                  <w:gridSpan w:val="4"/>
                </w:tcPr>
                <w:p>
                  <w:pPr>
                    <w:pStyle w:val="32"/>
                    <w:spacing w:line="240" w:lineRule="auto"/>
                    <w:ind w:firstLine="0" w:firstLineChars="0"/>
                    <w:jc w:val="center"/>
                    <w:rPr>
                      <w:color w:val="auto"/>
                      <w:sz w:val="21"/>
                      <w:szCs w:val="21"/>
                    </w:rPr>
                  </w:pPr>
                  <w:r>
                    <w:rPr>
                      <w:rFonts w:hint="eastAsia"/>
                      <w:color w:val="auto"/>
                      <w:sz w:val="21"/>
                      <w:szCs w:val="21"/>
                    </w:rPr>
                    <w:t>三、大力推进煤炭清洁高效利用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dxa"/>
                </w:tcPr>
                <w:p>
                  <w:pPr>
                    <w:pStyle w:val="32"/>
                    <w:spacing w:line="240" w:lineRule="auto"/>
                    <w:ind w:firstLine="0" w:firstLineChars="0"/>
                    <w:jc w:val="center"/>
                    <w:rPr>
                      <w:color w:val="auto"/>
                      <w:sz w:val="21"/>
                      <w:szCs w:val="21"/>
                    </w:rPr>
                  </w:pPr>
                  <w:r>
                    <w:rPr>
                      <w:rFonts w:hint="eastAsia"/>
                      <w:color w:val="auto"/>
                      <w:sz w:val="21"/>
                      <w:szCs w:val="21"/>
                    </w:rPr>
                    <w:t>1</w:t>
                  </w:r>
                </w:p>
              </w:tc>
              <w:tc>
                <w:tcPr>
                  <w:tcW w:w="2885" w:type="dxa"/>
                </w:tcPr>
                <w:p>
                  <w:pPr>
                    <w:pStyle w:val="32"/>
                    <w:spacing w:line="240" w:lineRule="auto"/>
                    <w:ind w:firstLine="0" w:firstLineChars="0"/>
                    <w:rPr>
                      <w:color w:val="auto"/>
                      <w:sz w:val="21"/>
                      <w:szCs w:val="21"/>
                    </w:rPr>
                  </w:pPr>
                  <w:r>
                    <w:rPr>
                      <w:rFonts w:hint="eastAsia"/>
                      <w:color w:val="auto"/>
                      <w:sz w:val="21"/>
                      <w:szCs w:val="21"/>
                    </w:rPr>
                    <w:t>调整能源结构。围绕构筑世界级新能源产业，推进“风光氢储车”五大产业全链条发展，加快建成世界最大的光伏产业基地、最大的储能产业基地、最大的氢能产业基地、最大的新能源重卡基地。统筹煤炭资源开发与生态环境保护协调发展，科学释放优质煤炭产能，合理控制煤炭消费增长；推进生产生活用能清洁低碳化，提升清洁能源利用水平；进一步提高天然气消费比重，加快推进城乡燃气管网建设，拓展天然气安全应用范围。到2025年，新能源装机规模大幅度增加，完成自治区下达的可再生能源电力消纳任务。（牵头单位：市能源局、市发展和改革委员会，配合单位：市工业和信息化局、市生态环境局）</w:t>
                  </w:r>
                </w:p>
              </w:tc>
              <w:tc>
                <w:tcPr>
                  <w:tcW w:w="2815" w:type="dxa"/>
                </w:tcPr>
                <w:p>
                  <w:pPr>
                    <w:pStyle w:val="32"/>
                    <w:spacing w:line="240" w:lineRule="auto"/>
                    <w:ind w:firstLine="0" w:firstLineChars="0"/>
                    <w:jc w:val="center"/>
                    <w:rPr>
                      <w:color w:val="auto"/>
                      <w:sz w:val="21"/>
                      <w:szCs w:val="21"/>
                    </w:rPr>
                  </w:pPr>
                  <w:r>
                    <w:rPr>
                      <w:rFonts w:hint="eastAsia"/>
                      <w:color w:val="auto"/>
                      <w:sz w:val="21"/>
                      <w:szCs w:val="21"/>
                    </w:rPr>
                    <w:t>本项目使用的烘干热源采用天然气，属于清洁能源。</w:t>
                  </w:r>
                </w:p>
              </w:tc>
              <w:tc>
                <w:tcPr>
                  <w:tcW w:w="854" w:type="dxa"/>
                </w:tcPr>
                <w:p>
                  <w:pPr>
                    <w:pStyle w:val="32"/>
                    <w:spacing w:line="240" w:lineRule="auto"/>
                    <w:ind w:firstLine="0" w:firstLineChars="0"/>
                    <w:jc w:val="center"/>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dxa"/>
                </w:tcPr>
                <w:p>
                  <w:pPr>
                    <w:pStyle w:val="32"/>
                    <w:spacing w:line="240" w:lineRule="auto"/>
                    <w:ind w:firstLine="0" w:firstLineChars="0"/>
                    <w:jc w:val="center"/>
                    <w:rPr>
                      <w:color w:val="auto"/>
                      <w:sz w:val="21"/>
                      <w:szCs w:val="21"/>
                    </w:rPr>
                  </w:pPr>
                  <w:r>
                    <w:rPr>
                      <w:rFonts w:hint="eastAsia"/>
                      <w:color w:val="auto"/>
                      <w:sz w:val="21"/>
                      <w:szCs w:val="21"/>
                    </w:rPr>
                    <w:t>2</w:t>
                  </w:r>
                </w:p>
              </w:tc>
              <w:tc>
                <w:tcPr>
                  <w:tcW w:w="2885" w:type="dxa"/>
                </w:tcPr>
                <w:p>
                  <w:pPr>
                    <w:pStyle w:val="32"/>
                    <w:spacing w:line="240" w:lineRule="auto"/>
                    <w:ind w:firstLine="0" w:firstLineChars="0"/>
                    <w:rPr>
                      <w:color w:val="auto"/>
                      <w:sz w:val="21"/>
                      <w:szCs w:val="21"/>
                    </w:rPr>
                  </w:pPr>
                  <w:r>
                    <w:rPr>
                      <w:rFonts w:hint="eastAsia"/>
                      <w:color w:val="auto"/>
                      <w:sz w:val="21"/>
                      <w:szCs w:val="21"/>
                    </w:rPr>
                    <w:t>积极开展燃煤锅炉关停整合。旗区及以上城市建成区、工业园区原则上不再新建35蒸吨/小时及以下燃煤锅炉，其它地区原则上不再新建10蒸吨/小时以下燃煤锅炉。在保证电力、热力供应前提下，加快推进30万千瓦及以上热电联产机组供热半径15公里范围内燃煤供热锅炉关停整合。2025年底前，中心城区（东胜区、康巴什区）淘汰现役35蒸吨/小时（不含）以下燃煤锅炉。（牵头单位：市住房和城乡建设局、市生态环境局，配合单位：市发展和改革委员会、市工业和信息化局、市能源局、市市场监督管理局）</w:t>
                  </w:r>
                </w:p>
              </w:tc>
              <w:tc>
                <w:tcPr>
                  <w:tcW w:w="2815" w:type="dxa"/>
                </w:tcPr>
                <w:p>
                  <w:pPr>
                    <w:pStyle w:val="32"/>
                    <w:spacing w:line="240" w:lineRule="auto"/>
                    <w:ind w:firstLine="0" w:firstLineChars="0"/>
                    <w:rPr>
                      <w:color w:val="auto"/>
                      <w:sz w:val="21"/>
                      <w:szCs w:val="21"/>
                    </w:rPr>
                  </w:pPr>
                  <w:r>
                    <w:rPr>
                      <w:rFonts w:hint="eastAsia"/>
                      <w:color w:val="auto"/>
                      <w:sz w:val="21"/>
                      <w:szCs w:val="21"/>
                    </w:rPr>
                    <w:t>本项目采用的烘干热源采用天然气蒸汽锅炉，不使用燃煤锅炉。</w:t>
                  </w:r>
                </w:p>
              </w:tc>
              <w:tc>
                <w:tcPr>
                  <w:tcW w:w="854" w:type="dxa"/>
                </w:tcPr>
                <w:p>
                  <w:pPr>
                    <w:pStyle w:val="32"/>
                    <w:spacing w:line="240" w:lineRule="auto"/>
                    <w:ind w:firstLine="0" w:firstLineChars="0"/>
                    <w:jc w:val="center"/>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61" w:type="dxa"/>
                </w:tcPr>
                <w:p>
                  <w:pPr>
                    <w:pStyle w:val="32"/>
                    <w:spacing w:line="240" w:lineRule="auto"/>
                    <w:ind w:firstLine="0" w:firstLineChars="0"/>
                    <w:jc w:val="center"/>
                    <w:rPr>
                      <w:color w:val="auto"/>
                      <w:sz w:val="21"/>
                      <w:szCs w:val="21"/>
                    </w:rPr>
                  </w:pPr>
                  <w:r>
                    <w:rPr>
                      <w:rFonts w:hint="eastAsia"/>
                      <w:color w:val="auto"/>
                      <w:sz w:val="21"/>
                      <w:szCs w:val="21"/>
                    </w:rPr>
                    <w:t>3</w:t>
                  </w:r>
                </w:p>
              </w:tc>
              <w:tc>
                <w:tcPr>
                  <w:tcW w:w="2885" w:type="dxa"/>
                </w:tcPr>
                <w:p>
                  <w:pPr>
                    <w:pStyle w:val="32"/>
                    <w:spacing w:line="240" w:lineRule="auto"/>
                    <w:ind w:firstLine="0" w:firstLineChars="0"/>
                    <w:rPr>
                      <w:color w:val="auto"/>
                      <w:sz w:val="21"/>
                      <w:szCs w:val="21"/>
                    </w:rPr>
                  </w:pPr>
                  <w:r>
                    <w:rPr>
                      <w:rFonts w:hint="eastAsia"/>
                      <w:color w:val="auto"/>
                      <w:sz w:val="21"/>
                      <w:szCs w:val="21"/>
                    </w:rPr>
                    <w:t>实施工业炉窑清洁能源替代。围绕钢铁、化工、有色冶金、建材等重点领域，加大余热、余压、余气回收利用，能源管控中心、能量系统梯级优化等高效节能技术改造力度。淘汰并禁止新建不符合产业政策的燃料类煤气发生炉，推进燃料类煤气发生炉充分利用工业余热、电厂热力、可再生能源、天然气、煤层气、脱硫后焦炉煤气等清洁低碳能源替代。开展多层次多领域减污降碳协同创新试点工作，推进减污降碳协同创新试点城市和鄂托克高新技术产业开发区、苏里格经济开发区减污降碳协同创新试点园区建设。鼓励园区、企业、矿区绿电替代燃煤，开展煤化工与绿电制氢、制氧深度耦合示范，加大工业余热利用。（牵头单位：市生态环境局、市发展和改革委员会、市工业和信息化局，配合单位：市能源局）</w:t>
                  </w:r>
                </w:p>
              </w:tc>
              <w:tc>
                <w:tcPr>
                  <w:tcW w:w="2815" w:type="dxa"/>
                </w:tcPr>
                <w:p>
                  <w:pPr>
                    <w:pStyle w:val="32"/>
                    <w:spacing w:line="240" w:lineRule="auto"/>
                    <w:ind w:firstLine="0" w:firstLineChars="0"/>
                    <w:rPr>
                      <w:color w:val="auto"/>
                      <w:sz w:val="21"/>
                      <w:szCs w:val="21"/>
                    </w:rPr>
                  </w:pPr>
                  <w:r>
                    <w:rPr>
                      <w:rFonts w:hint="eastAsia"/>
                      <w:color w:val="auto"/>
                      <w:sz w:val="21"/>
                      <w:szCs w:val="21"/>
                    </w:rPr>
                    <w:t>本项目不属于钢铁、化工、有色冶金、建材等重点领域，本项目为煤炭烘干项目，本项目的实施可推动煤炭资源由传统燃料向清洁燃料、优质原料转变，对实现碳达峰碳中和目标、促进国民经济可持续发展具有重大战略意义。设置1台18t/h的天然气蒸汽锅炉，属于</w:t>
                  </w:r>
                  <w:r>
                    <w:rPr>
                      <w:rFonts w:hint="eastAsia"/>
                      <w:color w:val="auto"/>
                      <w:sz w:val="21"/>
                      <w:szCs w:val="21"/>
                      <w:lang w:val="en-US" w:eastAsia="zh-CN"/>
                    </w:rPr>
                    <w:t>清洁</w:t>
                  </w:r>
                  <w:r>
                    <w:rPr>
                      <w:rFonts w:hint="eastAsia"/>
                      <w:color w:val="auto"/>
                      <w:sz w:val="21"/>
                      <w:szCs w:val="21"/>
                    </w:rPr>
                    <w:t>燃料。</w:t>
                  </w:r>
                </w:p>
              </w:tc>
              <w:tc>
                <w:tcPr>
                  <w:tcW w:w="854" w:type="dxa"/>
                </w:tcPr>
                <w:p>
                  <w:pPr>
                    <w:pStyle w:val="32"/>
                    <w:spacing w:line="240" w:lineRule="auto"/>
                    <w:ind w:firstLine="0" w:firstLineChars="0"/>
                    <w:jc w:val="center"/>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dxa"/>
                </w:tcPr>
                <w:p>
                  <w:pPr>
                    <w:pStyle w:val="32"/>
                    <w:spacing w:line="240" w:lineRule="auto"/>
                    <w:ind w:firstLine="0" w:firstLineChars="0"/>
                    <w:jc w:val="center"/>
                    <w:rPr>
                      <w:color w:val="auto"/>
                      <w:sz w:val="21"/>
                      <w:szCs w:val="21"/>
                    </w:rPr>
                  </w:pPr>
                  <w:r>
                    <w:rPr>
                      <w:rFonts w:hint="eastAsia"/>
                      <w:color w:val="auto"/>
                      <w:sz w:val="21"/>
                      <w:szCs w:val="21"/>
                    </w:rPr>
                    <w:t>4</w:t>
                  </w:r>
                </w:p>
              </w:tc>
              <w:tc>
                <w:tcPr>
                  <w:tcW w:w="2885" w:type="dxa"/>
                </w:tcPr>
                <w:p>
                  <w:pPr>
                    <w:pStyle w:val="32"/>
                    <w:spacing w:line="240" w:lineRule="auto"/>
                    <w:ind w:firstLine="0" w:firstLineChars="0"/>
                    <w:rPr>
                      <w:color w:val="auto"/>
                      <w:sz w:val="21"/>
                      <w:szCs w:val="21"/>
                    </w:rPr>
                  </w:pPr>
                  <w:r>
                    <w:rPr>
                      <w:rFonts w:hint="eastAsia"/>
                      <w:color w:val="auto"/>
                      <w:sz w:val="21"/>
                      <w:szCs w:val="21"/>
                    </w:rPr>
                    <w:t>持续推进清洁取暖改造。积极争取北方地区冬季清洁供暖项目试点城市，因地制宜、积极稳妥推进清洁取暖改造，确保群众安全温暖过冬。全面实施城中村、城边村燃煤散烧综合治理三年攻坚行动，到2025年底前，达拉特旗、准格尔旗、棋盘井蒙西地区等重点区域城中村、</w:t>
                  </w:r>
                  <w:r>
                    <w:rPr>
                      <w:rFonts w:hint="eastAsia"/>
                      <w:color w:val="auto"/>
                      <w:sz w:val="21"/>
                      <w:szCs w:val="21"/>
                      <w:lang w:eastAsia="zh-CN"/>
                    </w:rPr>
                    <w:t>城乡接合部</w:t>
                  </w:r>
                  <w:r>
                    <w:rPr>
                      <w:rFonts w:hint="eastAsia"/>
                      <w:color w:val="auto"/>
                      <w:sz w:val="21"/>
                      <w:szCs w:val="21"/>
                    </w:rPr>
                    <w:t>散煤基本清零；东胜区、康巴什区、伊金霍洛旗、乌审旗、杭锦旗、鄂托克旗、鄂托克前旗分三年完成改造任务，其中，2025年前完成总任务量的30%以上、2026年前完成总任务量的60%以上、2027年前完成全部任务。积极争取中央、自治区大气污染防治专项资金，稳步推进达拉特旗、伊金霍洛旗、乌审旗、杭锦旗、鄂托克旗、鄂托克前旗农村牧区清洁取暖项目。各旗区要依法将整体完成清洁取暖改造的地区划定为高污染燃料禁燃区，防止散煤复烧。对暂未实施清洁取暖的地区，强化商品煤质量监督与管理。（牵头单位：市住房和城乡建设局、市生态环境局、市能源局，配合单位：市财政局、市农牧局、市市场监督管理局）</w:t>
                  </w:r>
                </w:p>
              </w:tc>
              <w:tc>
                <w:tcPr>
                  <w:tcW w:w="2815" w:type="dxa"/>
                </w:tcPr>
                <w:p>
                  <w:pPr>
                    <w:pStyle w:val="32"/>
                    <w:spacing w:line="240" w:lineRule="auto"/>
                    <w:ind w:firstLine="0" w:firstLineChars="0"/>
                    <w:rPr>
                      <w:color w:val="auto"/>
                      <w:sz w:val="21"/>
                      <w:szCs w:val="21"/>
                    </w:rPr>
                  </w:pPr>
                  <w:r>
                    <w:rPr>
                      <w:rFonts w:hint="eastAsia"/>
                      <w:color w:val="auto"/>
                      <w:sz w:val="21"/>
                      <w:szCs w:val="21"/>
                    </w:rPr>
                    <w:t>本项目生活办公区供暖依托厂区内现有电锅炉供暖，干燥车间无需供暖，煤炭烘干采用天然气蒸汽锅炉进行供热。均采用清洁能源供热。</w:t>
                  </w:r>
                </w:p>
              </w:tc>
              <w:tc>
                <w:tcPr>
                  <w:tcW w:w="854" w:type="dxa"/>
                </w:tcPr>
                <w:p>
                  <w:pPr>
                    <w:pStyle w:val="32"/>
                    <w:spacing w:line="240" w:lineRule="auto"/>
                    <w:ind w:firstLine="0" w:firstLineChars="0"/>
                    <w:jc w:val="center"/>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5" w:type="dxa"/>
                  <w:gridSpan w:val="4"/>
                </w:tcPr>
                <w:p>
                  <w:pPr>
                    <w:pStyle w:val="32"/>
                    <w:spacing w:line="240" w:lineRule="auto"/>
                    <w:ind w:firstLine="0" w:firstLineChars="0"/>
                    <w:jc w:val="center"/>
                    <w:rPr>
                      <w:color w:val="auto"/>
                      <w:sz w:val="21"/>
                      <w:szCs w:val="21"/>
                    </w:rPr>
                  </w:pPr>
                  <w:r>
                    <w:rPr>
                      <w:rFonts w:hint="eastAsia"/>
                      <w:color w:val="auto"/>
                      <w:sz w:val="21"/>
                      <w:szCs w:val="21"/>
                    </w:rPr>
                    <w:t>四、建设绿色交通运输体系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dxa"/>
                </w:tcPr>
                <w:p>
                  <w:pPr>
                    <w:pStyle w:val="32"/>
                    <w:spacing w:line="240" w:lineRule="auto"/>
                    <w:ind w:firstLine="0" w:firstLineChars="0"/>
                    <w:jc w:val="center"/>
                    <w:rPr>
                      <w:color w:val="auto"/>
                      <w:sz w:val="21"/>
                      <w:szCs w:val="21"/>
                    </w:rPr>
                  </w:pPr>
                  <w:r>
                    <w:rPr>
                      <w:rFonts w:hint="eastAsia"/>
                      <w:color w:val="auto"/>
                      <w:sz w:val="21"/>
                      <w:szCs w:val="21"/>
                    </w:rPr>
                    <w:t>1</w:t>
                  </w:r>
                </w:p>
              </w:tc>
              <w:tc>
                <w:tcPr>
                  <w:tcW w:w="2885" w:type="dxa"/>
                </w:tcPr>
                <w:p>
                  <w:pPr>
                    <w:pStyle w:val="32"/>
                    <w:spacing w:line="240" w:lineRule="auto"/>
                    <w:ind w:firstLine="0" w:firstLineChars="0"/>
                    <w:rPr>
                      <w:color w:val="auto"/>
                      <w:sz w:val="21"/>
                      <w:szCs w:val="21"/>
                    </w:rPr>
                  </w:pPr>
                  <w:r>
                    <w:rPr>
                      <w:rFonts w:hint="eastAsia"/>
                      <w:color w:val="auto"/>
                      <w:sz w:val="21"/>
                      <w:szCs w:val="21"/>
                    </w:rPr>
                    <w:t>优化货物运输结构。加快构建煤炭物流“多式联运”体系，继续提升浩吉铁路运量。加强全市铁路配套设施建设和宣传力度，进一步优化装车点布局，鼓励煤矿新建坑口铁路，改进装车条件，加强集装箱运输设备建设，优化运输组织。加快培育一批多式联运“一单制”企业，推动大宗货物运输“公转铁”“散改集”。新建及迁建大宗货物年运量150万吨以上的物流园区、工矿企业和储煤基地，原则上接入铁路专用线或管道。到2025年，全市铁路运货量比2020年增长10%左右，运距500公里以上跨省（区、市）外运的煤炭和焦炭采用铁路运输比率力争达到90%。</w:t>
                  </w:r>
                </w:p>
                <w:p>
                  <w:pPr>
                    <w:pStyle w:val="32"/>
                    <w:spacing w:line="240" w:lineRule="auto"/>
                    <w:ind w:firstLine="0" w:firstLineChars="0"/>
                    <w:rPr>
                      <w:color w:val="auto"/>
                      <w:sz w:val="21"/>
                      <w:szCs w:val="21"/>
                    </w:rPr>
                  </w:pPr>
                  <w:r>
                    <w:rPr>
                      <w:rFonts w:hint="eastAsia"/>
                      <w:color w:val="auto"/>
                      <w:sz w:val="21"/>
                      <w:szCs w:val="21"/>
                    </w:rPr>
                    <w:t>鼓励各地结合道路货运行业发展实际、区域应用场景和充换电站、加氢站规划布局，通过培育壮大现代交通物流领军企业，推动新能源营运货车在城市物流配送、厂矿封闭区域、口岸监管区、干线物流等场景的应用。探索推行“新能源重卡+数字陆港+散改集”运输模式和“车电分离”的商业模式。依托矿产资源口岸跨境运输场景，推广应用自动驾驶编组运输、无人驾驶集卡等新技术新模式。（牵头单位：市交通运输局、市发展和改革委员会，配合单位：市能源局、市铁路民航中心、市自然资源局）</w:t>
                  </w:r>
                </w:p>
              </w:tc>
              <w:tc>
                <w:tcPr>
                  <w:tcW w:w="2815" w:type="dxa"/>
                </w:tcPr>
                <w:p>
                  <w:pPr>
                    <w:pStyle w:val="32"/>
                    <w:spacing w:line="240" w:lineRule="auto"/>
                    <w:ind w:firstLine="0" w:firstLineChars="0"/>
                    <w:rPr>
                      <w:color w:val="auto"/>
                      <w:sz w:val="21"/>
                      <w:szCs w:val="21"/>
                    </w:rPr>
                  </w:pPr>
                  <w:r>
                    <w:rPr>
                      <w:rFonts w:hint="eastAsia"/>
                      <w:color w:val="auto"/>
                      <w:sz w:val="21"/>
                      <w:szCs w:val="21"/>
                    </w:rPr>
                    <w:t>本项目厂区内的原料、产品运输均采用全封闭输送皮带进行输送，场外运输采用卡车运输，采用苫布遮盖，减少运输扬尘。</w:t>
                  </w:r>
                </w:p>
              </w:tc>
              <w:tc>
                <w:tcPr>
                  <w:tcW w:w="854" w:type="dxa"/>
                </w:tcPr>
                <w:p>
                  <w:pPr>
                    <w:pStyle w:val="32"/>
                    <w:spacing w:line="240" w:lineRule="auto"/>
                    <w:ind w:firstLine="0" w:firstLineChars="0"/>
                    <w:jc w:val="center"/>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61" w:type="dxa"/>
                </w:tcPr>
                <w:p>
                  <w:pPr>
                    <w:pStyle w:val="32"/>
                    <w:spacing w:line="240" w:lineRule="auto"/>
                    <w:ind w:firstLine="0" w:firstLineChars="0"/>
                    <w:jc w:val="center"/>
                    <w:rPr>
                      <w:color w:val="auto"/>
                      <w:sz w:val="21"/>
                      <w:szCs w:val="21"/>
                    </w:rPr>
                  </w:pPr>
                  <w:r>
                    <w:rPr>
                      <w:rFonts w:hint="eastAsia"/>
                      <w:color w:val="auto"/>
                      <w:sz w:val="21"/>
                      <w:szCs w:val="21"/>
                    </w:rPr>
                    <w:t>2</w:t>
                  </w:r>
                </w:p>
              </w:tc>
              <w:tc>
                <w:tcPr>
                  <w:tcW w:w="2885" w:type="dxa"/>
                </w:tcPr>
                <w:p>
                  <w:pPr>
                    <w:pStyle w:val="32"/>
                    <w:spacing w:line="240" w:lineRule="auto"/>
                    <w:ind w:firstLine="0" w:firstLineChars="0"/>
                    <w:rPr>
                      <w:color w:val="auto"/>
                      <w:sz w:val="21"/>
                      <w:szCs w:val="21"/>
                    </w:rPr>
                  </w:pPr>
                  <w:r>
                    <w:rPr>
                      <w:rFonts w:hint="eastAsia"/>
                      <w:color w:val="auto"/>
                      <w:sz w:val="21"/>
                      <w:szCs w:val="21"/>
                    </w:rPr>
                    <w:t>加大老旧车辆淘汰更新。强化柴油货车监督管理，加大国四及以下排放标准的营运重型牵引车、危化品运输车以及“油改气”老旧营运燃气车辆的淘汰力度，限制外省（区、市）燃料种类为汽油的国三及以下排放标准的汽车和燃料种类为柴油的国四以下排放标准的汽车转入我市，严格控制不合规的车辆过户、年检、营运，力争2025年前实现国三柴油老旧重卡全面退出，国四柴油老旧重卡淘汰率达到40%以上。（牵头单位：市交通运输局、市公安局，配合单位：市商务局、市生态环境局）</w:t>
                  </w:r>
                </w:p>
              </w:tc>
              <w:tc>
                <w:tcPr>
                  <w:tcW w:w="2815" w:type="dxa"/>
                  <w:vMerge w:val="restart"/>
                </w:tcPr>
                <w:p>
                  <w:pPr>
                    <w:pStyle w:val="32"/>
                    <w:spacing w:line="240" w:lineRule="auto"/>
                    <w:ind w:firstLine="0" w:firstLineChars="0"/>
                    <w:rPr>
                      <w:color w:val="auto"/>
                      <w:sz w:val="21"/>
                      <w:szCs w:val="21"/>
                    </w:rPr>
                  </w:pPr>
                  <w:r>
                    <w:rPr>
                      <w:rFonts w:hint="eastAsia"/>
                      <w:color w:val="auto"/>
                      <w:sz w:val="21"/>
                      <w:szCs w:val="21"/>
                    </w:rPr>
                    <w:t>本项目运输车辆符合国家标准的柴油，运营过程中加强装载机的维护保养，可确保尾气排放满足《非道路移动机械用柴油机排气污染物排放限值及测量方法（中国第三、四阶段）》（GB20891-2014）及修改单中相关要求。</w:t>
                  </w:r>
                </w:p>
              </w:tc>
              <w:tc>
                <w:tcPr>
                  <w:tcW w:w="854" w:type="dxa"/>
                </w:tcPr>
                <w:p>
                  <w:pPr>
                    <w:pStyle w:val="32"/>
                    <w:spacing w:line="240" w:lineRule="auto"/>
                    <w:ind w:firstLine="0" w:firstLineChars="0"/>
                    <w:jc w:val="center"/>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dxa"/>
                </w:tcPr>
                <w:p>
                  <w:pPr>
                    <w:pStyle w:val="32"/>
                    <w:spacing w:line="240" w:lineRule="auto"/>
                    <w:ind w:firstLine="0" w:firstLineChars="0"/>
                    <w:jc w:val="center"/>
                    <w:rPr>
                      <w:color w:val="auto"/>
                      <w:sz w:val="21"/>
                      <w:szCs w:val="21"/>
                    </w:rPr>
                  </w:pPr>
                  <w:r>
                    <w:rPr>
                      <w:rFonts w:hint="eastAsia"/>
                      <w:color w:val="auto"/>
                      <w:sz w:val="21"/>
                      <w:szCs w:val="21"/>
                    </w:rPr>
                    <w:t>3</w:t>
                  </w:r>
                </w:p>
              </w:tc>
              <w:tc>
                <w:tcPr>
                  <w:tcW w:w="2885" w:type="dxa"/>
                </w:tcPr>
                <w:p>
                  <w:pPr>
                    <w:pStyle w:val="32"/>
                    <w:spacing w:line="240" w:lineRule="auto"/>
                    <w:ind w:firstLine="0" w:firstLineChars="0"/>
                    <w:rPr>
                      <w:color w:val="auto"/>
                      <w:sz w:val="21"/>
                      <w:szCs w:val="21"/>
                    </w:rPr>
                  </w:pPr>
                  <w:r>
                    <w:rPr>
                      <w:rFonts w:hint="eastAsia"/>
                      <w:color w:val="auto"/>
                      <w:sz w:val="21"/>
                      <w:szCs w:val="21"/>
                    </w:rPr>
                    <w:t>强化非道路移动源综合治理。优化非道路移动机械保有结构，推进铁路货场、物流园区、机场、工矿企业内部作业车辆和机械新能源更新改造，鼓励新增或更新的3吨以下叉车基本实现新能源化。加强非道路移动机械排放监管，持续开展非道路移动机械编码登记，常态化开展非道路移动机械排放抽测，各旗区尾气排放年度抽检抽测比例不低于20%。到2025年，完成城区工程机械环保编码登记三级联网，基本消除非道路移动机械“冒黑烟”现象，基本淘汰第一阶段及以下排放标准的非道路移动机械。（牵头单位：市生态环境局，配合单位：市公安局、市发展和改革委员会、市工业和信息化局、市交通运输局、市市场监督管理局、市能源局）</w:t>
                  </w:r>
                </w:p>
              </w:tc>
              <w:tc>
                <w:tcPr>
                  <w:tcW w:w="2815" w:type="dxa"/>
                  <w:vMerge w:val="continue"/>
                </w:tcPr>
                <w:p>
                  <w:pPr>
                    <w:pStyle w:val="32"/>
                    <w:spacing w:line="240" w:lineRule="auto"/>
                    <w:ind w:firstLine="0" w:firstLineChars="0"/>
                    <w:jc w:val="center"/>
                    <w:rPr>
                      <w:color w:val="auto"/>
                      <w:sz w:val="21"/>
                      <w:szCs w:val="21"/>
                    </w:rPr>
                  </w:pPr>
                </w:p>
              </w:tc>
              <w:tc>
                <w:tcPr>
                  <w:tcW w:w="854" w:type="dxa"/>
                </w:tcPr>
                <w:p>
                  <w:pPr>
                    <w:pStyle w:val="32"/>
                    <w:spacing w:line="240" w:lineRule="auto"/>
                    <w:ind w:firstLine="0" w:firstLineChars="0"/>
                    <w:jc w:val="center"/>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dxa"/>
                </w:tcPr>
                <w:p>
                  <w:pPr>
                    <w:pStyle w:val="32"/>
                    <w:spacing w:line="240" w:lineRule="auto"/>
                    <w:ind w:firstLine="0" w:firstLineChars="0"/>
                    <w:jc w:val="center"/>
                    <w:rPr>
                      <w:color w:val="auto"/>
                      <w:sz w:val="21"/>
                      <w:szCs w:val="21"/>
                    </w:rPr>
                  </w:pPr>
                  <w:r>
                    <w:rPr>
                      <w:rFonts w:hint="eastAsia"/>
                      <w:color w:val="auto"/>
                      <w:sz w:val="21"/>
                      <w:szCs w:val="21"/>
                    </w:rPr>
                    <w:t>4</w:t>
                  </w:r>
                </w:p>
              </w:tc>
              <w:tc>
                <w:tcPr>
                  <w:tcW w:w="2885" w:type="dxa"/>
                </w:tcPr>
                <w:p>
                  <w:pPr>
                    <w:pStyle w:val="32"/>
                    <w:spacing w:line="240" w:lineRule="auto"/>
                    <w:ind w:firstLine="0" w:firstLineChars="0"/>
                    <w:rPr>
                      <w:color w:val="auto"/>
                      <w:sz w:val="21"/>
                      <w:szCs w:val="21"/>
                    </w:rPr>
                  </w:pPr>
                  <w:r>
                    <w:rPr>
                      <w:rFonts w:hint="eastAsia"/>
                      <w:color w:val="auto"/>
                      <w:sz w:val="21"/>
                      <w:szCs w:val="21"/>
                    </w:rPr>
                    <w:t>全面保障成品油质量。严厉打击违法违规经营成品油行为，规范成品油市场经营秩序，促进成品油市场健康有序发展。全面清理整顿自建油罐、流动加油车和黑加油站点，依法打击生产、进口、销售不符合国家标准要求油品的行为。提升货车、非道路移动机械油箱中柴油抽测频次，进行问题线索溯源并严厉追究相关主体责任。（牵头单位：市市场监督管理局、市商务局、市公安局，配合单位：市交通运输局、市能源局）</w:t>
                  </w:r>
                </w:p>
              </w:tc>
              <w:tc>
                <w:tcPr>
                  <w:tcW w:w="2815" w:type="dxa"/>
                  <w:vMerge w:val="continue"/>
                </w:tcPr>
                <w:p>
                  <w:pPr>
                    <w:pStyle w:val="32"/>
                    <w:spacing w:line="240" w:lineRule="auto"/>
                    <w:ind w:firstLine="0" w:firstLineChars="0"/>
                    <w:jc w:val="center"/>
                    <w:rPr>
                      <w:color w:val="auto"/>
                      <w:sz w:val="21"/>
                      <w:szCs w:val="21"/>
                    </w:rPr>
                  </w:pPr>
                </w:p>
              </w:tc>
              <w:tc>
                <w:tcPr>
                  <w:tcW w:w="854" w:type="dxa"/>
                </w:tcPr>
                <w:p>
                  <w:pPr>
                    <w:pStyle w:val="32"/>
                    <w:spacing w:line="240" w:lineRule="auto"/>
                    <w:ind w:firstLine="0" w:firstLineChars="0"/>
                    <w:jc w:val="center"/>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5" w:type="dxa"/>
                  <w:gridSpan w:val="4"/>
                </w:tcPr>
                <w:p>
                  <w:pPr>
                    <w:pStyle w:val="32"/>
                    <w:spacing w:line="240" w:lineRule="auto"/>
                    <w:ind w:firstLine="0" w:firstLineChars="0"/>
                    <w:jc w:val="center"/>
                    <w:rPr>
                      <w:color w:val="auto"/>
                      <w:sz w:val="21"/>
                      <w:szCs w:val="21"/>
                    </w:rPr>
                  </w:pPr>
                  <w:r>
                    <w:rPr>
                      <w:rFonts w:hint="eastAsia"/>
                      <w:color w:val="auto"/>
                      <w:sz w:val="21"/>
                      <w:szCs w:val="21"/>
                    </w:rPr>
                    <w:t>五、全面提升面源精细化管理水平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61" w:type="dxa"/>
                </w:tcPr>
                <w:p>
                  <w:pPr>
                    <w:pStyle w:val="32"/>
                    <w:spacing w:line="240" w:lineRule="auto"/>
                    <w:ind w:firstLine="0" w:firstLineChars="0"/>
                    <w:jc w:val="center"/>
                    <w:rPr>
                      <w:color w:val="auto"/>
                      <w:sz w:val="21"/>
                      <w:szCs w:val="21"/>
                    </w:rPr>
                  </w:pPr>
                  <w:r>
                    <w:rPr>
                      <w:rFonts w:hint="eastAsia"/>
                      <w:color w:val="auto"/>
                      <w:sz w:val="21"/>
                      <w:szCs w:val="21"/>
                    </w:rPr>
                    <w:t>1</w:t>
                  </w:r>
                </w:p>
              </w:tc>
              <w:tc>
                <w:tcPr>
                  <w:tcW w:w="2885" w:type="dxa"/>
                </w:tcPr>
                <w:p>
                  <w:pPr>
                    <w:pStyle w:val="32"/>
                    <w:spacing w:line="240" w:lineRule="auto"/>
                    <w:ind w:firstLine="0" w:firstLineChars="0"/>
                    <w:rPr>
                      <w:color w:val="auto"/>
                      <w:sz w:val="21"/>
                      <w:szCs w:val="21"/>
                    </w:rPr>
                  </w:pPr>
                  <w:r>
                    <w:rPr>
                      <w:rFonts w:hint="eastAsia"/>
                      <w:color w:val="auto"/>
                      <w:sz w:val="21"/>
                      <w:szCs w:val="21"/>
                    </w:rPr>
                    <w:t>深化扬尘污染综合治理。强化建筑施工现场扬尘治理，提高建筑施工管理整体水平，将防治扬尘污染费用纳入工程造价。各类施工场地严格落实“六个百分之百”，开展裸地排查和扬尘防控，加大城市主干道、</w:t>
                  </w:r>
                  <w:r>
                    <w:rPr>
                      <w:rFonts w:hint="eastAsia"/>
                      <w:color w:val="auto"/>
                      <w:sz w:val="21"/>
                      <w:szCs w:val="21"/>
                      <w:lang w:eastAsia="zh-CN"/>
                    </w:rPr>
                    <w:t>城乡接合部</w:t>
                  </w:r>
                  <w:r>
                    <w:rPr>
                      <w:rFonts w:hint="eastAsia"/>
                      <w:color w:val="auto"/>
                      <w:sz w:val="21"/>
                      <w:szCs w:val="21"/>
                    </w:rPr>
                    <w:t>等重点路段机械化清扫力度。到2025年，装配式建筑占新建建筑面积的比例达到30%；中心城区（东胜区、康巴什区）道路机械化清扫率达到80%左右，各旗区人民政府所在地达到70%左右。（牵头单位：市住房和城乡建设局，配合单位：市交通运输局、市公安局、市生态环境局）</w:t>
                  </w:r>
                </w:p>
              </w:tc>
              <w:tc>
                <w:tcPr>
                  <w:tcW w:w="2815" w:type="dxa"/>
                </w:tcPr>
                <w:p>
                  <w:pPr>
                    <w:pStyle w:val="32"/>
                    <w:spacing w:line="240" w:lineRule="auto"/>
                    <w:ind w:firstLine="0" w:firstLineChars="0"/>
                    <w:rPr>
                      <w:color w:val="auto"/>
                      <w:sz w:val="21"/>
                      <w:szCs w:val="21"/>
                    </w:rPr>
                  </w:pPr>
                  <w:r>
                    <w:rPr>
                      <w:rFonts w:hint="eastAsia"/>
                      <w:color w:val="auto"/>
                      <w:sz w:val="21"/>
                      <w:szCs w:val="21"/>
                    </w:rPr>
                    <w:t>本项目</w:t>
                  </w:r>
                  <w:r>
                    <w:rPr>
                      <w:color w:val="auto"/>
                      <w:sz w:val="21"/>
                      <w:szCs w:val="21"/>
                    </w:rPr>
                    <w:t>成品装卸及堆存过程中均在全封闭储棚内，定期进行洒水降尘，可有效减少无组织扬尘的产生。</w:t>
                  </w:r>
                </w:p>
                <w:p>
                  <w:pPr>
                    <w:pStyle w:val="32"/>
                    <w:spacing w:line="240" w:lineRule="auto"/>
                    <w:ind w:firstLine="0" w:firstLineChars="0"/>
                    <w:rPr>
                      <w:color w:val="auto"/>
                      <w:sz w:val="21"/>
                      <w:szCs w:val="21"/>
                    </w:rPr>
                  </w:pPr>
                  <w:r>
                    <w:rPr>
                      <w:color w:val="auto"/>
                      <w:sz w:val="21"/>
                      <w:szCs w:val="21"/>
                    </w:rPr>
                    <w:t>本项目设置1台18t/h的天然气蒸汽锅炉，配备高效低氮燃烧器处理后，最终由1根13m高排气筒（DA001）排放。</w:t>
                  </w:r>
                </w:p>
                <w:p>
                  <w:pPr>
                    <w:pStyle w:val="32"/>
                    <w:spacing w:line="240" w:lineRule="auto"/>
                    <w:ind w:firstLine="0" w:firstLineChars="0"/>
                    <w:rPr>
                      <w:color w:val="auto"/>
                      <w:sz w:val="21"/>
                      <w:szCs w:val="21"/>
                    </w:rPr>
                  </w:pPr>
                  <w:r>
                    <w:rPr>
                      <w:color w:val="auto"/>
                      <w:sz w:val="21"/>
                      <w:szCs w:val="21"/>
                    </w:rPr>
                    <w:t>蒸汽压力釜烘干过程中产生的粉尘：粉尘经管道收集至袋式除尘器处理后，经15m高排气筒（DA002）达标排放。</w:t>
                  </w:r>
                </w:p>
              </w:tc>
              <w:tc>
                <w:tcPr>
                  <w:tcW w:w="854" w:type="dxa"/>
                </w:tcPr>
                <w:p>
                  <w:pPr>
                    <w:pStyle w:val="32"/>
                    <w:spacing w:line="240" w:lineRule="auto"/>
                    <w:ind w:firstLine="0" w:firstLineChars="0"/>
                    <w:jc w:val="center"/>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5" w:type="dxa"/>
                  <w:gridSpan w:val="4"/>
                </w:tcPr>
                <w:p>
                  <w:pPr>
                    <w:pStyle w:val="32"/>
                    <w:spacing w:line="240" w:lineRule="auto"/>
                    <w:ind w:firstLine="0" w:firstLineChars="0"/>
                    <w:jc w:val="center"/>
                    <w:rPr>
                      <w:color w:val="auto"/>
                      <w:sz w:val="21"/>
                      <w:szCs w:val="21"/>
                    </w:rPr>
                  </w:pPr>
                  <w:r>
                    <w:rPr>
                      <w:rFonts w:hint="eastAsia"/>
                      <w:color w:val="auto"/>
                      <w:sz w:val="21"/>
                      <w:szCs w:val="21"/>
                    </w:rPr>
                    <w:t>六、强化多污染物协同减排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dxa"/>
                </w:tcPr>
                <w:p>
                  <w:pPr>
                    <w:pStyle w:val="32"/>
                    <w:spacing w:line="240" w:lineRule="auto"/>
                    <w:ind w:firstLine="0" w:firstLineChars="0"/>
                    <w:jc w:val="center"/>
                    <w:rPr>
                      <w:color w:val="auto"/>
                      <w:sz w:val="21"/>
                      <w:szCs w:val="21"/>
                    </w:rPr>
                  </w:pPr>
                  <w:r>
                    <w:rPr>
                      <w:rFonts w:hint="eastAsia"/>
                      <w:color w:val="auto"/>
                      <w:sz w:val="21"/>
                      <w:szCs w:val="21"/>
                    </w:rPr>
                    <w:t>1</w:t>
                  </w:r>
                </w:p>
              </w:tc>
              <w:tc>
                <w:tcPr>
                  <w:tcW w:w="2885" w:type="dxa"/>
                </w:tcPr>
                <w:p>
                  <w:pPr>
                    <w:pStyle w:val="32"/>
                    <w:spacing w:line="240" w:lineRule="auto"/>
                    <w:ind w:firstLine="0" w:firstLineChars="0"/>
                    <w:rPr>
                      <w:color w:val="auto"/>
                      <w:sz w:val="21"/>
                      <w:szCs w:val="21"/>
                    </w:rPr>
                  </w:pPr>
                  <w:r>
                    <w:rPr>
                      <w:rFonts w:hint="eastAsia"/>
                      <w:color w:val="auto"/>
                      <w:sz w:val="21"/>
                      <w:szCs w:val="21"/>
                    </w:rPr>
                    <w:t>强化挥发性有机物全流程全环节综合治理。持续开展低效失效挥发性有机物治理设施排查整治，大力推行先进生产工艺和高效治污设施。推进储瓶使用低泄漏的呼吸阀、紧急泄压阀，定期开展密封性检测。污水处理场所高浓度有机废气单独收集处理，含挥发性有机物有机废水储瓶、装置区集水井（池）有机废气密闭收集处理。化工、化纤、油品仓储等企业开停工、检维修期间，及时收集处理退料、清洗、吹扫等作业产生的挥发性有机物废气；不得将火炬燃烧装置作为日常大气污染治理设施。化工企业规范开展泄漏检测与修复。强化油品储运销全过程挥发性有机物排放监管，每年至少开展1次油气回收系统专项检查工作。到2025年底前，达拉特旗、准格尔旗、棋盘井蒙西地区等重点区域挥发性有机物重点行业严格执行特别控制要求。（牵头单位：市生态环境局，配合单位：市应急管理局）</w:t>
                  </w:r>
                </w:p>
              </w:tc>
              <w:tc>
                <w:tcPr>
                  <w:tcW w:w="2815" w:type="dxa"/>
                </w:tcPr>
                <w:p>
                  <w:pPr>
                    <w:pStyle w:val="32"/>
                    <w:spacing w:line="240" w:lineRule="auto"/>
                    <w:ind w:firstLine="0" w:firstLineChars="0"/>
                    <w:jc w:val="center"/>
                    <w:rPr>
                      <w:color w:val="auto"/>
                      <w:sz w:val="21"/>
                      <w:szCs w:val="21"/>
                    </w:rPr>
                  </w:pPr>
                  <w:r>
                    <w:rPr>
                      <w:rFonts w:hint="eastAsia"/>
                      <w:color w:val="auto"/>
                      <w:sz w:val="21"/>
                      <w:szCs w:val="21"/>
                    </w:rPr>
                    <w:t>本项目不涉及挥发性有机物</w:t>
                  </w:r>
                </w:p>
              </w:tc>
              <w:tc>
                <w:tcPr>
                  <w:tcW w:w="854" w:type="dxa"/>
                </w:tcPr>
                <w:p>
                  <w:pPr>
                    <w:pStyle w:val="32"/>
                    <w:spacing w:line="240" w:lineRule="auto"/>
                    <w:ind w:firstLine="0" w:firstLineChars="0"/>
                    <w:jc w:val="center"/>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dxa"/>
                </w:tcPr>
                <w:p>
                  <w:pPr>
                    <w:pStyle w:val="32"/>
                    <w:spacing w:line="240" w:lineRule="auto"/>
                    <w:ind w:firstLine="0" w:firstLineChars="0"/>
                    <w:jc w:val="center"/>
                    <w:rPr>
                      <w:color w:val="auto"/>
                      <w:sz w:val="21"/>
                      <w:szCs w:val="21"/>
                    </w:rPr>
                  </w:pPr>
                  <w:r>
                    <w:rPr>
                      <w:rFonts w:hint="eastAsia"/>
                      <w:color w:val="auto"/>
                      <w:sz w:val="21"/>
                      <w:szCs w:val="21"/>
                    </w:rPr>
                    <w:t>2</w:t>
                  </w:r>
                </w:p>
              </w:tc>
              <w:tc>
                <w:tcPr>
                  <w:tcW w:w="2885" w:type="dxa"/>
                </w:tcPr>
                <w:p>
                  <w:pPr>
                    <w:pStyle w:val="32"/>
                    <w:spacing w:line="240" w:lineRule="auto"/>
                    <w:ind w:firstLine="0" w:firstLineChars="0"/>
                    <w:rPr>
                      <w:color w:val="auto"/>
                      <w:sz w:val="21"/>
                      <w:szCs w:val="21"/>
                    </w:rPr>
                  </w:pPr>
                  <w:r>
                    <w:rPr>
                      <w:rFonts w:hint="eastAsia"/>
                      <w:color w:val="auto"/>
                      <w:sz w:val="21"/>
                      <w:szCs w:val="21"/>
                    </w:rPr>
                    <w:t>全面完成重点行业提标改造。生物质锅炉采用专用锅炉，配套布袋等高效除尘设施，禁止掺烧煤炭、生活垃圾等其他物料。棋盘井蒙西地区严格执行大气污染物特别排放限值要求。除长期停产和在建企业外，2025年底前，在用65蒸吨/小时以上的燃煤锅炉（含电力）完成超低排放改造，排放限值参照燃煤电厂超低排放改造要求；在用燃气锅炉基本完成低氮燃烧改造；钢铁、焦化行业全面完成超低排放改造；铁合金行业企业以及达拉特旗、准格尔旗所有工业企业完成大气污染物特别排放限值改造。2028年底前，水泥行业基本完成超低排放改造。（牵头单位：市生态环境局，配合单位：市工业和信息化局、市住房和城乡建设局）</w:t>
                  </w:r>
                </w:p>
              </w:tc>
              <w:tc>
                <w:tcPr>
                  <w:tcW w:w="2815" w:type="dxa"/>
                </w:tcPr>
                <w:p>
                  <w:pPr>
                    <w:pStyle w:val="32"/>
                    <w:spacing w:line="240" w:lineRule="auto"/>
                    <w:ind w:firstLine="0" w:firstLineChars="0"/>
                    <w:rPr>
                      <w:color w:val="auto"/>
                      <w:sz w:val="21"/>
                      <w:szCs w:val="21"/>
                    </w:rPr>
                  </w:pPr>
                  <w:r>
                    <w:rPr>
                      <w:rFonts w:hint="eastAsia"/>
                      <w:color w:val="auto"/>
                      <w:sz w:val="21"/>
                      <w:szCs w:val="21"/>
                    </w:rPr>
                    <w:t>本项目使用的锅炉采用天然气蒸汽锅炉配备低氮燃烧器。</w:t>
                  </w:r>
                </w:p>
              </w:tc>
              <w:tc>
                <w:tcPr>
                  <w:tcW w:w="854" w:type="dxa"/>
                </w:tcPr>
                <w:p>
                  <w:pPr>
                    <w:pStyle w:val="32"/>
                    <w:spacing w:line="240" w:lineRule="auto"/>
                    <w:ind w:firstLine="0" w:firstLineChars="0"/>
                    <w:jc w:val="center"/>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61" w:type="dxa"/>
                </w:tcPr>
                <w:p>
                  <w:pPr>
                    <w:pStyle w:val="32"/>
                    <w:spacing w:line="240" w:lineRule="auto"/>
                    <w:ind w:firstLine="0" w:firstLineChars="0"/>
                    <w:jc w:val="center"/>
                    <w:rPr>
                      <w:color w:val="auto"/>
                      <w:sz w:val="21"/>
                      <w:szCs w:val="21"/>
                    </w:rPr>
                  </w:pPr>
                  <w:r>
                    <w:rPr>
                      <w:rFonts w:hint="eastAsia"/>
                      <w:color w:val="auto"/>
                      <w:sz w:val="21"/>
                      <w:szCs w:val="21"/>
                    </w:rPr>
                    <w:t>3</w:t>
                  </w:r>
                </w:p>
              </w:tc>
              <w:tc>
                <w:tcPr>
                  <w:tcW w:w="2885" w:type="dxa"/>
                </w:tcPr>
                <w:p>
                  <w:pPr>
                    <w:pStyle w:val="32"/>
                    <w:spacing w:line="240" w:lineRule="auto"/>
                    <w:ind w:firstLine="0" w:firstLineChars="0"/>
                    <w:rPr>
                      <w:color w:val="auto"/>
                      <w:sz w:val="21"/>
                      <w:szCs w:val="21"/>
                    </w:rPr>
                  </w:pPr>
                  <w:r>
                    <w:rPr>
                      <w:rFonts w:hint="eastAsia"/>
                      <w:color w:val="auto"/>
                      <w:sz w:val="21"/>
                      <w:szCs w:val="21"/>
                    </w:rPr>
                    <w:t>开展餐饮油烟和恶臭异味专项治理。严格居民楼附近餐饮服务单位布局管理，拟开设餐饮服务单位的建筑应设计建设专用烟道。开展露天烧烤专项整治，重点检查烧烤车以及各餐饮商户油烟净化设备安装、使用和清洗情况，有力整治市场、取缔非法摊点，防止治理效果反弹。加强部门联动，开展恶臭异味扰民问题排查整治，因地制宜解决人民群众反映集中的油烟及恶臭异味扰民问题。（牵头单位：市住房和城乡建设局、市生态环境局）</w:t>
                  </w:r>
                </w:p>
              </w:tc>
              <w:tc>
                <w:tcPr>
                  <w:tcW w:w="2815" w:type="dxa"/>
                </w:tcPr>
                <w:p>
                  <w:pPr>
                    <w:pStyle w:val="32"/>
                    <w:spacing w:line="240" w:lineRule="auto"/>
                    <w:ind w:firstLine="0" w:firstLineChars="0"/>
                    <w:jc w:val="center"/>
                    <w:rPr>
                      <w:color w:val="auto"/>
                      <w:sz w:val="21"/>
                      <w:szCs w:val="21"/>
                    </w:rPr>
                  </w:pPr>
                  <w:r>
                    <w:rPr>
                      <w:rFonts w:hint="eastAsia"/>
                      <w:color w:val="auto"/>
                      <w:sz w:val="21"/>
                      <w:szCs w:val="21"/>
                    </w:rPr>
                    <w:t>本项目无餐厨油烟。</w:t>
                  </w:r>
                </w:p>
              </w:tc>
              <w:tc>
                <w:tcPr>
                  <w:tcW w:w="854" w:type="dxa"/>
                </w:tcPr>
                <w:p>
                  <w:pPr>
                    <w:pStyle w:val="32"/>
                    <w:spacing w:line="240" w:lineRule="auto"/>
                    <w:ind w:firstLine="0" w:firstLineChars="0"/>
                    <w:jc w:val="center"/>
                    <w:rPr>
                      <w:color w:val="auto"/>
                      <w:sz w:val="21"/>
                      <w:szCs w:val="21"/>
                    </w:rPr>
                  </w:pPr>
                  <w:r>
                    <w:rPr>
                      <w:rFonts w:hint="eastAsia"/>
                      <w:color w:val="auto"/>
                      <w:sz w:val="21"/>
                      <w:szCs w:val="21"/>
                    </w:rPr>
                    <w:t>符合</w:t>
                  </w:r>
                </w:p>
              </w:tc>
            </w:tr>
          </w:tbl>
          <w:p>
            <w:pPr>
              <w:ind w:firstLine="482"/>
              <w:rPr>
                <w:b/>
                <w:bCs/>
                <w:color w:val="auto"/>
              </w:rPr>
            </w:pPr>
            <w:r>
              <w:rPr>
                <w:rFonts w:hint="eastAsia"/>
                <w:b/>
                <w:bCs/>
                <w:color w:val="auto"/>
              </w:rPr>
              <w:t>四、选址符合性分析</w:t>
            </w:r>
          </w:p>
          <w:p>
            <w:pPr>
              <w:ind w:firstLine="480"/>
              <w:rPr>
                <w:color w:val="auto"/>
              </w:rPr>
            </w:pPr>
            <w:r>
              <w:rPr>
                <w:rFonts w:hint="eastAsia"/>
                <w:color w:val="auto"/>
              </w:rPr>
              <w:t>本项目位于内蒙古自治区鄂尔多斯市伊金霍洛旗札萨克镇新街区马秦壕，伊金霍洛旗新街马秦壕鑫源洗煤厂现有工业场地内建设，不新增占地，本项目选址不涉及自然保护区、风景名胜区、自然和文化遗产保护区、饮用水源保护区、历史文物古迹保护区（详见附件7）等敏感区域。项目厂界外50m范围内无声环境敏感目标，厂界外500m范围内无居民、无地下水集中式饮用水水源和热水、矿泉水、温泉等特殊地下水资源。项目所在的区域环境质量现状良好，环境承载力能满足项目建设的需求。</w:t>
            </w:r>
          </w:p>
          <w:p>
            <w:pPr>
              <w:ind w:firstLine="480"/>
              <w:rPr>
                <w:color w:val="auto"/>
              </w:rPr>
            </w:pPr>
            <w:r>
              <w:rPr>
                <w:rFonts w:hint="eastAsia"/>
                <w:color w:val="auto"/>
              </w:rPr>
              <w:t>综上所述，项目与周边环境相容，选址合理。</w:t>
            </w:r>
          </w:p>
        </w:tc>
      </w:tr>
    </w:tbl>
    <w:p>
      <w:pPr>
        <w:ind w:firstLine="600"/>
        <w:outlineLvl w:val="0"/>
        <w:rPr>
          <w:rFonts w:eastAsia="黑体"/>
          <w:color w:val="auto"/>
          <w:sz w:val="30"/>
        </w:rPr>
        <w:sectPr>
          <w:footerReference r:id="rId9" w:type="default"/>
          <w:pgSz w:w="11906" w:h="16838"/>
          <w:pgMar w:top="1440" w:right="1800" w:bottom="1440" w:left="1800" w:header="1191" w:footer="964" w:gutter="0"/>
          <w:pgNumType w:fmt="numberInDash" w:start="1"/>
          <w:cols w:space="720" w:num="1"/>
          <w:docGrid w:linePitch="312" w:charSpace="0"/>
        </w:sectPr>
      </w:pPr>
    </w:p>
    <w:p>
      <w:pPr>
        <w:pStyle w:val="18"/>
        <w:ind w:firstLine="600"/>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二、建设项目工程分析</w:t>
      </w:r>
    </w:p>
    <w:tbl>
      <w:tblPr>
        <w:tblStyle w:val="2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991"/>
        <w:gridCol w:w="717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2" w:hRule="atLeast"/>
          <w:jc w:val="center"/>
        </w:trPr>
        <w:tc>
          <w:tcPr>
            <w:tcW w:w="823" w:type="dxa"/>
            <w:vAlign w:val="center"/>
          </w:tcPr>
          <w:p>
            <w:pPr>
              <w:pStyle w:val="18"/>
              <w:adjustRightInd w:val="0"/>
              <w:snapToGrid w:val="0"/>
              <w:spacing w:before="0" w:beforeAutospacing="0" w:after="0" w:afterAutospacing="0"/>
              <w:ind w:firstLine="0" w:firstLineChars="0"/>
              <w:jc w:val="center"/>
              <w:rPr>
                <w:rFonts w:ascii="Times New Roman" w:hAnsi="Times New Roman"/>
                <w:color w:val="auto"/>
                <w:szCs w:val="24"/>
              </w:rPr>
            </w:pPr>
            <w:r>
              <w:rPr>
                <w:rFonts w:ascii="Times New Roman" w:hAnsi="Times New Roman"/>
                <w:color w:val="auto"/>
                <w:szCs w:val="24"/>
              </w:rPr>
              <w:t>建设内容</w:t>
            </w:r>
          </w:p>
        </w:tc>
        <w:tc>
          <w:tcPr>
            <w:tcW w:w="8161" w:type="dxa"/>
            <w:gridSpan w:val="2"/>
          </w:tcPr>
          <w:p>
            <w:pPr>
              <w:bidi w:val="0"/>
              <w:rPr>
                <w:rFonts w:hint="default" w:ascii="Times New Roman" w:hAnsi="Times New Roman" w:cs="Times New Roman"/>
                <w:b/>
                <w:bCs/>
                <w:color w:val="auto"/>
                <w:sz w:val="24"/>
                <w:szCs w:val="24"/>
                <w:lang w:val="en-US" w:eastAsia="zh-CN"/>
              </w:rPr>
            </w:pPr>
            <w:commentRangeStart w:id="2"/>
            <w:r>
              <w:rPr>
                <w:rFonts w:hint="default" w:ascii="Times New Roman" w:hAnsi="Times New Roman" w:cs="Times New Roman"/>
                <w:b/>
                <w:bCs/>
                <w:color w:val="auto"/>
                <w:sz w:val="24"/>
                <w:szCs w:val="24"/>
                <w:lang w:val="en-US" w:eastAsia="zh-CN"/>
              </w:rPr>
              <w:t>一、项目由来</w:t>
            </w:r>
            <w:commentRangeEnd w:id="2"/>
            <w:r>
              <w:rPr>
                <w:color w:val="auto"/>
              </w:rPr>
              <w:commentReference w:id="2"/>
            </w:r>
          </w:p>
          <w:p>
            <w:pPr>
              <w:ind w:firstLine="480"/>
              <w:rPr>
                <w:color w:val="auto"/>
              </w:rPr>
            </w:pPr>
            <w:r>
              <w:rPr>
                <w:color w:val="auto"/>
              </w:rPr>
              <w:t>煤中水分分为外表水、孔隙水和化合水。外表水在常温下容易失去，达到与大气湿度相平衡；孔隙水被封闭在煤中不连通的孔隙内，不破坏孔隙结构极难脱除；而结晶水是以化学方式与煤中矿物质结合的水，需要在200℃以上才能从煤中分解析出来。</w:t>
            </w:r>
          </w:p>
          <w:p>
            <w:pPr>
              <w:ind w:firstLine="480"/>
              <w:rPr>
                <w:color w:val="auto"/>
              </w:rPr>
            </w:pPr>
            <w:r>
              <w:rPr>
                <w:color w:val="auto"/>
              </w:rPr>
              <w:t>现有煤脱水干燥提质工艺技术主要有蒸发干燥和非蒸发干燥两类。蒸发干燥脱水是将煤中的水变为气态后脱除，主要包括烟气干燥、蒸汽干燥等；非蒸发干燥脱水则是将煤中的水仍以液态形式脱除，主要包括热能脱水工艺（HTD</w:t>
            </w:r>
            <w:r>
              <w:rPr>
                <w:rFonts w:hint="eastAsia"/>
                <w:color w:val="auto"/>
                <w:lang w:eastAsia="zh-CN"/>
              </w:rPr>
              <w:t>）</w:t>
            </w:r>
            <w:r>
              <w:rPr>
                <w:color w:val="auto"/>
              </w:rPr>
              <w:t>、机械热挤压脱水工艺（MTE）和有机溶剂脱水工艺（DME）等。目前正在使用的技术普遍存在干燥效果差、脱水后易复吸等问题。</w:t>
            </w:r>
          </w:p>
          <w:p>
            <w:pPr>
              <w:ind w:firstLine="480"/>
              <w:rPr>
                <w:color w:val="auto"/>
              </w:rPr>
            </w:pPr>
            <w:r>
              <w:rPr>
                <w:color w:val="auto"/>
              </w:rPr>
              <w:t>在此背景下，中国矿业大学、南京航空航天大学和江苏碳氢元清洁能源技术研究院等国内顶尖科研机构经过刻苦攻关，最后采用“煤炭空化改性及复吸阻断技术”解决了煤炭深度脱水及易复吸这个一直困扰行业的难题。</w:t>
            </w:r>
          </w:p>
          <w:p>
            <w:pPr>
              <w:ind w:firstLine="480"/>
              <w:rPr>
                <w:color w:val="auto"/>
              </w:rPr>
            </w:pPr>
            <w:r>
              <w:rPr>
                <w:color w:val="auto"/>
              </w:rPr>
              <w:t>煤炭空化改性及复吸阻断技术是碳氢元研究院的原创技术，技术水平达到国际领先，填补了国际空白。2023年中国煤炭工业协会将该技术列入国家能源集团提质增效重点推荐新技术；2023年4月碳氢元研究院与国家能源集团新疆公司双方合作开展《准东煤矿高含水煤炭瞬态脱水提质工艺开发及产业化可行性研究》。该项技术已经形成了较完善的知识产权保护体系，目前累计申报国内专利30项、国际专利5项，已经授权或公示达到11项。团队还将继续申报更多的知识，对该项技术形成强有力的知识产权保护能力。已授权专利见表1-1所示。</w:t>
            </w:r>
            <w:r>
              <w:rPr>
                <w:rFonts w:hint="eastAsia"/>
                <w:color w:val="auto"/>
              </w:rPr>
              <w:t>本项目所取得的中国专利公布公告见附件9。</w:t>
            </w:r>
          </w:p>
          <w:p>
            <w:pPr>
              <w:ind w:firstLine="482"/>
              <w:jc w:val="center"/>
              <w:rPr>
                <w:b/>
                <w:bCs/>
                <w:color w:val="auto"/>
              </w:rPr>
            </w:pPr>
            <w:r>
              <w:rPr>
                <w:b/>
                <w:bCs/>
                <w:color w:val="auto"/>
              </w:rPr>
              <w:t>表1-1授权专利一览表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
              <w:gridCol w:w="805"/>
              <w:gridCol w:w="4745"/>
              <w:gridCol w:w="1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409"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序号</w:t>
                  </w:r>
                </w:p>
              </w:tc>
              <w:tc>
                <w:tcPr>
                  <w:tcW w:w="507"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状态</w:t>
                  </w:r>
                </w:p>
              </w:tc>
              <w:tc>
                <w:tcPr>
                  <w:tcW w:w="29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专利名称</w:t>
                  </w:r>
                </w:p>
              </w:tc>
              <w:tc>
                <w:tcPr>
                  <w:tcW w:w="10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公开号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409"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1</w:t>
                  </w:r>
                </w:p>
              </w:tc>
              <w:tc>
                <w:tcPr>
                  <w:tcW w:w="507"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授权</w:t>
                  </w:r>
                </w:p>
              </w:tc>
              <w:tc>
                <w:tcPr>
                  <w:tcW w:w="29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一种煤中水分脱除装置及方法</w:t>
                  </w:r>
                </w:p>
              </w:tc>
              <w:tc>
                <w:tcPr>
                  <w:tcW w:w="10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CN111269738B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409"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2</w:t>
                  </w:r>
                </w:p>
              </w:tc>
              <w:tc>
                <w:tcPr>
                  <w:tcW w:w="507"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授权</w:t>
                  </w:r>
                </w:p>
              </w:tc>
              <w:tc>
                <w:tcPr>
                  <w:tcW w:w="29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一种工业级自动化连续汽爆系统及方法</w:t>
                  </w:r>
                </w:p>
              </w:tc>
              <w:tc>
                <w:tcPr>
                  <w:tcW w:w="10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CN110644269A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409"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3</w:t>
                  </w:r>
                </w:p>
              </w:tc>
              <w:tc>
                <w:tcPr>
                  <w:tcW w:w="507"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授权</w:t>
                  </w:r>
                </w:p>
              </w:tc>
              <w:tc>
                <w:tcPr>
                  <w:tcW w:w="29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一种低品质煤炭干燥-干法分选协同优化提质方法及工艺</w:t>
                  </w:r>
                </w:p>
              </w:tc>
              <w:tc>
                <w:tcPr>
                  <w:tcW w:w="10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CN108795527A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409"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4</w:t>
                  </w:r>
                </w:p>
              </w:tc>
              <w:tc>
                <w:tcPr>
                  <w:tcW w:w="507"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授权</w:t>
                  </w:r>
                </w:p>
              </w:tc>
              <w:tc>
                <w:tcPr>
                  <w:tcW w:w="29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一种褐煤干燥-干法分选协同优化提质方法及工艺</w:t>
                  </w:r>
                </w:p>
              </w:tc>
              <w:tc>
                <w:tcPr>
                  <w:tcW w:w="10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CN108759313A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409"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5</w:t>
                  </w:r>
                </w:p>
              </w:tc>
              <w:tc>
                <w:tcPr>
                  <w:tcW w:w="507"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授权</w:t>
                  </w:r>
                </w:p>
              </w:tc>
              <w:tc>
                <w:tcPr>
                  <w:tcW w:w="29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一种高含水量煤泥干燥提质系统</w:t>
                  </w:r>
                </w:p>
              </w:tc>
              <w:tc>
                <w:tcPr>
                  <w:tcW w:w="10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CN112779071A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409"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6</w:t>
                  </w:r>
                </w:p>
              </w:tc>
              <w:tc>
                <w:tcPr>
                  <w:tcW w:w="507"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授权</w:t>
                  </w:r>
                </w:p>
              </w:tc>
              <w:tc>
                <w:tcPr>
                  <w:tcW w:w="29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一种褐煤瞬态脱水提质系统及温压瞬发装置</w:t>
                  </w:r>
                </w:p>
              </w:tc>
              <w:tc>
                <w:tcPr>
                  <w:tcW w:w="10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CN113091443A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409"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7</w:t>
                  </w:r>
                </w:p>
              </w:tc>
              <w:tc>
                <w:tcPr>
                  <w:tcW w:w="507"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授权</w:t>
                  </w:r>
                </w:p>
              </w:tc>
              <w:tc>
                <w:tcPr>
                  <w:tcW w:w="2991" w:type="pct"/>
                  <w:vAlign w:val="center"/>
                </w:tcPr>
                <w:p>
                  <w:pPr>
                    <w:spacing w:line="240" w:lineRule="auto"/>
                    <w:ind w:firstLine="0" w:firstLineChars="0"/>
                    <w:jc w:val="center"/>
                    <w:rPr>
                      <w:rFonts w:ascii="HGB1_CNKI" w:hAnsi="HGB1_CNKI" w:eastAsia="HGB1_CNKI"/>
                      <w:color w:val="auto"/>
                      <w:sz w:val="21"/>
                      <w:szCs w:val="21"/>
                      <w:lang w:bidi="zh-TW"/>
                    </w:rPr>
                  </w:pPr>
                  <w:r>
                    <w:rPr>
                      <w:rFonts w:ascii="HGB1_CNKI" w:hAnsi="HGB1_CNKI" w:eastAsia="HGB1_CNKI"/>
                      <w:color w:val="auto"/>
                      <w:sz w:val="21"/>
                      <w:szCs w:val="21"/>
                      <w:lang w:bidi="zh-TW"/>
                    </w:rPr>
                    <w:t>METHOD AND PROCESS FOR QUALITY IMPROVEMENT BY MEANS OF OPTIMALLY COOPERATING BROWN COAL</w:t>
                  </w:r>
                </w:p>
                <w:p>
                  <w:pPr>
                    <w:spacing w:line="240" w:lineRule="auto"/>
                    <w:ind w:firstLine="0" w:firstLineChars="0"/>
                    <w:jc w:val="center"/>
                    <w:rPr>
                      <w:rFonts w:ascii="楷体" w:hAnsi="楷体" w:eastAsia="楷体"/>
                      <w:color w:val="auto"/>
                      <w:sz w:val="21"/>
                      <w:szCs w:val="21"/>
                      <w:lang w:bidi="zh-TW"/>
                    </w:rPr>
                  </w:pPr>
                  <w:r>
                    <w:rPr>
                      <w:rFonts w:ascii="HGB1_CNKI" w:hAnsi="HGB1_CNKI" w:eastAsia="HGB1_CNKI"/>
                      <w:color w:val="auto"/>
                      <w:sz w:val="21"/>
                      <w:szCs w:val="21"/>
                      <w:lang w:bidi="zh-TW"/>
                    </w:rPr>
                    <w:t>DRYING AND DRY SEPARATION METHOD AND PROCESS</w:t>
                  </w:r>
                </w:p>
              </w:tc>
              <w:tc>
                <w:tcPr>
                  <w:tcW w:w="10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PCT/CN2019/090619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409"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8</w:t>
                  </w:r>
                </w:p>
              </w:tc>
              <w:tc>
                <w:tcPr>
                  <w:tcW w:w="507"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公布</w:t>
                  </w:r>
                </w:p>
              </w:tc>
              <w:tc>
                <w:tcPr>
                  <w:tcW w:w="29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一种高含水低品质煤炭的瞬态脱水提质方法</w:t>
                  </w:r>
                </w:p>
              </w:tc>
              <w:tc>
                <w:tcPr>
                  <w:tcW w:w="10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CN113046147A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409"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9</w:t>
                  </w:r>
                </w:p>
              </w:tc>
              <w:tc>
                <w:tcPr>
                  <w:tcW w:w="507"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公布</w:t>
                  </w:r>
                </w:p>
              </w:tc>
              <w:tc>
                <w:tcPr>
                  <w:tcW w:w="29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基于蒸汽能量释放的煤泥连续环保型干燥提质工艺方法</w:t>
                  </w:r>
                </w:p>
              </w:tc>
              <w:tc>
                <w:tcPr>
                  <w:tcW w:w="10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CN113234513A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409"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10</w:t>
                  </w:r>
                </w:p>
              </w:tc>
              <w:tc>
                <w:tcPr>
                  <w:tcW w:w="507"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公布</w:t>
                  </w:r>
                </w:p>
              </w:tc>
              <w:tc>
                <w:tcPr>
                  <w:tcW w:w="29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一种用于高含水物料的脱水提质系统</w:t>
                  </w:r>
                </w:p>
              </w:tc>
              <w:tc>
                <w:tcPr>
                  <w:tcW w:w="10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CN113234514A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409"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11</w:t>
                  </w:r>
                </w:p>
              </w:tc>
              <w:tc>
                <w:tcPr>
                  <w:tcW w:w="507"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公布</w:t>
                  </w:r>
                </w:p>
              </w:tc>
              <w:tc>
                <w:tcPr>
                  <w:tcW w:w="29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一种块煤煤泥干燥提质系统及方法</w:t>
                  </w:r>
                </w:p>
              </w:tc>
              <w:tc>
                <w:tcPr>
                  <w:tcW w:w="1091" w:type="pct"/>
                  <w:vAlign w:val="center"/>
                </w:tcPr>
                <w:p>
                  <w:pPr>
                    <w:spacing w:line="240" w:lineRule="auto"/>
                    <w:ind w:firstLine="0" w:firstLineChars="0"/>
                    <w:jc w:val="center"/>
                    <w:rPr>
                      <w:rFonts w:ascii="楷体" w:hAnsi="楷体" w:eastAsia="楷体"/>
                      <w:color w:val="auto"/>
                      <w:sz w:val="21"/>
                      <w:szCs w:val="21"/>
                      <w:lang w:bidi="zh-TW"/>
                    </w:rPr>
                  </w:pPr>
                  <w:r>
                    <w:rPr>
                      <w:rFonts w:ascii="楷体" w:hAnsi="楷体" w:eastAsia="楷体"/>
                      <w:color w:val="auto"/>
                      <w:sz w:val="21"/>
                      <w:szCs w:val="21"/>
                      <w:lang w:bidi="zh-TW"/>
                    </w:rPr>
                    <w:t>CN112857003A</w:t>
                  </w:r>
                </w:p>
              </w:tc>
            </w:tr>
          </w:tbl>
          <w:p>
            <w:pPr>
              <w:ind w:firstLine="480"/>
              <w:rPr>
                <w:color w:val="auto"/>
              </w:rPr>
            </w:pPr>
            <w:r>
              <w:rPr>
                <w:rFonts w:hint="eastAsia"/>
                <w:color w:val="auto"/>
              </w:rPr>
              <w:t>故根据工程内容，建设单位拟建燃煤蒸压反应釜用于原料煤的烘干，设计烘干规模为50万t/a，根据设计单位提供资料，本项目烘干过程均为物理过程，无化学反应，烘干热源配备一台18t/h的天然气蒸汽锅炉，配套建设一座42m³/h的废水处理站用于处理生产运行过程中产生的生产废水。</w:t>
            </w:r>
          </w:p>
          <w:p>
            <w:pPr>
              <w:ind w:firstLine="480"/>
              <w:rPr>
                <w:color w:val="auto"/>
              </w:rPr>
            </w:pPr>
            <w:r>
              <w:rPr>
                <w:color w:val="auto"/>
              </w:rPr>
              <w:t>根据《中华人民共和国环境保护法》、《中华人民共和国环境影响评价法》、《建设项目环境影响评价分类管理名录》（2021年版），</w:t>
            </w:r>
            <w:r>
              <w:rPr>
                <w:rFonts w:hint="eastAsia"/>
                <w:color w:val="auto"/>
              </w:rPr>
              <w:t>煤炭烘干过程</w:t>
            </w:r>
            <w:r>
              <w:rPr>
                <w:color w:val="auto"/>
              </w:rPr>
              <w:t>属“二十二、石油、煤炭及其他燃料加工业、42煤炭加工252”中的“其他煤炭加工”，</w:t>
            </w:r>
            <w:r>
              <w:rPr>
                <w:rFonts w:hint="eastAsia"/>
                <w:color w:val="auto"/>
              </w:rPr>
              <w:t>应编制环境影响报告表，本项目配套的一台18t/h的天然气蒸汽锅炉属于</w:t>
            </w:r>
            <w:r>
              <w:rPr>
                <w:color w:val="auto"/>
              </w:rPr>
              <w:t>四十一、电力、热力生产和供应业91、热力生产和供应工程（包括建设单位自建自用的供热工程）天然气锅炉总容量1吨/小时（0.7兆瓦）以上的，应编制环境影响报告表</w:t>
            </w:r>
            <w:r>
              <w:rPr>
                <w:rFonts w:hint="eastAsia"/>
                <w:color w:val="auto"/>
              </w:rPr>
              <w:t>，配备的自建废水处理站属于四十三、水的生产和供应业-新建、扩建其他工业废水处理的，应编制环境影响报告表</w:t>
            </w:r>
            <w:r>
              <w:rPr>
                <w:color w:val="auto"/>
              </w:rPr>
              <w:t>。</w:t>
            </w:r>
          </w:p>
          <w:p>
            <w:pPr>
              <w:ind w:firstLine="480"/>
              <w:rPr>
                <w:color w:val="auto"/>
              </w:rPr>
            </w:pPr>
            <w:r>
              <w:rPr>
                <w:rFonts w:hint="eastAsia"/>
                <w:color w:val="auto"/>
              </w:rPr>
              <w:t>综上所述本项目应该编制环境影响报告表，</w:t>
            </w:r>
            <w:r>
              <w:rPr>
                <w:color w:val="auto"/>
              </w:rPr>
              <w:t>接受委托后，我单位立即组织参评人员对该项目所在地进行了现场踏勘，并编制完成了《</w:t>
            </w:r>
            <w:r>
              <w:rPr>
                <w:rFonts w:hint="eastAsia"/>
                <w:color w:val="auto"/>
              </w:rPr>
              <w:t>伊金霍洛旗新街马秦壕鑫源洗煤厂煤炭烘干项目</w:t>
            </w:r>
            <w:r>
              <w:rPr>
                <w:color w:val="auto"/>
              </w:rPr>
              <w:t>环境影响报告表》，现呈请审查。</w:t>
            </w:r>
          </w:p>
          <w:p>
            <w:pPr>
              <w:ind w:firstLine="480"/>
              <w:rPr>
                <w:color w:val="auto"/>
              </w:rPr>
            </w:pPr>
            <w:r>
              <w:rPr>
                <w:rFonts w:hint="eastAsia"/>
                <w:color w:val="auto"/>
              </w:rPr>
              <w:t>根据建设单位提供资料，选煤厂由于现阶段煤炭行业萧条，现厂区内有</w:t>
            </w:r>
            <w:r>
              <w:rPr>
                <w:color w:val="auto"/>
              </w:rPr>
              <w:t>4#-1全封闭煤棚及4#-3全封闭煤棚</w:t>
            </w:r>
            <w:r>
              <w:rPr>
                <w:rFonts w:hint="eastAsia"/>
                <w:color w:val="auto"/>
              </w:rPr>
              <w:t>空闲，可用作本次项目的生产运行使用，本项目只服务于伊金霍洛旗新街马秦壕鑫源洗煤厂，</w:t>
            </w:r>
            <w:r>
              <w:rPr>
                <w:color w:val="auto"/>
              </w:rPr>
              <w:t>对洗煤厂的产品煤进行烘干</w:t>
            </w:r>
            <w:r>
              <w:rPr>
                <w:rFonts w:hint="eastAsia"/>
                <w:color w:val="auto"/>
              </w:rPr>
              <w:t>，</w:t>
            </w:r>
            <w:r>
              <w:rPr>
                <w:color w:val="auto"/>
              </w:rPr>
              <w:t>从而增加煤炭发热量。本工程与现有工程位置关系图见附图5。</w:t>
            </w:r>
          </w:p>
          <w:p>
            <w:pPr>
              <w:adjustRightInd w:val="0"/>
              <w:snapToGrid w:val="0"/>
              <w:ind w:firstLine="482"/>
              <w:rPr>
                <w:b/>
                <w:color w:val="auto"/>
              </w:rPr>
            </w:pPr>
            <w:r>
              <w:rPr>
                <w:b/>
                <w:color w:val="auto"/>
              </w:rPr>
              <w:t>二、厂区现有项目环保手续履行情况</w:t>
            </w:r>
          </w:p>
          <w:p>
            <w:pPr>
              <w:ind w:firstLine="480"/>
              <w:rPr>
                <w:color w:val="auto"/>
              </w:rPr>
            </w:pPr>
            <w:r>
              <w:rPr>
                <w:color w:val="auto"/>
              </w:rPr>
              <w:t>伊金霍洛旗新街马秦壕鑫源洗煤厂成立于2006年12月11日，位于伊金霍洛旗札萨克镇玛勒庆壕赖村一社。2017年7月，委托中南金尚环境工程有限公司编制完成了《伊金霍洛旗新街马秦壕鑫源洗煤厂改扩建项目环境影响报告表》，2017年8月18日</w:t>
            </w:r>
            <w:r>
              <w:rPr>
                <w:rFonts w:hint="eastAsia"/>
                <w:color w:val="auto"/>
              </w:rPr>
              <w:t>，</w:t>
            </w:r>
            <w:r>
              <w:rPr>
                <w:color w:val="auto"/>
              </w:rPr>
              <w:t>原鄂尔多斯市环境保护局</w:t>
            </w:r>
            <w:r>
              <w:rPr>
                <w:rFonts w:hint="eastAsia"/>
                <w:color w:val="auto"/>
              </w:rPr>
              <w:t>以</w:t>
            </w:r>
            <w:r>
              <w:rPr>
                <w:color w:val="auto"/>
              </w:rPr>
              <w:t>鄂环评字〔2017〕105号</w:t>
            </w:r>
            <w:r>
              <w:rPr>
                <w:rFonts w:hint="eastAsia"/>
                <w:color w:val="auto"/>
              </w:rPr>
              <w:t>对该项目予以批复</w:t>
            </w:r>
            <w:r>
              <w:rPr>
                <w:color w:val="auto"/>
              </w:rPr>
              <w:t>；2017年9月30日，原鄂尔多斯市环境保护局</w:t>
            </w:r>
            <w:r>
              <w:rPr>
                <w:rFonts w:hint="eastAsia"/>
                <w:color w:val="auto"/>
              </w:rPr>
              <w:t>以</w:t>
            </w:r>
            <w:r>
              <w:rPr>
                <w:color w:val="auto"/>
              </w:rPr>
              <w:t>鄂环监字〔2017〕185号</w:t>
            </w:r>
            <w:r>
              <w:rPr>
                <w:rFonts w:hint="eastAsia"/>
                <w:color w:val="auto"/>
              </w:rPr>
              <w:t>通过本项目的</w:t>
            </w:r>
            <w:r>
              <w:rPr>
                <w:color w:val="auto"/>
              </w:rPr>
              <w:t>竣工环境保护验收。</w:t>
            </w:r>
            <w:r>
              <w:rPr>
                <w:rFonts w:hint="eastAsia"/>
                <w:color w:val="auto"/>
              </w:rPr>
              <w:t>伊金霍洛旗新街马秦壕鑫源洗煤厂</w:t>
            </w:r>
            <w:r>
              <w:rPr>
                <w:color w:val="auto"/>
              </w:rPr>
              <w:t>2017年6月开工建设，2017年8月底投产，采用跳汰洗选工艺，年洗选原煤120万吨。</w:t>
            </w:r>
            <w:r>
              <w:rPr>
                <w:rFonts w:hint="eastAsia"/>
                <w:color w:val="auto"/>
              </w:rPr>
              <w:t>2025年7月，建设单位补充未批先建储棚环保手续，由鄂尔多斯市奇胜安环科技有限公司编制完成《伊金霍洛旗新街马秦壕鑫源洗煤厂新建储煤棚项目环境影响报告表》，</w:t>
            </w:r>
            <w:r>
              <w:rPr>
                <w:color w:val="auto"/>
              </w:rPr>
              <w:t>2025年8月12日，鄂尔多斯市生态环境局伊金霍洛旗分局以鄂伊环审字〔2025〕30号对</w:t>
            </w:r>
            <w:r>
              <w:rPr>
                <w:rFonts w:hint="eastAsia"/>
                <w:color w:val="auto"/>
              </w:rPr>
              <w:t>该项目</w:t>
            </w:r>
            <w:r>
              <w:rPr>
                <w:color w:val="auto"/>
              </w:rPr>
              <w:t>予以批复</w:t>
            </w:r>
            <w:r>
              <w:rPr>
                <w:rFonts w:hint="eastAsia"/>
                <w:color w:val="auto"/>
              </w:rPr>
              <w:t>，项目已经通过自主验收，现有项目环保手续履行情况见附件3，</w:t>
            </w:r>
            <w:r>
              <w:rPr>
                <w:color w:val="auto"/>
              </w:rPr>
              <w:t>现有工程平面布置图见附图4。</w:t>
            </w:r>
          </w:p>
          <w:p>
            <w:pPr>
              <w:adjustRightInd w:val="0"/>
              <w:snapToGrid w:val="0"/>
              <w:ind w:firstLine="482"/>
              <w:rPr>
                <w:b/>
                <w:color w:val="auto"/>
              </w:rPr>
            </w:pPr>
            <w:r>
              <w:rPr>
                <w:rFonts w:hint="eastAsia"/>
                <w:b/>
                <w:color w:val="auto"/>
              </w:rPr>
              <w:t>三、现有项目建设情况</w:t>
            </w:r>
          </w:p>
          <w:p>
            <w:pPr>
              <w:pStyle w:val="32"/>
              <w:ind w:firstLine="482"/>
              <w:rPr>
                <w:b/>
                <w:bCs/>
                <w:color w:val="auto"/>
              </w:rPr>
            </w:pPr>
            <w:r>
              <w:rPr>
                <w:rFonts w:hint="eastAsia"/>
                <w:b/>
                <w:bCs/>
                <w:color w:val="auto"/>
                <w:lang w:eastAsia="zh-CN"/>
              </w:rPr>
              <w:t>1.</w:t>
            </w:r>
            <w:r>
              <w:rPr>
                <w:rFonts w:hint="eastAsia"/>
                <w:b/>
                <w:bCs/>
                <w:color w:val="auto"/>
              </w:rPr>
              <w:t>现有项目建设基本情况</w:t>
            </w:r>
          </w:p>
          <w:p>
            <w:pPr>
              <w:ind w:firstLine="480"/>
              <w:rPr>
                <w:color w:val="auto"/>
              </w:rPr>
            </w:pPr>
            <w:r>
              <w:rPr>
                <w:color w:val="auto"/>
              </w:rPr>
              <w:t>伊金霍洛旗新街马秦壕鑫源洗煤厂位于内蒙古自治区鄂尔多斯市伊金霍洛旗札萨克镇新街区马秦壕，全厂占地面积为41447㎡，</w:t>
            </w:r>
            <w:r>
              <w:rPr>
                <w:color w:val="auto"/>
              </w:rPr>
              <w:t>用地性质为工业用地，已经取得《伊金霍洛旗不动产权证书》，详见附件8。洗煤厂</w:t>
            </w:r>
            <w:r>
              <w:rPr>
                <w:rFonts w:hint="eastAsia"/>
                <w:color w:val="auto"/>
                <w:lang w:eastAsia="zh-CN"/>
              </w:rPr>
              <w:t>所用原料煤来自马</w:t>
            </w:r>
            <w:r>
              <w:rPr>
                <w:rFonts w:hint="eastAsia"/>
                <w:color w:val="auto"/>
                <w:lang w:val="en-US" w:eastAsia="zh-CN"/>
              </w:rPr>
              <w:t>泰</w:t>
            </w:r>
            <w:r>
              <w:rPr>
                <w:rFonts w:hint="eastAsia"/>
                <w:color w:val="auto"/>
                <w:lang w:eastAsia="zh-CN"/>
              </w:rPr>
              <w:t>壕煤矿，洗选规模为120万t/a，年产精煤30万t/a、中煤66万t/a、煤泥12万t/a、矸石12万t/a，</w:t>
            </w:r>
            <w:r>
              <w:rPr>
                <w:rFonts w:hint="eastAsia"/>
                <w:color w:val="auto"/>
                <w:lang w:val="en-US" w:eastAsia="zh-CN"/>
              </w:rPr>
              <w:t>现有厂区内共建设6座储棚，分别为1#</w:t>
            </w:r>
            <w:r>
              <w:rPr>
                <w:color w:val="auto"/>
              </w:rPr>
              <w:t>全封闭煤棚</w:t>
            </w:r>
            <w:r>
              <w:rPr>
                <w:rFonts w:hint="eastAsia"/>
                <w:color w:val="auto"/>
                <w:lang w:eastAsia="zh-CN"/>
              </w:rPr>
              <w:t>、</w:t>
            </w:r>
            <w:r>
              <w:rPr>
                <w:rFonts w:hint="eastAsia"/>
                <w:color w:val="auto"/>
                <w:lang w:val="en-US" w:eastAsia="zh-CN"/>
              </w:rPr>
              <w:t>2#全封闭煤棚、3#全封闭煤棚、4#-1全封闭煤棚、4#-2全封闭煤棚、4#-3全封闭煤棚，位于2#全封闭煤棚内布设洗选车间，位于3#全封闭煤棚设准备车间。位于1#全封闭煤棚内设置煤泥堆存区、矸石堆存区。现有工程的平面布置图见附图4，</w:t>
            </w:r>
            <w:r>
              <w:rPr>
                <w:color w:val="auto"/>
              </w:rPr>
              <w:t>现有项目建设内容见下表2-1。</w:t>
            </w:r>
          </w:p>
          <w:p>
            <w:pPr>
              <w:pStyle w:val="32"/>
              <w:ind w:firstLine="0" w:firstLineChars="0"/>
              <w:jc w:val="center"/>
              <w:rPr>
                <w:b/>
                <w:bCs/>
                <w:color w:val="auto"/>
              </w:rPr>
            </w:pPr>
            <w:r>
              <w:rPr>
                <w:rFonts w:hint="eastAsia"/>
                <w:b/>
                <w:bCs/>
                <w:color w:val="auto"/>
              </w:rPr>
              <w:t>表2-1现有项目建设情况一览表</w:t>
            </w:r>
          </w:p>
          <w:tbl>
            <w:tblPr>
              <w:tblStyle w:val="22"/>
              <w:tblW w:w="78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481"/>
              <w:gridCol w:w="1023"/>
              <w:gridCol w:w="5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735" w:type="dxa"/>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类别</w:t>
                  </w:r>
                </w:p>
              </w:tc>
              <w:tc>
                <w:tcPr>
                  <w:tcW w:w="1504" w:type="dxa"/>
                  <w:gridSpan w:val="2"/>
                </w:tcPr>
                <w:p>
                  <w:pPr>
                    <w:pStyle w:val="32"/>
                    <w:spacing w:line="240" w:lineRule="auto"/>
                    <w:ind w:firstLine="0" w:firstLineChars="0"/>
                    <w:jc w:val="center"/>
                    <w:rPr>
                      <w:rFonts w:hint="default" w:ascii="Times New Roman" w:hAnsi="Times New Roman" w:cs="Times New Roman"/>
                      <w:color w:val="auto"/>
                    </w:rPr>
                  </w:pPr>
                  <w:commentRangeStart w:id="3"/>
                  <w:r>
                    <w:rPr>
                      <w:rFonts w:hint="default" w:ascii="Times New Roman" w:hAnsi="Times New Roman" w:cs="Times New Roman"/>
                      <w:color w:val="auto"/>
                      <w:vertAlign w:val="baseline"/>
                      <w:lang w:val="en-US" w:eastAsia="zh-CN"/>
                    </w:rPr>
                    <w:t>项目组成</w:t>
                  </w:r>
                  <w:commentRangeEnd w:id="3"/>
                  <w:r>
                    <w:rPr>
                      <w:rFonts w:hint="default" w:ascii="Times New Roman" w:hAnsi="Times New Roman" w:cs="Times New Roman"/>
                      <w:color w:val="auto"/>
                    </w:rPr>
                    <w:commentReference w:id="3"/>
                  </w:r>
                </w:p>
              </w:tc>
              <w:tc>
                <w:tcPr>
                  <w:tcW w:w="5660" w:type="dxa"/>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建设内容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3" w:hRule="atLeast"/>
              </w:trPr>
              <w:tc>
                <w:tcPr>
                  <w:tcW w:w="735" w:type="dxa"/>
                  <w:vMerge w:val="restart"/>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主体工程</w:t>
                  </w:r>
                </w:p>
              </w:tc>
              <w:tc>
                <w:tcPr>
                  <w:tcW w:w="1504" w:type="dxa"/>
                  <w:gridSpan w:val="2"/>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洗选车间</w:t>
                  </w:r>
                </w:p>
              </w:tc>
              <w:tc>
                <w:tcPr>
                  <w:tcW w:w="5660" w:type="dxa"/>
                </w:tcPr>
                <w:p>
                  <w:pPr>
                    <w:pStyle w:val="32"/>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彩钢结构全封闭洗选车间1座，位于2#全封闭煤棚内布设，建筑面积1250㎡，对原煤进行跳汰洗选，年洗选原煤120万吨。设置1台跳汰机（F=8㎡）、2台深锥浓缩机、2台压滤机（F=450m），洗煤能力151.52t/h。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5" w:type="dxa"/>
                  <w:vMerge w:val="continue"/>
                </w:tcPr>
                <w:p>
                  <w:pPr>
                    <w:pStyle w:val="32"/>
                    <w:spacing w:line="240" w:lineRule="auto"/>
                    <w:ind w:firstLine="0" w:firstLineChars="0"/>
                    <w:jc w:val="center"/>
                    <w:rPr>
                      <w:rFonts w:hint="default" w:ascii="Times New Roman" w:hAnsi="Times New Roman" w:cs="Times New Roman"/>
                      <w:color w:val="auto"/>
                    </w:rPr>
                  </w:pPr>
                </w:p>
              </w:tc>
              <w:tc>
                <w:tcPr>
                  <w:tcW w:w="1504" w:type="dxa"/>
                  <w:gridSpan w:val="2"/>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准备车间</w:t>
                  </w:r>
                </w:p>
              </w:tc>
              <w:tc>
                <w:tcPr>
                  <w:tcW w:w="5660" w:type="dxa"/>
                </w:tcPr>
                <w:p>
                  <w:pPr>
                    <w:pStyle w:val="32"/>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位于3#全封闭煤棚设准备车间，预选分级筛及破碎机各1台，建筑面积70㎡，全封闭。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5" w:type="dxa"/>
                  <w:vMerge w:val="restart"/>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储运工程</w:t>
                  </w:r>
                </w:p>
              </w:tc>
              <w:tc>
                <w:tcPr>
                  <w:tcW w:w="1504" w:type="dxa"/>
                  <w:gridSpan w:val="2"/>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原煤堆存区（1#全封闭煤棚）</w:t>
                  </w:r>
                </w:p>
              </w:tc>
              <w:tc>
                <w:tcPr>
                  <w:tcW w:w="5660" w:type="dxa"/>
                </w:tcPr>
                <w:p>
                  <w:pPr>
                    <w:pStyle w:val="32"/>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彩钢结构全封闭储棚1座，建筑面积2400㎡，高10m，棚内设置1个受煤坑。四周及受煤坑设喷淋设施。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35" w:type="dxa"/>
                  <w:vMerge w:val="continue"/>
                </w:tcPr>
                <w:p>
                  <w:pPr>
                    <w:pStyle w:val="32"/>
                    <w:spacing w:line="240" w:lineRule="auto"/>
                    <w:ind w:firstLine="0" w:firstLineChars="0"/>
                    <w:jc w:val="center"/>
                    <w:rPr>
                      <w:rFonts w:hint="default" w:ascii="Times New Roman" w:hAnsi="Times New Roman" w:cs="Times New Roman"/>
                      <w:color w:val="auto"/>
                    </w:rPr>
                  </w:pPr>
                </w:p>
              </w:tc>
              <w:tc>
                <w:tcPr>
                  <w:tcW w:w="1504" w:type="dxa"/>
                  <w:gridSpan w:val="2"/>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精煤堆存区（2#全封闭煤棚）</w:t>
                  </w:r>
                </w:p>
              </w:tc>
              <w:tc>
                <w:tcPr>
                  <w:tcW w:w="5660" w:type="dxa"/>
                  <w:vAlign w:val="center"/>
                </w:tcPr>
                <w:p>
                  <w:pPr>
                    <w:pStyle w:val="32"/>
                    <w:spacing w:line="240" w:lineRule="auto"/>
                    <w:ind w:firstLine="0" w:firstLineChars="0"/>
                    <w:jc w:val="both"/>
                    <w:rPr>
                      <w:rFonts w:hint="default" w:ascii="Times New Roman" w:hAnsi="Times New Roman" w:eastAsia="宋体" w:cs="Times New Roman"/>
                      <w:color w:val="auto"/>
                      <w:lang w:val="en-US" w:eastAsia="zh-CN"/>
                    </w:rPr>
                  </w:pPr>
                  <w:r>
                    <w:rPr>
                      <w:rFonts w:hint="default" w:ascii="Times New Roman" w:hAnsi="Times New Roman" w:cs="Times New Roman"/>
                      <w:color w:val="auto"/>
                    </w:rPr>
                    <w:t>彩钢结构全封闭储棚1座，建筑面积2700㎡，高10m</w:t>
                  </w:r>
                  <w:r>
                    <w:rPr>
                      <w:rFonts w:hint="default" w:ascii="Times New Roman" w:hAnsi="Times New Roman" w:cs="Times New Roman"/>
                      <w:color w:val="auto"/>
                      <w:vertAlign w:val="baseline"/>
                      <w:lang w:val="en-US" w:eastAsia="zh-CN"/>
                    </w:rPr>
                    <w:t>。</w:t>
                  </w:r>
                  <w:r>
                    <w:rPr>
                      <w:rFonts w:hint="default" w:ascii="Times New Roman" w:hAnsi="Times New Roman" w:cs="Times New Roman"/>
                      <w:color w:val="auto"/>
                    </w:rPr>
                    <w:commentReference w:id="4"/>
                  </w:r>
                  <w:r>
                    <w:rPr>
                      <w:rFonts w:hint="default" w:ascii="Times New Roman" w:hAnsi="Times New Roman" w:cs="Times New Roman"/>
                      <w:color w:val="auto"/>
                      <w:lang w:val="en-US" w:eastAsia="zh-CN"/>
                    </w:rPr>
                    <w:t>最大存储量</w:t>
                  </w:r>
                  <w:r>
                    <w:rPr>
                      <w:rFonts w:hint="default" w:ascii="Times New Roman" w:hAnsi="Times New Roman" w:cs="Times New Roman"/>
                      <w:color w:val="auto"/>
                      <w:lang w:val="en-US" w:eastAsia="zh-CN"/>
                    </w:rPr>
                    <w:t>为9090吨，最大堆高为3m，可满足精煤的10d存储量。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35" w:type="dxa"/>
                  <w:vMerge w:val="continue"/>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想·</w:t>
                  </w:r>
                </w:p>
              </w:tc>
              <w:tc>
                <w:tcPr>
                  <w:tcW w:w="1504" w:type="dxa"/>
                  <w:gridSpan w:val="2"/>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3#全封闭煤棚</w:t>
                  </w:r>
                </w:p>
              </w:tc>
              <w:tc>
                <w:tcPr>
                  <w:tcW w:w="5660" w:type="dxa"/>
                </w:tcPr>
                <w:p>
                  <w:pPr>
                    <w:pStyle w:val="32"/>
                    <w:spacing w:line="240" w:lineRule="auto"/>
                    <w:ind w:firstLine="0" w:firstLineChars="0"/>
                    <w:rPr>
                      <w:rFonts w:hint="default" w:ascii="Times New Roman" w:hAnsi="Times New Roman" w:eastAsia="宋体" w:cs="Times New Roman"/>
                      <w:color w:val="auto"/>
                      <w:lang w:val="en-US" w:eastAsia="zh-CN"/>
                    </w:rPr>
                  </w:pPr>
                  <w:r>
                    <w:rPr>
                      <w:rFonts w:hint="default" w:ascii="Times New Roman" w:hAnsi="Times New Roman" w:cs="Times New Roman"/>
                      <w:color w:val="auto"/>
                    </w:rPr>
                    <w:t>彩钢结构全封闭储棚1座，建筑面积为5366.21㎡，高10m，用于原煤、产品煤的存放。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735" w:type="dxa"/>
                  <w:vMerge w:val="continue"/>
                </w:tcPr>
                <w:p>
                  <w:pPr>
                    <w:pStyle w:val="32"/>
                    <w:spacing w:line="240" w:lineRule="auto"/>
                    <w:ind w:firstLine="0" w:firstLineChars="0"/>
                    <w:jc w:val="center"/>
                    <w:rPr>
                      <w:rFonts w:hint="default" w:ascii="Times New Roman" w:hAnsi="Times New Roman" w:cs="Times New Roman"/>
                      <w:color w:val="auto"/>
                    </w:rPr>
                  </w:pPr>
                </w:p>
              </w:tc>
              <w:tc>
                <w:tcPr>
                  <w:tcW w:w="1504" w:type="dxa"/>
                  <w:gridSpan w:val="2"/>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4#全封闭煤棚</w:t>
                  </w:r>
                </w:p>
              </w:tc>
              <w:tc>
                <w:tcPr>
                  <w:tcW w:w="5660" w:type="dxa"/>
                </w:tcPr>
                <w:p>
                  <w:pPr>
                    <w:pStyle w:val="32"/>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彩钢结构全封闭储棚3座，分别为4#-1、4#-2、4#-3，建筑面积分别为3600㎡、4053.8㎡、5600㎡，建筑面积共计为13253.8㎡，高10m，用于原煤、产品煤的存放。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735" w:type="dxa"/>
                  <w:vMerge w:val="continue"/>
                </w:tcPr>
                <w:p>
                  <w:pPr>
                    <w:pStyle w:val="32"/>
                    <w:spacing w:line="240" w:lineRule="auto"/>
                    <w:ind w:firstLine="0" w:firstLineChars="0"/>
                    <w:jc w:val="center"/>
                    <w:rPr>
                      <w:rFonts w:hint="default" w:ascii="Times New Roman" w:hAnsi="Times New Roman" w:cs="Times New Roman"/>
                      <w:color w:val="auto"/>
                    </w:rPr>
                  </w:pPr>
                </w:p>
              </w:tc>
              <w:tc>
                <w:tcPr>
                  <w:tcW w:w="1504" w:type="dxa"/>
                  <w:gridSpan w:val="2"/>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煤泥堆存区</w:t>
                  </w:r>
                </w:p>
              </w:tc>
              <w:tc>
                <w:tcPr>
                  <w:tcW w:w="5660" w:type="dxa"/>
                </w:tcPr>
                <w:p>
                  <w:pPr>
                    <w:pStyle w:val="32"/>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位于1#全封闭煤棚内设置，建筑面积240㎡，可储存0.12万t煤泥，为项目3天储量。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5" w:type="dxa"/>
                  <w:vMerge w:val="continue"/>
                </w:tcPr>
                <w:p>
                  <w:pPr>
                    <w:pStyle w:val="32"/>
                    <w:spacing w:line="240" w:lineRule="auto"/>
                    <w:ind w:firstLine="0" w:firstLineChars="0"/>
                    <w:jc w:val="center"/>
                    <w:rPr>
                      <w:rFonts w:hint="default" w:ascii="Times New Roman" w:hAnsi="Times New Roman" w:cs="Times New Roman"/>
                      <w:color w:val="auto"/>
                    </w:rPr>
                  </w:pPr>
                </w:p>
              </w:tc>
              <w:tc>
                <w:tcPr>
                  <w:tcW w:w="1504" w:type="dxa"/>
                  <w:gridSpan w:val="2"/>
                </w:tcPr>
                <w:p>
                  <w:pPr>
                    <w:pStyle w:val="32"/>
                    <w:spacing w:line="240" w:lineRule="auto"/>
                    <w:ind w:firstLine="0" w:firstLineChars="0"/>
                    <w:jc w:val="center"/>
                    <w:rPr>
                      <w:rFonts w:hint="default" w:ascii="Times New Roman" w:hAnsi="Times New Roman" w:cs="Times New Roman"/>
                      <w:color w:val="auto"/>
                    </w:rPr>
                  </w:pPr>
                  <w:commentRangeStart w:id="5"/>
                  <w:r>
                    <w:rPr>
                      <w:rFonts w:hint="default" w:ascii="Times New Roman" w:hAnsi="Times New Roman" w:cs="Times New Roman"/>
                      <w:color w:val="auto"/>
                      <w:vertAlign w:val="baseline"/>
                      <w:lang w:val="en-US" w:eastAsia="zh-CN"/>
                    </w:rPr>
                    <w:t>矸石堆存区</w:t>
                  </w:r>
                  <w:commentRangeEnd w:id="5"/>
                  <w:r>
                    <w:rPr>
                      <w:rFonts w:hint="default" w:ascii="Times New Roman" w:hAnsi="Times New Roman" w:cs="Times New Roman"/>
                      <w:color w:val="auto"/>
                    </w:rPr>
                    <w:commentReference w:id="5"/>
                  </w:r>
                </w:p>
              </w:tc>
              <w:tc>
                <w:tcPr>
                  <w:tcW w:w="5660" w:type="dxa"/>
                </w:tcPr>
                <w:p>
                  <w:pPr>
                    <w:pStyle w:val="32"/>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位于1#全封闭煤棚内设置，建筑面积240㎡，可储存0.12万t矸石，为项目3天储量。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5" w:type="dxa"/>
                  <w:vMerge w:val="continue"/>
                </w:tcPr>
                <w:p>
                  <w:pPr>
                    <w:pStyle w:val="32"/>
                    <w:spacing w:line="240" w:lineRule="auto"/>
                    <w:ind w:firstLine="0" w:firstLineChars="0"/>
                    <w:jc w:val="center"/>
                    <w:rPr>
                      <w:rFonts w:hint="default" w:ascii="Times New Roman" w:hAnsi="Times New Roman" w:cs="Times New Roman"/>
                      <w:color w:val="auto"/>
                    </w:rPr>
                  </w:pPr>
                </w:p>
              </w:tc>
              <w:tc>
                <w:tcPr>
                  <w:tcW w:w="1504" w:type="dxa"/>
                  <w:gridSpan w:val="2"/>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输煤廊道</w:t>
                  </w:r>
                </w:p>
              </w:tc>
              <w:tc>
                <w:tcPr>
                  <w:tcW w:w="5660" w:type="dxa"/>
                </w:tcPr>
                <w:p>
                  <w:pPr>
                    <w:pStyle w:val="32"/>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原煤、块煤、末煤、煤泥、矸石各一条输煤通廊，共计5条。输运通廊均全封闭，采用保温性彩钢板维护，全长180m。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5" w:type="dxa"/>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辅助工程</w:t>
                  </w:r>
                </w:p>
              </w:tc>
              <w:tc>
                <w:tcPr>
                  <w:tcW w:w="1504" w:type="dxa"/>
                  <w:gridSpan w:val="2"/>
                </w:tcPr>
                <w:p>
                  <w:pPr>
                    <w:pStyle w:val="32"/>
                    <w:spacing w:line="240" w:lineRule="auto"/>
                    <w:ind w:firstLine="0" w:firstLineChars="0"/>
                    <w:jc w:val="center"/>
                    <w:rPr>
                      <w:rFonts w:hint="default" w:ascii="Times New Roman" w:hAnsi="Times New Roman" w:cs="Times New Roman"/>
                      <w:color w:val="auto"/>
                    </w:rPr>
                  </w:pPr>
                  <w:commentRangeStart w:id="6"/>
                  <w:r>
                    <w:rPr>
                      <w:rFonts w:hint="default" w:ascii="Times New Roman" w:hAnsi="Times New Roman" w:cs="Times New Roman"/>
                      <w:color w:val="auto"/>
                      <w:vertAlign w:val="baseline"/>
                      <w:lang w:val="en-US" w:eastAsia="zh-CN"/>
                    </w:rPr>
                    <w:t>初期雨水池</w:t>
                  </w:r>
                  <w:commentRangeEnd w:id="6"/>
                  <w:r>
                    <w:rPr>
                      <w:rFonts w:hint="default" w:ascii="Times New Roman" w:hAnsi="Times New Roman" w:cs="Times New Roman"/>
                      <w:color w:val="auto"/>
                    </w:rPr>
                    <w:commentReference w:id="6"/>
                  </w:r>
                </w:p>
              </w:tc>
              <w:tc>
                <w:tcPr>
                  <w:tcW w:w="5660" w:type="dxa"/>
                </w:tcPr>
                <w:p>
                  <w:pPr>
                    <w:pStyle w:val="32"/>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厂区地势低处设置1个50m³的初期雨水收集池，用于初期雨水的收集。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735" w:type="dxa"/>
                  <w:vMerge w:val="restart"/>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公用工程</w:t>
                  </w:r>
                </w:p>
              </w:tc>
              <w:tc>
                <w:tcPr>
                  <w:tcW w:w="1504" w:type="dxa"/>
                  <w:gridSpan w:val="2"/>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供水</w:t>
                  </w:r>
                </w:p>
              </w:tc>
              <w:tc>
                <w:tcPr>
                  <w:tcW w:w="5660" w:type="dxa"/>
                </w:tcPr>
                <w:p>
                  <w:pPr>
                    <w:pStyle w:val="32"/>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项目生产用水为鄂尔多斯市圣圆水务集团有限责任公司提供经处理达标后的矿井疏干水；生活用水取用地下水，已取得伊金霍洛旗农牧和水利局核发的取水证。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35" w:type="dxa"/>
                  <w:vMerge w:val="continue"/>
                </w:tcPr>
                <w:p>
                  <w:pPr>
                    <w:pStyle w:val="32"/>
                    <w:spacing w:line="240" w:lineRule="auto"/>
                    <w:ind w:firstLine="0" w:firstLineChars="0"/>
                    <w:jc w:val="center"/>
                    <w:rPr>
                      <w:rFonts w:hint="default" w:ascii="Times New Roman" w:hAnsi="Times New Roman" w:cs="Times New Roman"/>
                      <w:color w:val="auto"/>
                    </w:rPr>
                  </w:pPr>
                </w:p>
              </w:tc>
              <w:tc>
                <w:tcPr>
                  <w:tcW w:w="1504" w:type="dxa"/>
                  <w:gridSpan w:val="2"/>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供热</w:t>
                  </w:r>
                </w:p>
              </w:tc>
              <w:tc>
                <w:tcPr>
                  <w:tcW w:w="5660" w:type="dxa"/>
                </w:tcPr>
                <w:p>
                  <w:pPr>
                    <w:pStyle w:val="32"/>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项目生产使用2台0.2th电锅炉分别用于生产，办公区冬季采用电暖器采暖。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735" w:type="dxa"/>
                  <w:vMerge w:val="continue"/>
                </w:tcPr>
                <w:p>
                  <w:pPr>
                    <w:pStyle w:val="32"/>
                    <w:spacing w:line="240" w:lineRule="auto"/>
                    <w:ind w:firstLine="0" w:firstLineChars="0"/>
                    <w:jc w:val="center"/>
                    <w:rPr>
                      <w:rFonts w:hint="default" w:ascii="Times New Roman" w:hAnsi="Times New Roman" w:cs="Times New Roman"/>
                      <w:color w:val="auto"/>
                    </w:rPr>
                  </w:pPr>
                </w:p>
              </w:tc>
              <w:tc>
                <w:tcPr>
                  <w:tcW w:w="1504" w:type="dxa"/>
                  <w:gridSpan w:val="2"/>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供电</w:t>
                  </w:r>
                </w:p>
              </w:tc>
              <w:tc>
                <w:tcPr>
                  <w:tcW w:w="5660" w:type="dxa"/>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本项目用电由札萨克镇供电网接入。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735" w:type="dxa"/>
                  <w:vMerge w:val="restart"/>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环保工程</w:t>
                  </w:r>
                </w:p>
              </w:tc>
              <w:tc>
                <w:tcPr>
                  <w:tcW w:w="481" w:type="dxa"/>
                  <w:vMerge w:val="restart"/>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废气</w:t>
                  </w:r>
                </w:p>
              </w:tc>
              <w:tc>
                <w:tcPr>
                  <w:tcW w:w="1023" w:type="dxa"/>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原煤、产品堆存区</w:t>
                  </w:r>
                </w:p>
              </w:tc>
              <w:tc>
                <w:tcPr>
                  <w:tcW w:w="5660" w:type="dxa"/>
                </w:tcPr>
                <w:p>
                  <w:pPr>
                    <w:pStyle w:val="32"/>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煤棚全封闭，各个煤棚顶部设施喷淋抑尘系统。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735" w:type="dxa"/>
                  <w:vMerge w:val="continue"/>
                </w:tcPr>
                <w:p>
                  <w:pPr>
                    <w:pStyle w:val="32"/>
                    <w:spacing w:line="240" w:lineRule="auto"/>
                    <w:ind w:firstLine="0" w:firstLineChars="0"/>
                    <w:jc w:val="center"/>
                    <w:rPr>
                      <w:rFonts w:hint="default" w:ascii="Times New Roman" w:hAnsi="Times New Roman" w:cs="Times New Roman"/>
                      <w:color w:val="auto"/>
                    </w:rPr>
                  </w:pPr>
                </w:p>
              </w:tc>
              <w:tc>
                <w:tcPr>
                  <w:tcW w:w="481" w:type="dxa"/>
                  <w:vMerge w:val="continue"/>
                </w:tcPr>
                <w:p>
                  <w:pPr>
                    <w:pStyle w:val="32"/>
                    <w:spacing w:line="240" w:lineRule="auto"/>
                    <w:ind w:firstLine="0" w:firstLineChars="0"/>
                    <w:jc w:val="center"/>
                    <w:rPr>
                      <w:rFonts w:hint="default" w:ascii="Times New Roman" w:hAnsi="Times New Roman" w:cs="Times New Roman"/>
                      <w:color w:val="auto"/>
                    </w:rPr>
                  </w:pPr>
                </w:p>
              </w:tc>
              <w:tc>
                <w:tcPr>
                  <w:tcW w:w="1023" w:type="dxa"/>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原煤筛分、破碎</w:t>
                  </w:r>
                </w:p>
              </w:tc>
              <w:tc>
                <w:tcPr>
                  <w:tcW w:w="5660" w:type="dxa"/>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全封闭车间</w:t>
                  </w:r>
                  <w:r>
                    <w:rPr>
                      <w:rFonts w:hint="default" w:ascii="Times New Roman" w:hAnsi="Times New Roman" w:cs="Times New Roman"/>
                      <w:color w:val="auto"/>
                    </w:rPr>
                    <w:commentReference w:id="7"/>
                  </w:r>
                  <w:r>
                    <w:rPr>
                      <w:rFonts w:hint="default" w:ascii="Times New Roman" w:hAnsi="Times New Roman" w:cs="Times New Roman"/>
                      <w:color w:val="auto"/>
                    </w:rPr>
                    <w:t>+喷淋设施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1" w:hRule="atLeast"/>
              </w:trPr>
              <w:tc>
                <w:tcPr>
                  <w:tcW w:w="735" w:type="dxa"/>
                  <w:vMerge w:val="continue"/>
                </w:tcPr>
                <w:p>
                  <w:pPr>
                    <w:pStyle w:val="32"/>
                    <w:spacing w:line="240" w:lineRule="auto"/>
                    <w:ind w:firstLine="0" w:firstLineChars="0"/>
                    <w:jc w:val="center"/>
                    <w:rPr>
                      <w:rFonts w:hint="default" w:ascii="Times New Roman" w:hAnsi="Times New Roman" w:cs="Times New Roman"/>
                      <w:color w:val="auto"/>
                    </w:rPr>
                  </w:pPr>
                </w:p>
              </w:tc>
              <w:tc>
                <w:tcPr>
                  <w:tcW w:w="481" w:type="dxa"/>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废水</w:t>
                  </w:r>
                </w:p>
              </w:tc>
              <w:tc>
                <w:tcPr>
                  <w:tcW w:w="1023" w:type="dxa"/>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生产、生活污水</w:t>
                  </w:r>
                </w:p>
              </w:tc>
              <w:tc>
                <w:tcPr>
                  <w:tcW w:w="5660" w:type="dxa"/>
                </w:tcPr>
                <w:p>
                  <w:pPr>
                    <w:pStyle w:val="32"/>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地面冲洗废水、洗煤废水实现闭路循环不外排，厂区内建设一个20m³的化粪池，</w:t>
                  </w:r>
                  <w:r>
                    <w:rPr>
                      <w:rFonts w:hint="default" w:ascii="Times New Roman" w:hAnsi="Times New Roman" w:cs="Times New Roman"/>
                      <w:color w:val="auto"/>
                    </w:rPr>
                    <w:t>生活污水经沉淀后由伊金霍洛旗城乡卫生管理中心定期拉运至</w:t>
                  </w:r>
                  <w:r>
                    <w:rPr>
                      <w:rFonts w:hint="default" w:ascii="Times New Roman" w:hAnsi="Times New Roman" w:cs="Times New Roman"/>
                      <w:color w:val="auto"/>
                      <w:lang w:eastAsia="zh-CN"/>
                    </w:rPr>
                    <w:t>伊金霍洛旗札萨克镇</w:t>
                  </w:r>
                  <w:r>
                    <w:rPr>
                      <w:rFonts w:hint="default" w:ascii="Times New Roman" w:hAnsi="Times New Roman" w:cs="Times New Roman"/>
                      <w:color w:val="auto"/>
                    </w:rPr>
                    <w:t>台格办事处污水处理厂进行处理。</w:t>
                  </w:r>
                  <w:r>
                    <w:rPr>
                      <w:rFonts w:hint="default" w:ascii="Times New Roman" w:hAnsi="Times New Roman" w:cs="Times New Roman"/>
                      <w:color w:val="auto"/>
                    </w:rPr>
                    <w:commentReference w:id="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5" w:type="dxa"/>
                  <w:vMerge w:val="continue"/>
                </w:tcPr>
                <w:p>
                  <w:pPr>
                    <w:pStyle w:val="32"/>
                    <w:spacing w:line="240" w:lineRule="auto"/>
                    <w:ind w:firstLine="0" w:firstLineChars="0"/>
                    <w:jc w:val="center"/>
                    <w:rPr>
                      <w:rFonts w:hint="default" w:ascii="Times New Roman" w:hAnsi="Times New Roman" w:cs="Times New Roman"/>
                      <w:color w:val="auto"/>
                    </w:rPr>
                  </w:pPr>
                </w:p>
              </w:tc>
              <w:tc>
                <w:tcPr>
                  <w:tcW w:w="481" w:type="dxa"/>
                  <w:vMerge w:val="restart"/>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固废</w:t>
                  </w:r>
                </w:p>
              </w:tc>
              <w:tc>
                <w:tcPr>
                  <w:tcW w:w="1023" w:type="dxa"/>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煤泥、矸石</w:t>
                  </w:r>
                </w:p>
              </w:tc>
              <w:tc>
                <w:tcPr>
                  <w:tcW w:w="5660" w:type="dxa"/>
                </w:tcPr>
                <w:p>
                  <w:pPr>
                    <w:pStyle w:val="32"/>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煤泥和矸石在厂内煤泥棚和矸石棚暂存，煤矸石用于当地村民拉走铺路，煤泥掺入产品煤外售。</w:t>
                  </w:r>
                  <w:r>
                    <w:rPr>
                      <w:rFonts w:hint="default" w:ascii="Times New Roman" w:hAnsi="Times New Roman" w:cs="Times New Roman"/>
                      <w:color w:val="auto"/>
                    </w:rPr>
                    <w:commentReference w:id="9"/>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735" w:type="dxa"/>
                  <w:vMerge w:val="continue"/>
                </w:tcPr>
                <w:p>
                  <w:pPr>
                    <w:pStyle w:val="32"/>
                    <w:spacing w:line="240" w:lineRule="auto"/>
                    <w:ind w:firstLine="0" w:firstLineChars="0"/>
                    <w:jc w:val="center"/>
                    <w:rPr>
                      <w:rFonts w:hint="default" w:ascii="Times New Roman" w:hAnsi="Times New Roman" w:cs="Times New Roman"/>
                      <w:color w:val="auto"/>
                    </w:rPr>
                  </w:pPr>
                </w:p>
              </w:tc>
              <w:tc>
                <w:tcPr>
                  <w:tcW w:w="481" w:type="dxa"/>
                  <w:vMerge w:val="continue"/>
                </w:tcPr>
                <w:p>
                  <w:pPr>
                    <w:pStyle w:val="32"/>
                    <w:spacing w:line="240" w:lineRule="auto"/>
                    <w:ind w:firstLine="0" w:firstLineChars="0"/>
                    <w:jc w:val="center"/>
                    <w:rPr>
                      <w:rFonts w:hint="default" w:ascii="Times New Roman" w:hAnsi="Times New Roman" w:cs="Times New Roman"/>
                      <w:color w:val="auto"/>
                    </w:rPr>
                  </w:pPr>
                </w:p>
              </w:tc>
              <w:tc>
                <w:tcPr>
                  <w:tcW w:w="1023" w:type="dxa"/>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生活垃圾</w:t>
                  </w:r>
                </w:p>
              </w:tc>
              <w:tc>
                <w:tcPr>
                  <w:tcW w:w="5660" w:type="dxa"/>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生活垃圾由厂区内的垃圾桶统一收集后，由当地环卫部门定期统一处理。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735" w:type="dxa"/>
                  <w:vMerge w:val="continue"/>
                </w:tcPr>
                <w:p>
                  <w:pPr>
                    <w:pStyle w:val="32"/>
                    <w:spacing w:line="240" w:lineRule="auto"/>
                    <w:ind w:firstLine="0" w:firstLineChars="0"/>
                    <w:jc w:val="center"/>
                    <w:rPr>
                      <w:rFonts w:hint="default" w:ascii="Times New Roman" w:hAnsi="Times New Roman" w:cs="Times New Roman"/>
                      <w:color w:val="auto"/>
                    </w:rPr>
                  </w:pPr>
                </w:p>
              </w:tc>
              <w:tc>
                <w:tcPr>
                  <w:tcW w:w="481" w:type="dxa"/>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噪声</w:t>
                  </w:r>
                </w:p>
              </w:tc>
              <w:tc>
                <w:tcPr>
                  <w:tcW w:w="1023" w:type="dxa"/>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设备噪声</w:t>
                  </w:r>
                </w:p>
              </w:tc>
              <w:tc>
                <w:tcPr>
                  <w:tcW w:w="5660" w:type="dxa"/>
                  <w:vAlign w:val="center"/>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选用低噪声设备，厂房隔声。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735" w:type="dxa"/>
                  <w:vMerge w:val="restart"/>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辅助工程</w:t>
                  </w:r>
                </w:p>
              </w:tc>
              <w:tc>
                <w:tcPr>
                  <w:tcW w:w="1504" w:type="dxa"/>
                  <w:gridSpan w:val="2"/>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地磅及磅房</w:t>
                  </w:r>
                </w:p>
              </w:tc>
              <w:tc>
                <w:tcPr>
                  <w:tcW w:w="5660" w:type="dxa"/>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地磅及磅房建筑面积30.95㎡。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5" w:type="dxa"/>
                  <w:vMerge w:val="continue"/>
                </w:tcPr>
                <w:p>
                  <w:pPr>
                    <w:pStyle w:val="32"/>
                    <w:spacing w:line="240" w:lineRule="auto"/>
                    <w:ind w:firstLine="0" w:firstLineChars="0"/>
                    <w:jc w:val="center"/>
                    <w:rPr>
                      <w:rFonts w:hint="default" w:ascii="Times New Roman" w:hAnsi="Times New Roman" w:cs="Times New Roman"/>
                      <w:color w:val="auto"/>
                    </w:rPr>
                  </w:pPr>
                </w:p>
              </w:tc>
              <w:tc>
                <w:tcPr>
                  <w:tcW w:w="1504" w:type="dxa"/>
                  <w:gridSpan w:val="2"/>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办公生活区</w:t>
                  </w:r>
                </w:p>
              </w:tc>
              <w:tc>
                <w:tcPr>
                  <w:tcW w:w="5660" w:type="dxa"/>
                </w:tcPr>
                <w:p>
                  <w:pPr>
                    <w:pStyle w:val="32"/>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办公生活设施建筑面积为743.92㎡。</w:t>
                  </w:r>
                </w:p>
              </w:tc>
            </w:tr>
          </w:tbl>
          <w:p>
            <w:pPr>
              <w:ind w:firstLine="482"/>
              <w:rPr>
                <w:b/>
                <w:bCs/>
                <w:color w:val="auto"/>
              </w:rPr>
            </w:pPr>
            <w:r>
              <w:rPr>
                <w:rFonts w:hint="eastAsia"/>
                <w:b/>
                <w:bCs/>
                <w:color w:val="auto"/>
                <w:lang w:eastAsia="zh-CN"/>
              </w:rPr>
              <w:t>2.</w:t>
            </w:r>
            <w:r>
              <w:rPr>
                <w:rFonts w:hint="eastAsia"/>
                <w:b/>
                <w:bCs/>
                <w:color w:val="auto"/>
              </w:rPr>
              <w:t>原煤来源及产品方案</w:t>
            </w:r>
          </w:p>
          <w:p>
            <w:pPr>
              <w:ind w:firstLine="480"/>
              <w:rPr>
                <w:color w:val="auto"/>
              </w:rPr>
            </w:pPr>
            <w:r>
              <w:rPr>
                <w:rFonts w:hint="eastAsia"/>
                <w:color w:val="auto"/>
              </w:rPr>
              <w:t>项目所用原料煤由本项目入洗原煤来自马泰壕煤矿。洗选规模为120万t/a，年产精煤30万t/a、中煤66万t/a、煤泥12万t/a、矸石12万t/a。</w:t>
            </w:r>
          </w:p>
          <w:p>
            <w:pPr>
              <w:adjustRightInd w:val="0"/>
              <w:snapToGrid w:val="0"/>
              <w:ind w:firstLine="482"/>
              <w:rPr>
                <w:b/>
                <w:color w:val="auto"/>
              </w:rPr>
            </w:pPr>
            <w:r>
              <w:rPr>
                <w:rFonts w:hint="eastAsia"/>
                <w:b/>
                <w:color w:val="auto"/>
              </w:rPr>
              <w:t>四</w:t>
            </w:r>
            <w:r>
              <w:rPr>
                <w:b/>
                <w:color w:val="auto"/>
              </w:rPr>
              <w:t>、</w:t>
            </w:r>
            <w:r>
              <w:rPr>
                <w:rFonts w:hint="eastAsia"/>
                <w:b/>
                <w:color w:val="auto"/>
              </w:rPr>
              <w:t>本次</w:t>
            </w:r>
            <w:r>
              <w:rPr>
                <w:b/>
                <w:color w:val="auto"/>
              </w:rPr>
              <w:t>项目</w:t>
            </w:r>
            <w:r>
              <w:rPr>
                <w:rFonts w:hint="eastAsia"/>
                <w:b/>
                <w:color w:val="auto"/>
              </w:rPr>
              <w:t>建设</w:t>
            </w:r>
            <w:r>
              <w:rPr>
                <w:b/>
                <w:color w:val="auto"/>
              </w:rPr>
              <w:t>概况</w:t>
            </w:r>
          </w:p>
          <w:p>
            <w:pPr>
              <w:ind w:firstLine="482"/>
              <w:rPr>
                <w:b/>
                <w:bCs/>
                <w:color w:val="auto"/>
              </w:rPr>
            </w:pPr>
            <w:r>
              <w:rPr>
                <w:rFonts w:hint="eastAsia"/>
                <w:b/>
                <w:bCs/>
                <w:color w:val="auto"/>
                <w:lang w:eastAsia="zh-CN"/>
              </w:rPr>
              <w:t>1.</w:t>
            </w:r>
            <w:r>
              <w:rPr>
                <w:b/>
                <w:bCs/>
                <w:color w:val="auto"/>
              </w:rPr>
              <w:t>项目建设基本情况</w:t>
            </w:r>
          </w:p>
          <w:p>
            <w:pPr>
              <w:ind w:firstLine="480"/>
              <w:rPr>
                <w:color w:val="auto"/>
              </w:rPr>
            </w:pPr>
            <w:r>
              <w:rPr>
                <w:color w:val="auto"/>
              </w:rPr>
              <w:t>项目名称：</w:t>
            </w:r>
            <w:r>
              <w:rPr>
                <w:rFonts w:hint="eastAsia"/>
                <w:color w:val="auto"/>
              </w:rPr>
              <w:t>伊金霍洛旗新街马秦壕鑫源洗煤厂煤炭烘干项目</w:t>
            </w:r>
          </w:p>
          <w:p>
            <w:pPr>
              <w:ind w:firstLine="480"/>
              <w:rPr>
                <w:color w:val="auto"/>
              </w:rPr>
            </w:pPr>
            <w:r>
              <w:rPr>
                <w:color w:val="auto"/>
              </w:rPr>
              <w:t>建设单位：</w:t>
            </w:r>
            <w:r>
              <w:rPr>
                <w:rFonts w:hint="eastAsia"/>
                <w:color w:val="auto"/>
              </w:rPr>
              <w:t>伊金霍洛旗新街马秦壕鑫源洗煤厂</w:t>
            </w:r>
          </w:p>
          <w:p>
            <w:pPr>
              <w:ind w:firstLine="480"/>
              <w:rPr>
                <w:color w:val="auto"/>
              </w:rPr>
            </w:pPr>
            <w:r>
              <w:rPr>
                <w:color w:val="auto"/>
              </w:rPr>
              <w:t>建设地点：内蒙古自治区鄂尔多斯市伊金霍洛旗札萨克镇新街区</w:t>
            </w:r>
            <w:r>
              <w:rPr>
                <w:rFonts w:hint="eastAsia"/>
                <w:color w:val="auto"/>
              </w:rPr>
              <w:t>马秦壕</w:t>
            </w:r>
            <w:r>
              <w:rPr>
                <w:color w:val="auto"/>
              </w:rPr>
              <w:t>，</w:t>
            </w:r>
            <w:r>
              <w:rPr>
                <w:rFonts w:hint="eastAsia"/>
                <w:color w:val="auto"/>
              </w:rPr>
              <w:t>伊金霍洛旗新街马秦壕鑫源洗煤厂</w:t>
            </w:r>
            <w:r>
              <w:rPr>
                <w:color w:val="auto"/>
              </w:rPr>
              <w:t>现有工业场地内建设</w:t>
            </w:r>
          </w:p>
          <w:p>
            <w:pPr>
              <w:ind w:firstLine="480"/>
              <w:rPr>
                <w:color w:val="auto"/>
              </w:rPr>
            </w:pPr>
            <w:r>
              <w:rPr>
                <w:color w:val="auto"/>
              </w:rPr>
              <w:t>建设性质：扩建</w:t>
            </w:r>
          </w:p>
          <w:p>
            <w:pPr>
              <w:ind w:firstLine="480"/>
              <w:rPr>
                <w:color w:val="auto"/>
              </w:rPr>
            </w:pPr>
            <w:r>
              <w:rPr>
                <w:color w:val="auto"/>
              </w:rPr>
              <w:t>生产规模：</w:t>
            </w:r>
            <w:r>
              <w:rPr>
                <w:color w:val="auto"/>
              </w:rPr>
              <w:t>本项目新建1条煤炭烘干生产线，用于</w:t>
            </w:r>
            <w:r>
              <w:rPr>
                <w:rFonts w:hint="eastAsia"/>
                <w:color w:val="auto"/>
              </w:rPr>
              <w:t>马秦壕</w:t>
            </w:r>
            <w:r>
              <w:rPr>
                <w:color w:val="auto"/>
              </w:rPr>
              <w:t>鑫源洗煤厂产品煤</w:t>
            </w:r>
            <w:r>
              <w:rPr>
                <w:rFonts w:hint="eastAsia"/>
                <w:color w:val="auto"/>
              </w:rPr>
              <w:t>的烘干</w:t>
            </w:r>
            <w:r>
              <w:rPr>
                <w:color w:val="auto"/>
              </w:rPr>
              <w:t>，年烘干量为50万t/a（</w:t>
            </w:r>
            <w:r>
              <w:rPr>
                <w:rFonts w:hint="eastAsia"/>
                <w:color w:val="auto"/>
              </w:rPr>
              <w:t>为马秦壕</w:t>
            </w:r>
            <w:r>
              <w:rPr>
                <w:color w:val="auto"/>
              </w:rPr>
              <w:t>鑫源洗煤厂的</w:t>
            </w:r>
            <w:r>
              <w:rPr>
                <w:rFonts w:hint="eastAsia"/>
                <w:color w:val="auto"/>
              </w:rPr>
              <w:t>中煤掺煤泥，中煤与煤泥的掺混比为6:1</w:t>
            </w:r>
            <w:r>
              <w:rPr>
                <w:color w:val="auto"/>
              </w:rPr>
              <w:t>），</w:t>
            </w:r>
            <w:r>
              <w:rPr>
                <w:rFonts w:hint="eastAsia"/>
                <w:color w:val="auto"/>
              </w:rPr>
              <w:t>烘干</w:t>
            </w:r>
            <w:r>
              <w:rPr>
                <w:color w:val="auto"/>
              </w:rPr>
              <w:t>后可产出</w:t>
            </w:r>
            <w:r>
              <w:rPr>
                <w:rFonts w:hint="eastAsia"/>
                <w:color w:val="auto"/>
              </w:rPr>
              <w:t>44.07万</w:t>
            </w:r>
            <w:r>
              <w:rPr>
                <w:color w:val="auto"/>
              </w:rPr>
              <w:t>t/a</w:t>
            </w:r>
            <w:r>
              <w:rPr>
                <w:rFonts w:hint="eastAsia"/>
                <w:color w:val="auto"/>
              </w:rPr>
              <w:t>的产品</w:t>
            </w:r>
            <w:r>
              <w:rPr>
                <w:color w:val="auto"/>
              </w:rPr>
              <w:t>煤。</w:t>
            </w:r>
            <w:commentRangeStart w:id="10"/>
            <w:commentRangeStart w:id="11"/>
            <w:r>
              <w:rPr>
                <w:color w:val="auto"/>
              </w:rPr>
              <w:commentReference w:id="10"/>
            </w:r>
            <w:commentRangeEnd w:id="10"/>
            <w:commentRangeEnd w:id="11"/>
            <w:r>
              <w:rPr>
                <w:color w:val="auto"/>
              </w:rPr>
              <w:commentReference w:id="11"/>
            </w:r>
          </w:p>
          <w:p>
            <w:pPr>
              <w:ind w:firstLine="480"/>
              <w:rPr>
                <w:color w:val="auto"/>
              </w:rPr>
            </w:pPr>
            <w:r>
              <w:rPr>
                <w:color w:val="auto"/>
              </w:rPr>
              <w:t>项目投资：本项目总投资金额为2500万元，其中环保投资金额为</w:t>
            </w:r>
            <w:r>
              <w:rPr>
                <w:rFonts w:hint="eastAsia"/>
                <w:color w:val="auto"/>
              </w:rPr>
              <w:t>95</w:t>
            </w:r>
            <w:r>
              <w:rPr>
                <w:color w:val="auto"/>
              </w:rPr>
              <w:t>万元，占总投资金额的</w:t>
            </w:r>
            <w:r>
              <w:rPr>
                <w:rFonts w:hint="eastAsia"/>
                <w:color w:val="auto"/>
              </w:rPr>
              <w:t>3.8%</w:t>
            </w:r>
            <w:r>
              <w:rPr>
                <w:color w:val="auto"/>
              </w:rPr>
              <w:t>。</w:t>
            </w:r>
          </w:p>
          <w:p>
            <w:pPr>
              <w:ind w:firstLine="480"/>
              <w:rPr>
                <w:color w:val="auto"/>
              </w:rPr>
            </w:pPr>
            <w:r>
              <w:rPr>
                <w:color w:val="auto"/>
              </w:rPr>
              <w:t>建设内容：本项目利用现有工业场地内的空闲4#-1全封闭煤棚及4#-3全封闭煤棚进行本项目的建设，4#-1全封闭煤棚建设面积为3600㎡，作为本项目的原料储棚，用于本项目的原料煤存储；全封闭4#-3全封闭煤棚建筑面积为5600㎡，用作本项目的干燥车间，用于原料煤的烘干，全封闭干燥车间内设置一条煤烘干生产线，年烘干50万吨</w:t>
            </w:r>
            <w:r>
              <w:rPr>
                <w:rFonts w:hint="eastAsia"/>
                <w:color w:val="auto"/>
              </w:rPr>
              <w:t>原料煤</w:t>
            </w:r>
            <w:r>
              <w:rPr>
                <w:color w:val="auto"/>
              </w:rPr>
              <w:t>，全封闭干燥车间内的东南角处用于</w:t>
            </w:r>
            <w:r>
              <w:rPr>
                <w:rFonts w:hint="eastAsia"/>
                <w:color w:val="auto"/>
              </w:rPr>
              <w:t>烘干</w:t>
            </w:r>
            <w:r>
              <w:rPr>
                <w:color w:val="auto"/>
              </w:rPr>
              <w:t>煤炭成品的堆存，成品堆场占地面积为1</w:t>
            </w:r>
            <w:r>
              <w:rPr>
                <w:rFonts w:hint="eastAsia"/>
                <w:color w:val="auto"/>
              </w:rPr>
              <w:t>5</w:t>
            </w:r>
            <w:r>
              <w:rPr>
                <w:color w:val="auto"/>
              </w:rPr>
              <w:t>00㎡。本项目组成及建设内容详见表2-</w:t>
            </w:r>
            <w:r>
              <w:rPr>
                <w:rFonts w:hint="eastAsia"/>
                <w:color w:val="auto"/>
              </w:rPr>
              <w:t>2</w:t>
            </w:r>
            <w:r>
              <w:rPr>
                <w:color w:val="auto"/>
              </w:rPr>
              <w:t>。</w:t>
            </w:r>
          </w:p>
          <w:p>
            <w:pPr>
              <w:ind w:firstLine="482"/>
              <w:jc w:val="center"/>
              <w:rPr>
                <w:b/>
                <w:bCs/>
                <w:color w:val="auto"/>
              </w:rPr>
            </w:pPr>
            <w:r>
              <w:rPr>
                <w:b/>
                <w:bCs/>
                <w:color w:val="auto"/>
              </w:rPr>
              <w:t>表2-</w:t>
            </w:r>
            <w:r>
              <w:rPr>
                <w:rFonts w:hint="eastAsia"/>
                <w:b/>
                <w:bCs/>
                <w:color w:val="auto"/>
              </w:rPr>
              <w:t>2</w:t>
            </w:r>
            <w:r>
              <w:rPr>
                <w:b/>
                <w:bCs/>
                <w:color w:val="auto"/>
              </w:rPr>
              <w:t>主要建设内容</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7"/>
              <w:gridCol w:w="750"/>
              <w:gridCol w:w="757"/>
              <w:gridCol w:w="4961"/>
              <w:gridCol w:w="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 w:hRule="atLeast"/>
                <w:jc w:val="center"/>
              </w:trPr>
              <w:tc>
                <w:tcPr>
                  <w:tcW w:w="470" w:type="pct"/>
                  <w:vAlign w:val="center"/>
                </w:tcPr>
                <w:p>
                  <w:pPr>
                    <w:spacing w:line="240" w:lineRule="auto"/>
                    <w:ind w:firstLine="0" w:firstLineChars="0"/>
                    <w:rPr>
                      <w:color w:val="auto"/>
                    </w:rPr>
                  </w:pPr>
                  <w:r>
                    <w:rPr>
                      <w:color w:val="auto"/>
                    </w:rPr>
                    <w:t>工程类别</w:t>
                  </w:r>
                </w:p>
              </w:tc>
              <w:tc>
                <w:tcPr>
                  <w:tcW w:w="472" w:type="pct"/>
                  <w:vAlign w:val="center"/>
                </w:tcPr>
                <w:p>
                  <w:pPr>
                    <w:spacing w:line="240" w:lineRule="auto"/>
                    <w:ind w:firstLine="0" w:firstLineChars="0"/>
                    <w:rPr>
                      <w:color w:val="auto"/>
                    </w:rPr>
                  </w:pPr>
                  <w:r>
                    <w:rPr>
                      <w:color w:val="auto"/>
                    </w:rPr>
                    <w:t>单项工程</w:t>
                  </w:r>
                </w:p>
              </w:tc>
              <w:tc>
                <w:tcPr>
                  <w:tcW w:w="3603" w:type="pct"/>
                  <w:gridSpan w:val="2"/>
                  <w:vAlign w:val="center"/>
                </w:tcPr>
                <w:p>
                  <w:pPr>
                    <w:spacing w:line="240" w:lineRule="auto"/>
                    <w:ind w:firstLine="0" w:firstLineChars="0"/>
                    <w:jc w:val="center"/>
                    <w:rPr>
                      <w:color w:val="auto"/>
                    </w:rPr>
                  </w:pPr>
                  <w:r>
                    <w:rPr>
                      <w:color w:val="auto"/>
                    </w:rPr>
                    <w:t>规划建设内容</w:t>
                  </w:r>
                </w:p>
              </w:tc>
              <w:tc>
                <w:tcPr>
                  <w:tcW w:w="453" w:type="pct"/>
                  <w:vAlign w:val="center"/>
                </w:tcPr>
                <w:p>
                  <w:pPr>
                    <w:spacing w:line="240" w:lineRule="auto"/>
                    <w:ind w:firstLine="0" w:firstLineChars="0"/>
                    <w:rPr>
                      <w:color w:val="auto"/>
                    </w:rPr>
                  </w:pPr>
                  <w:r>
                    <w:rPr>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470" w:type="pct"/>
                  <w:vAlign w:val="center"/>
                </w:tcPr>
                <w:p>
                  <w:pPr>
                    <w:spacing w:line="240" w:lineRule="auto"/>
                    <w:ind w:firstLine="0" w:firstLineChars="0"/>
                    <w:rPr>
                      <w:color w:val="auto"/>
                    </w:rPr>
                  </w:pPr>
                  <w:r>
                    <w:rPr>
                      <w:color w:val="auto"/>
                    </w:rPr>
                    <w:t>主体工程</w:t>
                  </w:r>
                </w:p>
              </w:tc>
              <w:tc>
                <w:tcPr>
                  <w:tcW w:w="472" w:type="pct"/>
                  <w:vAlign w:val="center"/>
                </w:tcPr>
                <w:p>
                  <w:pPr>
                    <w:spacing w:line="240" w:lineRule="auto"/>
                    <w:ind w:firstLine="0" w:firstLineChars="0"/>
                    <w:rPr>
                      <w:color w:val="auto"/>
                    </w:rPr>
                  </w:pPr>
                  <w:r>
                    <w:rPr>
                      <w:color w:val="auto"/>
                    </w:rPr>
                    <w:t>干燥车间</w:t>
                  </w:r>
                </w:p>
              </w:tc>
              <w:tc>
                <w:tcPr>
                  <w:tcW w:w="3603" w:type="pct"/>
                  <w:gridSpan w:val="2"/>
                  <w:vAlign w:val="center"/>
                </w:tcPr>
                <w:p>
                  <w:pPr>
                    <w:spacing w:line="240" w:lineRule="auto"/>
                    <w:ind w:firstLine="0" w:firstLineChars="0"/>
                    <w:rPr>
                      <w:color w:val="auto"/>
                    </w:rPr>
                  </w:pPr>
                  <w:r>
                    <w:rPr>
                      <w:color w:val="auto"/>
                    </w:rPr>
                    <w:t>本项目依托厂区内现有4#-3全封闭煤棚作为本项目的干燥车间，建筑面积为5600㎡，</w:t>
                  </w:r>
                  <w:r>
                    <w:rPr>
                      <w:rFonts w:hint="eastAsia"/>
                      <w:color w:val="auto"/>
                    </w:rPr>
                    <w:t>高度为10m，</w:t>
                  </w:r>
                  <w:r>
                    <w:rPr>
                      <w:color w:val="auto"/>
                    </w:rPr>
                    <w:t>内设一条煤烘干生产线，年烘干原煤量为50万t/a，一条生产线附带内设三套煤炭</w:t>
                  </w:r>
                  <w:r>
                    <w:rPr>
                      <w:rFonts w:hint="eastAsia"/>
                      <w:color w:val="auto"/>
                    </w:rPr>
                    <w:t>蒸汽压力釜</w:t>
                  </w:r>
                  <w:r>
                    <w:rPr>
                      <w:color w:val="auto"/>
                    </w:rPr>
                    <w:t>，物料间的转运使用封闭式输送皮带进行转运。</w:t>
                  </w:r>
                </w:p>
              </w:tc>
              <w:tc>
                <w:tcPr>
                  <w:tcW w:w="453" w:type="pct"/>
                  <w:vAlign w:val="center"/>
                </w:tcPr>
                <w:p>
                  <w:pPr>
                    <w:spacing w:line="240" w:lineRule="auto"/>
                    <w:ind w:firstLine="0" w:firstLineChars="0"/>
                    <w:rPr>
                      <w:color w:val="auto"/>
                    </w:rPr>
                  </w:pPr>
                  <w:r>
                    <w:rPr>
                      <w:rFonts w:hint="eastAsia"/>
                      <w:color w:val="auto"/>
                    </w:rPr>
                    <w:t>车间</w:t>
                  </w:r>
                  <w:r>
                    <w:rPr>
                      <w:color w:val="auto"/>
                    </w:rPr>
                    <w:t>依托</w:t>
                  </w:r>
                  <w:r>
                    <w:rPr>
                      <w:rFonts w:hint="eastAsia"/>
                      <w:color w:val="auto"/>
                    </w:rPr>
                    <w:t>+设备新建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470" w:type="pct"/>
                  <w:vMerge w:val="restart"/>
                  <w:vAlign w:val="center"/>
                </w:tcPr>
                <w:p>
                  <w:pPr>
                    <w:spacing w:line="240" w:lineRule="auto"/>
                    <w:ind w:firstLine="0" w:firstLineChars="0"/>
                    <w:rPr>
                      <w:color w:val="auto"/>
                    </w:rPr>
                  </w:pPr>
                  <w:r>
                    <w:rPr>
                      <w:color w:val="auto"/>
                    </w:rPr>
                    <w:t>储运工程</w:t>
                  </w:r>
                </w:p>
              </w:tc>
              <w:tc>
                <w:tcPr>
                  <w:tcW w:w="472" w:type="pct"/>
                  <w:vAlign w:val="center"/>
                </w:tcPr>
                <w:p>
                  <w:pPr>
                    <w:spacing w:line="240" w:lineRule="auto"/>
                    <w:ind w:firstLine="0" w:firstLineChars="0"/>
                    <w:rPr>
                      <w:color w:val="auto"/>
                    </w:rPr>
                  </w:pPr>
                  <w:commentRangeStart w:id="12"/>
                  <w:r>
                    <w:rPr>
                      <w:rFonts w:hint="default" w:ascii="Times New Roman" w:hAnsi="Times New Roman" w:cs="Times New Roman"/>
                      <w:color w:val="auto"/>
                      <w:sz w:val="24"/>
                      <w:szCs w:val="24"/>
                      <w:lang w:val="en-US" w:eastAsia="zh-CN"/>
                    </w:rPr>
                    <w:t>原煤储棚</w:t>
                  </w:r>
                  <w:commentRangeEnd w:id="12"/>
                  <w:r>
                    <w:rPr>
                      <w:color w:val="auto"/>
                    </w:rPr>
                    <w:commentReference w:id="12"/>
                  </w:r>
                </w:p>
              </w:tc>
              <w:tc>
                <w:tcPr>
                  <w:tcW w:w="3603" w:type="pct"/>
                  <w:gridSpan w:val="2"/>
                  <w:vAlign w:val="center"/>
                </w:tcPr>
                <w:p>
                  <w:pPr>
                    <w:spacing w:line="240" w:lineRule="auto"/>
                    <w:ind w:firstLine="0" w:firstLineChars="0"/>
                    <w:rPr>
                      <w:color w:val="auto"/>
                    </w:rPr>
                  </w:pPr>
                  <w:r>
                    <w:rPr>
                      <w:color w:val="auto"/>
                    </w:rPr>
                    <w:t>本项目依托厂区内现有的4#-1全封闭煤棚作为本项目的原煤储棚，建筑面积为3600㎡，</w:t>
                  </w:r>
                  <w:r>
                    <w:rPr>
                      <w:rFonts w:hint="eastAsia"/>
                      <w:color w:val="auto"/>
                    </w:rPr>
                    <w:t>高度为10m，</w:t>
                  </w:r>
                  <w:r>
                    <w:rPr>
                      <w:color w:val="auto"/>
                    </w:rPr>
                    <w:t>全封闭原煤储棚，</w:t>
                  </w:r>
                  <w:r>
                    <w:rPr>
                      <w:rFonts w:hint="eastAsia"/>
                      <w:color w:val="auto"/>
                    </w:rPr>
                    <w:t>最大存储量为10606t，</w:t>
                  </w:r>
                  <w:r>
                    <w:rPr>
                      <w:color w:val="auto"/>
                    </w:rPr>
                    <w:t>可满足成品的7天存放量。</w:t>
                  </w:r>
                </w:p>
              </w:tc>
              <w:tc>
                <w:tcPr>
                  <w:tcW w:w="453" w:type="pct"/>
                  <w:vAlign w:val="center"/>
                </w:tcPr>
                <w:p>
                  <w:pPr>
                    <w:spacing w:line="240" w:lineRule="auto"/>
                    <w:ind w:firstLine="0" w:firstLineChars="0"/>
                    <w:rPr>
                      <w:color w:val="auto"/>
                    </w:rPr>
                  </w:pPr>
                  <w:r>
                    <w:rPr>
                      <w:color w:val="auto"/>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470" w:type="pct"/>
                  <w:vMerge w:val="continue"/>
                  <w:vAlign w:val="center"/>
                </w:tcPr>
                <w:p>
                  <w:pPr>
                    <w:spacing w:line="240" w:lineRule="auto"/>
                    <w:ind w:firstLine="0" w:firstLineChars="0"/>
                    <w:rPr>
                      <w:color w:val="auto"/>
                    </w:rPr>
                  </w:pPr>
                </w:p>
              </w:tc>
              <w:tc>
                <w:tcPr>
                  <w:tcW w:w="472" w:type="pct"/>
                  <w:vAlign w:val="center"/>
                </w:tcPr>
                <w:p>
                  <w:pPr>
                    <w:spacing w:line="240" w:lineRule="auto"/>
                    <w:ind w:firstLine="0" w:firstLineChars="0"/>
                    <w:rPr>
                      <w:color w:val="auto"/>
                    </w:rPr>
                  </w:pPr>
                  <w:r>
                    <w:rPr>
                      <w:color w:val="auto"/>
                    </w:rPr>
                    <w:t>成品堆场</w:t>
                  </w:r>
                </w:p>
              </w:tc>
              <w:tc>
                <w:tcPr>
                  <w:tcW w:w="3603" w:type="pct"/>
                  <w:gridSpan w:val="2"/>
                  <w:vAlign w:val="center"/>
                </w:tcPr>
                <w:p>
                  <w:pPr>
                    <w:spacing w:line="240" w:lineRule="auto"/>
                    <w:ind w:firstLine="0" w:firstLineChars="0"/>
                    <w:jc w:val="left"/>
                    <w:rPr>
                      <w:color w:val="auto"/>
                    </w:rPr>
                  </w:pPr>
                  <w:r>
                    <w:rPr>
                      <w:color w:val="auto"/>
                    </w:rPr>
                    <w:t>成品堆场位于干燥车间内的东南角处设置，占地面积为</w:t>
                  </w:r>
                  <w:r>
                    <w:rPr>
                      <w:rFonts w:hint="eastAsia"/>
                      <w:color w:val="auto"/>
                    </w:rPr>
                    <w:t>15</w:t>
                  </w:r>
                  <w:r>
                    <w:rPr>
                      <w:color w:val="auto"/>
                    </w:rPr>
                    <w:t>00㎡，</w:t>
                  </w:r>
                  <w:r>
                    <w:rPr>
                      <w:color w:val="auto"/>
                    </w:rPr>
                    <w:t>最大存放量为</w:t>
                  </w:r>
                  <w:r>
                    <w:rPr>
                      <w:rFonts w:hint="eastAsia"/>
                      <w:color w:val="auto"/>
                    </w:rPr>
                    <w:t>9348</w:t>
                  </w:r>
                  <w:r>
                    <w:rPr>
                      <w:color w:val="auto"/>
                    </w:rPr>
                    <w:t>吨，可满足成品的</w:t>
                  </w:r>
                  <w:r>
                    <w:rPr>
                      <w:rFonts w:hint="eastAsia"/>
                      <w:color w:val="auto"/>
                    </w:rPr>
                    <w:t>7</w:t>
                  </w:r>
                  <w:r>
                    <w:rPr>
                      <w:color w:val="auto"/>
                    </w:rPr>
                    <w:t>天</w:t>
                  </w:r>
                  <w:r>
                    <w:rPr>
                      <w:rFonts w:hint="eastAsia"/>
                      <w:color w:val="auto"/>
                    </w:rPr>
                    <w:t>存储</w:t>
                  </w:r>
                  <w:r>
                    <w:rPr>
                      <w:color w:val="auto"/>
                    </w:rPr>
                    <w:t>量。</w:t>
                  </w:r>
                  <w:commentRangeStart w:id="13"/>
                  <w:commentRangeStart w:id="14"/>
                  <w:r>
                    <w:rPr>
                      <w:color w:val="auto"/>
                    </w:rPr>
                    <w:commentReference w:id="13"/>
                  </w:r>
                  <w:commentRangeEnd w:id="13"/>
                  <w:commentRangeEnd w:id="14"/>
                  <w:r>
                    <w:rPr>
                      <w:color w:val="auto"/>
                    </w:rPr>
                    <w:commentReference w:id="14"/>
                  </w:r>
                  <w:r>
                    <w:rPr>
                      <w:color w:val="auto"/>
                    </w:rPr>
                    <w:commentReference w:id="15"/>
                  </w:r>
                </w:p>
              </w:tc>
              <w:tc>
                <w:tcPr>
                  <w:tcW w:w="453" w:type="pct"/>
                  <w:vAlign w:val="center"/>
                </w:tcPr>
                <w:p>
                  <w:pPr>
                    <w:spacing w:line="240" w:lineRule="auto"/>
                    <w:ind w:firstLine="0" w:firstLineChars="0"/>
                    <w:rPr>
                      <w:color w:val="auto"/>
                    </w:rPr>
                  </w:pPr>
                  <w:r>
                    <w:rPr>
                      <w:color w:val="auto"/>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1" w:hRule="atLeast"/>
                <w:jc w:val="center"/>
              </w:trPr>
              <w:tc>
                <w:tcPr>
                  <w:tcW w:w="470" w:type="pct"/>
                  <w:vMerge w:val="continue"/>
                  <w:vAlign w:val="center"/>
                </w:tcPr>
                <w:p>
                  <w:pPr>
                    <w:spacing w:line="240" w:lineRule="auto"/>
                    <w:ind w:firstLine="0" w:firstLineChars="0"/>
                    <w:rPr>
                      <w:color w:val="auto"/>
                    </w:rPr>
                  </w:pPr>
                </w:p>
              </w:tc>
              <w:tc>
                <w:tcPr>
                  <w:tcW w:w="472" w:type="pct"/>
                  <w:vAlign w:val="center"/>
                </w:tcPr>
                <w:p>
                  <w:pPr>
                    <w:spacing w:line="240" w:lineRule="auto"/>
                    <w:ind w:firstLine="0" w:firstLineChars="0"/>
                    <w:rPr>
                      <w:color w:val="auto"/>
                    </w:rPr>
                  </w:pPr>
                  <w:r>
                    <w:rPr>
                      <w:rFonts w:hint="eastAsia"/>
                      <w:color w:val="auto"/>
                    </w:rPr>
                    <w:t>危废库</w:t>
                  </w:r>
                </w:p>
              </w:tc>
              <w:tc>
                <w:tcPr>
                  <w:tcW w:w="3603" w:type="pct"/>
                  <w:gridSpan w:val="2"/>
                  <w:vAlign w:val="center"/>
                </w:tcPr>
                <w:p>
                  <w:pPr>
                    <w:spacing w:line="240" w:lineRule="auto"/>
                    <w:ind w:firstLine="0" w:firstLineChars="0"/>
                    <w:jc w:val="left"/>
                    <w:rPr>
                      <w:color w:val="auto"/>
                    </w:rPr>
                  </w:pPr>
                  <w:r>
                    <w:rPr>
                      <w:color w:val="auto"/>
                    </w:rPr>
                    <w:t>本项目新建一座6㎡的</w:t>
                  </w:r>
                  <w:r>
                    <w:rPr>
                      <w:rFonts w:hint="eastAsia"/>
                      <w:color w:val="auto"/>
                    </w:rPr>
                    <w:t>危废库</w:t>
                  </w:r>
                  <w:r>
                    <w:rPr>
                      <w:color w:val="auto"/>
                    </w:rPr>
                    <w:t>，用于存储本项目产生的危险废物暂存，危险废物定期交由有资质单位进行处置。四周设导流渠（宽200mm，高宽200mm），通往</w:t>
                  </w:r>
                  <w:r>
                    <w:rPr>
                      <w:rFonts w:hint="eastAsia"/>
                      <w:color w:val="auto"/>
                    </w:rPr>
                    <w:t>危废库</w:t>
                  </w:r>
                  <w:r>
                    <w:rPr>
                      <w:color w:val="auto"/>
                    </w:rPr>
                    <w:t>集液池，用于将溢出废液导入集液池内。墙面四周设置300mm高的裙脚；角落设1座集液池（容积1m³），用于收集暂存一旦发生损坏时渗漏的危险废物。</w:t>
                  </w:r>
                </w:p>
              </w:tc>
              <w:tc>
                <w:tcPr>
                  <w:tcW w:w="453" w:type="pct"/>
                  <w:vAlign w:val="center"/>
                </w:tcPr>
                <w:p>
                  <w:pPr>
                    <w:spacing w:line="240" w:lineRule="auto"/>
                    <w:ind w:firstLine="0" w:firstLineChars="0"/>
                    <w:rPr>
                      <w:color w:val="auto"/>
                    </w:rPr>
                  </w:pPr>
                  <w:r>
                    <w:rPr>
                      <w:rFonts w:hint="eastAsia"/>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7" w:hRule="atLeast"/>
                <w:jc w:val="center"/>
              </w:trPr>
              <w:tc>
                <w:tcPr>
                  <w:tcW w:w="470" w:type="pct"/>
                  <w:vMerge w:val="continue"/>
                  <w:vAlign w:val="center"/>
                </w:tcPr>
                <w:p>
                  <w:pPr>
                    <w:spacing w:line="240" w:lineRule="auto"/>
                    <w:ind w:firstLine="0" w:firstLineChars="0"/>
                    <w:rPr>
                      <w:color w:val="auto"/>
                    </w:rPr>
                  </w:pPr>
                </w:p>
              </w:tc>
              <w:tc>
                <w:tcPr>
                  <w:tcW w:w="472" w:type="pct"/>
                  <w:vAlign w:val="center"/>
                </w:tcPr>
                <w:p>
                  <w:pPr>
                    <w:spacing w:line="240" w:lineRule="auto"/>
                    <w:ind w:firstLine="0" w:firstLineChars="0"/>
                    <w:rPr>
                      <w:color w:val="auto"/>
                    </w:rPr>
                  </w:pPr>
                  <w:r>
                    <w:rPr>
                      <w:rFonts w:hint="eastAsia"/>
                      <w:color w:val="auto"/>
                    </w:rPr>
                    <w:t>天然气存储</w:t>
                  </w:r>
                </w:p>
              </w:tc>
              <w:tc>
                <w:tcPr>
                  <w:tcW w:w="3603" w:type="pct"/>
                  <w:gridSpan w:val="2"/>
                  <w:vAlign w:val="center"/>
                </w:tcPr>
                <w:p>
                  <w:pPr>
                    <w:spacing w:line="240" w:lineRule="auto"/>
                    <w:ind w:firstLine="0" w:firstLineChars="0"/>
                    <w:jc w:val="left"/>
                    <w:rPr>
                      <w:color w:val="auto"/>
                    </w:rPr>
                  </w:pPr>
                  <w:r>
                    <w:rPr>
                      <w:rFonts w:hint="eastAsia"/>
                      <w:color w:val="auto"/>
                    </w:rPr>
                    <w:t>本项目设置2辆25m³的CNG槽车，经过卸气软管、泄气柱、汇流排作用后进入CNG瓶组，槽车更换交替工作，本项目设置1台50m³的压缩天然气储瓶用于天然气的缓冲罐。</w:t>
                  </w:r>
                </w:p>
              </w:tc>
              <w:tc>
                <w:tcPr>
                  <w:tcW w:w="453" w:type="pct"/>
                  <w:vAlign w:val="center"/>
                </w:tcPr>
                <w:p>
                  <w:pPr>
                    <w:spacing w:line="240" w:lineRule="auto"/>
                    <w:ind w:firstLine="0" w:firstLineChars="0"/>
                    <w:rPr>
                      <w:color w:val="auto"/>
                    </w:rPr>
                  </w:pPr>
                  <w:r>
                    <w:rPr>
                      <w:rFonts w:hint="eastAsia"/>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470" w:type="pct"/>
                  <w:vMerge w:val="restart"/>
                  <w:vAlign w:val="center"/>
                </w:tcPr>
                <w:p>
                  <w:pPr>
                    <w:spacing w:line="240" w:lineRule="auto"/>
                    <w:ind w:firstLine="0" w:firstLineChars="0"/>
                    <w:rPr>
                      <w:color w:val="auto"/>
                    </w:rPr>
                  </w:pPr>
                  <w:r>
                    <w:rPr>
                      <w:color w:val="auto"/>
                    </w:rPr>
                    <w:t>辅助工程</w:t>
                  </w:r>
                </w:p>
              </w:tc>
              <w:tc>
                <w:tcPr>
                  <w:tcW w:w="472" w:type="pct"/>
                  <w:vAlign w:val="center"/>
                </w:tcPr>
                <w:p>
                  <w:pPr>
                    <w:spacing w:line="240" w:lineRule="auto"/>
                    <w:ind w:firstLine="0" w:firstLineChars="0"/>
                    <w:rPr>
                      <w:color w:val="auto"/>
                    </w:rPr>
                  </w:pPr>
                  <w:r>
                    <w:rPr>
                      <w:color w:val="auto"/>
                    </w:rPr>
                    <w:t>办公室</w:t>
                  </w:r>
                </w:p>
              </w:tc>
              <w:tc>
                <w:tcPr>
                  <w:tcW w:w="3603" w:type="pct"/>
                  <w:gridSpan w:val="2"/>
                  <w:vAlign w:val="center"/>
                </w:tcPr>
                <w:p>
                  <w:pPr>
                    <w:spacing w:line="240" w:lineRule="auto"/>
                    <w:ind w:firstLine="0" w:firstLineChars="0"/>
                    <w:rPr>
                      <w:color w:val="auto"/>
                    </w:rPr>
                  </w:pPr>
                  <w:r>
                    <w:rPr>
                      <w:color w:val="auto"/>
                    </w:rPr>
                    <w:t>紧邻干燥车间的西北侧新建一</w:t>
                  </w:r>
                  <w:r>
                    <w:rPr>
                      <w:rFonts w:hint="eastAsia"/>
                      <w:color w:val="auto"/>
                      <w:lang w:eastAsia="zh-CN"/>
                    </w:rPr>
                    <w:t>间</w:t>
                  </w:r>
                  <w:r>
                    <w:rPr>
                      <w:color w:val="auto"/>
                    </w:rPr>
                    <w:t>41㎡的办公室，用于日常生产办公使用。</w:t>
                  </w:r>
                </w:p>
              </w:tc>
              <w:tc>
                <w:tcPr>
                  <w:tcW w:w="453"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rPr>
                  </w:pPr>
                  <w:commentRangeStart w:id="16"/>
                  <w:commentRangeStart w:id="17"/>
                  <w:r>
                    <w:rPr>
                      <w:rFonts w:hint="default" w:ascii="Times New Roman" w:hAnsi="Times New Roman" w:cs="Times New Roman"/>
                      <w:color w:val="auto"/>
                      <w:sz w:val="24"/>
                      <w:szCs w:val="24"/>
                      <w:lang w:val="en-US" w:eastAsia="zh-CN"/>
                    </w:rPr>
                    <w:t>新建</w:t>
                  </w:r>
                  <w:commentRangeEnd w:id="16"/>
                  <w:r>
                    <w:rPr>
                      <w:color w:val="auto"/>
                    </w:rPr>
                    <w:commentReference w:id="16"/>
                  </w:r>
                  <w:commentRangeEnd w:id="17"/>
                  <w:r>
                    <w:rPr>
                      <w:color w:val="auto"/>
                    </w:rPr>
                    <w:commentReference w:id="17"/>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4" w:hRule="atLeast"/>
                <w:jc w:val="center"/>
              </w:trPr>
              <w:tc>
                <w:tcPr>
                  <w:tcW w:w="470" w:type="pct"/>
                  <w:vMerge w:val="continue"/>
                  <w:vAlign w:val="center"/>
                </w:tcPr>
                <w:p>
                  <w:pPr>
                    <w:spacing w:line="240" w:lineRule="auto"/>
                    <w:ind w:firstLine="0" w:firstLineChars="0"/>
                    <w:rPr>
                      <w:color w:val="auto"/>
                    </w:rPr>
                  </w:pPr>
                </w:p>
              </w:tc>
              <w:tc>
                <w:tcPr>
                  <w:tcW w:w="472" w:type="pct"/>
                  <w:vAlign w:val="center"/>
                </w:tcPr>
                <w:p>
                  <w:pPr>
                    <w:spacing w:line="240" w:lineRule="auto"/>
                    <w:ind w:firstLine="0" w:firstLineChars="0"/>
                    <w:rPr>
                      <w:color w:val="auto"/>
                    </w:rPr>
                  </w:pPr>
                  <w:r>
                    <w:rPr>
                      <w:rFonts w:hint="eastAsia"/>
                      <w:color w:val="auto"/>
                    </w:rPr>
                    <w:t>天然气调压站</w:t>
                  </w:r>
                </w:p>
              </w:tc>
              <w:tc>
                <w:tcPr>
                  <w:tcW w:w="3603" w:type="pct"/>
                  <w:gridSpan w:val="2"/>
                  <w:vAlign w:val="center"/>
                </w:tcPr>
                <w:p>
                  <w:pPr>
                    <w:spacing w:line="240" w:lineRule="auto"/>
                    <w:ind w:firstLine="0" w:firstLineChars="0"/>
                    <w:rPr>
                      <w:color w:val="auto"/>
                    </w:rPr>
                  </w:pPr>
                  <w:r>
                    <w:rPr>
                      <w:color w:val="auto"/>
                    </w:rPr>
                    <w:t>燃气调压站</w:t>
                  </w:r>
                  <w:r>
                    <w:rPr>
                      <w:rFonts w:hint="eastAsia"/>
                      <w:color w:val="auto"/>
                    </w:rPr>
                    <w:t>2</w:t>
                  </w:r>
                  <w:r>
                    <w:rPr>
                      <w:color w:val="auto"/>
                    </w:rPr>
                    <w:t>座，高度为3m，附属建筑共计60㎡，</w:t>
                  </w:r>
                  <w:r>
                    <w:rPr>
                      <w:rFonts w:hint="eastAsia"/>
                      <w:color w:val="auto"/>
                    </w:rPr>
                    <w:t>每个调压站</w:t>
                  </w:r>
                  <w:r>
                    <w:rPr>
                      <w:color w:val="auto"/>
                    </w:rPr>
                    <w:t>内设调压柜</w:t>
                  </w:r>
                  <w:r>
                    <w:rPr>
                      <w:rFonts w:hint="eastAsia"/>
                      <w:color w:val="auto"/>
                    </w:rPr>
                    <w:t>，</w:t>
                  </w:r>
                  <w:r>
                    <w:rPr>
                      <w:color w:val="auto"/>
                    </w:rPr>
                    <w:t>设保护围栏。</w:t>
                  </w:r>
                </w:p>
              </w:tc>
              <w:tc>
                <w:tcPr>
                  <w:tcW w:w="453" w:type="pct"/>
                  <w:vAlign w:val="center"/>
                </w:tcPr>
                <w:p>
                  <w:pPr>
                    <w:spacing w:line="240" w:lineRule="auto"/>
                    <w:ind w:firstLine="0" w:firstLineChars="0"/>
                    <w:rPr>
                      <w:color w:val="auto"/>
                    </w:rPr>
                  </w:pPr>
                  <w:r>
                    <w:rPr>
                      <w:rFonts w:hint="eastAsia"/>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470" w:type="pct"/>
                  <w:vMerge w:val="continue"/>
                  <w:vAlign w:val="center"/>
                </w:tcPr>
                <w:p>
                  <w:pPr>
                    <w:spacing w:line="240" w:lineRule="auto"/>
                    <w:ind w:firstLine="0" w:firstLineChars="0"/>
                    <w:rPr>
                      <w:color w:val="auto"/>
                    </w:rPr>
                  </w:pPr>
                </w:p>
              </w:tc>
              <w:tc>
                <w:tcPr>
                  <w:tcW w:w="472" w:type="pct"/>
                  <w:vAlign w:val="center"/>
                </w:tcPr>
                <w:p>
                  <w:pPr>
                    <w:spacing w:line="240" w:lineRule="auto"/>
                    <w:ind w:firstLine="0" w:firstLineChars="0"/>
                    <w:rPr>
                      <w:color w:val="auto"/>
                    </w:rPr>
                  </w:pPr>
                  <w:r>
                    <w:rPr>
                      <w:color w:val="auto"/>
                    </w:rPr>
                    <w:t>锅炉房</w:t>
                  </w:r>
                </w:p>
              </w:tc>
              <w:tc>
                <w:tcPr>
                  <w:tcW w:w="3603" w:type="pct"/>
                  <w:gridSpan w:val="2"/>
                  <w:vAlign w:val="center"/>
                </w:tcPr>
                <w:p>
                  <w:pPr>
                    <w:spacing w:line="240" w:lineRule="auto"/>
                    <w:ind w:firstLine="0" w:firstLineChars="0"/>
                    <w:rPr>
                      <w:color w:val="auto"/>
                    </w:rPr>
                  </w:pPr>
                  <w:r>
                    <w:rPr>
                      <w:color w:val="auto"/>
                    </w:rPr>
                    <w:t>新建一座495㎡的天然气锅炉房，</w:t>
                  </w:r>
                  <w:r>
                    <w:rPr>
                      <w:rFonts w:hint="eastAsia"/>
                      <w:color w:val="auto"/>
                    </w:rPr>
                    <w:t>内设置1台18t/h的天然气蒸汽锅炉，</w:t>
                  </w:r>
                  <w:r>
                    <w:rPr>
                      <w:color w:val="auto"/>
                    </w:rPr>
                    <w:t>用于煤炭烘干过程中提供热源，本项目采用的天然气为外购鄂尔多斯市华北瑞达油气工程技术服务有限责任公司</w:t>
                  </w:r>
                  <w:r>
                    <w:rPr>
                      <w:rFonts w:hint="eastAsia"/>
                      <w:color w:val="auto"/>
                      <w:lang w:val="en-US" w:eastAsia="zh-CN"/>
                    </w:rPr>
                    <w:t>汽运购买，至厂区内管道输送使用</w:t>
                  </w:r>
                  <w:r>
                    <w:rPr>
                      <w:color w:val="auto"/>
                    </w:rPr>
                    <w:t>。</w:t>
                  </w:r>
                  <w:r>
                    <w:rPr>
                      <w:color w:val="auto"/>
                    </w:rPr>
                    <w:commentReference w:id="18"/>
                  </w:r>
                </w:p>
              </w:tc>
              <w:tc>
                <w:tcPr>
                  <w:tcW w:w="453" w:type="pct"/>
                  <w:vAlign w:val="center"/>
                </w:tcPr>
                <w:p>
                  <w:pPr>
                    <w:spacing w:line="240" w:lineRule="auto"/>
                    <w:ind w:firstLine="0" w:firstLineChars="0"/>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470" w:type="pct"/>
                  <w:vMerge w:val="continue"/>
                  <w:vAlign w:val="center"/>
                </w:tcPr>
                <w:p>
                  <w:pPr>
                    <w:spacing w:line="240" w:lineRule="auto"/>
                    <w:ind w:firstLine="0" w:firstLineChars="0"/>
                    <w:rPr>
                      <w:color w:val="auto"/>
                    </w:rPr>
                  </w:pPr>
                </w:p>
              </w:tc>
              <w:tc>
                <w:tcPr>
                  <w:tcW w:w="472" w:type="pct"/>
                  <w:vAlign w:val="center"/>
                </w:tcPr>
                <w:p>
                  <w:pPr>
                    <w:spacing w:line="240" w:lineRule="auto"/>
                    <w:ind w:firstLine="0" w:firstLineChars="0"/>
                    <w:rPr>
                      <w:color w:val="auto"/>
                    </w:rPr>
                  </w:pPr>
                  <w:r>
                    <w:rPr>
                      <w:rFonts w:hint="eastAsia"/>
                      <w:color w:val="auto"/>
                    </w:rPr>
                    <w:t>废水处理站</w:t>
                  </w:r>
                </w:p>
              </w:tc>
              <w:tc>
                <w:tcPr>
                  <w:tcW w:w="3603" w:type="pct"/>
                  <w:gridSpan w:val="2"/>
                  <w:vAlign w:val="center"/>
                </w:tcPr>
                <w:p>
                  <w:pPr>
                    <w:spacing w:line="240" w:lineRule="auto"/>
                    <w:ind w:firstLine="0" w:firstLineChars="0"/>
                    <w:rPr>
                      <w:color w:val="auto"/>
                    </w:rPr>
                  </w:pPr>
                  <w:r>
                    <w:rPr>
                      <w:color w:val="auto"/>
                    </w:rPr>
                    <w:t>新建一座废水处理站，占地面积为400㎡，处理规模为</w:t>
                  </w:r>
                  <w:r>
                    <w:rPr>
                      <w:rFonts w:hint="eastAsia"/>
                      <w:color w:val="auto"/>
                    </w:rPr>
                    <w:t>42m³/h</w:t>
                  </w:r>
                  <w:r>
                    <w:rPr>
                      <w:color w:val="auto"/>
                    </w:rPr>
                    <w:t>，用于处理本项目产生的生产废水。废水处理工艺采用“絮凝沉降</w:t>
                  </w:r>
                  <w:r>
                    <w:rPr>
                      <w:rFonts w:hint="eastAsia"/>
                      <w:color w:val="auto"/>
                    </w:rPr>
                    <w:t>→</w:t>
                  </w:r>
                  <w:r>
                    <w:rPr>
                      <w:color w:val="auto"/>
                    </w:rPr>
                    <w:t>多介质过滤</w:t>
                  </w:r>
                  <w:r>
                    <w:rPr>
                      <w:rFonts w:hint="eastAsia"/>
                      <w:color w:val="auto"/>
                    </w:rPr>
                    <w:t>→</w:t>
                  </w:r>
                  <w:r>
                    <w:rPr>
                      <w:color w:val="auto"/>
                    </w:rPr>
                    <w:t>超滤</w:t>
                  </w:r>
                  <w:r>
                    <w:rPr>
                      <w:rFonts w:hint="eastAsia"/>
                      <w:color w:val="auto"/>
                    </w:rPr>
                    <w:t>→</w:t>
                  </w:r>
                  <w:r>
                    <w:rPr>
                      <w:color w:val="auto"/>
                    </w:rPr>
                    <w:t>多介质过滤</w:t>
                  </w:r>
                  <w:r>
                    <w:rPr>
                      <w:rFonts w:hint="eastAsia"/>
                      <w:color w:val="auto"/>
                    </w:rPr>
                    <w:t>→</w:t>
                  </w:r>
                  <w:r>
                    <w:rPr>
                      <w:color w:val="auto"/>
                    </w:rPr>
                    <w:t>反渗透”，出水满足《城市污水再生利用工业用水水质》（GB19923-2024）中的间冷开式循环冷却水补充水、锅炉给水、工艺用水、产品用水</w:t>
                  </w:r>
                  <w:r>
                    <w:rPr>
                      <w:rFonts w:hint="eastAsia"/>
                      <w:color w:val="auto"/>
                    </w:rPr>
                    <w:t>标准后，部分返回天然气蒸汽锅炉用于蒸汽再生产，部分返回喷淋冷凝管道用于水蒸气冷凝，剩余部分用于厂区、煤棚洒水降尘、反冲洗用水及选煤厂洗煤工艺补充用水。浓水收集池收集后，定期交由浓水处理单位进行处置。</w:t>
                  </w:r>
                </w:p>
              </w:tc>
              <w:tc>
                <w:tcPr>
                  <w:tcW w:w="453" w:type="pct"/>
                  <w:vAlign w:val="center"/>
                </w:tcPr>
                <w:p>
                  <w:pPr>
                    <w:spacing w:line="240" w:lineRule="auto"/>
                    <w:ind w:firstLine="0" w:firstLineChars="0"/>
                    <w:rPr>
                      <w:color w:val="auto"/>
                    </w:rPr>
                  </w:pPr>
                  <w:r>
                    <w:rPr>
                      <w:rFonts w:hint="eastAsia"/>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pct"/>
                  <w:vMerge w:val="continue"/>
                  <w:vAlign w:val="center"/>
                </w:tcPr>
                <w:p>
                  <w:pPr>
                    <w:spacing w:line="240" w:lineRule="auto"/>
                    <w:ind w:firstLine="0" w:firstLineChars="0"/>
                    <w:rPr>
                      <w:color w:val="auto"/>
                    </w:rPr>
                  </w:pPr>
                </w:p>
              </w:tc>
              <w:tc>
                <w:tcPr>
                  <w:tcW w:w="472" w:type="pct"/>
                  <w:vAlign w:val="center"/>
                </w:tcPr>
                <w:p>
                  <w:pPr>
                    <w:spacing w:line="240" w:lineRule="auto"/>
                    <w:ind w:firstLine="0" w:firstLineChars="0"/>
                    <w:rPr>
                      <w:color w:val="auto"/>
                    </w:rPr>
                  </w:pPr>
                  <w:r>
                    <w:rPr>
                      <w:color w:val="auto"/>
                    </w:rPr>
                    <w:t>输送皮带</w:t>
                  </w:r>
                </w:p>
              </w:tc>
              <w:tc>
                <w:tcPr>
                  <w:tcW w:w="3603" w:type="pct"/>
                  <w:gridSpan w:val="2"/>
                  <w:vAlign w:val="center"/>
                </w:tcPr>
                <w:p>
                  <w:pPr>
                    <w:spacing w:line="240" w:lineRule="auto"/>
                    <w:ind w:firstLine="0" w:firstLineChars="0"/>
                    <w:rPr>
                      <w:color w:val="auto"/>
                    </w:rPr>
                  </w:pPr>
                  <w:r>
                    <w:rPr>
                      <w:color w:val="auto"/>
                    </w:rPr>
                    <w:t>原料全封闭输送皮带（1#、2#原煤入场皮带机）：本项目设置2条全封闭原料输送皮带，1#原煤入场皮带机、2#原煤入场皮带机，长度分别为37.</w:t>
                  </w:r>
                  <w:r>
                    <w:rPr>
                      <w:rFonts w:hint="eastAsia"/>
                      <w:color w:val="auto"/>
                    </w:rPr>
                    <w:t>7</w:t>
                  </w:r>
                  <w:r>
                    <w:rPr>
                      <w:color w:val="auto"/>
                    </w:rPr>
                    <w:t>2m、34.6</w:t>
                  </w:r>
                  <w:r>
                    <w:rPr>
                      <w:rFonts w:hint="eastAsia"/>
                      <w:color w:val="auto"/>
                    </w:rPr>
                    <w:t>13m</w:t>
                  </w:r>
                  <w:r>
                    <w:rPr>
                      <w:color w:val="auto"/>
                    </w:rPr>
                    <w:t>，用于将原料煤输送至干燥车间内。</w:t>
                  </w:r>
                </w:p>
                <w:p>
                  <w:pPr>
                    <w:spacing w:line="240" w:lineRule="auto"/>
                    <w:ind w:firstLine="0" w:firstLineChars="0"/>
                    <w:rPr>
                      <w:color w:val="auto"/>
                    </w:rPr>
                  </w:pPr>
                  <w:r>
                    <w:rPr>
                      <w:color w:val="auto"/>
                    </w:rPr>
                    <w:t>物料全封闭转运输送皮带（2-1#</w:t>
                  </w:r>
                  <w:r>
                    <w:rPr>
                      <w:rFonts w:hint="eastAsia"/>
                      <w:color w:val="auto"/>
                    </w:rPr>
                    <w:t>、</w:t>
                  </w:r>
                  <w:r>
                    <w:rPr>
                      <w:color w:val="auto"/>
                    </w:rPr>
                    <w:t>2-2#</w:t>
                  </w:r>
                  <w:r>
                    <w:rPr>
                      <w:rFonts w:hint="eastAsia"/>
                      <w:color w:val="auto"/>
                    </w:rPr>
                    <w:t>、</w:t>
                  </w:r>
                  <w:r>
                    <w:rPr>
                      <w:color w:val="auto"/>
                    </w:rPr>
                    <w:t>2-3#出料皮带机）：干燥车间内设置3条转运皮带，长度均为6.75m，用于3台煤炭</w:t>
                  </w:r>
                  <w:r>
                    <w:rPr>
                      <w:rFonts w:hint="eastAsia"/>
                      <w:color w:val="auto"/>
                    </w:rPr>
                    <w:t>蒸汽压力釜</w:t>
                  </w:r>
                  <w:r>
                    <w:rPr>
                      <w:color w:val="auto"/>
                    </w:rPr>
                    <w:t>直接物料的转换。</w:t>
                  </w:r>
                </w:p>
                <w:p>
                  <w:pPr>
                    <w:spacing w:line="240" w:lineRule="auto"/>
                    <w:ind w:firstLine="0" w:firstLineChars="0"/>
                    <w:rPr>
                      <w:color w:val="auto"/>
                    </w:rPr>
                  </w:pPr>
                  <w:r>
                    <w:rPr>
                      <w:color w:val="auto"/>
                    </w:rPr>
                    <w:t>成品全封闭输送皮带（3-1#</w:t>
                  </w:r>
                  <w:r>
                    <w:rPr>
                      <w:rFonts w:hint="eastAsia"/>
                      <w:color w:val="auto"/>
                    </w:rPr>
                    <w:t>烘干</w:t>
                  </w:r>
                  <w:r>
                    <w:rPr>
                      <w:color w:val="auto"/>
                    </w:rPr>
                    <w:t>煤堆料皮带机）：设置1条全封闭成品输送皮带，长度</w:t>
                  </w:r>
                  <w:r>
                    <w:rPr>
                      <w:rFonts w:hint="eastAsia"/>
                      <w:color w:val="auto"/>
                    </w:rPr>
                    <w:t>30</w:t>
                  </w:r>
                  <w:r>
                    <w:rPr>
                      <w:color w:val="auto"/>
                    </w:rPr>
                    <w:t>m，位于全封闭干燥车间内设置，用于将烘干后的成品输送至成品堆场。</w:t>
                  </w:r>
                </w:p>
                <w:p>
                  <w:pPr>
                    <w:spacing w:line="240" w:lineRule="auto"/>
                    <w:ind w:firstLine="0" w:firstLineChars="0"/>
                    <w:rPr>
                      <w:color w:val="auto"/>
                    </w:rPr>
                  </w:pPr>
                  <w:r>
                    <w:rPr>
                      <w:color w:val="auto"/>
                    </w:rPr>
                    <w:t>出场全封闭皮带（3#</w:t>
                  </w:r>
                  <w:r>
                    <w:rPr>
                      <w:rFonts w:hint="eastAsia"/>
                      <w:color w:val="auto"/>
                    </w:rPr>
                    <w:t>烘干</w:t>
                  </w:r>
                  <w:r>
                    <w:rPr>
                      <w:color w:val="auto"/>
                    </w:rPr>
                    <w:t>煤出场皮带机、4#</w:t>
                  </w:r>
                  <w:r>
                    <w:rPr>
                      <w:rFonts w:hint="eastAsia"/>
                      <w:color w:val="auto"/>
                    </w:rPr>
                    <w:t>烘干</w:t>
                  </w:r>
                  <w:r>
                    <w:rPr>
                      <w:color w:val="auto"/>
                    </w:rPr>
                    <w:t>煤装车皮带机）：设置两条成品输送出场皮带，用于将成品输送至运输车辆，长度分别为39.74m、55.83m。</w:t>
                  </w:r>
                </w:p>
              </w:tc>
              <w:tc>
                <w:tcPr>
                  <w:tcW w:w="453" w:type="pct"/>
                  <w:vAlign w:val="center"/>
                </w:tcPr>
                <w:p>
                  <w:pPr>
                    <w:spacing w:line="240" w:lineRule="auto"/>
                    <w:ind w:firstLine="0" w:firstLineChars="0"/>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7" w:hRule="atLeast"/>
                <w:jc w:val="center"/>
              </w:trPr>
              <w:tc>
                <w:tcPr>
                  <w:tcW w:w="470" w:type="pct"/>
                  <w:vMerge w:val="restart"/>
                  <w:vAlign w:val="center"/>
                </w:tcPr>
                <w:p>
                  <w:pPr>
                    <w:spacing w:line="240" w:lineRule="auto"/>
                    <w:ind w:firstLine="0" w:firstLineChars="0"/>
                    <w:rPr>
                      <w:color w:val="auto"/>
                    </w:rPr>
                  </w:pPr>
                  <w:r>
                    <w:rPr>
                      <w:color w:val="auto"/>
                    </w:rPr>
                    <w:t>公用工程</w:t>
                  </w:r>
                </w:p>
              </w:tc>
              <w:tc>
                <w:tcPr>
                  <w:tcW w:w="472" w:type="pct"/>
                  <w:vAlign w:val="center"/>
                </w:tcPr>
                <w:p>
                  <w:pPr>
                    <w:spacing w:line="240" w:lineRule="auto"/>
                    <w:ind w:firstLine="0" w:firstLineChars="0"/>
                    <w:rPr>
                      <w:color w:val="auto"/>
                    </w:rPr>
                  </w:pPr>
                  <w:r>
                    <w:rPr>
                      <w:color w:val="auto"/>
                    </w:rPr>
                    <w:t>供水</w:t>
                  </w:r>
                </w:p>
              </w:tc>
              <w:tc>
                <w:tcPr>
                  <w:tcW w:w="3603" w:type="pct"/>
                  <w:gridSpan w:val="2"/>
                  <w:vAlign w:val="center"/>
                </w:tcPr>
                <w:p>
                  <w:pPr>
                    <w:spacing w:line="240" w:lineRule="auto"/>
                    <w:ind w:firstLine="0" w:firstLineChars="0"/>
                    <w:rPr>
                      <w:color w:val="auto"/>
                    </w:rPr>
                  </w:pPr>
                  <w:r>
                    <w:rPr>
                      <w:color w:val="auto"/>
                    </w:rPr>
                    <w:t>本项目无新增劳动定员，无新增生活用水</w:t>
                  </w:r>
                  <w:r>
                    <w:rPr>
                      <w:rFonts w:hint="eastAsia"/>
                      <w:color w:val="auto"/>
                    </w:rPr>
                    <w:t>；</w:t>
                  </w:r>
                  <w:r>
                    <w:rPr>
                      <w:color w:val="auto"/>
                    </w:rPr>
                    <w:t>生产用水</w:t>
                  </w:r>
                  <w:r>
                    <w:rPr>
                      <w:rFonts w:hint="eastAsia"/>
                      <w:color w:val="auto"/>
                    </w:rPr>
                    <w:t>包括成品堆场喷淋降尘用水、</w:t>
                  </w:r>
                  <w:r>
                    <w:rPr>
                      <w:color w:val="auto"/>
                    </w:rPr>
                    <w:t>锅炉软化系统用水</w:t>
                  </w:r>
                  <w:r>
                    <w:rPr>
                      <w:rFonts w:hint="eastAsia"/>
                      <w:color w:val="auto"/>
                    </w:rPr>
                    <w:t>、设备反冲洗用水，锅炉软化系统用水</w:t>
                  </w:r>
                  <w:r>
                    <w:rPr>
                      <w:color w:val="auto"/>
                    </w:rPr>
                    <w:t>依托厂区现有供水系统</w:t>
                  </w:r>
                  <w:r>
                    <w:rPr>
                      <w:rFonts w:hint="eastAsia"/>
                      <w:color w:val="auto"/>
                    </w:rPr>
                    <w:t>提供，由</w:t>
                  </w:r>
                  <w:r>
                    <w:rPr>
                      <w:color w:val="auto"/>
                    </w:rPr>
                    <w:t>鄂尔多斯市圣圆水务集团有限责任公司矿井疏干水</w:t>
                  </w:r>
                  <w:r>
                    <w:rPr>
                      <w:rFonts w:hint="eastAsia"/>
                      <w:color w:val="auto"/>
                    </w:rPr>
                    <w:t>供给</w:t>
                  </w:r>
                  <w:r>
                    <w:rPr>
                      <w:color w:val="auto"/>
                    </w:rPr>
                    <w:t>。</w:t>
                  </w:r>
                  <w:r>
                    <w:rPr>
                      <w:rFonts w:hint="eastAsia"/>
                      <w:color w:val="auto"/>
                    </w:rPr>
                    <w:t>成品堆场喷淋降尘用水、反冲洗用水由自建废水处理站出水提供。</w:t>
                  </w:r>
                </w:p>
              </w:tc>
              <w:tc>
                <w:tcPr>
                  <w:tcW w:w="453" w:type="pct"/>
                  <w:vAlign w:val="center"/>
                </w:tcPr>
                <w:p>
                  <w:pPr>
                    <w:spacing w:line="240" w:lineRule="auto"/>
                    <w:ind w:firstLine="0" w:firstLineChars="0"/>
                    <w:jc w:val="center"/>
                    <w:rPr>
                      <w:color w:val="auto"/>
                    </w:rPr>
                  </w:pPr>
                  <w:r>
                    <w:rPr>
                      <w:color w:val="auto"/>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pct"/>
                  <w:vMerge w:val="continue"/>
                  <w:vAlign w:val="center"/>
                </w:tcPr>
                <w:p>
                  <w:pPr>
                    <w:spacing w:line="240" w:lineRule="auto"/>
                    <w:ind w:firstLine="0" w:firstLineChars="0"/>
                    <w:rPr>
                      <w:color w:val="auto"/>
                    </w:rPr>
                  </w:pPr>
                </w:p>
              </w:tc>
              <w:tc>
                <w:tcPr>
                  <w:tcW w:w="472" w:type="pct"/>
                  <w:vAlign w:val="center"/>
                </w:tcPr>
                <w:p>
                  <w:pPr>
                    <w:spacing w:line="240" w:lineRule="auto"/>
                    <w:ind w:firstLine="0" w:firstLineChars="0"/>
                    <w:rPr>
                      <w:color w:val="auto"/>
                    </w:rPr>
                  </w:pPr>
                  <w:r>
                    <w:rPr>
                      <w:color w:val="auto"/>
                    </w:rPr>
                    <w:t>供电</w:t>
                  </w:r>
                </w:p>
              </w:tc>
              <w:tc>
                <w:tcPr>
                  <w:tcW w:w="3603" w:type="pct"/>
                  <w:gridSpan w:val="2"/>
                  <w:vAlign w:val="center"/>
                </w:tcPr>
                <w:p>
                  <w:pPr>
                    <w:spacing w:line="240" w:lineRule="auto"/>
                    <w:ind w:firstLine="0" w:firstLineChars="0"/>
                    <w:rPr>
                      <w:color w:val="auto"/>
                    </w:rPr>
                  </w:pPr>
                  <w:r>
                    <w:rPr>
                      <w:color w:val="auto"/>
                    </w:rPr>
                    <w:t>本项目供电依托厂区内现有供电系统进行供电，年用电量为150万kW·h/a。</w:t>
                  </w:r>
                </w:p>
              </w:tc>
              <w:tc>
                <w:tcPr>
                  <w:tcW w:w="453" w:type="pct"/>
                  <w:vAlign w:val="center"/>
                </w:tcPr>
                <w:p>
                  <w:pPr>
                    <w:spacing w:line="240" w:lineRule="auto"/>
                    <w:ind w:firstLine="0" w:firstLineChars="0"/>
                    <w:jc w:val="center"/>
                    <w:rPr>
                      <w:color w:val="auto"/>
                    </w:rPr>
                  </w:pPr>
                  <w:r>
                    <w:rPr>
                      <w:color w:val="auto"/>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 w:hRule="atLeast"/>
                <w:jc w:val="center"/>
              </w:trPr>
              <w:tc>
                <w:tcPr>
                  <w:tcW w:w="470" w:type="pct"/>
                  <w:vMerge w:val="continue"/>
                  <w:vAlign w:val="center"/>
                </w:tcPr>
                <w:p>
                  <w:pPr>
                    <w:spacing w:line="240" w:lineRule="auto"/>
                    <w:ind w:firstLine="0" w:firstLineChars="0"/>
                    <w:rPr>
                      <w:color w:val="auto"/>
                    </w:rPr>
                  </w:pPr>
                </w:p>
              </w:tc>
              <w:tc>
                <w:tcPr>
                  <w:tcW w:w="472" w:type="pct"/>
                  <w:vAlign w:val="center"/>
                </w:tcPr>
                <w:p>
                  <w:pPr>
                    <w:spacing w:line="240" w:lineRule="auto"/>
                    <w:ind w:firstLine="0" w:firstLineChars="0"/>
                    <w:rPr>
                      <w:color w:val="auto"/>
                    </w:rPr>
                  </w:pPr>
                  <w:r>
                    <w:rPr>
                      <w:color w:val="auto"/>
                    </w:rPr>
                    <w:t>排水</w:t>
                  </w:r>
                </w:p>
              </w:tc>
              <w:tc>
                <w:tcPr>
                  <w:tcW w:w="3603" w:type="pct"/>
                  <w:gridSpan w:val="2"/>
                  <w:vAlign w:val="center"/>
                </w:tcPr>
                <w:p>
                  <w:pPr>
                    <w:spacing w:line="240" w:lineRule="auto"/>
                    <w:ind w:firstLine="0" w:firstLineChars="0"/>
                    <w:rPr>
                      <w:color w:val="auto"/>
                    </w:rPr>
                  </w:pPr>
                  <w:r>
                    <w:rPr>
                      <w:color w:val="auto"/>
                    </w:rPr>
                    <w:t>本项目无新增劳动定员，无新增生活污水产生；</w:t>
                  </w:r>
                  <w:r>
                    <w:rPr>
                      <w:rFonts w:hint="eastAsia"/>
                      <w:color w:val="auto"/>
                    </w:rPr>
                    <w:t>成品</w:t>
                  </w:r>
                  <w:r>
                    <w:rPr>
                      <w:color w:val="auto"/>
                    </w:rPr>
                    <w:t>堆场洒水降尘用水全部蒸发散失，纯水制备排污废水</w:t>
                  </w:r>
                  <w:r>
                    <w:rPr>
                      <w:rFonts w:hint="eastAsia"/>
                      <w:color w:val="auto"/>
                    </w:rPr>
                    <w:t>、</w:t>
                  </w:r>
                  <w:r>
                    <w:rPr>
                      <w:color w:val="auto"/>
                    </w:rPr>
                    <w:t>锅炉排污废水</w:t>
                  </w:r>
                  <w:r>
                    <w:rPr>
                      <w:rFonts w:hint="eastAsia"/>
                      <w:color w:val="auto"/>
                    </w:rPr>
                    <w:t>、回收的</w:t>
                  </w:r>
                  <w:r>
                    <w:rPr>
                      <w:rFonts w:hint="eastAsia"/>
                      <w:color w:val="auto"/>
                    </w:rPr>
                    <w:t>蒸发冷凝液</w:t>
                  </w:r>
                  <w:r>
                    <w:rPr>
                      <w:rFonts w:hint="eastAsia"/>
                      <w:color w:val="auto"/>
                      <w:lang w:val="en-US" w:eastAsia="zh-CN"/>
                    </w:rPr>
                    <w:t>经管道</w:t>
                  </w:r>
                  <w:r>
                    <w:rPr>
                      <w:rFonts w:hint="eastAsia"/>
                      <w:color w:val="auto"/>
                    </w:rPr>
                    <w:t>排入</w:t>
                  </w:r>
                  <w:r>
                    <w:rPr>
                      <w:rFonts w:hint="eastAsia"/>
                      <w:color w:val="auto"/>
                    </w:rPr>
                    <w:t>自建废水处理站处理后，出水满足《城市污水再生利用工业用水水质》（GB19923-2024）中的间冷开式循环冷却水补充水、锅炉给水、工艺用水、产品用水标准后部分返回天然气蒸汽锅炉用于蒸汽再生产，部分返回喷淋冷凝管道用于水蒸气冷凝，剩余部分用于厂区、煤棚洒水降尘、反冲洗用水及选煤厂洗煤工艺补充用水。反渗透浓水由浓水收集池收集后，定期交由浓水处理单位进行处置。</w:t>
                  </w:r>
                </w:p>
              </w:tc>
              <w:tc>
                <w:tcPr>
                  <w:tcW w:w="453" w:type="pct"/>
                  <w:vAlign w:val="center"/>
                </w:tcPr>
                <w:p>
                  <w:pPr>
                    <w:spacing w:line="240" w:lineRule="auto"/>
                    <w:ind w:firstLine="0" w:firstLineChars="0"/>
                    <w:jc w:val="center"/>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470" w:type="pct"/>
                  <w:vMerge w:val="continue"/>
                  <w:vAlign w:val="center"/>
                </w:tcPr>
                <w:p>
                  <w:pPr>
                    <w:spacing w:line="240" w:lineRule="auto"/>
                    <w:ind w:firstLine="0" w:firstLineChars="0"/>
                    <w:rPr>
                      <w:color w:val="auto"/>
                    </w:rPr>
                  </w:pPr>
                </w:p>
              </w:tc>
              <w:tc>
                <w:tcPr>
                  <w:tcW w:w="472" w:type="pct"/>
                  <w:vAlign w:val="center"/>
                </w:tcPr>
                <w:p>
                  <w:pPr>
                    <w:spacing w:line="240" w:lineRule="auto"/>
                    <w:ind w:firstLine="0" w:firstLineChars="0"/>
                    <w:rPr>
                      <w:color w:val="auto"/>
                    </w:rPr>
                  </w:pPr>
                  <w:r>
                    <w:rPr>
                      <w:color w:val="auto"/>
                    </w:rPr>
                    <w:t>供热</w:t>
                  </w:r>
                </w:p>
              </w:tc>
              <w:tc>
                <w:tcPr>
                  <w:tcW w:w="3603" w:type="pct"/>
                  <w:gridSpan w:val="2"/>
                  <w:vAlign w:val="center"/>
                </w:tcPr>
                <w:p>
                  <w:pPr>
                    <w:spacing w:line="240" w:lineRule="auto"/>
                    <w:ind w:firstLine="0" w:firstLineChars="0"/>
                    <w:rPr>
                      <w:color w:val="auto"/>
                    </w:rPr>
                  </w:pPr>
                  <w:r>
                    <w:rPr>
                      <w:color w:val="auto"/>
                    </w:rPr>
                    <w:t>本项目生活办公区供暖依托厂区内现有电锅炉供暖，干燥车间无需供暖，煤炭</w:t>
                  </w:r>
                  <w:r>
                    <w:rPr>
                      <w:rFonts w:hint="eastAsia"/>
                      <w:color w:val="auto"/>
                    </w:rPr>
                    <w:t>烘干</w:t>
                  </w:r>
                  <w:r>
                    <w:rPr>
                      <w:color w:val="auto"/>
                    </w:rPr>
                    <w:t>采用天然气蒸汽锅炉进行供热。</w:t>
                  </w:r>
                </w:p>
              </w:tc>
              <w:tc>
                <w:tcPr>
                  <w:tcW w:w="453" w:type="pct"/>
                  <w:vAlign w:val="center"/>
                </w:tcPr>
                <w:p>
                  <w:pPr>
                    <w:spacing w:line="240" w:lineRule="auto"/>
                    <w:ind w:firstLine="0" w:firstLineChars="0"/>
                    <w:jc w:val="center"/>
                    <w:rPr>
                      <w:color w:val="auto"/>
                    </w:rPr>
                  </w:pPr>
                  <w:r>
                    <w:rPr>
                      <w:color w:val="auto"/>
                    </w:rPr>
                    <w:t>依托+新建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 w:hRule="atLeast"/>
                <w:jc w:val="center"/>
              </w:trPr>
              <w:tc>
                <w:tcPr>
                  <w:tcW w:w="470" w:type="pct"/>
                  <w:vMerge w:val="continue"/>
                  <w:vAlign w:val="center"/>
                </w:tcPr>
                <w:p>
                  <w:pPr>
                    <w:spacing w:line="240" w:lineRule="auto"/>
                    <w:ind w:firstLine="0" w:firstLineChars="0"/>
                    <w:rPr>
                      <w:color w:val="auto"/>
                    </w:rPr>
                  </w:pPr>
                </w:p>
              </w:tc>
              <w:tc>
                <w:tcPr>
                  <w:tcW w:w="472" w:type="pct"/>
                  <w:vAlign w:val="center"/>
                </w:tcPr>
                <w:p>
                  <w:pPr>
                    <w:spacing w:line="240" w:lineRule="auto"/>
                    <w:ind w:firstLine="0" w:firstLineChars="0"/>
                    <w:rPr>
                      <w:color w:val="auto"/>
                    </w:rPr>
                  </w:pPr>
                  <w:r>
                    <w:rPr>
                      <w:rFonts w:hint="eastAsia"/>
                      <w:color w:val="auto"/>
                    </w:rPr>
                    <w:t>供气</w:t>
                  </w:r>
                </w:p>
              </w:tc>
              <w:tc>
                <w:tcPr>
                  <w:tcW w:w="3603" w:type="pct"/>
                  <w:gridSpan w:val="2"/>
                  <w:vAlign w:val="center"/>
                </w:tcPr>
                <w:p>
                  <w:pPr>
                    <w:spacing w:line="240" w:lineRule="auto"/>
                    <w:ind w:firstLine="0" w:firstLineChars="0"/>
                    <w:jc w:val="center"/>
                    <w:rPr>
                      <w:color w:val="auto"/>
                    </w:rPr>
                  </w:pPr>
                  <w:r>
                    <w:rPr>
                      <w:rFonts w:hint="eastAsia"/>
                      <w:color w:val="auto"/>
                    </w:rPr>
                    <w:t>本项目天然气由撬站提供。</w:t>
                  </w:r>
                </w:p>
              </w:tc>
              <w:tc>
                <w:tcPr>
                  <w:tcW w:w="453" w:type="pct"/>
                  <w:vAlign w:val="center"/>
                </w:tcPr>
                <w:p>
                  <w:pPr>
                    <w:spacing w:line="240" w:lineRule="auto"/>
                    <w:ind w:firstLine="0" w:firstLineChars="0"/>
                    <w:jc w:val="center"/>
                    <w:rPr>
                      <w:color w:val="auto"/>
                    </w:rPr>
                  </w:pPr>
                  <w:r>
                    <w:rPr>
                      <w:rFonts w:hint="eastAsia"/>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470" w:type="pct"/>
                  <w:vMerge w:val="restart"/>
                  <w:vAlign w:val="center"/>
                </w:tcPr>
                <w:p>
                  <w:pPr>
                    <w:spacing w:line="240" w:lineRule="auto"/>
                    <w:ind w:firstLine="0" w:firstLineChars="0"/>
                    <w:rPr>
                      <w:color w:val="auto"/>
                    </w:rPr>
                  </w:pPr>
                  <w:r>
                    <w:rPr>
                      <w:color w:val="auto"/>
                    </w:rPr>
                    <w:t>环保工程</w:t>
                  </w:r>
                </w:p>
              </w:tc>
              <w:tc>
                <w:tcPr>
                  <w:tcW w:w="472" w:type="pct"/>
                  <w:vAlign w:val="center"/>
                </w:tcPr>
                <w:p>
                  <w:pPr>
                    <w:spacing w:line="240" w:lineRule="auto"/>
                    <w:ind w:firstLine="0" w:firstLineChars="0"/>
                    <w:rPr>
                      <w:color w:val="auto"/>
                    </w:rPr>
                  </w:pPr>
                  <w:r>
                    <w:rPr>
                      <w:color w:val="auto"/>
                    </w:rPr>
                    <w:t>废气</w:t>
                  </w:r>
                </w:p>
              </w:tc>
              <w:tc>
                <w:tcPr>
                  <w:tcW w:w="3603" w:type="pct"/>
                  <w:gridSpan w:val="2"/>
                  <w:vAlign w:val="center"/>
                </w:tcPr>
                <w:p>
                  <w:pPr>
                    <w:spacing w:line="240" w:lineRule="auto"/>
                    <w:ind w:firstLine="0" w:firstLineChars="0"/>
                    <w:rPr>
                      <w:color w:val="auto"/>
                    </w:rPr>
                  </w:pPr>
                  <w:r>
                    <w:rPr>
                      <w:rFonts w:hint="eastAsia"/>
                      <w:color w:val="auto"/>
                    </w:rPr>
                    <w:t>1.</w:t>
                  </w:r>
                  <w:r>
                    <w:rPr>
                      <w:color w:val="auto"/>
                    </w:rPr>
                    <w:t>成品装卸及堆存过</w:t>
                  </w:r>
                  <w:r>
                    <w:rPr>
                      <w:rFonts w:hint="eastAsia"/>
                      <w:color w:val="auto"/>
                    </w:rPr>
                    <w:t>程中</w:t>
                  </w:r>
                  <w:r>
                    <w:rPr>
                      <w:color w:val="auto"/>
                    </w:rPr>
                    <w:t>产生的粉尘：本项目的成品储存均在全封闭储棚内，定期进行洒水降尘，可有效减少无组织扬尘的产生。</w:t>
                  </w:r>
                </w:p>
                <w:p>
                  <w:pPr>
                    <w:spacing w:line="240" w:lineRule="auto"/>
                    <w:ind w:firstLine="0" w:firstLineChars="0"/>
                    <w:rPr>
                      <w:color w:val="auto"/>
                    </w:rPr>
                  </w:pPr>
                  <w:r>
                    <w:rPr>
                      <w:rFonts w:hint="eastAsia"/>
                      <w:color w:val="auto"/>
                    </w:rPr>
                    <w:t>2.</w:t>
                  </w:r>
                  <w:r>
                    <w:rPr>
                      <w:color w:val="auto"/>
                    </w:rPr>
                    <w:t>天然气蒸汽锅炉废气：本项目设置1台18t/h的天然气蒸汽锅炉，配备高效低氮燃烧器处理后，最终由1根</w:t>
                  </w:r>
                  <w:r>
                    <w:rPr>
                      <w:rFonts w:hint="eastAsia"/>
                      <w:color w:val="auto"/>
                    </w:rPr>
                    <w:t>13</w:t>
                  </w:r>
                  <w:r>
                    <w:rPr>
                      <w:color w:val="auto"/>
                    </w:rPr>
                    <w:t>m高排气筒（DA001）排放。</w:t>
                  </w:r>
                </w:p>
                <w:p>
                  <w:pPr>
                    <w:spacing w:line="240" w:lineRule="auto"/>
                    <w:ind w:firstLine="0" w:firstLineChars="0"/>
                    <w:rPr>
                      <w:color w:val="auto"/>
                    </w:rPr>
                  </w:pPr>
                  <w:r>
                    <w:rPr>
                      <w:rFonts w:hint="eastAsia"/>
                      <w:color w:val="auto"/>
                    </w:rPr>
                    <w:t>3.蒸汽压力釜烘干过程中产生的粉尘：粉尘经管道收集至袋式除尘器处理后，经15m高排气筒（DA002）达标排放。</w:t>
                  </w:r>
                </w:p>
              </w:tc>
              <w:tc>
                <w:tcPr>
                  <w:tcW w:w="453" w:type="pct"/>
                  <w:vAlign w:val="center"/>
                </w:tcPr>
                <w:p>
                  <w:pPr>
                    <w:spacing w:line="240" w:lineRule="auto"/>
                    <w:ind w:firstLine="0" w:firstLineChars="0"/>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470" w:type="pct"/>
                  <w:vMerge w:val="continue"/>
                  <w:vAlign w:val="center"/>
                </w:tcPr>
                <w:p>
                  <w:pPr>
                    <w:spacing w:line="240" w:lineRule="auto"/>
                    <w:ind w:firstLine="0" w:firstLineChars="0"/>
                    <w:rPr>
                      <w:color w:val="auto"/>
                    </w:rPr>
                  </w:pPr>
                </w:p>
              </w:tc>
              <w:tc>
                <w:tcPr>
                  <w:tcW w:w="472" w:type="pct"/>
                  <w:vAlign w:val="center"/>
                </w:tcPr>
                <w:p>
                  <w:pPr>
                    <w:spacing w:line="240" w:lineRule="auto"/>
                    <w:ind w:firstLine="0" w:firstLineChars="0"/>
                    <w:rPr>
                      <w:color w:val="auto"/>
                    </w:rPr>
                  </w:pPr>
                  <w:r>
                    <w:rPr>
                      <w:color w:val="auto"/>
                    </w:rPr>
                    <w:t>废水</w:t>
                  </w:r>
                </w:p>
              </w:tc>
              <w:tc>
                <w:tcPr>
                  <w:tcW w:w="3603" w:type="pct"/>
                  <w:gridSpan w:val="2"/>
                  <w:vAlign w:val="center"/>
                </w:tcPr>
                <w:p>
                  <w:pPr>
                    <w:spacing w:line="240" w:lineRule="auto"/>
                    <w:ind w:firstLine="0" w:firstLineChars="0"/>
                    <w:rPr>
                      <w:color w:val="auto"/>
                    </w:rPr>
                  </w:pPr>
                  <w:r>
                    <w:rPr>
                      <w:color w:val="auto"/>
                    </w:rPr>
                    <w:t>本项目无新增劳动定员，无新增生活污水；</w:t>
                  </w:r>
                  <w:r>
                    <w:rPr>
                      <w:rFonts w:hint="eastAsia"/>
                      <w:color w:val="auto"/>
                    </w:rPr>
                    <w:t>成品</w:t>
                  </w:r>
                  <w:r>
                    <w:rPr>
                      <w:color w:val="auto"/>
                    </w:rPr>
                    <w:t>堆场洒水降尘用水全部蒸发散失</w:t>
                  </w:r>
                  <w:r>
                    <w:rPr>
                      <w:rFonts w:hint="eastAsia"/>
                      <w:color w:val="auto"/>
                    </w:rPr>
                    <w:t>。</w:t>
                  </w:r>
                </w:p>
                <w:p>
                  <w:pPr>
                    <w:spacing w:line="240" w:lineRule="auto"/>
                    <w:ind w:firstLine="0" w:firstLineChars="0"/>
                    <w:rPr>
                      <w:color w:val="auto"/>
                    </w:rPr>
                  </w:pPr>
                  <w:r>
                    <w:rPr>
                      <w:color w:val="auto"/>
                    </w:rPr>
                    <w:t>纯水制备排污废水、锅炉排污废水、回收的蒸发冷凝液排入自建废水处理站处理后，出水满足《城市污水再生利用工业用水水质》（GB19923-2024）中的间冷开式循环冷却水补充水、锅炉给水、工艺用水、产品用水标准后</w:t>
                  </w:r>
                  <w:r>
                    <w:rPr>
                      <w:rFonts w:hint="eastAsia"/>
                      <w:color w:val="auto"/>
                    </w:rPr>
                    <w:t>部分返回天然气蒸汽锅炉用于蒸汽再生产，部分返回喷淋冷凝管道用于水蒸气冷凝，剩余部分用于厂区、煤棚洒水降尘、反冲洗用水及选煤厂洗煤工艺补充用水。反渗透浓水由浓水收集池收集后，定期交由浓水处理单位进行处置。</w:t>
                  </w:r>
                </w:p>
              </w:tc>
              <w:tc>
                <w:tcPr>
                  <w:tcW w:w="453" w:type="pct"/>
                  <w:vAlign w:val="center"/>
                </w:tcPr>
                <w:p>
                  <w:pPr>
                    <w:spacing w:line="240" w:lineRule="auto"/>
                    <w:ind w:firstLine="0" w:firstLineChars="0"/>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470" w:type="pct"/>
                  <w:vMerge w:val="continue"/>
                  <w:vAlign w:val="center"/>
                </w:tcPr>
                <w:p>
                  <w:pPr>
                    <w:spacing w:line="240" w:lineRule="auto"/>
                    <w:ind w:firstLine="0" w:firstLineChars="0"/>
                    <w:rPr>
                      <w:color w:val="auto"/>
                    </w:rPr>
                  </w:pPr>
                </w:p>
              </w:tc>
              <w:tc>
                <w:tcPr>
                  <w:tcW w:w="472" w:type="pct"/>
                  <w:vAlign w:val="center"/>
                </w:tcPr>
                <w:p>
                  <w:pPr>
                    <w:spacing w:line="240" w:lineRule="auto"/>
                    <w:ind w:firstLine="0" w:firstLineChars="0"/>
                    <w:rPr>
                      <w:color w:val="auto"/>
                    </w:rPr>
                  </w:pPr>
                  <w:r>
                    <w:rPr>
                      <w:color w:val="auto"/>
                    </w:rPr>
                    <w:t>噪声</w:t>
                  </w:r>
                </w:p>
              </w:tc>
              <w:tc>
                <w:tcPr>
                  <w:tcW w:w="3603" w:type="pct"/>
                  <w:gridSpan w:val="2"/>
                  <w:vAlign w:val="center"/>
                </w:tcPr>
                <w:p>
                  <w:pPr>
                    <w:spacing w:line="240" w:lineRule="auto"/>
                    <w:ind w:firstLine="0" w:firstLineChars="0"/>
                    <w:rPr>
                      <w:color w:val="auto"/>
                    </w:rPr>
                  </w:pPr>
                  <w:r>
                    <w:rPr>
                      <w:color w:val="auto"/>
                    </w:rPr>
                    <w:t>采用厂房隔声、选用低噪声设备等防噪降噪措施。</w:t>
                  </w:r>
                </w:p>
              </w:tc>
              <w:tc>
                <w:tcPr>
                  <w:tcW w:w="453" w:type="pct"/>
                  <w:vAlign w:val="center"/>
                </w:tcPr>
                <w:p>
                  <w:pPr>
                    <w:spacing w:line="240" w:lineRule="auto"/>
                    <w:ind w:firstLine="0" w:firstLineChars="0"/>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470" w:type="pct"/>
                  <w:vMerge w:val="continue"/>
                  <w:vAlign w:val="center"/>
                </w:tcPr>
                <w:p>
                  <w:pPr>
                    <w:spacing w:line="240" w:lineRule="auto"/>
                    <w:ind w:firstLine="0" w:firstLineChars="0"/>
                    <w:rPr>
                      <w:color w:val="auto"/>
                    </w:rPr>
                  </w:pPr>
                </w:p>
              </w:tc>
              <w:tc>
                <w:tcPr>
                  <w:tcW w:w="472" w:type="pct"/>
                  <w:vMerge w:val="restart"/>
                  <w:vAlign w:val="center"/>
                </w:tcPr>
                <w:p>
                  <w:pPr>
                    <w:spacing w:line="240" w:lineRule="auto"/>
                    <w:ind w:firstLine="0" w:firstLineChars="0"/>
                    <w:rPr>
                      <w:color w:val="auto"/>
                    </w:rPr>
                  </w:pPr>
                  <w:r>
                    <w:rPr>
                      <w:color w:val="auto"/>
                    </w:rPr>
                    <w:t>固废</w:t>
                  </w:r>
                </w:p>
              </w:tc>
              <w:tc>
                <w:tcPr>
                  <w:tcW w:w="477" w:type="pct"/>
                  <w:vAlign w:val="center"/>
                </w:tcPr>
                <w:p>
                  <w:pPr>
                    <w:spacing w:line="240" w:lineRule="auto"/>
                    <w:ind w:firstLine="0" w:firstLineChars="0"/>
                    <w:rPr>
                      <w:color w:val="auto"/>
                    </w:rPr>
                  </w:pPr>
                  <w:r>
                    <w:rPr>
                      <w:color w:val="auto"/>
                    </w:rPr>
                    <w:t>生活垃圾</w:t>
                  </w:r>
                </w:p>
              </w:tc>
              <w:tc>
                <w:tcPr>
                  <w:tcW w:w="3126" w:type="pct"/>
                  <w:vAlign w:val="center"/>
                </w:tcPr>
                <w:p>
                  <w:pPr>
                    <w:spacing w:line="240" w:lineRule="auto"/>
                    <w:ind w:firstLine="0" w:firstLineChars="0"/>
                    <w:rPr>
                      <w:color w:val="auto"/>
                    </w:rPr>
                  </w:pPr>
                  <w:r>
                    <w:rPr>
                      <w:color w:val="auto"/>
                    </w:rPr>
                    <w:t>本项目无新增劳动定员，无新增生活垃圾产生。</w:t>
                  </w:r>
                </w:p>
              </w:tc>
              <w:tc>
                <w:tcPr>
                  <w:tcW w:w="453" w:type="pct"/>
                  <w:vMerge w:val="restart"/>
                  <w:vAlign w:val="center"/>
                </w:tcPr>
                <w:p>
                  <w:pPr>
                    <w:spacing w:line="240" w:lineRule="auto"/>
                    <w:ind w:firstLine="0" w:firstLineChars="0"/>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pct"/>
                  <w:vMerge w:val="continue"/>
                  <w:vAlign w:val="center"/>
                </w:tcPr>
                <w:p>
                  <w:pPr>
                    <w:spacing w:line="240" w:lineRule="auto"/>
                    <w:ind w:firstLine="0" w:firstLineChars="0"/>
                    <w:rPr>
                      <w:color w:val="auto"/>
                    </w:rPr>
                  </w:pPr>
                </w:p>
              </w:tc>
              <w:tc>
                <w:tcPr>
                  <w:tcW w:w="472" w:type="pct"/>
                  <w:vMerge w:val="continue"/>
                  <w:vAlign w:val="center"/>
                </w:tcPr>
                <w:p>
                  <w:pPr>
                    <w:spacing w:line="240" w:lineRule="auto"/>
                    <w:ind w:firstLine="0" w:firstLineChars="0"/>
                    <w:rPr>
                      <w:color w:val="auto"/>
                    </w:rPr>
                  </w:pPr>
                </w:p>
              </w:tc>
              <w:tc>
                <w:tcPr>
                  <w:tcW w:w="477" w:type="pct"/>
                  <w:vAlign w:val="center"/>
                </w:tcPr>
                <w:p>
                  <w:pPr>
                    <w:spacing w:line="240" w:lineRule="auto"/>
                    <w:ind w:firstLine="0" w:firstLineChars="0"/>
                    <w:rPr>
                      <w:color w:val="auto"/>
                    </w:rPr>
                  </w:pPr>
                  <w:r>
                    <w:rPr>
                      <w:color w:val="auto"/>
                    </w:rPr>
                    <w:t>一般固废</w:t>
                  </w:r>
                </w:p>
              </w:tc>
              <w:tc>
                <w:tcPr>
                  <w:tcW w:w="3126" w:type="pct"/>
                  <w:vAlign w:val="center"/>
                </w:tcPr>
                <w:p>
                  <w:pPr>
                    <w:spacing w:line="240" w:lineRule="auto"/>
                    <w:ind w:firstLine="0" w:firstLineChars="0"/>
                    <w:rPr>
                      <w:color w:val="auto"/>
                    </w:rPr>
                  </w:pPr>
                  <w:r>
                    <w:rPr>
                      <w:color w:val="auto"/>
                    </w:rPr>
                    <w:t>废离子交换树脂：天然气蒸汽锅炉纯水制备过程中产生的废离子交换树脂定期更换，产后不落地，交由厂家回收处置。</w:t>
                  </w:r>
                </w:p>
                <w:p>
                  <w:pPr>
                    <w:spacing w:line="240" w:lineRule="auto"/>
                    <w:ind w:firstLine="0" w:firstLineChars="0"/>
                    <w:rPr>
                      <w:color w:val="auto"/>
                    </w:rPr>
                  </w:pPr>
                  <w:r>
                    <w:rPr>
                      <w:rFonts w:hint="eastAsia"/>
                      <w:color w:val="auto"/>
                    </w:rPr>
                    <w:t>废滤料：废水处理站多介质过滤器的滤料需要定期更换，产生的废滤料产后不落地，由厂家上门更换回收。</w:t>
                  </w:r>
                </w:p>
                <w:p>
                  <w:pPr>
                    <w:spacing w:line="240" w:lineRule="auto"/>
                    <w:ind w:firstLine="0" w:firstLineChars="0"/>
                    <w:rPr>
                      <w:color w:val="auto"/>
                    </w:rPr>
                  </w:pPr>
                  <w:r>
                    <w:rPr>
                      <w:color w:val="auto"/>
                    </w:rPr>
                    <w:t>废反渗透膜：超滤、</w:t>
                  </w:r>
                  <w:r>
                    <w:rPr>
                      <w:rFonts w:hint="eastAsia"/>
                      <w:color w:val="auto"/>
                    </w:rPr>
                    <w:t>反</w:t>
                  </w:r>
                  <w:r>
                    <w:rPr>
                      <w:color w:val="auto"/>
                    </w:rPr>
                    <w:t>渗装置产生的废反渗透膜产后不落地，由厂家上门更换回收。</w:t>
                  </w:r>
                </w:p>
                <w:p>
                  <w:pPr>
                    <w:spacing w:line="240" w:lineRule="auto"/>
                    <w:ind w:firstLine="0" w:firstLineChars="0"/>
                    <w:rPr>
                      <w:color w:val="auto"/>
                    </w:rPr>
                  </w:pPr>
                  <w:r>
                    <w:rPr>
                      <w:rFonts w:hint="eastAsia"/>
                      <w:color w:val="auto"/>
                    </w:rPr>
                    <w:t>废水处理站产生的污泥：产生的污泥掺入洗煤厂产品煤中进行外售。</w:t>
                  </w:r>
                </w:p>
              </w:tc>
              <w:tc>
                <w:tcPr>
                  <w:tcW w:w="453" w:type="pct"/>
                  <w:vMerge w:val="continue"/>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470" w:type="pct"/>
                  <w:vMerge w:val="continue"/>
                  <w:vAlign w:val="center"/>
                </w:tcPr>
                <w:p>
                  <w:pPr>
                    <w:spacing w:line="240" w:lineRule="auto"/>
                    <w:ind w:firstLine="0" w:firstLineChars="0"/>
                    <w:rPr>
                      <w:color w:val="auto"/>
                    </w:rPr>
                  </w:pPr>
                </w:p>
              </w:tc>
              <w:tc>
                <w:tcPr>
                  <w:tcW w:w="472" w:type="pct"/>
                  <w:vMerge w:val="continue"/>
                  <w:vAlign w:val="center"/>
                </w:tcPr>
                <w:p>
                  <w:pPr>
                    <w:spacing w:line="240" w:lineRule="auto"/>
                    <w:ind w:firstLine="0" w:firstLineChars="0"/>
                    <w:rPr>
                      <w:color w:val="auto"/>
                    </w:rPr>
                  </w:pPr>
                </w:p>
              </w:tc>
              <w:tc>
                <w:tcPr>
                  <w:tcW w:w="477" w:type="pct"/>
                  <w:vAlign w:val="center"/>
                </w:tcPr>
                <w:p>
                  <w:pPr>
                    <w:spacing w:line="240" w:lineRule="auto"/>
                    <w:ind w:firstLine="0" w:firstLineChars="0"/>
                    <w:rPr>
                      <w:color w:val="auto"/>
                    </w:rPr>
                  </w:pPr>
                  <w:r>
                    <w:rPr>
                      <w:rFonts w:hint="eastAsia"/>
                      <w:color w:val="auto"/>
                    </w:rPr>
                    <w:t>危险废物</w:t>
                  </w:r>
                </w:p>
              </w:tc>
              <w:tc>
                <w:tcPr>
                  <w:tcW w:w="3126" w:type="pct"/>
                  <w:vAlign w:val="center"/>
                </w:tcPr>
                <w:p>
                  <w:pPr>
                    <w:spacing w:line="240" w:lineRule="auto"/>
                    <w:ind w:firstLine="0" w:firstLineChars="0"/>
                    <w:rPr>
                      <w:color w:val="auto"/>
                    </w:rPr>
                  </w:pPr>
                  <w:r>
                    <w:rPr>
                      <w:rFonts w:hint="eastAsia"/>
                      <w:color w:val="auto"/>
                    </w:rPr>
                    <w:t>废矿物油：设备维修过程中产生的废矿物油，暂存于新建的危废库内，定期交由有资质单位进行处置。</w:t>
                  </w:r>
                  <w:r>
                    <w:rPr>
                      <w:rFonts w:hint="eastAsia"/>
                      <w:color w:val="auto"/>
                    </w:rPr>
                    <w:br w:type="textWrapping"/>
                  </w:r>
                  <w:r>
                    <w:rPr>
                      <w:rFonts w:hint="eastAsia"/>
                      <w:color w:val="auto"/>
                    </w:rPr>
                    <w:t>废油桶：设备维修过程中产生的废矿物油、废油桶，暂存于新建的危废库内，定期交由有资质单位进行处置。</w:t>
                  </w:r>
                </w:p>
              </w:tc>
              <w:tc>
                <w:tcPr>
                  <w:tcW w:w="453" w:type="pct"/>
                  <w:vAlign w:val="center"/>
                </w:tcPr>
                <w:p>
                  <w:pPr>
                    <w:spacing w:line="240" w:lineRule="auto"/>
                    <w:ind w:firstLine="0" w:firstLineChars="0"/>
                    <w:jc w:val="center"/>
                    <w:rPr>
                      <w:color w:val="auto"/>
                    </w:rPr>
                  </w:pPr>
                  <w:r>
                    <w:rPr>
                      <w:rFonts w:hint="eastAsia"/>
                      <w:color w:val="auto"/>
                    </w:rPr>
                    <w:t>新建</w:t>
                  </w:r>
                </w:p>
              </w:tc>
            </w:tr>
          </w:tbl>
          <w:p>
            <w:pPr>
              <w:ind w:firstLine="482"/>
              <w:rPr>
                <w:b/>
                <w:bCs/>
                <w:color w:val="auto"/>
              </w:rPr>
            </w:pPr>
            <w:r>
              <w:rPr>
                <w:rFonts w:hint="eastAsia"/>
                <w:b/>
                <w:bCs/>
                <w:color w:val="auto"/>
                <w:lang w:eastAsia="zh-CN"/>
              </w:rPr>
              <w:t>2.</w:t>
            </w:r>
            <w:r>
              <w:rPr>
                <w:b/>
                <w:bCs/>
                <w:color w:val="auto"/>
              </w:rPr>
              <w:t>项目原辅材料</w:t>
            </w:r>
          </w:p>
          <w:p>
            <w:pPr>
              <w:ind w:firstLine="480"/>
              <w:rPr>
                <w:color w:val="auto"/>
              </w:rPr>
            </w:pPr>
            <w:r>
              <w:rPr>
                <w:color w:val="auto"/>
              </w:rPr>
              <w:t>项目主要原辅材料一览表见表2-</w:t>
            </w:r>
            <w:r>
              <w:rPr>
                <w:rFonts w:hint="eastAsia"/>
                <w:color w:val="auto"/>
              </w:rPr>
              <w:t>3</w:t>
            </w:r>
            <w:r>
              <w:rPr>
                <w:color w:val="auto"/>
              </w:rPr>
              <w:t>。</w:t>
            </w:r>
          </w:p>
          <w:p>
            <w:pPr>
              <w:ind w:firstLine="0" w:firstLineChars="0"/>
              <w:jc w:val="center"/>
              <w:rPr>
                <w:b/>
                <w:bCs/>
                <w:color w:val="auto"/>
              </w:rPr>
            </w:pPr>
            <w:r>
              <w:rPr>
                <w:b/>
                <w:bCs/>
                <w:color w:val="auto"/>
              </w:rPr>
              <w:t>表2-</w:t>
            </w:r>
            <w:r>
              <w:rPr>
                <w:rFonts w:hint="eastAsia"/>
                <w:b/>
                <w:bCs/>
                <w:color w:val="auto"/>
              </w:rPr>
              <w:t>3</w:t>
            </w:r>
            <w:r>
              <w:rPr>
                <w:b/>
                <w:bCs/>
                <w:color w:val="auto"/>
              </w:rPr>
              <w:t>项目主要原辅材料消耗情况一览表</w:t>
            </w:r>
          </w:p>
          <w:tbl>
            <w:tblPr>
              <w:tblStyle w:val="22"/>
              <w:tblW w:w="79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7"/>
              <w:gridCol w:w="1378"/>
              <w:gridCol w:w="1129"/>
              <w:gridCol w:w="1093"/>
              <w:gridCol w:w="3022"/>
              <w:gridCol w:w="7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trPr>
              <w:tc>
                <w:tcPr>
                  <w:tcW w:w="617" w:type="dxa"/>
                </w:tcPr>
                <w:p>
                  <w:pPr>
                    <w:spacing w:line="240" w:lineRule="auto"/>
                    <w:ind w:firstLine="0" w:firstLineChars="0"/>
                    <w:jc w:val="center"/>
                    <w:rPr>
                      <w:color w:val="auto"/>
                    </w:rPr>
                  </w:pPr>
                  <w:r>
                    <w:rPr>
                      <w:color w:val="auto"/>
                    </w:rPr>
                    <w:t>序号</w:t>
                  </w:r>
                </w:p>
              </w:tc>
              <w:tc>
                <w:tcPr>
                  <w:tcW w:w="1378" w:type="dxa"/>
                  <w:vAlign w:val="center"/>
                </w:tcPr>
                <w:p>
                  <w:pPr>
                    <w:spacing w:line="240" w:lineRule="auto"/>
                    <w:ind w:firstLine="0" w:firstLineChars="0"/>
                    <w:jc w:val="center"/>
                    <w:rPr>
                      <w:color w:val="auto"/>
                    </w:rPr>
                  </w:pPr>
                  <w:r>
                    <w:rPr>
                      <w:color w:val="auto"/>
                    </w:rPr>
                    <w:t>名称</w:t>
                  </w:r>
                </w:p>
              </w:tc>
              <w:tc>
                <w:tcPr>
                  <w:tcW w:w="1129" w:type="dxa"/>
                  <w:vAlign w:val="center"/>
                </w:tcPr>
                <w:p>
                  <w:pPr>
                    <w:spacing w:line="240" w:lineRule="auto"/>
                    <w:ind w:firstLine="0" w:firstLineChars="0"/>
                    <w:jc w:val="center"/>
                    <w:rPr>
                      <w:color w:val="auto"/>
                    </w:rPr>
                  </w:pPr>
                  <w:r>
                    <w:rPr>
                      <w:color w:val="auto"/>
                    </w:rPr>
                    <w:t>单位</w:t>
                  </w:r>
                </w:p>
              </w:tc>
              <w:tc>
                <w:tcPr>
                  <w:tcW w:w="1093" w:type="dxa"/>
                  <w:vAlign w:val="center"/>
                </w:tcPr>
                <w:p>
                  <w:pPr>
                    <w:spacing w:line="240" w:lineRule="auto"/>
                    <w:ind w:firstLine="0" w:firstLineChars="0"/>
                    <w:jc w:val="center"/>
                    <w:rPr>
                      <w:color w:val="auto"/>
                    </w:rPr>
                  </w:pPr>
                  <w:r>
                    <w:rPr>
                      <w:color w:val="auto"/>
                    </w:rPr>
                    <w:t>年使用量</w:t>
                  </w:r>
                </w:p>
              </w:tc>
              <w:tc>
                <w:tcPr>
                  <w:tcW w:w="3022" w:type="dxa"/>
                </w:tcPr>
                <w:p>
                  <w:pPr>
                    <w:spacing w:line="240" w:lineRule="auto"/>
                    <w:ind w:firstLine="0" w:firstLineChars="0"/>
                    <w:jc w:val="center"/>
                    <w:rPr>
                      <w:color w:val="auto"/>
                    </w:rPr>
                  </w:pPr>
                  <w:r>
                    <w:rPr>
                      <w:color w:val="auto"/>
                    </w:rPr>
                    <w:t>来源</w:t>
                  </w:r>
                </w:p>
              </w:tc>
              <w:tc>
                <w:tcPr>
                  <w:tcW w:w="706" w:type="dxa"/>
                </w:tcPr>
                <w:p>
                  <w:pPr>
                    <w:spacing w:line="240" w:lineRule="auto"/>
                    <w:ind w:firstLine="0" w:firstLineChars="0"/>
                    <w:jc w:val="center"/>
                    <w:rPr>
                      <w:color w:val="auto"/>
                    </w:rPr>
                  </w:pPr>
                  <w:r>
                    <w:rPr>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trPr>
              <w:tc>
                <w:tcPr>
                  <w:tcW w:w="617" w:type="dxa"/>
                </w:tcPr>
                <w:p>
                  <w:pPr>
                    <w:spacing w:line="240" w:lineRule="auto"/>
                    <w:ind w:firstLine="0" w:firstLineChars="0"/>
                    <w:jc w:val="center"/>
                    <w:rPr>
                      <w:color w:val="auto"/>
                    </w:rPr>
                  </w:pPr>
                  <w:r>
                    <w:rPr>
                      <w:color w:val="auto"/>
                    </w:rPr>
                    <w:t>1</w:t>
                  </w:r>
                </w:p>
              </w:tc>
              <w:tc>
                <w:tcPr>
                  <w:tcW w:w="1378" w:type="dxa"/>
                  <w:vAlign w:val="center"/>
                </w:tcPr>
                <w:p>
                  <w:pPr>
                    <w:spacing w:line="240" w:lineRule="auto"/>
                    <w:ind w:firstLine="0" w:firstLineChars="0"/>
                    <w:jc w:val="center"/>
                    <w:rPr>
                      <w:color w:val="auto"/>
                    </w:rPr>
                  </w:pPr>
                  <w:r>
                    <w:rPr>
                      <w:color w:val="auto"/>
                    </w:rPr>
                    <w:t>原煤（</w:t>
                  </w:r>
                  <w:r>
                    <w:rPr>
                      <w:rFonts w:hint="eastAsia"/>
                      <w:color w:val="auto"/>
                    </w:rPr>
                    <w:t>中煤掺煤泥</w:t>
                  </w:r>
                  <w:r>
                    <w:rPr>
                      <w:color w:val="auto"/>
                    </w:rPr>
                    <w:t>）（含水率为</w:t>
                  </w:r>
                  <w:r>
                    <w:rPr>
                      <w:rFonts w:hint="eastAsia"/>
                      <w:color w:val="auto"/>
                    </w:rPr>
                    <w:t>17.14</w:t>
                  </w:r>
                  <w:r>
                    <w:rPr>
                      <w:color w:val="auto"/>
                    </w:rPr>
                    <w:t>%）</w:t>
                  </w:r>
                </w:p>
              </w:tc>
              <w:tc>
                <w:tcPr>
                  <w:tcW w:w="1129" w:type="dxa"/>
                  <w:vAlign w:val="center"/>
                </w:tcPr>
                <w:p>
                  <w:pPr>
                    <w:spacing w:line="240" w:lineRule="auto"/>
                    <w:ind w:firstLine="0" w:firstLineChars="0"/>
                    <w:jc w:val="center"/>
                    <w:rPr>
                      <w:color w:val="auto"/>
                    </w:rPr>
                  </w:pPr>
                  <w:r>
                    <w:rPr>
                      <w:color w:val="auto"/>
                    </w:rPr>
                    <w:t>t/a</w:t>
                  </w:r>
                </w:p>
              </w:tc>
              <w:tc>
                <w:tcPr>
                  <w:tcW w:w="1093" w:type="dxa"/>
                  <w:vAlign w:val="center"/>
                </w:tcPr>
                <w:p>
                  <w:pPr>
                    <w:spacing w:line="240" w:lineRule="auto"/>
                    <w:ind w:firstLine="0" w:firstLineChars="0"/>
                    <w:jc w:val="center"/>
                    <w:rPr>
                      <w:color w:val="auto"/>
                    </w:rPr>
                  </w:pPr>
                  <w:r>
                    <w:rPr>
                      <w:color w:val="auto"/>
                    </w:rPr>
                    <w:t>50万</w:t>
                  </w:r>
                </w:p>
              </w:tc>
              <w:tc>
                <w:tcPr>
                  <w:tcW w:w="3022" w:type="dxa"/>
                </w:tcPr>
                <w:p>
                  <w:pPr>
                    <w:spacing w:line="240" w:lineRule="auto"/>
                    <w:ind w:firstLine="0" w:firstLineChars="0"/>
                    <w:rPr>
                      <w:color w:val="auto"/>
                    </w:rPr>
                  </w:pPr>
                  <w:r>
                    <w:rPr>
                      <w:color w:val="auto"/>
                    </w:rPr>
                    <w:t>新街</w:t>
                  </w:r>
                  <w:r>
                    <w:rPr>
                      <w:rFonts w:hint="eastAsia"/>
                      <w:color w:val="auto"/>
                    </w:rPr>
                    <w:t>马秦壕</w:t>
                  </w:r>
                  <w:r>
                    <w:rPr>
                      <w:color w:val="auto"/>
                    </w:rPr>
                    <w:t>鑫源洗煤厂产品煤（包括马秦壕鑫源洗煤厂的</w:t>
                  </w:r>
                  <w:r>
                    <w:rPr>
                      <w:rFonts w:hint="eastAsia"/>
                      <w:color w:val="auto"/>
                    </w:rPr>
                    <w:t>50</w:t>
                  </w:r>
                  <w:r>
                    <w:rPr>
                      <w:color w:val="auto"/>
                    </w:rPr>
                    <w:t>万吨中煤</w:t>
                  </w:r>
                  <w:r>
                    <w:rPr>
                      <w:rFonts w:hint="eastAsia"/>
                      <w:color w:val="auto"/>
                    </w:rPr>
                    <w:t>掺煤泥，掺混比为6:1</w:t>
                  </w:r>
                  <w:r>
                    <w:rPr>
                      <w:color w:val="auto"/>
                    </w:rPr>
                    <w:t>）</w:t>
                  </w:r>
                </w:p>
              </w:tc>
              <w:tc>
                <w:tcPr>
                  <w:tcW w:w="706" w:type="dxa"/>
                </w:tcPr>
                <w:p>
                  <w:pPr>
                    <w:spacing w:line="240" w:lineRule="auto"/>
                    <w:ind w:firstLine="0" w:firstLineChars="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9" w:hRule="atLeast"/>
              </w:trPr>
              <w:tc>
                <w:tcPr>
                  <w:tcW w:w="617" w:type="dxa"/>
                </w:tcPr>
                <w:p>
                  <w:pPr>
                    <w:spacing w:line="240" w:lineRule="auto"/>
                    <w:ind w:firstLine="0" w:firstLineChars="0"/>
                    <w:jc w:val="center"/>
                    <w:rPr>
                      <w:color w:val="auto"/>
                    </w:rPr>
                  </w:pPr>
                  <w:r>
                    <w:rPr>
                      <w:color w:val="auto"/>
                    </w:rPr>
                    <w:t>2</w:t>
                  </w:r>
                </w:p>
              </w:tc>
              <w:tc>
                <w:tcPr>
                  <w:tcW w:w="1378" w:type="dxa"/>
                  <w:vAlign w:val="center"/>
                </w:tcPr>
                <w:p>
                  <w:pPr>
                    <w:spacing w:line="240" w:lineRule="auto"/>
                    <w:ind w:firstLine="0" w:firstLineChars="0"/>
                    <w:jc w:val="center"/>
                    <w:rPr>
                      <w:color w:val="auto"/>
                    </w:rPr>
                  </w:pPr>
                  <w:r>
                    <w:rPr>
                      <w:color w:val="auto"/>
                    </w:rPr>
                    <w:t>天然气</w:t>
                  </w:r>
                </w:p>
              </w:tc>
              <w:tc>
                <w:tcPr>
                  <w:tcW w:w="1129" w:type="dxa"/>
                  <w:vAlign w:val="center"/>
                </w:tcPr>
                <w:p>
                  <w:pPr>
                    <w:spacing w:line="240" w:lineRule="auto"/>
                    <w:ind w:firstLine="0" w:firstLineChars="0"/>
                    <w:jc w:val="center"/>
                    <w:rPr>
                      <w:color w:val="auto"/>
                    </w:rPr>
                  </w:pPr>
                  <w:r>
                    <w:rPr>
                      <w:color w:val="auto"/>
                    </w:rPr>
                    <w:t>万</w:t>
                  </w:r>
                  <w:r>
                    <w:rPr>
                      <w:rFonts w:hint="eastAsia"/>
                      <w:color w:val="auto"/>
                    </w:rPr>
                    <w:t>m³/a</w:t>
                  </w:r>
                </w:p>
              </w:tc>
              <w:tc>
                <w:tcPr>
                  <w:tcW w:w="1093" w:type="dxa"/>
                  <w:vAlign w:val="center"/>
                </w:tcPr>
                <w:p>
                  <w:pPr>
                    <w:spacing w:line="240" w:lineRule="auto"/>
                    <w:ind w:firstLine="0" w:firstLineChars="0"/>
                    <w:jc w:val="center"/>
                    <w:rPr>
                      <w:color w:val="auto"/>
                    </w:rPr>
                  </w:pPr>
                  <w:r>
                    <w:rPr>
                      <w:color w:val="auto"/>
                    </w:rPr>
                    <w:t>1756.97</w:t>
                  </w:r>
                </w:p>
              </w:tc>
              <w:tc>
                <w:tcPr>
                  <w:tcW w:w="3022" w:type="dxa"/>
                </w:tcPr>
                <w:p>
                  <w:pPr>
                    <w:spacing w:line="240" w:lineRule="auto"/>
                    <w:ind w:firstLine="0" w:firstLineChars="0"/>
                    <w:jc w:val="both"/>
                    <w:rPr>
                      <w:color w:val="auto"/>
                    </w:rPr>
                  </w:pPr>
                  <w:r>
                    <w:rPr>
                      <w:color w:val="auto"/>
                    </w:rPr>
                    <w:t>外购鄂尔多斯市华北瑞达油气工程技术服务有限责任公司提供。</w:t>
                  </w:r>
                </w:p>
              </w:tc>
              <w:tc>
                <w:tcPr>
                  <w:tcW w:w="706" w:type="dxa"/>
                </w:tcPr>
                <w:p>
                  <w:pPr>
                    <w:spacing w:line="240" w:lineRule="auto"/>
                    <w:ind w:firstLine="0" w:firstLineChars="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7" w:type="dxa"/>
                </w:tcPr>
                <w:p>
                  <w:pPr>
                    <w:spacing w:line="240" w:lineRule="auto"/>
                    <w:ind w:firstLine="0" w:firstLineChars="0"/>
                    <w:jc w:val="center"/>
                    <w:rPr>
                      <w:color w:val="auto"/>
                    </w:rPr>
                  </w:pPr>
                  <w:r>
                    <w:rPr>
                      <w:rFonts w:hint="eastAsia"/>
                      <w:color w:val="auto"/>
                    </w:rPr>
                    <w:t>4</w:t>
                  </w:r>
                </w:p>
              </w:tc>
              <w:tc>
                <w:tcPr>
                  <w:tcW w:w="1378" w:type="dxa"/>
                </w:tcPr>
                <w:p>
                  <w:pPr>
                    <w:spacing w:line="240" w:lineRule="auto"/>
                    <w:ind w:firstLine="0" w:firstLineChars="0"/>
                    <w:jc w:val="center"/>
                    <w:rPr>
                      <w:color w:val="auto"/>
                    </w:rPr>
                  </w:pPr>
                  <w:r>
                    <w:rPr>
                      <w:rFonts w:hint="eastAsia"/>
                      <w:color w:val="auto"/>
                    </w:rPr>
                    <w:t>PAC</w:t>
                  </w:r>
                </w:p>
              </w:tc>
              <w:tc>
                <w:tcPr>
                  <w:tcW w:w="1129" w:type="dxa"/>
                </w:tcPr>
                <w:p>
                  <w:pPr>
                    <w:spacing w:line="240" w:lineRule="auto"/>
                    <w:ind w:firstLine="0" w:firstLineChars="0"/>
                    <w:jc w:val="center"/>
                    <w:rPr>
                      <w:color w:val="auto"/>
                    </w:rPr>
                  </w:pPr>
                  <w:r>
                    <w:rPr>
                      <w:rFonts w:hint="eastAsia"/>
                      <w:color w:val="auto"/>
                    </w:rPr>
                    <w:t>t/a</w:t>
                  </w:r>
                </w:p>
              </w:tc>
              <w:tc>
                <w:tcPr>
                  <w:tcW w:w="1093" w:type="dxa"/>
                </w:tcPr>
                <w:p>
                  <w:pPr>
                    <w:spacing w:line="240" w:lineRule="auto"/>
                    <w:ind w:firstLine="0" w:firstLineChars="0"/>
                    <w:jc w:val="center"/>
                    <w:rPr>
                      <w:color w:val="auto"/>
                    </w:rPr>
                  </w:pPr>
                  <w:r>
                    <w:rPr>
                      <w:rFonts w:hint="eastAsia"/>
                      <w:color w:val="auto"/>
                    </w:rPr>
                    <w:t>32.5</w:t>
                  </w:r>
                </w:p>
              </w:tc>
              <w:tc>
                <w:tcPr>
                  <w:tcW w:w="3022" w:type="dxa"/>
                </w:tcPr>
                <w:p>
                  <w:pPr>
                    <w:spacing w:line="240" w:lineRule="auto"/>
                    <w:ind w:firstLine="0" w:firstLineChars="0"/>
                    <w:jc w:val="center"/>
                    <w:rPr>
                      <w:color w:val="auto"/>
                    </w:rPr>
                  </w:pPr>
                  <w:r>
                    <w:rPr>
                      <w:rFonts w:hint="eastAsia"/>
                      <w:color w:val="auto"/>
                    </w:rPr>
                    <w:t>外购</w:t>
                  </w:r>
                </w:p>
              </w:tc>
              <w:tc>
                <w:tcPr>
                  <w:tcW w:w="706" w:type="dxa"/>
                </w:tcPr>
                <w:p>
                  <w:pPr>
                    <w:spacing w:line="240" w:lineRule="auto"/>
                    <w:ind w:firstLine="0" w:firstLineChars="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7" w:type="dxa"/>
                </w:tcPr>
                <w:p>
                  <w:pPr>
                    <w:spacing w:line="240" w:lineRule="auto"/>
                    <w:ind w:firstLine="0" w:firstLineChars="0"/>
                    <w:jc w:val="center"/>
                    <w:rPr>
                      <w:color w:val="auto"/>
                    </w:rPr>
                  </w:pPr>
                  <w:r>
                    <w:rPr>
                      <w:rFonts w:hint="eastAsia"/>
                      <w:color w:val="auto"/>
                    </w:rPr>
                    <w:t>5</w:t>
                  </w:r>
                </w:p>
              </w:tc>
              <w:tc>
                <w:tcPr>
                  <w:tcW w:w="1378" w:type="dxa"/>
                </w:tcPr>
                <w:p>
                  <w:pPr>
                    <w:spacing w:line="240" w:lineRule="auto"/>
                    <w:ind w:firstLine="0" w:firstLineChars="0"/>
                    <w:jc w:val="center"/>
                    <w:rPr>
                      <w:color w:val="auto"/>
                    </w:rPr>
                  </w:pPr>
                  <w:r>
                    <w:rPr>
                      <w:rFonts w:hint="eastAsia"/>
                      <w:color w:val="auto"/>
                    </w:rPr>
                    <w:t>PAM</w:t>
                  </w:r>
                </w:p>
              </w:tc>
              <w:tc>
                <w:tcPr>
                  <w:tcW w:w="1129" w:type="dxa"/>
                </w:tcPr>
                <w:p>
                  <w:pPr>
                    <w:spacing w:line="240" w:lineRule="auto"/>
                    <w:ind w:firstLine="0" w:firstLineChars="0"/>
                    <w:jc w:val="center"/>
                    <w:rPr>
                      <w:color w:val="auto"/>
                    </w:rPr>
                  </w:pPr>
                  <w:r>
                    <w:rPr>
                      <w:rFonts w:hint="eastAsia"/>
                      <w:color w:val="auto"/>
                    </w:rPr>
                    <w:t>t/a</w:t>
                  </w:r>
                </w:p>
              </w:tc>
              <w:tc>
                <w:tcPr>
                  <w:tcW w:w="1093" w:type="dxa"/>
                </w:tcPr>
                <w:p>
                  <w:pPr>
                    <w:spacing w:line="240" w:lineRule="auto"/>
                    <w:ind w:firstLine="0" w:firstLineChars="0"/>
                    <w:jc w:val="center"/>
                    <w:rPr>
                      <w:color w:val="auto"/>
                    </w:rPr>
                  </w:pPr>
                  <w:r>
                    <w:rPr>
                      <w:rFonts w:hint="eastAsia"/>
                      <w:color w:val="auto"/>
                    </w:rPr>
                    <w:t>0.3</w:t>
                  </w:r>
                </w:p>
              </w:tc>
              <w:tc>
                <w:tcPr>
                  <w:tcW w:w="3022" w:type="dxa"/>
                </w:tcPr>
                <w:p>
                  <w:pPr>
                    <w:spacing w:line="240" w:lineRule="auto"/>
                    <w:ind w:firstLine="0" w:firstLineChars="0"/>
                    <w:jc w:val="center"/>
                    <w:rPr>
                      <w:color w:val="auto"/>
                    </w:rPr>
                  </w:pPr>
                  <w:r>
                    <w:rPr>
                      <w:rFonts w:hint="eastAsia"/>
                      <w:color w:val="auto"/>
                    </w:rPr>
                    <w:t>外购</w:t>
                  </w:r>
                </w:p>
              </w:tc>
              <w:tc>
                <w:tcPr>
                  <w:tcW w:w="706" w:type="dxa"/>
                </w:tcPr>
                <w:p>
                  <w:pPr>
                    <w:spacing w:line="240" w:lineRule="auto"/>
                    <w:ind w:firstLine="0" w:firstLineChars="0"/>
                    <w:jc w:val="center"/>
                    <w:rPr>
                      <w:color w:val="auto"/>
                    </w:rPr>
                  </w:pPr>
                </w:p>
              </w:tc>
            </w:tr>
          </w:tbl>
          <w:p>
            <w:pPr>
              <w:ind w:firstLine="480"/>
              <w:rPr>
                <w:color w:val="auto"/>
              </w:rPr>
            </w:pPr>
            <w:r>
              <w:rPr>
                <w:color w:val="auto"/>
              </w:rPr>
              <w:t>天然气：主要由气态低分子烃和非烃气体混合组成，其中主要成分为甲烷，无色无味，另有少量的乙烷、丙烷和丁烷。天然气在送到最终用户之前，为助于泄漏检测，还要用硫醇、四氢噻吩等来给天然气添加特殊臭味。天然气不溶于水。</w:t>
            </w:r>
            <w:r>
              <w:rPr>
                <w:rFonts w:hint="eastAsia"/>
                <w:color w:val="auto"/>
              </w:rPr>
              <w:t>本</w:t>
            </w:r>
            <w:r>
              <w:rPr>
                <w:color w:val="auto"/>
              </w:rPr>
              <w:t>项目使用的天然气用气气质符合《天然气》（GB17820-2018）中表1</w:t>
            </w:r>
            <w:r>
              <w:rPr>
                <w:rFonts w:hint="eastAsia"/>
                <w:color w:val="auto"/>
              </w:rPr>
              <w:t>中二类天然气质量要求。</w:t>
            </w:r>
          </w:p>
          <w:p>
            <w:pPr>
              <w:ind w:firstLine="0" w:firstLineChars="0"/>
              <w:jc w:val="center"/>
              <w:rPr>
                <w:b/>
                <w:bCs/>
                <w:color w:val="auto"/>
              </w:rPr>
            </w:pPr>
            <w:r>
              <w:rPr>
                <w:b/>
                <w:bCs/>
                <w:color w:val="auto"/>
              </w:rPr>
              <w:t>表2-</w:t>
            </w:r>
            <w:r>
              <w:rPr>
                <w:rFonts w:hint="eastAsia"/>
                <w:b/>
                <w:bCs/>
                <w:color w:val="auto"/>
              </w:rPr>
              <w:t>4</w:t>
            </w:r>
            <w:r>
              <w:rPr>
                <w:b/>
                <w:bCs/>
                <w:color w:val="auto"/>
              </w:rPr>
              <w:t>天然气</w:t>
            </w:r>
            <w:r>
              <w:rPr>
                <w:rFonts w:hint="eastAsia"/>
                <w:b/>
                <w:bCs/>
                <w:color w:val="auto"/>
              </w:rPr>
              <w:t>质量要求</w:t>
            </w:r>
          </w:p>
          <w:tbl>
            <w:tblPr>
              <w:tblStyle w:val="22"/>
              <w:tblW w:w="79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11"/>
              <w:gridCol w:w="36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4311" w:type="dxa"/>
                  <w:vAlign w:val="center"/>
                </w:tcPr>
                <w:p>
                  <w:pPr>
                    <w:spacing w:line="240" w:lineRule="auto"/>
                    <w:ind w:firstLine="0" w:firstLineChars="0"/>
                    <w:jc w:val="center"/>
                    <w:rPr>
                      <w:color w:val="auto"/>
                    </w:rPr>
                  </w:pPr>
                  <w:r>
                    <w:rPr>
                      <w:color w:val="auto"/>
                    </w:rPr>
                    <w:t>项目</w:t>
                  </w:r>
                </w:p>
              </w:tc>
              <w:tc>
                <w:tcPr>
                  <w:tcW w:w="3628" w:type="dxa"/>
                  <w:vAlign w:val="center"/>
                </w:tcPr>
                <w:p>
                  <w:pPr>
                    <w:spacing w:line="240" w:lineRule="auto"/>
                    <w:ind w:firstLine="0" w:firstLineChars="0"/>
                    <w:jc w:val="center"/>
                    <w:rPr>
                      <w:color w:val="auto"/>
                    </w:rPr>
                  </w:pPr>
                  <w:r>
                    <w:rPr>
                      <w:rFonts w:hint="eastAsia"/>
                      <w:color w:val="auto"/>
                    </w:rPr>
                    <w:t>二类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4311" w:type="dxa"/>
                  <w:vAlign w:val="center"/>
                </w:tcPr>
                <w:p>
                  <w:pPr>
                    <w:spacing w:line="240" w:lineRule="auto"/>
                    <w:ind w:firstLine="0" w:firstLineChars="0"/>
                    <w:jc w:val="center"/>
                    <w:rPr>
                      <w:color w:val="auto"/>
                    </w:rPr>
                  </w:pPr>
                  <w:r>
                    <w:rPr>
                      <w:rFonts w:hint="eastAsia"/>
                      <w:color w:val="auto"/>
                    </w:rPr>
                    <w:t>高位发热量</w:t>
                  </w:r>
                  <w:r>
                    <w:rPr>
                      <w:rFonts w:hint="eastAsia"/>
                      <w:color w:val="auto"/>
                      <w:vertAlign w:val="superscript"/>
                    </w:rPr>
                    <w:t>a，b</w:t>
                  </w:r>
                  <w:r>
                    <w:rPr>
                      <w:rFonts w:hint="eastAsia"/>
                      <w:color w:val="auto"/>
                    </w:rPr>
                    <w:t>/（MJ/m³）≥</w:t>
                  </w:r>
                </w:p>
              </w:tc>
              <w:tc>
                <w:tcPr>
                  <w:tcW w:w="3628" w:type="dxa"/>
                  <w:vAlign w:val="center"/>
                </w:tcPr>
                <w:p>
                  <w:pPr>
                    <w:spacing w:line="240" w:lineRule="auto"/>
                    <w:ind w:firstLine="0" w:firstLineChars="0"/>
                    <w:jc w:val="center"/>
                    <w:rPr>
                      <w:color w:val="auto"/>
                    </w:rPr>
                  </w:pPr>
                  <w:r>
                    <w:rPr>
                      <w:rFonts w:hint="eastAsia"/>
                      <w:color w:val="auto"/>
                    </w:rPr>
                    <w:t>31.4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4311" w:type="dxa"/>
                  <w:vAlign w:val="center"/>
                </w:tcPr>
                <w:p>
                  <w:pPr>
                    <w:spacing w:line="240" w:lineRule="auto"/>
                    <w:ind w:firstLine="0" w:firstLineChars="0"/>
                    <w:jc w:val="center"/>
                    <w:rPr>
                      <w:color w:val="auto"/>
                    </w:rPr>
                  </w:pPr>
                  <w:r>
                    <w:rPr>
                      <w:rFonts w:hint="eastAsia"/>
                      <w:color w:val="auto"/>
                    </w:rPr>
                    <w:t>总硫（以硫计）</w:t>
                  </w:r>
                  <w:r>
                    <w:rPr>
                      <w:rFonts w:hint="eastAsia"/>
                      <w:color w:val="auto"/>
                      <w:vertAlign w:val="superscript"/>
                    </w:rPr>
                    <w:t>a</w:t>
                  </w:r>
                  <w:r>
                    <w:rPr>
                      <w:rFonts w:hint="eastAsia"/>
                      <w:color w:val="auto"/>
                    </w:rPr>
                    <w:t>/（mg/m³）≤</w:t>
                  </w:r>
                </w:p>
              </w:tc>
              <w:tc>
                <w:tcPr>
                  <w:tcW w:w="3628" w:type="dxa"/>
                  <w:vAlign w:val="center"/>
                </w:tcPr>
                <w:p>
                  <w:pPr>
                    <w:spacing w:line="240" w:lineRule="auto"/>
                    <w:ind w:firstLine="0" w:firstLineChars="0"/>
                    <w:jc w:val="center"/>
                    <w:rPr>
                      <w:color w:val="auto"/>
                    </w:rPr>
                  </w:pPr>
                  <w:r>
                    <w:rPr>
                      <w:rFonts w:hint="eastAsia"/>
                      <w:color w:val="auto"/>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4311" w:type="dxa"/>
                  <w:vAlign w:val="center"/>
                </w:tcPr>
                <w:p>
                  <w:pPr>
                    <w:spacing w:line="240" w:lineRule="auto"/>
                    <w:ind w:firstLine="0" w:firstLineChars="0"/>
                    <w:jc w:val="center"/>
                    <w:rPr>
                      <w:color w:val="auto"/>
                    </w:rPr>
                  </w:pPr>
                  <w:r>
                    <w:rPr>
                      <w:rFonts w:hint="eastAsia"/>
                      <w:color w:val="auto"/>
                    </w:rPr>
                    <w:t>硫化氢</w:t>
                  </w:r>
                  <w:r>
                    <w:rPr>
                      <w:rFonts w:hint="eastAsia"/>
                      <w:color w:val="auto"/>
                      <w:vertAlign w:val="superscript"/>
                    </w:rPr>
                    <w:t>a</w:t>
                  </w:r>
                  <w:r>
                    <w:rPr>
                      <w:rFonts w:hint="eastAsia"/>
                      <w:color w:val="auto"/>
                    </w:rPr>
                    <w:t>/（mg/m³）≤</w:t>
                  </w:r>
                </w:p>
              </w:tc>
              <w:tc>
                <w:tcPr>
                  <w:tcW w:w="3628" w:type="dxa"/>
                  <w:vAlign w:val="center"/>
                </w:tcPr>
                <w:p>
                  <w:pPr>
                    <w:spacing w:line="240" w:lineRule="auto"/>
                    <w:ind w:firstLine="0" w:firstLineChars="0"/>
                    <w:jc w:val="center"/>
                    <w:rPr>
                      <w:color w:val="auto"/>
                    </w:rPr>
                  </w:pPr>
                  <w:r>
                    <w:rPr>
                      <w:rFonts w:hint="eastAsia"/>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4311" w:type="dxa"/>
                  <w:vAlign w:val="center"/>
                </w:tcPr>
                <w:p>
                  <w:pPr>
                    <w:spacing w:line="240" w:lineRule="auto"/>
                    <w:ind w:firstLine="0" w:firstLineChars="0"/>
                    <w:jc w:val="center"/>
                    <w:rPr>
                      <w:color w:val="auto"/>
                    </w:rPr>
                  </w:pPr>
                  <w:r>
                    <w:rPr>
                      <w:rFonts w:hint="eastAsia"/>
                      <w:color w:val="auto"/>
                    </w:rPr>
                    <w:t>二氧化碳摩尔分数%≤</w:t>
                  </w:r>
                </w:p>
              </w:tc>
              <w:tc>
                <w:tcPr>
                  <w:tcW w:w="3628" w:type="dxa"/>
                  <w:vAlign w:val="center"/>
                </w:tcPr>
                <w:p>
                  <w:pPr>
                    <w:spacing w:line="240" w:lineRule="auto"/>
                    <w:ind w:firstLine="0" w:firstLineChars="0"/>
                    <w:jc w:val="center"/>
                    <w:rPr>
                      <w:color w:val="auto"/>
                    </w:rPr>
                  </w:pPr>
                  <w:r>
                    <w:rPr>
                      <w:rFonts w:hint="eastAsia"/>
                      <w:color w:val="auto"/>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7939" w:type="dxa"/>
                  <w:gridSpan w:val="2"/>
                  <w:vAlign w:val="center"/>
                </w:tcPr>
                <w:p>
                  <w:pPr>
                    <w:spacing w:line="240" w:lineRule="auto"/>
                    <w:ind w:firstLine="0" w:firstLineChars="0"/>
                    <w:rPr>
                      <w:color w:val="auto"/>
                    </w:rPr>
                  </w:pPr>
                  <w:r>
                    <w:rPr>
                      <w:rFonts w:hint="eastAsia"/>
                      <w:color w:val="auto"/>
                    </w:rPr>
                    <w:t>a本标准中使用的标准参比条件是101.325kPa，20℃。</w:t>
                  </w:r>
                </w:p>
                <w:p>
                  <w:pPr>
                    <w:spacing w:line="240" w:lineRule="auto"/>
                    <w:ind w:firstLine="0" w:firstLineChars="0"/>
                    <w:rPr>
                      <w:color w:val="auto"/>
                    </w:rPr>
                  </w:pPr>
                  <w:r>
                    <w:rPr>
                      <w:rFonts w:hint="eastAsia"/>
                      <w:color w:val="auto"/>
                    </w:rPr>
                    <w:t>b高位发热量以干基计</w:t>
                  </w:r>
                </w:p>
              </w:tc>
            </w:tr>
          </w:tbl>
          <w:p>
            <w:pPr>
              <w:ind w:firstLine="480"/>
              <w:rPr>
                <w:color w:val="auto"/>
              </w:rPr>
            </w:pPr>
            <w:r>
              <w:rPr>
                <w:rFonts w:hint="eastAsia"/>
                <w:color w:val="auto"/>
              </w:rPr>
              <w:t>本项目设置2辆25m³的CNG槽车，经过卸气软管、泄气柱、汇流排作用后进入CNG瓶组，槽车更换交替工作，本项目设置1台50m³的压缩天然气储瓶用于天然气的缓冲罐，设计压力为20MPa，压缩天然气，1辆CNG槽车存储能力为5000Nm³（标况下），CNG槽车经过卸气软管、卸气柱、汇流排输送至储气瓶内，储气瓶由一级调压至缓冲罐后经二级调压将气体输送至天然气蒸汽锅炉。储气瓶周围设置可燃气体浓度警报器，周边设置保护围栏。</w:t>
            </w:r>
          </w:p>
          <w:p>
            <w:pPr>
              <w:ind w:firstLine="482"/>
              <w:rPr>
                <w:b/>
                <w:bCs/>
                <w:color w:val="auto"/>
              </w:rPr>
            </w:pPr>
            <w:r>
              <w:rPr>
                <w:rFonts w:hint="eastAsia"/>
                <w:b/>
                <w:bCs/>
                <w:color w:val="auto"/>
                <w:lang w:eastAsia="zh-CN"/>
              </w:rPr>
              <w:t>3.</w:t>
            </w:r>
            <w:r>
              <w:rPr>
                <w:b/>
                <w:bCs/>
                <w:color w:val="auto"/>
              </w:rPr>
              <w:t>主要设备</w:t>
            </w:r>
          </w:p>
          <w:p>
            <w:pPr>
              <w:ind w:firstLine="480"/>
              <w:rPr>
                <w:color w:val="auto"/>
              </w:rPr>
            </w:pPr>
            <w:r>
              <w:rPr>
                <w:color w:val="auto"/>
              </w:rPr>
              <w:t>本项目主要设备一览表见表2-</w:t>
            </w:r>
            <w:r>
              <w:rPr>
                <w:rFonts w:hint="eastAsia"/>
                <w:color w:val="auto"/>
              </w:rPr>
              <w:t>5</w:t>
            </w:r>
            <w:r>
              <w:rPr>
                <w:color w:val="auto"/>
              </w:rPr>
              <w:t>。</w:t>
            </w:r>
          </w:p>
          <w:p>
            <w:pPr>
              <w:ind w:firstLine="0" w:firstLineChars="0"/>
              <w:jc w:val="center"/>
              <w:rPr>
                <w:b/>
                <w:bCs/>
                <w:color w:val="auto"/>
              </w:rPr>
            </w:pPr>
            <w:r>
              <w:rPr>
                <w:b/>
                <w:bCs/>
                <w:color w:val="auto"/>
              </w:rPr>
              <w:t>表2-</w:t>
            </w:r>
            <w:r>
              <w:rPr>
                <w:rFonts w:hint="eastAsia"/>
                <w:b/>
                <w:bCs/>
                <w:color w:val="auto"/>
              </w:rPr>
              <w:t>5</w:t>
            </w:r>
            <w:r>
              <w:rPr>
                <w:b/>
                <w:bCs/>
                <w:color w:val="auto"/>
              </w:rPr>
              <w:t>主要设备一览表</w:t>
            </w:r>
          </w:p>
          <w:tbl>
            <w:tblPr>
              <w:tblStyle w:val="62"/>
              <w:tblW w:w="80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5"/>
              <w:gridCol w:w="1624"/>
              <w:gridCol w:w="3441"/>
              <w:gridCol w:w="767"/>
              <w:gridCol w:w="964"/>
              <w:gridCol w:w="6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blHeader/>
                <w:jc w:val="center"/>
              </w:trPr>
              <w:tc>
                <w:tcPr>
                  <w:tcW w:w="545" w:type="dxa"/>
                  <w:tcBorders>
                    <w:tl2br w:val="nil"/>
                    <w:tr2bl w:val="nil"/>
                  </w:tcBorders>
                  <w:vAlign w:val="center"/>
                </w:tcPr>
                <w:p>
                  <w:pPr>
                    <w:spacing w:line="240" w:lineRule="auto"/>
                    <w:ind w:firstLine="0" w:firstLineChars="0"/>
                    <w:rPr>
                      <w:color w:val="auto"/>
                    </w:rPr>
                  </w:pPr>
                  <w:r>
                    <w:rPr>
                      <w:color w:val="auto"/>
                    </w:rPr>
                    <w:t>序号</w:t>
                  </w:r>
                </w:p>
              </w:tc>
              <w:tc>
                <w:tcPr>
                  <w:tcW w:w="1624" w:type="dxa"/>
                  <w:tcBorders>
                    <w:tl2br w:val="nil"/>
                    <w:tr2bl w:val="nil"/>
                  </w:tcBorders>
                  <w:vAlign w:val="center"/>
                </w:tcPr>
                <w:p>
                  <w:pPr>
                    <w:spacing w:line="240" w:lineRule="auto"/>
                    <w:ind w:firstLine="0" w:firstLineChars="0"/>
                    <w:rPr>
                      <w:color w:val="auto"/>
                    </w:rPr>
                  </w:pPr>
                  <w:r>
                    <w:rPr>
                      <w:color w:val="auto"/>
                    </w:rPr>
                    <w:t>设备名称</w:t>
                  </w:r>
                </w:p>
              </w:tc>
              <w:tc>
                <w:tcPr>
                  <w:tcW w:w="3441" w:type="dxa"/>
                  <w:tcBorders>
                    <w:tl2br w:val="nil"/>
                    <w:tr2bl w:val="nil"/>
                  </w:tcBorders>
                  <w:vAlign w:val="center"/>
                </w:tcPr>
                <w:p>
                  <w:pPr>
                    <w:spacing w:line="240" w:lineRule="auto"/>
                    <w:ind w:firstLine="0" w:firstLineChars="0"/>
                    <w:rPr>
                      <w:color w:val="auto"/>
                    </w:rPr>
                  </w:pPr>
                  <w:r>
                    <w:rPr>
                      <w:color w:val="auto"/>
                    </w:rPr>
                    <w:t>规格型号</w:t>
                  </w:r>
                </w:p>
              </w:tc>
              <w:tc>
                <w:tcPr>
                  <w:tcW w:w="767" w:type="dxa"/>
                  <w:tcBorders>
                    <w:tl2br w:val="nil"/>
                    <w:tr2bl w:val="nil"/>
                  </w:tcBorders>
                  <w:vAlign w:val="center"/>
                </w:tcPr>
                <w:p>
                  <w:pPr>
                    <w:spacing w:line="240" w:lineRule="auto"/>
                    <w:ind w:firstLine="0" w:firstLineChars="0"/>
                    <w:rPr>
                      <w:color w:val="auto"/>
                    </w:rPr>
                  </w:pPr>
                  <w:r>
                    <w:rPr>
                      <w:color w:val="auto"/>
                    </w:rPr>
                    <w:t>数量</w:t>
                  </w:r>
                </w:p>
              </w:tc>
              <w:tc>
                <w:tcPr>
                  <w:tcW w:w="964" w:type="dxa"/>
                  <w:tcBorders>
                    <w:tl2br w:val="nil"/>
                    <w:tr2bl w:val="nil"/>
                  </w:tcBorders>
                  <w:vAlign w:val="center"/>
                </w:tcPr>
                <w:p>
                  <w:pPr>
                    <w:spacing w:line="240" w:lineRule="auto"/>
                    <w:ind w:firstLine="0" w:firstLineChars="0"/>
                    <w:rPr>
                      <w:color w:val="auto"/>
                    </w:rPr>
                  </w:pPr>
                  <w:r>
                    <w:rPr>
                      <w:color w:val="auto"/>
                    </w:rPr>
                    <w:t>材质</w:t>
                  </w:r>
                </w:p>
              </w:tc>
              <w:tc>
                <w:tcPr>
                  <w:tcW w:w="697" w:type="dxa"/>
                  <w:tcBorders>
                    <w:tl2br w:val="nil"/>
                    <w:tr2bl w:val="nil"/>
                  </w:tcBorders>
                  <w:vAlign w:val="center"/>
                </w:tcPr>
                <w:p>
                  <w:pPr>
                    <w:spacing w:line="240" w:lineRule="auto"/>
                    <w:ind w:firstLine="0" w:firstLineChars="0"/>
                    <w:rPr>
                      <w:color w:val="auto"/>
                    </w:rPr>
                  </w:pPr>
                  <w:r>
                    <w:rPr>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38" w:type="dxa"/>
                  <w:gridSpan w:val="6"/>
                  <w:tcBorders>
                    <w:tl2br w:val="nil"/>
                    <w:tr2bl w:val="nil"/>
                  </w:tcBorders>
                  <w:vAlign w:val="center"/>
                </w:tcPr>
                <w:p>
                  <w:pPr>
                    <w:spacing w:line="240" w:lineRule="auto"/>
                    <w:ind w:firstLine="0" w:firstLineChars="0"/>
                    <w:jc w:val="center"/>
                    <w:rPr>
                      <w:color w:val="auto"/>
                    </w:rPr>
                  </w:pPr>
                  <w:r>
                    <w:rPr>
                      <w:color w:val="auto"/>
                    </w:rPr>
                    <w:t>空化改性脱水成套系统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1</w:t>
                  </w:r>
                </w:p>
              </w:tc>
              <w:tc>
                <w:tcPr>
                  <w:tcW w:w="1624" w:type="dxa"/>
                  <w:tcBorders>
                    <w:tl2br w:val="nil"/>
                    <w:tr2bl w:val="nil"/>
                  </w:tcBorders>
                  <w:vAlign w:val="center"/>
                </w:tcPr>
                <w:p>
                  <w:pPr>
                    <w:spacing w:line="240" w:lineRule="auto"/>
                    <w:ind w:firstLine="0" w:firstLineChars="0"/>
                    <w:rPr>
                      <w:color w:val="auto"/>
                    </w:rPr>
                  </w:pPr>
                  <w:r>
                    <w:rPr>
                      <w:color w:val="auto"/>
                    </w:rPr>
                    <w:t>煤炭</w:t>
                  </w:r>
                  <w:r>
                    <w:rPr>
                      <w:rFonts w:hint="eastAsia"/>
                      <w:color w:val="auto"/>
                    </w:rPr>
                    <w:t>蒸汽压力釜</w:t>
                  </w:r>
                </w:p>
              </w:tc>
              <w:tc>
                <w:tcPr>
                  <w:tcW w:w="3441" w:type="dxa"/>
                  <w:tcBorders>
                    <w:tl2br w:val="nil"/>
                    <w:tr2bl w:val="nil"/>
                  </w:tcBorders>
                  <w:vAlign w:val="center"/>
                </w:tcPr>
                <w:p>
                  <w:pPr>
                    <w:spacing w:line="240" w:lineRule="auto"/>
                    <w:ind w:firstLine="0" w:firstLineChars="0"/>
                    <w:rPr>
                      <w:color w:val="auto"/>
                    </w:rPr>
                  </w:pPr>
                  <w:r>
                    <w:rPr>
                      <w:color w:val="auto"/>
                    </w:rPr>
                    <w:t>V=8.5m³，∅2000×3500</w:t>
                  </w:r>
                </w:p>
              </w:tc>
              <w:tc>
                <w:tcPr>
                  <w:tcW w:w="767" w:type="dxa"/>
                  <w:tcBorders>
                    <w:tl2br w:val="nil"/>
                    <w:tr2bl w:val="nil"/>
                  </w:tcBorders>
                  <w:vAlign w:val="center"/>
                </w:tcPr>
                <w:p>
                  <w:pPr>
                    <w:spacing w:line="240" w:lineRule="auto"/>
                    <w:ind w:firstLine="0" w:firstLineChars="0"/>
                    <w:rPr>
                      <w:color w:val="auto"/>
                    </w:rPr>
                  </w:pPr>
                  <w:r>
                    <w:rPr>
                      <w:color w:val="auto"/>
                    </w:rPr>
                    <w:t>3台</w:t>
                  </w:r>
                </w:p>
              </w:tc>
              <w:tc>
                <w:tcPr>
                  <w:tcW w:w="964" w:type="dxa"/>
                  <w:tcBorders>
                    <w:tl2br w:val="nil"/>
                    <w:tr2bl w:val="nil"/>
                  </w:tcBorders>
                  <w:vAlign w:val="center"/>
                </w:tcPr>
                <w:p>
                  <w:pPr>
                    <w:spacing w:line="240" w:lineRule="auto"/>
                    <w:ind w:firstLine="0" w:firstLineChars="0"/>
                    <w:rPr>
                      <w:color w:val="auto"/>
                    </w:rPr>
                  </w:pPr>
                  <w:r>
                    <w:rPr>
                      <w:color w:val="auto"/>
                    </w:rPr>
                    <w:t>Q345R</w:t>
                  </w: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2</w:t>
                  </w:r>
                </w:p>
              </w:tc>
              <w:tc>
                <w:tcPr>
                  <w:tcW w:w="1624" w:type="dxa"/>
                  <w:tcBorders>
                    <w:tl2br w:val="nil"/>
                    <w:tr2bl w:val="nil"/>
                  </w:tcBorders>
                  <w:vAlign w:val="center"/>
                </w:tcPr>
                <w:p>
                  <w:pPr>
                    <w:spacing w:line="240" w:lineRule="auto"/>
                    <w:ind w:firstLine="0" w:firstLineChars="0"/>
                    <w:rPr>
                      <w:color w:val="auto"/>
                    </w:rPr>
                  </w:pPr>
                  <w:r>
                    <w:rPr>
                      <w:color w:val="auto"/>
                    </w:rPr>
                    <w:t>定量称重给料机</w:t>
                  </w:r>
                </w:p>
              </w:tc>
              <w:tc>
                <w:tcPr>
                  <w:tcW w:w="3441" w:type="dxa"/>
                  <w:tcBorders>
                    <w:tl2br w:val="nil"/>
                    <w:tr2bl w:val="nil"/>
                  </w:tcBorders>
                  <w:vAlign w:val="center"/>
                </w:tcPr>
                <w:p>
                  <w:pPr>
                    <w:spacing w:line="240" w:lineRule="auto"/>
                    <w:ind w:firstLine="0" w:firstLineChars="0"/>
                    <w:rPr>
                      <w:color w:val="auto"/>
                    </w:rPr>
                  </w:pPr>
                  <w:r>
                    <w:rPr>
                      <w:color w:val="auto"/>
                    </w:rPr>
                    <w:t>称重范围（t/h）：0.05~200</w:t>
                  </w:r>
                </w:p>
              </w:tc>
              <w:tc>
                <w:tcPr>
                  <w:tcW w:w="767" w:type="dxa"/>
                  <w:tcBorders>
                    <w:tl2br w:val="nil"/>
                    <w:tr2bl w:val="nil"/>
                  </w:tcBorders>
                  <w:vAlign w:val="center"/>
                </w:tcPr>
                <w:p>
                  <w:pPr>
                    <w:spacing w:line="240" w:lineRule="auto"/>
                    <w:ind w:firstLine="0" w:firstLineChars="0"/>
                    <w:rPr>
                      <w:color w:val="auto"/>
                    </w:rPr>
                  </w:pPr>
                  <w:r>
                    <w:rPr>
                      <w:color w:val="auto"/>
                    </w:rPr>
                    <w:t>3台</w:t>
                  </w:r>
                </w:p>
              </w:tc>
              <w:tc>
                <w:tcPr>
                  <w:tcW w:w="964" w:type="dxa"/>
                  <w:tcBorders>
                    <w:tl2br w:val="nil"/>
                    <w:tr2bl w:val="nil"/>
                  </w:tcBorders>
                  <w:vAlign w:val="center"/>
                </w:tcPr>
                <w:p>
                  <w:pPr>
                    <w:spacing w:line="240" w:lineRule="auto"/>
                    <w:ind w:firstLine="0" w:firstLineChars="0"/>
                    <w:rPr>
                      <w:color w:val="auto"/>
                    </w:rPr>
                  </w:pPr>
                  <w:r>
                    <w:rPr>
                      <w:color w:val="auto"/>
                    </w:rPr>
                    <w:t>组合件</w:t>
                  </w: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3</w:t>
                  </w:r>
                </w:p>
              </w:tc>
              <w:tc>
                <w:tcPr>
                  <w:tcW w:w="1624" w:type="dxa"/>
                  <w:tcBorders>
                    <w:tl2br w:val="nil"/>
                    <w:tr2bl w:val="nil"/>
                  </w:tcBorders>
                  <w:vAlign w:val="center"/>
                </w:tcPr>
                <w:p>
                  <w:pPr>
                    <w:spacing w:line="240" w:lineRule="auto"/>
                    <w:ind w:firstLine="0" w:firstLineChars="0"/>
                    <w:rPr>
                      <w:color w:val="auto"/>
                    </w:rPr>
                  </w:pPr>
                  <w:r>
                    <w:rPr>
                      <w:color w:val="auto"/>
                    </w:rPr>
                    <w:t>液压装置</w:t>
                  </w:r>
                </w:p>
              </w:tc>
              <w:tc>
                <w:tcPr>
                  <w:tcW w:w="3441" w:type="dxa"/>
                  <w:tcBorders>
                    <w:tl2br w:val="nil"/>
                    <w:tr2bl w:val="nil"/>
                  </w:tcBorders>
                  <w:vAlign w:val="center"/>
                </w:tcPr>
                <w:p>
                  <w:pPr>
                    <w:spacing w:line="240" w:lineRule="auto"/>
                    <w:ind w:firstLine="0" w:firstLineChars="0"/>
                    <w:rPr>
                      <w:color w:val="auto"/>
                    </w:rPr>
                  </w:pPr>
                  <w:r>
                    <w:rPr>
                      <w:color w:val="auto"/>
                    </w:rPr>
                    <w:t>定制</w:t>
                  </w:r>
                </w:p>
              </w:tc>
              <w:tc>
                <w:tcPr>
                  <w:tcW w:w="767" w:type="dxa"/>
                  <w:tcBorders>
                    <w:tl2br w:val="nil"/>
                    <w:tr2bl w:val="nil"/>
                  </w:tcBorders>
                  <w:vAlign w:val="center"/>
                </w:tcPr>
                <w:p>
                  <w:pPr>
                    <w:spacing w:line="240" w:lineRule="auto"/>
                    <w:ind w:firstLine="0" w:firstLineChars="0"/>
                    <w:rPr>
                      <w:color w:val="auto"/>
                    </w:rPr>
                  </w:pPr>
                  <w:r>
                    <w:rPr>
                      <w:color w:val="auto"/>
                    </w:rPr>
                    <w:t>3台</w:t>
                  </w:r>
                </w:p>
              </w:tc>
              <w:tc>
                <w:tcPr>
                  <w:tcW w:w="964" w:type="dxa"/>
                  <w:tcBorders>
                    <w:tl2br w:val="nil"/>
                    <w:tr2bl w:val="nil"/>
                  </w:tcBorders>
                  <w:vAlign w:val="center"/>
                </w:tcPr>
                <w:p>
                  <w:pPr>
                    <w:spacing w:line="240" w:lineRule="auto"/>
                    <w:ind w:firstLine="0" w:firstLineChars="0"/>
                    <w:rPr>
                      <w:color w:val="auto"/>
                    </w:rPr>
                  </w:pPr>
                  <w:r>
                    <w:rPr>
                      <w:color w:val="auto"/>
                    </w:rPr>
                    <w:t>组合件</w:t>
                  </w: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 w:hRule="atLeast"/>
                <w:jc w:val="center"/>
              </w:trPr>
              <w:tc>
                <w:tcPr>
                  <w:tcW w:w="545" w:type="dxa"/>
                  <w:tcBorders>
                    <w:tl2br w:val="nil"/>
                    <w:tr2bl w:val="nil"/>
                  </w:tcBorders>
                  <w:vAlign w:val="center"/>
                </w:tcPr>
                <w:p>
                  <w:pPr>
                    <w:spacing w:line="240" w:lineRule="auto"/>
                    <w:ind w:firstLine="0" w:firstLineChars="0"/>
                    <w:rPr>
                      <w:color w:val="auto"/>
                    </w:rPr>
                  </w:pPr>
                  <w:r>
                    <w:rPr>
                      <w:rFonts w:hint="eastAsia"/>
                      <w:color w:val="auto"/>
                    </w:rPr>
                    <w:t>4</w:t>
                  </w:r>
                </w:p>
              </w:tc>
              <w:tc>
                <w:tcPr>
                  <w:tcW w:w="1624" w:type="dxa"/>
                  <w:tcBorders>
                    <w:tl2br w:val="nil"/>
                    <w:tr2bl w:val="nil"/>
                  </w:tcBorders>
                  <w:vAlign w:val="center"/>
                </w:tcPr>
                <w:p>
                  <w:pPr>
                    <w:spacing w:line="240" w:lineRule="auto"/>
                    <w:ind w:firstLine="0" w:firstLineChars="0"/>
                    <w:rPr>
                      <w:color w:val="auto"/>
                    </w:rPr>
                  </w:pPr>
                  <w:r>
                    <w:rPr>
                      <w:color w:val="auto"/>
                    </w:rPr>
                    <w:t>皮带输送机</w:t>
                  </w:r>
                </w:p>
              </w:tc>
              <w:tc>
                <w:tcPr>
                  <w:tcW w:w="3441" w:type="dxa"/>
                  <w:tcBorders>
                    <w:tl2br w:val="nil"/>
                    <w:tr2bl w:val="nil"/>
                  </w:tcBorders>
                  <w:vAlign w:val="center"/>
                </w:tcPr>
                <w:p>
                  <w:pPr>
                    <w:spacing w:line="240" w:lineRule="auto"/>
                    <w:ind w:firstLine="0" w:firstLineChars="0"/>
                    <w:rPr>
                      <w:color w:val="auto"/>
                    </w:rPr>
                  </w:pPr>
                  <w:r>
                    <w:rPr>
                      <w:color w:val="auto"/>
                    </w:rPr>
                    <w:t>输送能力（t/h）：0-300；输送距离：10m</w:t>
                  </w:r>
                </w:p>
              </w:tc>
              <w:tc>
                <w:tcPr>
                  <w:tcW w:w="767" w:type="dxa"/>
                  <w:tcBorders>
                    <w:tl2br w:val="nil"/>
                    <w:tr2bl w:val="nil"/>
                  </w:tcBorders>
                  <w:vAlign w:val="center"/>
                </w:tcPr>
                <w:p>
                  <w:pPr>
                    <w:spacing w:line="240" w:lineRule="auto"/>
                    <w:ind w:firstLine="0" w:firstLineChars="0"/>
                    <w:rPr>
                      <w:color w:val="auto"/>
                    </w:rPr>
                  </w:pPr>
                  <w:r>
                    <w:rPr>
                      <w:color w:val="auto"/>
                    </w:rPr>
                    <w:t>4条</w:t>
                  </w:r>
                </w:p>
              </w:tc>
              <w:tc>
                <w:tcPr>
                  <w:tcW w:w="964" w:type="dxa"/>
                  <w:tcBorders>
                    <w:tl2br w:val="nil"/>
                    <w:tr2bl w:val="nil"/>
                  </w:tcBorders>
                  <w:vAlign w:val="center"/>
                </w:tcPr>
                <w:p>
                  <w:pPr>
                    <w:spacing w:line="240" w:lineRule="auto"/>
                    <w:ind w:firstLine="0" w:firstLineChars="0"/>
                    <w:rPr>
                      <w:color w:val="auto"/>
                    </w:rPr>
                  </w:pPr>
                  <w:r>
                    <w:rPr>
                      <w:color w:val="auto"/>
                    </w:rPr>
                    <w:t>组合件</w:t>
                  </w: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545" w:type="dxa"/>
                  <w:tcBorders>
                    <w:tl2br w:val="nil"/>
                    <w:tr2bl w:val="nil"/>
                  </w:tcBorders>
                  <w:vAlign w:val="center"/>
                </w:tcPr>
                <w:p>
                  <w:pPr>
                    <w:spacing w:line="240" w:lineRule="auto"/>
                    <w:ind w:firstLine="0" w:firstLineChars="0"/>
                    <w:rPr>
                      <w:color w:val="auto"/>
                    </w:rPr>
                  </w:pPr>
                  <w:r>
                    <w:rPr>
                      <w:color w:val="auto"/>
                    </w:rPr>
                    <w:t>5</w:t>
                  </w:r>
                </w:p>
              </w:tc>
              <w:tc>
                <w:tcPr>
                  <w:tcW w:w="1624" w:type="dxa"/>
                  <w:tcBorders>
                    <w:tl2br w:val="nil"/>
                    <w:tr2bl w:val="nil"/>
                  </w:tcBorders>
                  <w:vAlign w:val="center"/>
                </w:tcPr>
                <w:p>
                  <w:pPr>
                    <w:spacing w:line="240" w:lineRule="auto"/>
                    <w:ind w:firstLine="0" w:firstLineChars="0"/>
                    <w:rPr>
                      <w:color w:val="auto"/>
                    </w:rPr>
                  </w:pPr>
                  <w:r>
                    <w:rPr>
                      <w:color w:val="auto"/>
                    </w:rPr>
                    <w:t>定制料斗</w:t>
                  </w:r>
                </w:p>
              </w:tc>
              <w:tc>
                <w:tcPr>
                  <w:tcW w:w="3441" w:type="dxa"/>
                  <w:tcBorders>
                    <w:tl2br w:val="nil"/>
                    <w:tr2bl w:val="nil"/>
                  </w:tcBorders>
                  <w:vAlign w:val="center"/>
                </w:tcPr>
                <w:p>
                  <w:pPr>
                    <w:spacing w:line="240" w:lineRule="auto"/>
                    <w:ind w:firstLine="0" w:firstLineChars="0"/>
                    <w:rPr>
                      <w:color w:val="auto"/>
                    </w:rPr>
                  </w:pPr>
                  <w:r>
                    <w:rPr>
                      <w:color w:val="auto"/>
                    </w:rPr>
                    <w:t>处理能力（</w:t>
                  </w:r>
                  <w:r>
                    <w:rPr>
                      <w:rFonts w:hint="eastAsia"/>
                      <w:color w:val="auto"/>
                    </w:rPr>
                    <w:t>（</w:t>
                  </w:r>
                  <w:r>
                    <w:rPr>
                      <w:color w:val="auto"/>
                    </w:rPr>
                    <w:t>t/h·m³）：80</w:t>
                  </w:r>
                </w:p>
              </w:tc>
              <w:tc>
                <w:tcPr>
                  <w:tcW w:w="767" w:type="dxa"/>
                  <w:tcBorders>
                    <w:tl2br w:val="nil"/>
                    <w:tr2bl w:val="nil"/>
                  </w:tcBorders>
                  <w:vAlign w:val="center"/>
                </w:tcPr>
                <w:p>
                  <w:pPr>
                    <w:spacing w:line="240" w:lineRule="auto"/>
                    <w:ind w:firstLine="0" w:firstLineChars="0"/>
                    <w:rPr>
                      <w:color w:val="auto"/>
                    </w:rPr>
                  </w:pPr>
                  <w:r>
                    <w:rPr>
                      <w:color w:val="auto"/>
                    </w:rPr>
                    <w:t>3台</w:t>
                  </w:r>
                </w:p>
              </w:tc>
              <w:tc>
                <w:tcPr>
                  <w:tcW w:w="964" w:type="dxa"/>
                  <w:tcBorders>
                    <w:tl2br w:val="nil"/>
                    <w:tr2bl w:val="nil"/>
                  </w:tcBorders>
                  <w:vAlign w:val="center"/>
                </w:tcPr>
                <w:p>
                  <w:pPr>
                    <w:spacing w:line="240" w:lineRule="auto"/>
                    <w:ind w:firstLine="0" w:firstLineChars="0"/>
                    <w:rPr>
                      <w:color w:val="auto"/>
                    </w:rPr>
                  </w:pPr>
                  <w:r>
                    <w:rPr>
                      <w:color w:val="auto"/>
                    </w:rPr>
                    <w:t>Q345R</w:t>
                  </w: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6</w:t>
                  </w:r>
                </w:p>
              </w:tc>
              <w:tc>
                <w:tcPr>
                  <w:tcW w:w="1624" w:type="dxa"/>
                  <w:tcBorders>
                    <w:tl2br w:val="nil"/>
                    <w:tr2bl w:val="nil"/>
                  </w:tcBorders>
                  <w:vAlign w:val="center"/>
                </w:tcPr>
                <w:p>
                  <w:pPr>
                    <w:spacing w:line="240" w:lineRule="auto"/>
                    <w:ind w:firstLine="0" w:firstLineChars="0"/>
                    <w:rPr>
                      <w:color w:val="auto"/>
                    </w:rPr>
                  </w:pPr>
                  <w:r>
                    <w:rPr>
                      <w:color w:val="auto"/>
                    </w:rPr>
                    <w:t>卸料翻车机</w:t>
                  </w:r>
                </w:p>
              </w:tc>
              <w:tc>
                <w:tcPr>
                  <w:tcW w:w="3441" w:type="dxa"/>
                  <w:tcBorders>
                    <w:tl2br w:val="nil"/>
                    <w:tr2bl w:val="nil"/>
                  </w:tcBorders>
                  <w:vAlign w:val="center"/>
                </w:tcPr>
                <w:p>
                  <w:pPr>
                    <w:spacing w:line="240" w:lineRule="auto"/>
                    <w:ind w:firstLine="0" w:firstLineChars="0"/>
                    <w:rPr>
                      <w:color w:val="auto"/>
                    </w:rPr>
                  </w:pPr>
                  <w:r>
                    <w:rPr>
                      <w:color w:val="auto"/>
                    </w:rPr>
                    <w:t>生产能力（m³/h）：300，尺寸：2×1.2×4</w:t>
                  </w:r>
                </w:p>
              </w:tc>
              <w:tc>
                <w:tcPr>
                  <w:tcW w:w="767" w:type="dxa"/>
                  <w:tcBorders>
                    <w:tl2br w:val="nil"/>
                    <w:tr2bl w:val="nil"/>
                  </w:tcBorders>
                  <w:vAlign w:val="center"/>
                </w:tcPr>
                <w:p>
                  <w:pPr>
                    <w:spacing w:line="240" w:lineRule="auto"/>
                    <w:ind w:firstLine="0" w:firstLineChars="0"/>
                    <w:rPr>
                      <w:color w:val="auto"/>
                    </w:rPr>
                  </w:pPr>
                  <w:r>
                    <w:rPr>
                      <w:color w:val="auto"/>
                    </w:rPr>
                    <w:t>3台</w:t>
                  </w:r>
                </w:p>
              </w:tc>
              <w:tc>
                <w:tcPr>
                  <w:tcW w:w="964" w:type="dxa"/>
                  <w:tcBorders>
                    <w:tl2br w:val="nil"/>
                    <w:tr2bl w:val="nil"/>
                  </w:tcBorders>
                  <w:vAlign w:val="center"/>
                </w:tcPr>
                <w:p>
                  <w:pPr>
                    <w:spacing w:line="240" w:lineRule="auto"/>
                    <w:ind w:firstLine="0" w:firstLineChars="0"/>
                    <w:rPr>
                      <w:color w:val="auto"/>
                    </w:rPr>
                  </w:pPr>
                  <w:r>
                    <w:rPr>
                      <w:color w:val="auto"/>
                    </w:rPr>
                    <w:t>组合件</w:t>
                  </w: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545" w:type="dxa"/>
                  <w:tcBorders>
                    <w:tl2br w:val="nil"/>
                    <w:tr2bl w:val="nil"/>
                  </w:tcBorders>
                  <w:vAlign w:val="center"/>
                </w:tcPr>
                <w:p>
                  <w:pPr>
                    <w:spacing w:line="240" w:lineRule="auto"/>
                    <w:ind w:firstLine="0" w:firstLineChars="0"/>
                    <w:rPr>
                      <w:color w:val="auto"/>
                    </w:rPr>
                  </w:pPr>
                  <w:r>
                    <w:rPr>
                      <w:color w:val="auto"/>
                    </w:rPr>
                    <w:t>7</w:t>
                  </w:r>
                </w:p>
              </w:tc>
              <w:tc>
                <w:tcPr>
                  <w:tcW w:w="1624" w:type="dxa"/>
                  <w:tcBorders>
                    <w:tl2br w:val="nil"/>
                    <w:tr2bl w:val="nil"/>
                  </w:tcBorders>
                  <w:vAlign w:val="center"/>
                </w:tcPr>
                <w:p>
                  <w:pPr>
                    <w:spacing w:line="240" w:lineRule="auto"/>
                    <w:ind w:firstLine="0" w:firstLineChars="0"/>
                    <w:rPr>
                      <w:color w:val="auto"/>
                    </w:rPr>
                  </w:pPr>
                  <w:r>
                    <w:rPr>
                      <w:color w:val="auto"/>
                    </w:rPr>
                    <w:t>快速空化机构</w:t>
                  </w:r>
                </w:p>
              </w:tc>
              <w:tc>
                <w:tcPr>
                  <w:tcW w:w="3441" w:type="dxa"/>
                  <w:tcBorders>
                    <w:tl2br w:val="nil"/>
                    <w:tr2bl w:val="nil"/>
                  </w:tcBorders>
                  <w:vAlign w:val="center"/>
                </w:tcPr>
                <w:p>
                  <w:pPr>
                    <w:spacing w:line="240" w:lineRule="auto"/>
                    <w:ind w:firstLine="0" w:firstLineChars="0"/>
                    <w:rPr>
                      <w:color w:val="auto"/>
                    </w:rPr>
                  </w:pPr>
                  <w:r>
                    <w:rPr>
                      <w:color w:val="auto"/>
                    </w:rPr>
                    <w:t>定制</w:t>
                  </w:r>
                </w:p>
              </w:tc>
              <w:tc>
                <w:tcPr>
                  <w:tcW w:w="767" w:type="dxa"/>
                  <w:tcBorders>
                    <w:tl2br w:val="nil"/>
                    <w:tr2bl w:val="nil"/>
                  </w:tcBorders>
                  <w:vAlign w:val="center"/>
                </w:tcPr>
                <w:p>
                  <w:pPr>
                    <w:spacing w:line="240" w:lineRule="auto"/>
                    <w:ind w:firstLine="0" w:firstLineChars="0"/>
                    <w:rPr>
                      <w:color w:val="auto"/>
                    </w:rPr>
                  </w:pPr>
                  <w:r>
                    <w:rPr>
                      <w:color w:val="auto"/>
                    </w:rPr>
                    <w:t>3台</w:t>
                  </w:r>
                </w:p>
              </w:tc>
              <w:tc>
                <w:tcPr>
                  <w:tcW w:w="964" w:type="dxa"/>
                  <w:tcBorders>
                    <w:tl2br w:val="nil"/>
                    <w:tr2bl w:val="nil"/>
                  </w:tcBorders>
                  <w:vAlign w:val="center"/>
                </w:tcPr>
                <w:p>
                  <w:pPr>
                    <w:spacing w:line="240" w:lineRule="auto"/>
                    <w:ind w:firstLine="0" w:firstLineChars="0"/>
                    <w:rPr>
                      <w:color w:val="auto"/>
                    </w:rPr>
                  </w:pPr>
                  <w:r>
                    <w:rPr>
                      <w:color w:val="auto"/>
                    </w:rPr>
                    <w:t>组合件</w:t>
                  </w: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8</w:t>
                  </w:r>
                </w:p>
              </w:tc>
              <w:tc>
                <w:tcPr>
                  <w:tcW w:w="1624" w:type="dxa"/>
                  <w:tcBorders>
                    <w:tl2br w:val="nil"/>
                    <w:tr2bl w:val="nil"/>
                  </w:tcBorders>
                  <w:vAlign w:val="center"/>
                </w:tcPr>
                <w:p>
                  <w:pPr>
                    <w:spacing w:line="240" w:lineRule="auto"/>
                    <w:ind w:firstLine="0" w:firstLineChars="0"/>
                    <w:rPr>
                      <w:color w:val="auto"/>
                    </w:rPr>
                  </w:pPr>
                  <w:r>
                    <w:rPr>
                      <w:color w:val="auto"/>
                    </w:rPr>
                    <w:t>蒸汽回收系统</w:t>
                  </w:r>
                </w:p>
              </w:tc>
              <w:tc>
                <w:tcPr>
                  <w:tcW w:w="3441" w:type="dxa"/>
                  <w:tcBorders>
                    <w:tl2br w:val="nil"/>
                    <w:tr2bl w:val="nil"/>
                  </w:tcBorders>
                  <w:vAlign w:val="center"/>
                </w:tcPr>
                <w:p>
                  <w:pPr>
                    <w:spacing w:line="240" w:lineRule="auto"/>
                    <w:ind w:firstLine="0" w:firstLineChars="0"/>
                    <w:rPr>
                      <w:color w:val="auto"/>
                    </w:rPr>
                  </w:pPr>
                  <w:r>
                    <w:rPr>
                      <w:color w:val="auto"/>
                    </w:rPr>
                    <w:t>定制</w:t>
                  </w:r>
                </w:p>
              </w:tc>
              <w:tc>
                <w:tcPr>
                  <w:tcW w:w="767" w:type="dxa"/>
                  <w:tcBorders>
                    <w:tl2br w:val="nil"/>
                    <w:tr2bl w:val="nil"/>
                  </w:tcBorders>
                  <w:vAlign w:val="center"/>
                </w:tcPr>
                <w:p>
                  <w:pPr>
                    <w:spacing w:line="240" w:lineRule="auto"/>
                    <w:ind w:firstLine="0" w:firstLineChars="0"/>
                    <w:rPr>
                      <w:color w:val="auto"/>
                    </w:rPr>
                  </w:pPr>
                  <w:r>
                    <w:rPr>
                      <w:color w:val="auto"/>
                    </w:rPr>
                    <w:t>1台</w:t>
                  </w:r>
                </w:p>
              </w:tc>
              <w:tc>
                <w:tcPr>
                  <w:tcW w:w="964" w:type="dxa"/>
                  <w:tcBorders>
                    <w:tl2br w:val="nil"/>
                    <w:tr2bl w:val="nil"/>
                  </w:tcBorders>
                  <w:vAlign w:val="center"/>
                </w:tcPr>
                <w:p>
                  <w:pPr>
                    <w:spacing w:line="240" w:lineRule="auto"/>
                    <w:ind w:firstLine="0" w:firstLineChars="0"/>
                    <w:rPr>
                      <w:color w:val="auto"/>
                    </w:rPr>
                  </w:pPr>
                  <w:r>
                    <w:rPr>
                      <w:color w:val="auto"/>
                    </w:rPr>
                    <w:t>组合件</w:t>
                  </w: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9</w:t>
                  </w:r>
                </w:p>
              </w:tc>
              <w:tc>
                <w:tcPr>
                  <w:tcW w:w="1624" w:type="dxa"/>
                  <w:tcBorders>
                    <w:tl2br w:val="nil"/>
                    <w:tr2bl w:val="nil"/>
                  </w:tcBorders>
                  <w:vAlign w:val="center"/>
                </w:tcPr>
                <w:p>
                  <w:pPr>
                    <w:spacing w:line="240" w:lineRule="auto"/>
                    <w:ind w:firstLine="0" w:firstLineChars="0"/>
                    <w:rPr>
                      <w:color w:val="auto"/>
                    </w:rPr>
                  </w:pPr>
                  <w:r>
                    <w:rPr>
                      <w:color w:val="auto"/>
                    </w:rPr>
                    <w:t>消音处理系统</w:t>
                  </w:r>
                </w:p>
              </w:tc>
              <w:tc>
                <w:tcPr>
                  <w:tcW w:w="3441" w:type="dxa"/>
                  <w:tcBorders>
                    <w:tl2br w:val="nil"/>
                    <w:tr2bl w:val="nil"/>
                  </w:tcBorders>
                  <w:vAlign w:val="center"/>
                </w:tcPr>
                <w:p>
                  <w:pPr>
                    <w:spacing w:line="240" w:lineRule="auto"/>
                    <w:ind w:firstLine="0" w:firstLineChars="0"/>
                    <w:rPr>
                      <w:color w:val="auto"/>
                    </w:rPr>
                  </w:pPr>
                  <w:r>
                    <w:rPr>
                      <w:color w:val="auto"/>
                    </w:rPr>
                    <w:t>流量（Nm³/s）：1800</w:t>
                  </w:r>
                </w:p>
              </w:tc>
              <w:tc>
                <w:tcPr>
                  <w:tcW w:w="767" w:type="dxa"/>
                  <w:tcBorders>
                    <w:tl2br w:val="nil"/>
                    <w:tr2bl w:val="nil"/>
                  </w:tcBorders>
                  <w:vAlign w:val="center"/>
                </w:tcPr>
                <w:p>
                  <w:pPr>
                    <w:spacing w:line="240" w:lineRule="auto"/>
                    <w:ind w:firstLine="0" w:firstLineChars="0"/>
                    <w:rPr>
                      <w:color w:val="auto"/>
                    </w:rPr>
                  </w:pPr>
                  <w:r>
                    <w:rPr>
                      <w:color w:val="auto"/>
                    </w:rPr>
                    <w:t>1台</w:t>
                  </w:r>
                </w:p>
              </w:tc>
              <w:tc>
                <w:tcPr>
                  <w:tcW w:w="964" w:type="dxa"/>
                  <w:tcBorders>
                    <w:tl2br w:val="nil"/>
                    <w:tr2bl w:val="nil"/>
                  </w:tcBorders>
                  <w:vAlign w:val="center"/>
                </w:tcPr>
                <w:p>
                  <w:pPr>
                    <w:spacing w:line="240" w:lineRule="auto"/>
                    <w:ind w:firstLine="0" w:firstLineChars="0"/>
                    <w:rPr>
                      <w:color w:val="auto"/>
                    </w:rPr>
                  </w:pPr>
                  <w:r>
                    <w:rPr>
                      <w:color w:val="auto"/>
                    </w:rPr>
                    <w:t>组合件</w:t>
                  </w: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10</w:t>
                  </w:r>
                </w:p>
              </w:tc>
              <w:tc>
                <w:tcPr>
                  <w:tcW w:w="1624" w:type="dxa"/>
                  <w:tcBorders>
                    <w:tl2br w:val="nil"/>
                    <w:tr2bl w:val="nil"/>
                  </w:tcBorders>
                  <w:vAlign w:val="center"/>
                </w:tcPr>
                <w:p>
                  <w:pPr>
                    <w:spacing w:line="240" w:lineRule="auto"/>
                    <w:ind w:firstLine="0" w:firstLineChars="0"/>
                    <w:rPr>
                      <w:color w:val="auto"/>
                    </w:rPr>
                  </w:pPr>
                  <w:r>
                    <w:rPr>
                      <w:color w:val="auto"/>
                    </w:rPr>
                    <w:t>电动葫芦</w:t>
                  </w:r>
                </w:p>
              </w:tc>
              <w:tc>
                <w:tcPr>
                  <w:tcW w:w="3441" w:type="dxa"/>
                  <w:tcBorders>
                    <w:tl2br w:val="nil"/>
                    <w:tr2bl w:val="nil"/>
                  </w:tcBorders>
                  <w:vAlign w:val="center"/>
                </w:tcPr>
                <w:p>
                  <w:pPr>
                    <w:spacing w:line="240" w:lineRule="auto"/>
                    <w:ind w:firstLine="0" w:firstLineChars="0"/>
                    <w:rPr>
                      <w:color w:val="auto"/>
                    </w:rPr>
                  </w:pPr>
                  <w:r>
                    <w:rPr>
                      <w:color w:val="auto"/>
                    </w:rPr>
                    <w:t>额定载荷（t）：10</w:t>
                  </w:r>
                </w:p>
              </w:tc>
              <w:tc>
                <w:tcPr>
                  <w:tcW w:w="767" w:type="dxa"/>
                  <w:tcBorders>
                    <w:tl2br w:val="nil"/>
                    <w:tr2bl w:val="nil"/>
                  </w:tcBorders>
                  <w:vAlign w:val="center"/>
                </w:tcPr>
                <w:p>
                  <w:pPr>
                    <w:spacing w:line="240" w:lineRule="auto"/>
                    <w:ind w:firstLine="0" w:firstLineChars="0"/>
                    <w:rPr>
                      <w:color w:val="auto"/>
                    </w:rPr>
                  </w:pPr>
                  <w:r>
                    <w:rPr>
                      <w:color w:val="auto"/>
                    </w:rPr>
                    <w:t>2台</w:t>
                  </w:r>
                </w:p>
              </w:tc>
              <w:tc>
                <w:tcPr>
                  <w:tcW w:w="964" w:type="dxa"/>
                  <w:tcBorders>
                    <w:tl2br w:val="nil"/>
                    <w:tr2bl w:val="nil"/>
                  </w:tcBorders>
                  <w:vAlign w:val="center"/>
                </w:tcPr>
                <w:p>
                  <w:pPr>
                    <w:spacing w:line="240" w:lineRule="auto"/>
                    <w:ind w:firstLine="0" w:firstLineChars="0"/>
                    <w:rPr>
                      <w:color w:val="auto"/>
                    </w:rPr>
                  </w:pPr>
                  <w:r>
                    <w:rPr>
                      <w:color w:val="auto"/>
                    </w:rPr>
                    <w:t>组合件</w:t>
                  </w: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545" w:type="dxa"/>
                  <w:tcBorders>
                    <w:tl2br w:val="nil"/>
                    <w:tr2bl w:val="nil"/>
                  </w:tcBorders>
                  <w:vAlign w:val="center"/>
                </w:tcPr>
                <w:p>
                  <w:pPr>
                    <w:spacing w:line="240" w:lineRule="auto"/>
                    <w:ind w:firstLine="0" w:firstLineChars="0"/>
                    <w:rPr>
                      <w:color w:val="auto"/>
                    </w:rPr>
                  </w:pPr>
                  <w:r>
                    <w:rPr>
                      <w:color w:val="auto"/>
                    </w:rPr>
                    <w:t>11</w:t>
                  </w:r>
                </w:p>
              </w:tc>
              <w:tc>
                <w:tcPr>
                  <w:tcW w:w="1624" w:type="dxa"/>
                  <w:tcBorders>
                    <w:tl2br w:val="nil"/>
                    <w:tr2bl w:val="nil"/>
                  </w:tcBorders>
                  <w:vAlign w:val="center"/>
                </w:tcPr>
                <w:p>
                  <w:pPr>
                    <w:spacing w:line="240" w:lineRule="auto"/>
                    <w:ind w:firstLine="0" w:firstLineChars="0"/>
                    <w:rPr>
                      <w:color w:val="auto"/>
                    </w:rPr>
                  </w:pPr>
                  <w:r>
                    <w:rPr>
                      <w:color w:val="auto"/>
                    </w:rPr>
                    <w:t>手拉葫芦</w:t>
                  </w:r>
                </w:p>
              </w:tc>
              <w:tc>
                <w:tcPr>
                  <w:tcW w:w="3441" w:type="dxa"/>
                  <w:tcBorders>
                    <w:tl2br w:val="nil"/>
                    <w:tr2bl w:val="nil"/>
                  </w:tcBorders>
                  <w:vAlign w:val="center"/>
                </w:tcPr>
                <w:p>
                  <w:pPr>
                    <w:spacing w:line="240" w:lineRule="auto"/>
                    <w:ind w:firstLine="0" w:firstLineChars="0"/>
                    <w:rPr>
                      <w:color w:val="auto"/>
                    </w:rPr>
                  </w:pPr>
                  <w:r>
                    <w:rPr>
                      <w:color w:val="auto"/>
                    </w:rPr>
                    <w:t>额定载荷（t）：10，提升高度（m）：6</w:t>
                  </w:r>
                </w:p>
              </w:tc>
              <w:tc>
                <w:tcPr>
                  <w:tcW w:w="767" w:type="dxa"/>
                  <w:tcBorders>
                    <w:tl2br w:val="nil"/>
                    <w:tr2bl w:val="nil"/>
                  </w:tcBorders>
                  <w:vAlign w:val="center"/>
                </w:tcPr>
                <w:p>
                  <w:pPr>
                    <w:spacing w:line="240" w:lineRule="auto"/>
                    <w:ind w:firstLine="0" w:firstLineChars="0"/>
                    <w:rPr>
                      <w:color w:val="auto"/>
                    </w:rPr>
                  </w:pPr>
                  <w:r>
                    <w:rPr>
                      <w:color w:val="auto"/>
                    </w:rPr>
                    <w:t>2台</w:t>
                  </w:r>
                </w:p>
              </w:tc>
              <w:tc>
                <w:tcPr>
                  <w:tcW w:w="964" w:type="dxa"/>
                  <w:tcBorders>
                    <w:tl2br w:val="nil"/>
                    <w:tr2bl w:val="nil"/>
                  </w:tcBorders>
                  <w:vAlign w:val="center"/>
                </w:tcPr>
                <w:p>
                  <w:pPr>
                    <w:spacing w:line="240" w:lineRule="auto"/>
                    <w:ind w:firstLine="0" w:firstLineChars="0"/>
                    <w:rPr>
                      <w:color w:val="auto"/>
                    </w:rPr>
                  </w:pPr>
                  <w:r>
                    <w:rPr>
                      <w:color w:val="auto"/>
                    </w:rPr>
                    <w:t>组合件</w:t>
                  </w: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545" w:type="dxa"/>
                  <w:tcBorders>
                    <w:tl2br w:val="nil"/>
                    <w:tr2bl w:val="nil"/>
                  </w:tcBorders>
                  <w:vAlign w:val="center"/>
                </w:tcPr>
                <w:p>
                  <w:pPr>
                    <w:spacing w:line="240" w:lineRule="auto"/>
                    <w:ind w:firstLine="0" w:firstLineChars="0"/>
                    <w:rPr>
                      <w:color w:val="auto"/>
                    </w:rPr>
                  </w:pPr>
                  <w:r>
                    <w:rPr>
                      <w:color w:val="auto"/>
                    </w:rPr>
                    <w:t>12</w:t>
                  </w:r>
                </w:p>
              </w:tc>
              <w:tc>
                <w:tcPr>
                  <w:tcW w:w="1624" w:type="dxa"/>
                  <w:tcBorders>
                    <w:tl2br w:val="nil"/>
                    <w:tr2bl w:val="nil"/>
                  </w:tcBorders>
                  <w:vAlign w:val="center"/>
                </w:tcPr>
                <w:p>
                  <w:pPr>
                    <w:spacing w:line="240" w:lineRule="auto"/>
                    <w:ind w:firstLine="0" w:firstLineChars="0"/>
                    <w:rPr>
                      <w:color w:val="auto"/>
                    </w:rPr>
                  </w:pPr>
                  <w:r>
                    <w:rPr>
                      <w:rFonts w:hint="eastAsia"/>
                      <w:color w:val="auto"/>
                    </w:rPr>
                    <w:t>冷却塔</w:t>
                  </w:r>
                </w:p>
              </w:tc>
              <w:tc>
                <w:tcPr>
                  <w:tcW w:w="3441" w:type="dxa"/>
                  <w:tcBorders>
                    <w:tl2br w:val="nil"/>
                    <w:tr2bl w:val="nil"/>
                  </w:tcBorders>
                  <w:vAlign w:val="center"/>
                </w:tcPr>
                <w:p>
                  <w:pPr>
                    <w:spacing w:line="240" w:lineRule="auto"/>
                    <w:ind w:firstLine="0" w:firstLineChars="0"/>
                    <w:rPr>
                      <w:color w:val="auto"/>
                    </w:rPr>
                  </w:pPr>
                  <w:r>
                    <w:rPr>
                      <w:rFonts w:hint="eastAsia"/>
                      <w:color w:val="auto"/>
                    </w:rPr>
                    <w:t>热负荷34343434kJ/h</w:t>
                  </w:r>
                </w:p>
              </w:tc>
              <w:tc>
                <w:tcPr>
                  <w:tcW w:w="767" w:type="dxa"/>
                  <w:tcBorders>
                    <w:tl2br w:val="nil"/>
                    <w:tr2bl w:val="nil"/>
                  </w:tcBorders>
                  <w:vAlign w:val="center"/>
                </w:tcPr>
                <w:p>
                  <w:pPr>
                    <w:spacing w:line="240" w:lineRule="auto"/>
                    <w:ind w:firstLine="0" w:firstLineChars="0"/>
                    <w:rPr>
                      <w:color w:val="auto"/>
                    </w:rPr>
                  </w:pPr>
                  <w:r>
                    <w:rPr>
                      <w:rFonts w:hint="eastAsia"/>
                      <w:color w:val="auto"/>
                    </w:rPr>
                    <w:t>1台</w:t>
                  </w:r>
                </w:p>
              </w:tc>
              <w:tc>
                <w:tcPr>
                  <w:tcW w:w="964" w:type="dxa"/>
                  <w:tcBorders>
                    <w:tl2br w:val="nil"/>
                    <w:tr2bl w:val="nil"/>
                  </w:tcBorders>
                  <w:vAlign w:val="center"/>
                </w:tcPr>
                <w:p>
                  <w:pPr>
                    <w:spacing w:line="240" w:lineRule="auto"/>
                    <w:ind w:firstLine="0" w:firstLineChars="0"/>
                    <w:jc w:val="center"/>
                    <w:rPr>
                      <w:color w:val="auto"/>
                    </w:rPr>
                  </w:pPr>
                  <w:r>
                    <w:rPr>
                      <w:rFonts w:hint="eastAsia"/>
                      <w:color w:val="auto"/>
                    </w:rPr>
                    <w:t>/</w:t>
                  </w: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38" w:type="dxa"/>
                  <w:gridSpan w:val="6"/>
                  <w:tcBorders>
                    <w:tl2br w:val="nil"/>
                    <w:tr2bl w:val="nil"/>
                  </w:tcBorders>
                  <w:vAlign w:val="center"/>
                </w:tcPr>
                <w:p>
                  <w:pPr>
                    <w:spacing w:line="240" w:lineRule="auto"/>
                    <w:ind w:firstLine="0" w:firstLineChars="0"/>
                    <w:jc w:val="center"/>
                    <w:rPr>
                      <w:color w:val="auto"/>
                    </w:rPr>
                  </w:pPr>
                  <w:r>
                    <w:rPr>
                      <w:color w:val="auto"/>
                    </w:rPr>
                    <w:t>天然气蒸汽锅炉系统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1</w:t>
                  </w:r>
                </w:p>
              </w:tc>
              <w:tc>
                <w:tcPr>
                  <w:tcW w:w="1624" w:type="dxa"/>
                  <w:tcBorders>
                    <w:tl2br w:val="nil"/>
                    <w:tr2bl w:val="nil"/>
                  </w:tcBorders>
                  <w:vAlign w:val="center"/>
                </w:tcPr>
                <w:p>
                  <w:pPr>
                    <w:spacing w:line="240" w:lineRule="auto"/>
                    <w:ind w:firstLine="0" w:firstLineChars="0"/>
                    <w:rPr>
                      <w:color w:val="auto"/>
                    </w:rPr>
                  </w:pPr>
                  <w:r>
                    <w:rPr>
                      <w:color w:val="auto"/>
                    </w:rPr>
                    <w:t>天然气蒸汽锅炉（成套）</w:t>
                  </w:r>
                </w:p>
              </w:tc>
              <w:tc>
                <w:tcPr>
                  <w:tcW w:w="3441" w:type="dxa"/>
                  <w:tcBorders>
                    <w:tl2br w:val="nil"/>
                    <w:tr2bl w:val="nil"/>
                  </w:tcBorders>
                  <w:vAlign w:val="center"/>
                </w:tcPr>
                <w:p>
                  <w:pPr>
                    <w:spacing w:line="240" w:lineRule="auto"/>
                    <w:ind w:firstLine="0" w:firstLineChars="0"/>
                    <w:rPr>
                      <w:color w:val="auto"/>
                    </w:rPr>
                  </w:pPr>
                  <w:r>
                    <w:rPr>
                      <w:color w:val="auto"/>
                    </w:rPr>
                    <w:t>锅炉容量：18t/h</w:t>
                  </w:r>
                </w:p>
              </w:tc>
              <w:tc>
                <w:tcPr>
                  <w:tcW w:w="767" w:type="dxa"/>
                  <w:tcBorders>
                    <w:tl2br w:val="nil"/>
                    <w:tr2bl w:val="nil"/>
                  </w:tcBorders>
                  <w:vAlign w:val="center"/>
                </w:tcPr>
                <w:p>
                  <w:pPr>
                    <w:spacing w:line="240" w:lineRule="auto"/>
                    <w:ind w:firstLine="0" w:firstLineChars="0"/>
                    <w:rPr>
                      <w:color w:val="auto"/>
                    </w:rPr>
                  </w:pPr>
                  <w:r>
                    <w:rPr>
                      <w:color w:val="auto"/>
                    </w:rPr>
                    <w:t>1台</w:t>
                  </w:r>
                </w:p>
              </w:tc>
              <w:tc>
                <w:tcPr>
                  <w:tcW w:w="964" w:type="dxa"/>
                  <w:tcBorders>
                    <w:tl2br w:val="nil"/>
                    <w:tr2bl w:val="nil"/>
                  </w:tcBorders>
                  <w:vAlign w:val="center"/>
                </w:tcPr>
                <w:p>
                  <w:pPr>
                    <w:spacing w:line="240" w:lineRule="auto"/>
                    <w:ind w:firstLine="0" w:firstLineChars="0"/>
                    <w:rPr>
                      <w:color w:val="auto"/>
                    </w:rPr>
                  </w:pPr>
                  <w:r>
                    <w:rPr>
                      <w:color w:val="auto"/>
                    </w:rPr>
                    <w:t>成套设备</w:t>
                  </w: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38" w:type="dxa"/>
                  <w:gridSpan w:val="6"/>
                  <w:tcBorders>
                    <w:tl2br w:val="nil"/>
                    <w:tr2bl w:val="nil"/>
                  </w:tcBorders>
                  <w:vAlign w:val="center"/>
                </w:tcPr>
                <w:p>
                  <w:pPr>
                    <w:spacing w:line="240" w:lineRule="auto"/>
                    <w:ind w:firstLine="0" w:firstLineChars="0"/>
                    <w:jc w:val="center"/>
                    <w:rPr>
                      <w:color w:val="auto"/>
                    </w:rPr>
                  </w:pPr>
                  <w:r>
                    <w:rPr>
                      <w:color w:val="auto"/>
                    </w:rPr>
                    <w:t>输送系统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545" w:type="dxa"/>
                  <w:tcBorders>
                    <w:tl2br w:val="nil"/>
                    <w:tr2bl w:val="nil"/>
                  </w:tcBorders>
                  <w:vAlign w:val="center"/>
                </w:tcPr>
                <w:p>
                  <w:pPr>
                    <w:spacing w:line="240" w:lineRule="auto"/>
                    <w:ind w:firstLine="0" w:firstLineChars="0"/>
                    <w:rPr>
                      <w:color w:val="auto"/>
                    </w:rPr>
                  </w:pPr>
                  <w:r>
                    <w:rPr>
                      <w:color w:val="auto"/>
                    </w:rPr>
                    <w:t>1</w:t>
                  </w:r>
                </w:p>
              </w:tc>
              <w:tc>
                <w:tcPr>
                  <w:tcW w:w="1624" w:type="dxa"/>
                  <w:tcBorders>
                    <w:tl2br w:val="nil"/>
                    <w:tr2bl w:val="nil"/>
                  </w:tcBorders>
                  <w:vAlign w:val="center"/>
                </w:tcPr>
                <w:p>
                  <w:pPr>
                    <w:spacing w:line="240" w:lineRule="auto"/>
                    <w:ind w:firstLine="0" w:firstLineChars="0"/>
                    <w:rPr>
                      <w:color w:val="auto"/>
                    </w:rPr>
                  </w:pPr>
                  <w:r>
                    <w:rPr>
                      <w:color w:val="auto"/>
                    </w:rPr>
                    <w:t>1#原煤入场皮带机</w:t>
                  </w:r>
                </w:p>
              </w:tc>
              <w:tc>
                <w:tcPr>
                  <w:tcW w:w="3441" w:type="dxa"/>
                  <w:tcBorders>
                    <w:tl2br w:val="nil"/>
                    <w:tr2bl w:val="nil"/>
                  </w:tcBorders>
                  <w:vAlign w:val="center"/>
                </w:tcPr>
                <w:p>
                  <w:pPr>
                    <w:spacing w:line="240" w:lineRule="auto"/>
                    <w:ind w:firstLine="0" w:firstLineChars="0"/>
                    <w:rPr>
                      <w:color w:val="auto"/>
                    </w:rPr>
                  </w:pPr>
                  <w:r>
                    <w:rPr>
                      <w:color w:val="auto"/>
                    </w:rPr>
                    <w:t>水平长度L=37.72m，提升高度H=8.2m，角度12.74°，带宽B=800mm，运量90t/h。</w:t>
                  </w:r>
                </w:p>
              </w:tc>
              <w:tc>
                <w:tcPr>
                  <w:tcW w:w="767" w:type="dxa"/>
                  <w:tcBorders>
                    <w:tl2br w:val="nil"/>
                    <w:tr2bl w:val="nil"/>
                  </w:tcBorders>
                  <w:vAlign w:val="center"/>
                </w:tcPr>
                <w:p>
                  <w:pPr>
                    <w:spacing w:line="240" w:lineRule="auto"/>
                    <w:ind w:firstLine="0" w:firstLineChars="0"/>
                    <w:rPr>
                      <w:color w:val="auto"/>
                    </w:rPr>
                  </w:pPr>
                  <w:r>
                    <w:rPr>
                      <w:color w:val="auto"/>
                    </w:rPr>
                    <w:t>1条</w:t>
                  </w:r>
                </w:p>
              </w:tc>
              <w:tc>
                <w:tcPr>
                  <w:tcW w:w="964" w:type="dxa"/>
                  <w:tcBorders>
                    <w:tl2br w:val="nil"/>
                    <w:tr2bl w:val="nil"/>
                  </w:tcBorders>
                  <w:vAlign w:val="center"/>
                </w:tcPr>
                <w:p>
                  <w:pPr>
                    <w:spacing w:line="240" w:lineRule="auto"/>
                    <w:ind w:firstLine="0" w:firstLineChars="0"/>
                    <w:rPr>
                      <w:color w:val="auto"/>
                    </w:rPr>
                  </w:pP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2</w:t>
                  </w:r>
                </w:p>
              </w:tc>
              <w:tc>
                <w:tcPr>
                  <w:tcW w:w="1624" w:type="dxa"/>
                  <w:tcBorders>
                    <w:tl2br w:val="nil"/>
                    <w:tr2bl w:val="nil"/>
                  </w:tcBorders>
                  <w:vAlign w:val="center"/>
                </w:tcPr>
                <w:p>
                  <w:pPr>
                    <w:spacing w:line="240" w:lineRule="auto"/>
                    <w:ind w:firstLine="0" w:firstLineChars="0"/>
                    <w:rPr>
                      <w:color w:val="auto"/>
                    </w:rPr>
                  </w:pPr>
                  <w:r>
                    <w:rPr>
                      <w:color w:val="auto"/>
                    </w:rPr>
                    <w:t>2#原煤入场皮带机</w:t>
                  </w:r>
                </w:p>
              </w:tc>
              <w:tc>
                <w:tcPr>
                  <w:tcW w:w="3441" w:type="dxa"/>
                  <w:tcBorders>
                    <w:tl2br w:val="nil"/>
                    <w:tr2bl w:val="nil"/>
                  </w:tcBorders>
                  <w:vAlign w:val="center"/>
                </w:tcPr>
                <w:p>
                  <w:pPr>
                    <w:spacing w:line="240" w:lineRule="auto"/>
                    <w:ind w:firstLine="0" w:firstLineChars="0"/>
                    <w:rPr>
                      <w:color w:val="auto"/>
                    </w:rPr>
                  </w:pPr>
                  <w:r>
                    <w:rPr>
                      <w:color w:val="auto"/>
                    </w:rPr>
                    <w:t>水平长度L=34.6</w:t>
                  </w:r>
                  <w:r>
                    <w:rPr>
                      <w:rFonts w:hint="eastAsia"/>
                      <w:color w:val="auto"/>
                    </w:rPr>
                    <w:t>13m</w:t>
                  </w:r>
                  <w:r>
                    <w:rPr>
                      <w:color w:val="auto"/>
                    </w:rPr>
                    <w:t>，提升高度H=0m，角度0°带宽B=800mm，运量90t/h。</w:t>
                  </w:r>
                </w:p>
              </w:tc>
              <w:tc>
                <w:tcPr>
                  <w:tcW w:w="767" w:type="dxa"/>
                  <w:tcBorders>
                    <w:tl2br w:val="nil"/>
                    <w:tr2bl w:val="nil"/>
                  </w:tcBorders>
                  <w:vAlign w:val="center"/>
                </w:tcPr>
                <w:p>
                  <w:pPr>
                    <w:spacing w:line="240" w:lineRule="auto"/>
                    <w:ind w:firstLine="0" w:firstLineChars="0"/>
                    <w:rPr>
                      <w:color w:val="auto"/>
                    </w:rPr>
                  </w:pPr>
                  <w:r>
                    <w:rPr>
                      <w:color w:val="auto"/>
                    </w:rPr>
                    <w:t>1条</w:t>
                  </w:r>
                </w:p>
              </w:tc>
              <w:tc>
                <w:tcPr>
                  <w:tcW w:w="964" w:type="dxa"/>
                  <w:tcBorders>
                    <w:tl2br w:val="nil"/>
                    <w:tr2bl w:val="nil"/>
                  </w:tcBorders>
                  <w:vAlign w:val="center"/>
                </w:tcPr>
                <w:p>
                  <w:pPr>
                    <w:spacing w:line="240" w:lineRule="auto"/>
                    <w:ind w:firstLine="0" w:firstLineChars="0"/>
                    <w:rPr>
                      <w:color w:val="auto"/>
                    </w:rPr>
                  </w:pP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3</w:t>
                  </w:r>
                </w:p>
              </w:tc>
              <w:tc>
                <w:tcPr>
                  <w:tcW w:w="1624" w:type="dxa"/>
                  <w:tcBorders>
                    <w:tl2br w:val="nil"/>
                    <w:tr2bl w:val="nil"/>
                  </w:tcBorders>
                  <w:vAlign w:val="center"/>
                </w:tcPr>
                <w:p>
                  <w:pPr>
                    <w:spacing w:line="240" w:lineRule="auto"/>
                    <w:ind w:firstLine="0" w:firstLineChars="0"/>
                    <w:rPr>
                      <w:color w:val="auto"/>
                    </w:rPr>
                  </w:pPr>
                  <w:r>
                    <w:rPr>
                      <w:color w:val="auto"/>
                    </w:rPr>
                    <w:t>2#原煤入场皮带机用犁式卸料器</w:t>
                  </w:r>
                </w:p>
              </w:tc>
              <w:tc>
                <w:tcPr>
                  <w:tcW w:w="3441" w:type="dxa"/>
                  <w:tcBorders>
                    <w:tl2br w:val="nil"/>
                    <w:tr2bl w:val="nil"/>
                  </w:tcBorders>
                  <w:vAlign w:val="center"/>
                </w:tcPr>
                <w:p>
                  <w:pPr>
                    <w:spacing w:line="240" w:lineRule="auto"/>
                    <w:ind w:firstLine="0" w:firstLineChars="0"/>
                    <w:rPr>
                      <w:color w:val="auto"/>
                    </w:rPr>
                  </w:pPr>
                  <w:r>
                    <w:rPr>
                      <w:color w:val="auto"/>
                    </w:rPr>
                    <w:t>双侧犁式卸料器，适用于带宽B=800mm皮带机，参考电机功率1.5kW</w:t>
                  </w:r>
                </w:p>
              </w:tc>
              <w:tc>
                <w:tcPr>
                  <w:tcW w:w="767" w:type="dxa"/>
                  <w:tcBorders>
                    <w:tl2br w:val="nil"/>
                    <w:tr2bl w:val="nil"/>
                  </w:tcBorders>
                  <w:vAlign w:val="center"/>
                </w:tcPr>
                <w:p>
                  <w:pPr>
                    <w:spacing w:line="240" w:lineRule="auto"/>
                    <w:ind w:firstLine="0" w:firstLineChars="0"/>
                    <w:rPr>
                      <w:color w:val="auto"/>
                    </w:rPr>
                  </w:pPr>
                  <w:r>
                    <w:rPr>
                      <w:color w:val="auto"/>
                    </w:rPr>
                    <w:t>1条</w:t>
                  </w:r>
                </w:p>
              </w:tc>
              <w:tc>
                <w:tcPr>
                  <w:tcW w:w="964" w:type="dxa"/>
                  <w:tcBorders>
                    <w:tl2br w:val="nil"/>
                    <w:tr2bl w:val="nil"/>
                  </w:tcBorders>
                  <w:vAlign w:val="center"/>
                </w:tcPr>
                <w:p>
                  <w:pPr>
                    <w:spacing w:line="240" w:lineRule="auto"/>
                    <w:ind w:firstLine="0" w:firstLineChars="0"/>
                    <w:rPr>
                      <w:color w:val="auto"/>
                    </w:rPr>
                  </w:pP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545" w:type="dxa"/>
                  <w:tcBorders>
                    <w:tl2br w:val="nil"/>
                    <w:tr2bl w:val="nil"/>
                  </w:tcBorders>
                  <w:vAlign w:val="center"/>
                </w:tcPr>
                <w:p>
                  <w:pPr>
                    <w:spacing w:line="240" w:lineRule="auto"/>
                    <w:ind w:firstLine="0" w:firstLineChars="0"/>
                    <w:rPr>
                      <w:color w:val="auto"/>
                    </w:rPr>
                  </w:pPr>
                  <w:r>
                    <w:rPr>
                      <w:color w:val="auto"/>
                    </w:rPr>
                    <w:t>4</w:t>
                  </w:r>
                </w:p>
              </w:tc>
              <w:tc>
                <w:tcPr>
                  <w:tcW w:w="1624" w:type="dxa"/>
                  <w:tcBorders>
                    <w:tl2br w:val="nil"/>
                    <w:tr2bl w:val="nil"/>
                  </w:tcBorders>
                  <w:vAlign w:val="center"/>
                </w:tcPr>
                <w:p>
                  <w:pPr>
                    <w:spacing w:line="240" w:lineRule="auto"/>
                    <w:ind w:firstLine="0" w:firstLineChars="0"/>
                    <w:rPr>
                      <w:color w:val="auto"/>
                    </w:rPr>
                  </w:pPr>
                  <w:r>
                    <w:rPr>
                      <w:color w:val="auto"/>
                    </w:rPr>
                    <w:t>2-1#/2-2#/2-3#出料皮带机</w:t>
                  </w:r>
                </w:p>
              </w:tc>
              <w:tc>
                <w:tcPr>
                  <w:tcW w:w="3441" w:type="dxa"/>
                  <w:tcBorders>
                    <w:tl2br w:val="nil"/>
                    <w:tr2bl w:val="nil"/>
                  </w:tcBorders>
                  <w:vAlign w:val="center"/>
                </w:tcPr>
                <w:p>
                  <w:pPr>
                    <w:spacing w:line="240" w:lineRule="auto"/>
                    <w:ind w:firstLine="0" w:firstLineChars="0"/>
                    <w:rPr>
                      <w:color w:val="auto"/>
                    </w:rPr>
                  </w:pPr>
                  <w:r>
                    <w:rPr>
                      <w:color w:val="auto"/>
                    </w:rPr>
                    <w:t>水平长度L=6.75m，提升高度H=1.9m，角度16.74°，带宽B=1000mm。</w:t>
                  </w:r>
                </w:p>
              </w:tc>
              <w:tc>
                <w:tcPr>
                  <w:tcW w:w="767" w:type="dxa"/>
                  <w:tcBorders>
                    <w:tl2br w:val="nil"/>
                    <w:tr2bl w:val="nil"/>
                  </w:tcBorders>
                  <w:vAlign w:val="center"/>
                </w:tcPr>
                <w:p>
                  <w:pPr>
                    <w:spacing w:line="240" w:lineRule="auto"/>
                    <w:ind w:firstLine="0" w:firstLineChars="0"/>
                    <w:rPr>
                      <w:color w:val="auto"/>
                    </w:rPr>
                  </w:pPr>
                  <w:r>
                    <w:rPr>
                      <w:color w:val="auto"/>
                    </w:rPr>
                    <w:t>3条</w:t>
                  </w:r>
                </w:p>
              </w:tc>
              <w:tc>
                <w:tcPr>
                  <w:tcW w:w="964" w:type="dxa"/>
                  <w:tcBorders>
                    <w:tl2br w:val="nil"/>
                    <w:tr2bl w:val="nil"/>
                  </w:tcBorders>
                  <w:vAlign w:val="center"/>
                </w:tcPr>
                <w:p>
                  <w:pPr>
                    <w:spacing w:line="240" w:lineRule="auto"/>
                    <w:ind w:firstLine="0" w:firstLineChars="0"/>
                    <w:rPr>
                      <w:color w:val="auto"/>
                    </w:rPr>
                  </w:pP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545" w:type="dxa"/>
                  <w:tcBorders>
                    <w:tl2br w:val="nil"/>
                    <w:tr2bl w:val="nil"/>
                  </w:tcBorders>
                  <w:vAlign w:val="center"/>
                </w:tcPr>
                <w:p>
                  <w:pPr>
                    <w:spacing w:line="240" w:lineRule="auto"/>
                    <w:ind w:firstLine="0" w:firstLineChars="0"/>
                    <w:rPr>
                      <w:color w:val="auto"/>
                    </w:rPr>
                  </w:pPr>
                  <w:r>
                    <w:rPr>
                      <w:color w:val="auto"/>
                    </w:rPr>
                    <w:t>5</w:t>
                  </w:r>
                </w:p>
              </w:tc>
              <w:tc>
                <w:tcPr>
                  <w:tcW w:w="1624" w:type="dxa"/>
                  <w:tcBorders>
                    <w:tl2br w:val="nil"/>
                    <w:tr2bl w:val="nil"/>
                  </w:tcBorders>
                  <w:vAlign w:val="center"/>
                </w:tcPr>
                <w:p>
                  <w:pPr>
                    <w:spacing w:line="240" w:lineRule="auto"/>
                    <w:ind w:firstLine="0" w:firstLineChars="0"/>
                    <w:rPr>
                      <w:color w:val="auto"/>
                    </w:rPr>
                  </w:pPr>
                  <w:r>
                    <w:rPr>
                      <w:color w:val="auto"/>
                    </w:rPr>
                    <w:t>3#</w:t>
                  </w:r>
                  <w:r>
                    <w:rPr>
                      <w:rFonts w:hint="eastAsia"/>
                      <w:color w:val="auto"/>
                    </w:rPr>
                    <w:t>烘干</w:t>
                  </w:r>
                  <w:r>
                    <w:rPr>
                      <w:color w:val="auto"/>
                    </w:rPr>
                    <w:t>煤</w:t>
                  </w:r>
                  <w:r>
                    <w:rPr>
                      <w:rFonts w:hint="eastAsia"/>
                      <w:color w:val="auto"/>
                    </w:rPr>
                    <w:t>出厂</w:t>
                  </w:r>
                  <w:r>
                    <w:rPr>
                      <w:color w:val="auto"/>
                    </w:rPr>
                    <w:t>皮带机</w:t>
                  </w:r>
                </w:p>
              </w:tc>
              <w:tc>
                <w:tcPr>
                  <w:tcW w:w="3441" w:type="dxa"/>
                  <w:tcBorders>
                    <w:tl2br w:val="nil"/>
                    <w:tr2bl w:val="nil"/>
                  </w:tcBorders>
                  <w:vAlign w:val="center"/>
                </w:tcPr>
                <w:p>
                  <w:pPr>
                    <w:spacing w:line="240" w:lineRule="auto"/>
                    <w:ind w:firstLine="0" w:firstLineChars="0"/>
                    <w:rPr>
                      <w:color w:val="auto"/>
                    </w:rPr>
                  </w:pPr>
                  <w:r>
                    <w:rPr>
                      <w:color w:val="auto"/>
                    </w:rPr>
                    <w:t>水平长度L=39.74m，提升高度H=1.4m，角度0-10°，带宽B=1000mm，运量450t/h。</w:t>
                  </w:r>
                </w:p>
              </w:tc>
              <w:tc>
                <w:tcPr>
                  <w:tcW w:w="767" w:type="dxa"/>
                  <w:tcBorders>
                    <w:tl2br w:val="nil"/>
                    <w:tr2bl w:val="nil"/>
                  </w:tcBorders>
                  <w:vAlign w:val="center"/>
                </w:tcPr>
                <w:p>
                  <w:pPr>
                    <w:spacing w:line="240" w:lineRule="auto"/>
                    <w:ind w:firstLine="0" w:firstLineChars="0"/>
                    <w:rPr>
                      <w:color w:val="auto"/>
                    </w:rPr>
                  </w:pPr>
                  <w:r>
                    <w:rPr>
                      <w:color w:val="auto"/>
                    </w:rPr>
                    <w:t>1条</w:t>
                  </w:r>
                </w:p>
              </w:tc>
              <w:tc>
                <w:tcPr>
                  <w:tcW w:w="964" w:type="dxa"/>
                  <w:tcBorders>
                    <w:tl2br w:val="nil"/>
                    <w:tr2bl w:val="nil"/>
                  </w:tcBorders>
                  <w:vAlign w:val="center"/>
                </w:tcPr>
                <w:p>
                  <w:pPr>
                    <w:spacing w:line="240" w:lineRule="auto"/>
                    <w:ind w:firstLine="0" w:firstLineChars="0"/>
                    <w:rPr>
                      <w:color w:val="auto"/>
                    </w:rPr>
                  </w:pP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6</w:t>
                  </w:r>
                </w:p>
              </w:tc>
              <w:tc>
                <w:tcPr>
                  <w:tcW w:w="1624" w:type="dxa"/>
                  <w:tcBorders>
                    <w:tl2br w:val="nil"/>
                    <w:tr2bl w:val="nil"/>
                  </w:tcBorders>
                  <w:vAlign w:val="center"/>
                </w:tcPr>
                <w:p>
                  <w:pPr>
                    <w:spacing w:line="240" w:lineRule="auto"/>
                    <w:ind w:firstLine="0" w:firstLineChars="0"/>
                    <w:rPr>
                      <w:color w:val="auto"/>
                    </w:rPr>
                  </w:pPr>
                  <w:r>
                    <w:rPr>
                      <w:color w:val="auto"/>
                    </w:rPr>
                    <w:t>3-1#</w:t>
                  </w:r>
                  <w:r>
                    <w:rPr>
                      <w:rFonts w:hint="eastAsia"/>
                      <w:color w:val="auto"/>
                    </w:rPr>
                    <w:t>烘干</w:t>
                  </w:r>
                  <w:r>
                    <w:rPr>
                      <w:color w:val="auto"/>
                    </w:rPr>
                    <w:t>煤堆料皮带机</w:t>
                  </w:r>
                </w:p>
              </w:tc>
              <w:tc>
                <w:tcPr>
                  <w:tcW w:w="3441" w:type="dxa"/>
                  <w:tcBorders>
                    <w:tl2br w:val="nil"/>
                    <w:tr2bl w:val="nil"/>
                  </w:tcBorders>
                  <w:vAlign w:val="center"/>
                </w:tcPr>
                <w:p>
                  <w:pPr>
                    <w:spacing w:line="240" w:lineRule="auto"/>
                    <w:ind w:firstLine="0" w:firstLineChars="0"/>
                    <w:rPr>
                      <w:color w:val="auto"/>
                    </w:rPr>
                  </w:pPr>
                  <w:r>
                    <w:rPr>
                      <w:color w:val="auto"/>
                    </w:rPr>
                    <w:t>可水平扇形移动式皮带机，斜长30m，角度17°，带宽B=1000mm，运量450t/h，带速V=2m/s。</w:t>
                  </w:r>
                </w:p>
              </w:tc>
              <w:tc>
                <w:tcPr>
                  <w:tcW w:w="767" w:type="dxa"/>
                  <w:tcBorders>
                    <w:tl2br w:val="nil"/>
                    <w:tr2bl w:val="nil"/>
                  </w:tcBorders>
                  <w:vAlign w:val="center"/>
                </w:tcPr>
                <w:p>
                  <w:pPr>
                    <w:spacing w:line="240" w:lineRule="auto"/>
                    <w:ind w:firstLine="0" w:firstLineChars="0"/>
                    <w:rPr>
                      <w:color w:val="auto"/>
                    </w:rPr>
                  </w:pPr>
                  <w:r>
                    <w:rPr>
                      <w:color w:val="auto"/>
                    </w:rPr>
                    <w:t>1条</w:t>
                  </w:r>
                </w:p>
              </w:tc>
              <w:tc>
                <w:tcPr>
                  <w:tcW w:w="964" w:type="dxa"/>
                  <w:tcBorders>
                    <w:tl2br w:val="nil"/>
                    <w:tr2bl w:val="nil"/>
                  </w:tcBorders>
                  <w:vAlign w:val="center"/>
                </w:tcPr>
                <w:p>
                  <w:pPr>
                    <w:spacing w:line="240" w:lineRule="auto"/>
                    <w:ind w:firstLine="0" w:firstLineChars="0"/>
                    <w:rPr>
                      <w:color w:val="auto"/>
                    </w:rPr>
                  </w:pP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7</w:t>
                  </w:r>
                </w:p>
              </w:tc>
              <w:tc>
                <w:tcPr>
                  <w:tcW w:w="1624" w:type="dxa"/>
                  <w:tcBorders>
                    <w:tl2br w:val="nil"/>
                    <w:tr2bl w:val="nil"/>
                  </w:tcBorders>
                  <w:vAlign w:val="center"/>
                </w:tcPr>
                <w:p>
                  <w:pPr>
                    <w:spacing w:line="240" w:lineRule="auto"/>
                    <w:ind w:firstLine="0" w:firstLineChars="0"/>
                    <w:rPr>
                      <w:color w:val="auto"/>
                    </w:rPr>
                  </w:pPr>
                  <w:r>
                    <w:rPr>
                      <w:color w:val="auto"/>
                    </w:rPr>
                    <w:t>4#</w:t>
                  </w:r>
                  <w:r>
                    <w:rPr>
                      <w:rFonts w:hint="eastAsia"/>
                      <w:color w:val="auto"/>
                    </w:rPr>
                    <w:t>烘干</w:t>
                  </w:r>
                  <w:r>
                    <w:rPr>
                      <w:color w:val="auto"/>
                    </w:rPr>
                    <w:t>煤装车皮带机尾部振动给煤机</w:t>
                  </w:r>
                </w:p>
              </w:tc>
              <w:tc>
                <w:tcPr>
                  <w:tcW w:w="3441" w:type="dxa"/>
                  <w:tcBorders>
                    <w:tl2br w:val="nil"/>
                    <w:tr2bl w:val="nil"/>
                  </w:tcBorders>
                  <w:vAlign w:val="center"/>
                </w:tcPr>
                <w:p>
                  <w:pPr>
                    <w:spacing w:line="240" w:lineRule="auto"/>
                    <w:ind w:firstLine="0" w:firstLineChars="0"/>
                    <w:rPr>
                      <w:color w:val="auto"/>
                    </w:rPr>
                  </w:pPr>
                  <w:r>
                    <w:rPr>
                      <w:color w:val="auto"/>
                    </w:rPr>
                    <w:t>处理能力0-500t/h，参考功率5.5kW，变频可调节</w:t>
                  </w:r>
                </w:p>
              </w:tc>
              <w:tc>
                <w:tcPr>
                  <w:tcW w:w="767" w:type="dxa"/>
                  <w:tcBorders>
                    <w:tl2br w:val="nil"/>
                    <w:tr2bl w:val="nil"/>
                  </w:tcBorders>
                  <w:vAlign w:val="center"/>
                </w:tcPr>
                <w:p>
                  <w:pPr>
                    <w:spacing w:line="240" w:lineRule="auto"/>
                    <w:ind w:firstLine="0" w:firstLineChars="0"/>
                    <w:rPr>
                      <w:color w:val="auto"/>
                    </w:rPr>
                  </w:pPr>
                  <w:r>
                    <w:rPr>
                      <w:color w:val="auto"/>
                    </w:rPr>
                    <w:t>1条</w:t>
                  </w:r>
                </w:p>
              </w:tc>
              <w:tc>
                <w:tcPr>
                  <w:tcW w:w="964" w:type="dxa"/>
                  <w:tcBorders>
                    <w:tl2br w:val="nil"/>
                    <w:tr2bl w:val="nil"/>
                  </w:tcBorders>
                  <w:vAlign w:val="center"/>
                </w:tcPr>
                <w:p>
                  <w:pPr>
                    <w:spacing w:line="240" w:lineRule="auto"/>
                    <w:ind w:firstLine="0" w:firstLineChars="0"/>
                    <w:rPr>
                      <w:color w:val="auto"/>
                    </w:rPr>
                  </w:pP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545" w:type="dxa"/>
                  <w:tcBorders>
                    <w:tl2br w:val="nil"/>
                    <w:tr2bl w:val="nil"/>
                  </w:tcBorders>
                  <w:vAlign w:val="center"/>
                </w:tcPr>
                <w:p>
                  <w:pPr>
                    <w:spacing w:line="240" w:lineRule="auto"/>
                    <w:ind w:firstLine="0" w:firstLineChars="0"/>
                    <w:rPr>
                      <w:color w:val="auto"/>
                    </w:rPr>
                  </w:pPr>
                  <w:r>
                    <w:rPr>
                      <w:color w:val="auto"/>
                    </w:rPr>
                    <w:t>8</w:t>
                  </w:r>
                </w:p>
              </w:tc>
              <w:tc>
                <w:tcPr>
                  <w:tcW w:w="1624" w:type="dxa"/>
                  <w:tcBorders>
                    <w:tl2br w:val="nil"/>
                    <w:tr2bl w:val="nil"/>
                  </w:tcBorders>
                  <w:vAlign w:val="center"/>
                </w:tcPr>
                <w:p>
                  <w:pPr>
                    <w:spacing w:line="240" w:lineRule="auto"/>
                    <w:ind w:firstLine="0" w:firstLineChars="0"/>
                    <w:rPr>
                      <w:color w:val="auto"/>
                    </w:rPr>
                  </w:pPr>
                  <w:r>
                    <w:rPr>
                      <w:color w:val="auto"/>
                    </w:rPr>
                    <w:t>4#</w:t>
                  </w:r>
                  <w:r>
                    <w:rPr>
                      <w:rFonts w:hint="eastAsia"/>
                      <w:color w:val="auto"/>
                    </w:rPr>
                    <w:t>烘干</w:t>
                  </w:r>
                  <w:r>
                    <w:rPr>
                      <w:color w:val="auto"/>
                    </w:rPr>
                    <w:t>煤装车皮带机</w:t>
                  </w:r>
                </w:p>
              </w:tc>
              <w:tc>
                <w:tcPr>
                  <w:tcW w:w="3441" w:type="dxa"/>
                  <w:tcBorders>
                    <w:tl2br w:val="nil"/>
                    <w:tr2bl w:val="nil"/>
                  </w:tcBorders>
                  <w:vAlign w:val="center"/>
                </w:tcPr>
                <w:p>
                  <w:pPr>
                    <w:spacing w:line="240" w:lineRule="auto"/>
                    <w:ind w:firstLine="0" w:firstLineChars="0"/>
                    <w:rPr>
                      <w:color w:val="auto"/>
                    </w:rPr>
                  </w:pPr>
                  <w:r>
                    <w:rPr>
                      <w:color w:val="auto"/>
                    </w:rPr>
                    <w:t>水平长度L=55.83m，提升高度H=17m，角度17°，带宽B=1000mm，运量450t/h。</w:t>
                  </w:r>
                </w:p>
              </w:tc>
              <w:tc>
                <w:tcPr>
                  <w:tcW w:w="767" w:type="dxa"/>
                  <w:tcBorders>
                    <w:tl2br w:val="nil"/>
                    <w:tr2bl w:val="nil"/>
                  </w:tcBorders>
                  <w:vAlign w:val="center"/>
                </w:tcPr>
                <w:p>
                  <w:pPr>
                    <w:spacing w:line="240" w:lineRule="auto"/>
                    <w:ind w:firstLine="0" w:firstLineChars="0"/>
                    <w:rPr>
                      <w:color w:val="auto"/>
                    </w:rPr>
                  </w:pPr>
                  <w:r>
                    <w:rPr>
                      <w:color w:val="auto"/>
                    </w:rPr>
                    <w:t>1条</w:t>
                  </w:r>
                </w:p>
              </w:tc>
              <w:tc>
                <w:tcPr>
                  <w:tcW w:w="964" w:type="dxa"/>
                  <w:tcBorders>
                    <w:tl2br w:val="nil"/>
                    <w:tr2bl w:val="nil"/>
                  </w:tcBorders>
                  <w:vAlign w:val="center"/>
                </w:tcPr>
                <w:p>
                  <w:pPr>
                    <w:spacing w:line="240" w:lineRule="auto"/>
                    <w:ind w:firstLine="0" w:firstLineChars="0"/>
                    <w:rPr>
                      <w:color w:val="auto"/>
                    </w:rPr>
                  </w:pP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9</w:t>
                  </w:r>
                </w:p>
              </w:tc>
              <w:tc>
                <w:tcPr>
                  <w:tcW w:w="1624" w:type="dxa"/>
                  <w:tcBorders>
                    <w:tl2br w:val="nil"/>
                    <w:tr2bl w:val="nil"/>
                  </w:tcBorders>
                  <w:vAlign w:val="center"/>
                </w:tcPr>
                <w:p>
                  <w:pPr>
                    <w:spacing w:line="240" w:lineRule="auto"/>
                    <w:ind w:firstLine="0" w:firstLineChars="0"/>
                    <w:rPr>
                      <w:color w:val="auto"/>
                    </w:rPr>
                  </w:pPr>
                  <w:r>
                    <w:rPr>
                      <w:color w:val="auto"/>
                    </w:rPr>
                    <w:t>装车仓下称重给煤机</w:t>
                  </w:r>
                </w:p>
              </w:tc>
              <w:tc>
                <w:tcPr>
                  <w:tcW w:w="3441" w:type="dxa"/>
                  <w:tcBorders>
                    <w:tl2br w:val="nil"/>
                    <w:tr2bl w:val="nil"/>
                  </w:tcBorders>
                  <w:vAlign w:val="center"/>
                </w:tcPr>
                <w:p>
                  <w:pPr>
                    <w:spacing w:line="240" w:lineRule="auto"/>
                    <w:ind w:firstLine="0" w:firstLineChars="0"/>
                    <w:rPr>
                      <w:color w:val="auto"/>
                    </w:rPr>
                  </w:pPr>
                  <w:r>
                    <w:rPr>
                      <w:color w:val="auto"/>
                    </w:rPr>
                    <w:t>称量精度0.5级别，处理能力0-600t/h，参考功率7.5kW，变频可调节</w:t>
                  </w:r>
                </w:p>
              </w:tc>
              <w:tc>
                <w:tcPr>
                  <w:tcW w:w="767" w:type="dxa"/>
                  <w:tcBorders>
                    <w:tl2br w:val="nil"/>
                    <w:tr2bl w:val="nil"/>
                  </w:tcBorders>
                  <w:vAlign w:val="center"/>
                </w:tcPr>
                <w:p>
                  <w:pPr>
                    <w:spacing w:line="240" w:lineRule="auto"/>
                    <w:ind w:firstLine="0" w:firstLineChars="0"/>
                    <w:rPr>
                      <w:color w:val="auto"/>
                    </w:rPr>
                  </w:pPr>
                  <w:r>
                    <w:rPr>
                      <w:color w:val="auto"/>
                    </w:rPr>
                    <w:t>1台</w:t>
                  </w:r>
                </w:p>
              </w:tc>
              <w:tc>
                <w:tcPr>
                  <w:tcW w:w="964" w:type="dxa"/>
                  <w:tcBorders>
                    <w:tl2br w:val="nil"/>
                    <w:tr2bl w:val="nil"/>
                  </w:tcBorders>
                  <w:vAlign w:val="center"/>
                </w:tcPr>
                <w:p>
                  <w:pPr>
                    <w:spacing w:line="240" w:lineRule="auto"/>
                    <w:ind w:firstLine="0" w:firstLineChars="0"/>
                    <w:rPr>
                      <w:color w:val="auto"/>
                    </w:rPr>
                  </w:pP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10</w:t>
                  </w:r>
                </w:p>
              </w:tc>
              <w:tc>
                <w:tcPr>
                  <w:tcW w:w="1624" w:type="dxa"/>
                  <w:tcBorders>
                    <w:tl2br w:val="nil"/>
                    <w:tr2bl w:val="nil"/>
                  </w:tcBorders>
                  <w:vAlign w:val="center"/>
                </w:tcPr>
                <w:p>
                  <w:pPr>
                    <w:spacing w:line="240" w:lineRule="auto"/>
                    <w:ind w:firstLine="0" w:firstLineChars="0"/>
                    <w:rPr>
                      <w:color w:val="auto"/>
                    </w:rPr>
                  </w:pPr>
                  <w:r>
                    <w:rPr>
                      <w:color w:val="auto"/>
                    </w:rPr>
                    <w:t>1#原煤入场皮带机尾部振动给煤机</w:t>
                  </w:r>
                </w:p>
              </w:tc>
              <w:tc>
                <w:tcPr>
                  <w:tcW w:w="3441" w:type="dxa"/>
                  <w:tcBorders>
                    <w:tl2br w:val="nil"/>
                    <w:tr2bl w:val="nil"/>
                  </w:tcBorders>
                  <w:vAlign w:val="center"/>
                </w:tcPr>
                <w:p>
                  <w:pPr>
                    <w:spacing w:line="240" w:lineRule="auto"/>
                    <w:ind w:firstLine="0" w:firstLineChars="0"/>
                    <w:rPr>
                      <w:color w:val="auto"/>
                    </w:rPr>
                  </w:pPr>
                  <w:r>
                    <w:rPr>
                      <w:color w:val="auto"/>
                    </w:rPr>
                    <w:t>处理能力0-100t/h，参考功率5.5kW，变频可调节</w:t>
                  </w:r>
                </w:p>
              </w:tc>
              <w:tc>
                <w:tcPr>
                  <w:tcW w:w="767" w:type="dxa"/>
                  <w:tcBorders>
                    <w:tl2br w:val="nil"/>
                    <w:tr2bl w:val="nil"/>
                  </w:tcBorders>
                  <w:vAlign w:val="center"/>
                </w:tcPr>
                <w:p>
                  <w:pPr>
                    <w:spacing w:line="240" w:lineRule="auto"/>
                    <w:ind w:firstLine="0" w:firstLineChars="0"/>
                    <w:rPr>
                      <w:color w:val="auto"/>
                    </w:rPr>
                  </w:pPr>
                  <w:r>
                    <w:rPr>
                      <w:color w:val="auto"/>
                    </w:rPr>
                    <w:t>1台</w:t>
                  </w:r>
                </w:p>
              </w:tc>
              <w:tc>
                <w:tcPr>
                  <w:tcW w:w="964" w:type="dxa"/>
                  <w:tcBorders>
                    <w:tl2br w:val="nil"/>
                    <w:tr2bl w:val="nil"/>
                  </w:tcBorders>
                  <w:vAlign w:val="center"/>
                </w:tcPr>
                <w:p>
                  <w:pPr>
                    <w:spacing w:line="240" w:lineRule="auto"/>
                    <w:ind w:firstLine="0" w:firstLineChars="0"/>
                    <w:rPr>
                      <w:color w:val="auto"/>
                    </w:rPr>
                  </w:pP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8038" w:type="dxa"/>
                  <w:gridSpan w:val="6"/>
                  <w:tcBorders>
                    <w:tl2br w:val="nil"/>
                    <w:tr2bl w:val="nil"/>
                  </w:tcBorders>
                  <w:vAlign w:val="center"/>
                </w:tcPr>
                <w:p>
                  <w:pPr>
                    <w:spacing w:line="240" w:lineRule="auto"/>
                    <w:ind w:firstLine="0" w:firstLineChars="0"/>
                    <w:jc w:val="center"/>
                    <w:rPr>
                      <w:color w:val="auto"/>
                    </w:rPr>
                  </w:pPr>
                  <w:r>
                    <w:rPr>
                      <w:rFonts w:hint="eastAsia"/>
                      <w:color w:val="auto"/>
                    </w:rPr>
                    <w:t>废水处理站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1</w:t>
                  </w:r>
                </w:p>
              </w:tc>
              <w:tc>
                <w:tcPr>
                  <w:tcW w:w="1624" w:type="dxa"/>
                  <w:tcBorders>
                    <w:tl2br w:val="nil"/>
                    <w:tr2bl w:val="nil"/>
                  </w:tcBorders>
                  <w:vAlign w:val="center"/>
                </w:tcPr>
                <w:p>
                  <w:pPr>
                    <w:spacing w:line="240" w:lineRule="auto"/>
                    <w:ind w:firstLine="0" w:firstLineChars="0"/>
                    <w:rPr>
                      <w:color w:val="auto"/>
                    </w:rPr>
                  </w:pPr>
                  <w:r>
                    <w:rPr>
                      <w:color w:val="auto"/>
                    </w:rPr>
                    <w:t>提升泵</w:t>
                  </w:r>
                </w:p>
              </w:tc>
              <w:tc>
                <w:tcPr>
                  <w:tcW w:w="3441" w:type="dxa"/>
                  <w:tcBorders>
                    <w:tl2br w:val="nil"/>
                    <w:tr2bl w:val="nil"/>
                  </w:tcBorders>
                  <w:vAlign w:val="center"/>
                </w:tcPr>
                <w:p>
                  <w:pPr>
                    <w:spacing w:line="240" w:lineRule="auto"/>
                    <w:ind w:firstLine="0" w:firstLineChars="0"/>
                    <w:rPr>
                      <w:color w:val="auto"/>
                    </w:rPr>
                  </w:pPr>
                  <w:r>
                    <w:rPr>
                      <w:color w:val="auto"/>
                    </w:rPr>
                    <w:t>型号WQ80-10-5.5，流量</w:t>
                  </w:r>
                  <w:r>
                    <w:rPr>
                      <w:rFonts w:hint="eastAsia"/>
                      <w:color w:val="auto"/>
                    </w:rPr>
                    <w:t>50m³/h</w:t>
                  </w:r>
                  <w:r>
                    <w:rPr>
                      <w:color w:val="auto"/>
                    </w:rPr>
                    <w:t>，扬程10m，功率5.5</w:t>
                  </w:r>
                  <w:r>
                    <w:rPr>
                      <w:rFonts w:hint="eastAsia"/>
                      <w:color w:val="auto"/>
                    </w:rPr>
                    <w:t>kW</w:t>
                  </w:r>
                </w:p>
              </w:tc>
              <w:tc>
                <w:tcPr>
                  <w:tcW w:w="767" w:type="dxa"/>
                  <w:tcBorders>
                    <w:tl2br w:val="nil"/>
                    <w:tr2bl w:val="nil"/>
                  </w:tcBorders>
                  <w:vAlign w:val="center"/>
                </w:tcPr>
                <w:p>
                  <w:pPr>
                    <w:spacing w:line="240" w:lineRule="auto"/>
                    <w:ind w:firstLine="0" w:firstLineChars="0"/>
                    <w:rPr>
                      <w:color w:val="auto"/>
                    </w:rPr>
                  </w:pPr>
                  <w:r>
                    <w:rPr>
                      <w:color w:val="auto"/>
                    </w:rPr>
                    <w:t>2台</w:t>
                  </w:r>
                </w:p>
              </w:tc>
              <w:tc>
                <w:tcPr>
                  <w:tcW w:w="964" w:type="dxa"/>
                  <w:tcBorders>
                    <w:tl2br w:val="nil"/>
                    <w:tr2bl w:val="nil"/>
                  </w:tcBorders>
                  <w:vAlign w:val="center"/>
                </w:tcPr>
                <w:p>
                  <w:pPr>
                    <w:spacing w:line="240" w:lineRule="auto"/>
                    <w:ind w:firstLine="0" w:firstLineChars="0"/>
                    <w:rPr>
                      <w:color w:val="auto"/>
                    </w:rPr>
                  </w:pPr>
                  <w:r>
                    <w:rPr>
                      <w:color w:val="auto"/>
                    </w:rPr>
                    <w:t>国产优质</w:t>
                  </w: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2</w:t>
                  </w:r>
                </w:p>
              </w:tc>
              <w:tc>
                <w:tcPr>
                  <w:tcW w:w="1624" w:type="dxa"/>
                  <w:tcBorders>
                    <w:tl2br w:val="nil"/>
                    <w:tr2bl w:val="nil"/>
                  </w:tcBorders>
                  <w:vAlign w:val="center"/>
                </w:tcPr>
                <w:p>
                  <w:pPr>
                    <w:spacing w:line="240" w:lineRule="auto"/>
                    <w:ind w:firstLine="0" w:firstLineChars="0"/>
                    <w:rPr>
                      <w:color w:val="auto"/>
                    </w:rPr>
                  </w:pPr>
                  <w:r>
                    <w:rPr>
                      <w:color w:val="auto"/>
                    </w:rPr>
                    <w:t>混凝沉淀池</w:t>
                  </w:r>
                </w:p>
              </w:tc>
              <w:tc>
                <w:tcPr>
                  <w:tcW w:w="3441" w:type="dxa"/>
                  <w:tcBorders>
                    <w:tl2br w:val="nil"/>
                    <w:tr2bl w:val="nil"/>
                  </w:tcBorders>
                  <w:vAlign w:val="center"/>
                </w:tcPr>
                <w:p>
                  <w:pPr>
                    <w:spacing w:line="240" w:lineRule="auto"/>
                    <w:ind w:firstLine="0" w:firstLineChars="0"/>
                    <w:rPr>
                      <w:color w:val="auto"/>
                    </w:rPr>
                  </w:pPr>
                  <w:r>
                    <w:rPr>
                      <w:color w:val="auto"/>
                    </w:rPr>
                    <w:t>尺寸14000×3000×3000mm</w:t>
                  </w:r>
                </w:p>
              </w:tc>
              <w:tc>
                <w:tcPr>
                  <w:tcW w:w="767" w:type="dxa"/>
                  <w:tcBorders>
                    <w:tl2br w:val="nil"/>
                    <w:tr2bl w:val="nil"/>
                  </w:tcBorders>
                  <w:vAlign w:val="center"/>
                </w:tcPr>
                <w:p>
                  <w:pPr>
                    <w:spacing w:line="240" w:lineRule="auto"/>
                    <w:ind w:firstLine="0" w:firstLineChars="0"/>
                    <w:rPr>
                      <w:color w:val="auto"/>
                    </w:rPr>
                  </w:pPr>
                  <w:r>
                    <w:rPr>
                      <w:color w:val="auto"/>
                    </w:rPr>
                    <w:t>1套</w:t>
                  </w:r>
                </w:p>
              </w:tc>
              <w:tc>
                <w:tcPr>
                  <w:tcW w:w="964" w:type="dxa"/>
                  <w:tcBorders>
                    <w:tl2br w:val="nil"/>
                    <w:tr2bl w:val="nil"/>
                  </w:tcBorders>
                  <w:vAlign w:val="center"/>
                </w:tcPr>
                <w:p>
                  <w:pPr>
                    <w:spacing w:line="240" w:lineRule="auto"/>
                    <w:ind w:firstLine="0" w:firstLineChars="0"/>
                    <w:rPr>
                      <w:color w:val="auto"/>
                    </w:rPr>
                  </w:pPr>
                  <w:r>
                    <w:rPr>
                      <w:color w:val="auto"/>
                    </w:rPr>
                    <w:t>碳钢防腐6mm</w:t>
                  </w: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3</w:t>
                  </w:r>
                </w:p>
              </w:tc>
              <w:tc>
                <w:tcPr>
                  <w:tcW w:w="1624" w:type="dxa"/>
                  <w:tcBorders>
                    <w:tl2br w:val="nil"/>
                    <w:tr2bl w:val="nil"/>
                  </w:tcBorders>
                  <w:vAlign w:val="center"/>
                </w:tcPr>
                <w:p>
                  <w:pPr>
                    <w:spacing w:line="240" w:lineRule="auto"/>
                    <w:ind w:firstLine="0" w:firstLineChars="0"/>
                    <w:rPr>
                      <w:color w:val="auto"/>
                    </w:rPr>
                  </w:pPr>
                  <w:r>
                    <w:rPr>
                      <w:color w:val="auto"/>
                    </w:rPr>
                    <w:t>混凝搅拌机</w:t>
                  </w:r>
                </w:p>
              </w:tc>
              <w:tc>
                <w:tcPr>
                  <w:tcW w:w="3441" w:type="dxa"/>
                  <w:tcBorders>
                    <w:tl2br w:val="nil"/>
                    <w:tr2bl w:val="nil"/>
                  </w:tcBorders>
                  <w:vAlign w:val="center"/>
                </w:tcPr>
                <w:p>
                  <w:pPr>
                    <w:spacing w:line="240" w:lineRule="auto"/>
                    <w:ind w:firstLine="0" w:firstLineChars="0"/>
                    <w:rPr>
                      <w:color w:val="auto"/>
                    </w:rPr>
                  </w:pPr>
                  <w:r>
                    <w:rPr>
                      <w:color w:val="auto"/>
                    </w:rPr>
                    <w:t>D=0.8m</w:t>
                  </w:r>
                  <w:r>
                    <w:rPr>
                      <w:rFonts w:hint="eastAsia"/>
                      <w:color w:val="auto"/>
                    </w:rPr>
                    <w:t>，</w:t>
                  </w:r>
                  <w:r>
                    <w:rPr>
                      <w:color w:val="auto"/>
                    </w:rPr>
                    <w:t>轴长=2.2m</w:t>
                  </w:r>
                  <w:r>
                    <w:rPr>
                      <w:rFonts w:hint="eastAsia"/>
                      <w:color w:val="auto"/>
                    </w:rPr>
                    <w:t>，</w:t>
                  </w:r>
                  <w:r>
                    <w:rPr>
                      <w:color w:val="auto"/>
                    </w:rPr>
                    <w:t>双层桨叶，转速N=60r/min，N=2.2</w:t>
                  </w:r>
                  <w:r>
                    <w:rPr>
                      <w:rFonts w:hint="eastAsia"/>
                      <w:color w:val="auto"/>
                    </w:rPr>
                    <w:t>kW</w:t>
                  </w:r>
                </w:p>
              </w:tc>
              <w:tc>
                <w:tcPr>
                  <w:tcW w:w="767" w:type="dxa"/>
                  <w:tcBorders>
                    <w:tl2br w:val="nil"/>
                    <w:tr2bl w:val="nil"/>
                  </w:tcBorders>
                  <w:vAlign w:val="center"/>
                </w:tcPr>
                <w:p>
                  <w:pPr>
                    <w:spacing w:line="240" w:lineRule="auto"/>
                    <w:ind w:firstLine="0" w:firstLineChars="0"/>
                    <w:rPr>
                      <w:color w:val="auto"/>
                    </w:rPr>
                  </w:pPr>
                  <w:r>
                    <w:rPr>
                      <w:color w:val="auto"/>
                    </w:rPr>
                    <w:t>1套</w:t>
                  </w:r>
                </w:p>
              </w:tc>
              <w:tc>
                <w:tcPr>
                  <w:tcW w:w="964" w:type="dxa"/>
                  <w:tcBorders>
                    <w:tl2br w:val="nil"/>
                    <w:tr2bl w:val="nil"/>
                  </w:tcBorders>
                  <w:vAlign w:val="center"/>
                </w:tcPr>
                <w:p>
                  <w:pPr>
                    <w:spacing w:line="240" w:lineRule="auto"/>
                    <w:ind w:firstLine="0" w:firstLineChars="0"/>
                    <w:rPr>
                      <w:color w:val="auto"/>
                    </w:rPr>
                  </w:pPr>
                  <w:r>
                    <w:rPr>
                      <w:color w:val="auto"/>
                    </w:rPr>
                    <w:t>轴桨不锈钢</w:t>
                  </w: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4</w:t>
                  </w:r>
                </w:p>
              </w:tc>
              <w:tc>
                <w:tcPr>
                  <w:tcW w:w="1624" w:type="dxa"/>
                  <w:tcBorders>
                    <w:tl2br w:val="nil"/>
                    <w:tr2bl w:val="nil"/>
                  </w:tcBorders>
                  <w:vAlign w:val="center"/>
                </w:tcPr>
                <w:p>
                  <w:pPr>
                    <w:spacing w:line="240" w:lineRule="auto"/>
                    <w:ind w:firstLine="0" w:firstLineChars="0"/>
                    <w:rPr>
                      <w:color w:val="auto"/>
                    </w:rPr>
                  </w:pPr>
                  <w:r>
                    <w:rPr>
                      <w:color w:val="auto"/>
                    </w:rPr>
                    <w:t>斜管填料</w:t>
                  </w:r>
                </w:p>
              </w:tc>
              <w:tc>
                <w:tcPr>
                  <w:tcW w:w="3441" w:type="dxa"/>
                  <w:tcBorders>
                    <w:tl2br w:val="nil"/>
                    <w:tr2bl w:val="nil"/>
                  </w:tcBorders>
                  <w:vAlign w:val="center"/>
                </w:tcPr>
                <w:p>
                  <w:pPr>
                    <w:spacing w:line="240" w:lineRule="auto"/>
                    <w:ind w:firstLine="0" w:firstLineChars="0"/>
                    <w:rPr>
                      <w:color w:val="auto"/>
                    </w:rPr>
                  </w:pPr>
                  <w:r>
                    <w:rPr>
                      <w:color w:val="auto"/>
                    </w:rPr>
                    <w:t>规格Ø50mm，L=1000mm，厚度0.5mm，安装角度60度</w:t>
                  </w:r>
                </w:p>
              </w:tc>
              <w:tc>
                <w:tcPr>
                  <w:tcW w:w="767" w:type="dxa"/>
                  <w:tcBorders>
                    <w:tl2br w:val="nil"/>
                    <w:tr2bl w:val="nil"/>
                  </w:tcBorders>
                  <w:vAlign w:val="center"/>
                </w:tcPr>
                <w:p>
                  <w:pPr>
                    <w:spacing w:line="240" w:lineRule="auto"/>
                    <w:ind w:firstLine="0" w:firstLineChars="0"/>
                    <w:rPr>
                      <w:color w:val="auto"/>
                    </w:rPr>
                  </w:pPr>
                  <w:r>
                    <w:rPr>
                      <w:color w:val="auto"/>
                    </w:rPr>
                    <w:t>36㎡</w:t>
                  </w:r>
                </w:p>
              </w:tc>
              <w:tc>
                <w:tcPr>
                  <w:tcW w:w="964" w:type="dxa"/>
                  <w:tcBorders>
                    <w:tl2br w:val="nil"/>
                    <w:tr2bl w:val="nil"/>
                  </w:tcBorders>
                  <w:vAlign w:val="center"/>
                </w:tcPr>
                <w:p>
                  <w:pPr>
                    <w:spacing w:line="240" w:lineRule="auto"/>
                    <w:ind w:firstLine="0" w:firstLineChars="0"/>
                    <w:rPr>
                      <w:color w:val="auto"/>
                    </w:rPr>
                  </w:pPr>
                  <w:r>
                    <w:rPr>
                      <w:color w:val="auto"/>
                    </w:rPr>
                    <w:t>乙丙共聚</w:t>
                  </w: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5</w:t>
                  </w:r>
                </w:p>
              </w:tc>
              <w:tc>
                <w:tcPr>
                  <w:tcW w:w="1624" w:type="dxa"/>
                  <w:tcBorders>
                    <w:tl2br w:val="nil"/>
                    <w:tr2bl w:val="nil"/>
                  </w:tcBorders>
                  <w:vAlign w:val="center"/>
                </w:tcPr>
                <w:p>
                  <w:pPr>
                    <w:spacing w:line="240" w:lineRule="auto"/>
                    <w:ind w:firstLine="0" w:firstLineChars="0"/>
                    <w:rPr>
                      <w:color w:val="auto"/>
                    </w:rPr>
                  </w:pPr>
                  <w:r>
                    <w:rPr>
                      <w:color w:val="auto"/>
                    </w:rPr>
                    <w:t>填料支架</w:t>
                  </w:r>
                </w:p>
              </w:tc>
              <w:tc>
                <w:tcPr>
                  <w:tcW w:w="3441" w:type="dxa"/>
                  <w:tcBorders>
                    <w:tl2br w:val="nil"/>
                    <w:tr2bl w:val="nil"/>
                  </w:tcBorders>
                  <w:vAlign w:val="center"/>
                </w:tcPr>
                <w:p>
                  <w:pPr>
                    <w:spacing w:line="240" w:lineRule="auto"/>
                    <w:ind w:firstLine="0" w:firstLineChars="0"/>
                    <w:rPr>
                      <w:color w:val="auto"/>
                    </w:rPr>
                  </w:pPr>
                  <w:r>
                    <w:rPr>
                      <w:color w:val="auto"/>
                    </w:rPr>
                    <w:t>型钢组合件</w:t>
                  </w:r>
                </w:p>
              </w:tc>
              <w:tc>
                <w:tcPr>
                  <w:tcW w:w="767" w:type="dxa"/>
                  <w:tcBorders>
                    <w:tl2br w:val="nil"/>
                    <w:tr2bl w:val="nil"/>
                  </w:tcBorders>
                  <w:vAlign w:val="center"/>
                </w:tcPr>
                <w:p>
                  <w:pPr>
                    <w:spacing w:line="240" w:lineRule="auto"/>
                    <w:ind w:firstLine="0" w:firstLineChars="0"/>
                    <w:rPr>
                      <w:color w:val="auto"/>
                    </w:rPr>
                  </w:pPr>
                  <w:r>
                    <w:rPr>
                      <w:color w:val="auto"/>
                    </w:rPr>
                    <w:t>1套</w:t>
                  </w:r>
                </w:p>
              </w:tc>
              <w:tc>
                <w:tcPr>
                  <w:tcW w:w="964" w:type="dxa"/>
                  <w:tcBorders>
                    <w:tl2br w:val="nil"/>
                    <w:tr2bl w:val="nil"/>
                  </w:tcBorders>
                  <w:vAlign w:val="center"/>
                </w:tcPr>
                <w:p>
                  <w:pPr>
                    <w:spacing w:line="240" w:lineRule="auto"/>
                    <w:ind w:firstLine="0" w:firstLineChars="0"/>
                    <w:rPr>
                      <w:color w:val="auto"/>
                    </w:rPr>
                  </w:pPr>
                  <w:r>
                    <w:rPr>
                      <w:color w:val="auto"/>
                    </w:rPr>
                    <w:t>碳钢防腐</w:t>
                  </w: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6</w:t>
                  </w:r>
                </w:p>
              </w:tc>
              <w:tc>
                <w:tcPr>
                  <w:tcW w:w="1624" w:type="dxa"/>
                  <w:tcBorders>
                    <w:tl2br w:val="nil"/>
                    <w:tr2bl w:val="nil"/>
                  </w:tcBorders>
                  <w:vAlign w:val="center"/>
                </w:tcPr>
                <w:p>
                  <w:pPr>
                    <w:spacing w:line="240" w:lineRule="auto"/>
                    <w:ind w:firstLine="0" w:firstLineChars="0"/>
                    <w:rPr>
                      <w:color w:val="auto"/>
                    </w:rPr>
                  </w:pPr>
                  <w:r>
                    <w:rPr>
                      <w:color w:val="auto"/>
                    </w:rPr>
                    <w:t>出水堰</w:t>
                  </w:r>
                </w:p>
              </w:tc>
              <w:tc>
                <w:tcPr>
                  <w:tcW w:w="3441" w:type="dxa"/>
                  <w:tcBorders>
                    <w:tl2br w:val="nil"/>
                    <w:tr2bl w:val="nil"/>
                  </w:tcBorders>
                  <w:vAlign w:val="center"/>
                </w:tcPr>
                <w:p>
                  <w:pPr>
                    <w:spacing w:line="240" w:lineRule="auto"/>
                    <w:ind w:firstLine="0" w:firstLineChars="0"/>
                    <w:rPr>
                      <w:color w:val="auto"/>
                    </w:rPr>
                  </w:pPr>
                  <w:r>
                    <w:rPr>
                      <w:color w:val="auto"/>
                    </w:rPr>
                    <w:t>尺寸3.0*0.30*0.30m</w:t>
                  </w:r>
                </w:p>
              </w:tc>
              <w:tc>
                <w:tcPr>
                  <w:tcW w:w="767" w:type="dxa"/>
                  <w:tcBorders>
                    <w:tl2br w:val="nil"/>
                    <w:tr2bl w:val="nil"/>
                  </w:tcBorders>
                  <w:vAlign w:val="center"/>
                </w:tcPr>
                <w:p>
                  <w:pPr>
                    <w:spacing w:line="240" w:lineRule="auto"/>
                    <w:ind w:firstLine="0" w:firstLineChars="0"/>
                    <w:rPr>
                      <w:color w:val="auto"/>
                    </w:rPr>
                  </w:pPr>
                  <w:r>
                    <w:rPr>
                      <w:color w:val="auto"/>
                    </w:rPr>
                    <w:t>1套</w:t>
                  </w:r>
                </w:p>
              </w:tc>
              <w:tc>
                <w:tcPr>
                  <w:tcW w:w="964" w:type="dxa"/>
                  <w:tcBorders>
                    <w:tl2br w:val="nil"/>
                    <w:tr2bl w:val="nil"/>
                  </w:tcBorders>
                  <w:vAlign w:val="center"/>
                </w:tcPr>
                <w:p>
                  <w:pPr>
                    <w:spacing w:line="240" w:lineRule="auto"/>
                    <w:ind w:firstLine="0" w:firstLineChars="0"/>
                    <w:rPr>
                      <w:color w:val="auto"/>
                    </w:rPr>
                  </w:pPr>
                  <w:r>
                    <w:rPr>
                      <w:color w:val="auto"/>
                    </w:rPr>
                    <w:t>碳钢防腐</w:t>
                  </w: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5" w:type="dxa"/>
                  <w:vMerge w:val="restart"/>
                  <w:tcBorders>
                    <w:tl2br w:val="nil"/>
                    <w:tr2bl w:val="nil"/>
                  </w:tcBorders>
                  <w:vAlign w:val="center"/>
                </w:tcPr>
                <w:p>
                  <w:pPr>
                    <w:spacing w:line="240" w:lineRule="auto"/>
                    <w:ind w:firstLine="0" w:firstLineChars="0"/>
                    <w:rPr>
                      <w:color w:val="auto"/>
                    </w:rPr>
                  </w:pPr>
                  <w:r>
                    <w:rPr>
                      <w:color w:val="auto"/>
                    </w:rPr>
                    <w:t>7</w:t>
                  </w:r>
                </w:p>
              </w:tc>
              <w:tc>
                <w:tcPr>
                  <w:tcW w:w="1624" w:type="dxa"/>
                  <w:vMerge w:val="restart"/>
                  <w:tcBorders>
                    <w:tl2br w:val="nil"/>
                    <w:tr2bl w:val="nil"/>
                  </w:tcBorders>
                  <w:vAlign w:val="center"/>
                </w:tcPr>
                <w:p>
                  <w:pPr>
                    <w:spacing w:line="240" w:lineRule="auto"/>
                    <w:ind w:firstLine="0" w:firstLineChars="0"/>
                    <w:jc w:val="center"/>
                    <w:rPr>
                      <w:color w:val="auto"/>
                    </w:rPr>
                  </w:pPr>
                  <w:r>
                    <w:rPr>
                      <w:color w:val="auto"/>
                    </w:rPr>
                    <w:t>加药装置（PAC、PAM）</w:t>
                  </w:r>
                </w:p>
              </w:tc>
              <w:tc>
                <w:tcPr>
                  <w:tcW w:w="3441" w:type="dxa"/>
                  <w:tcBorders>
                    <w:tl2br w:val="nil"/>
                    <w:tr2bl w:val="nil"/>
                  </w:tcBorders>
                  <w:vAlign w:val="center"/>
                </w:tcPr>
                <w:p>
                  <w:pPr>
                    <w:spacing w:line="240" w:lineRule="auto"/>
                    <w:ind w:firstLine="0" w:firstLineChars="0"/>
                    <w:rPr>
                      <w:color w:val="auto"/>
                    </w:rPr>
                  </w:pPr>
                  <w:r>
                    <w:rPr>
                      <w:color w:val="auto"/>
                    </w:rPr>
                    <w:t>ZYJY-2000L</w:t>
                  </w:r>
                </w:p>
              </w:tc>
              <w:tc>
                <w:tcPr>
                  <w:tcW w:w="767" w:type="dxa"/>
                  <w:vMerge w:val="restart"/>
                  <w:tcBorders>
                    <w:tl2br w:val="nil"/>
                    <w:tr2bl w:val="nil"/>
                  </w:tcBorders>
                  <w:vAlign w:val="center"/>
                </w:tcPr>
                <w:p>
                  <w:pPr>
                    <w:spacing w:line="240" w:lineRule="auto"/>
                    <w:ind w:firstLine="0" w:firstLineChars="0"/>
                    <w:rPr>
                      <w:color w:val="auto"/>
                    </w:rPr>
                  </w:pPr>
                  <w:r>
                    <w:rPr>
                      <w:color w:val="auto"/>
                    </w:rPr>
                    <w:t>2套</w:t>
                  </w:r>
                </w:p>
              </w:tc>
              <w:tc>
                <w:tcPr>
                  <w:tcW w:w="964" w:type="dxa"/>
                  <w:vMerge w:val="restart"/>
                  <w:tcBorders>
                    <w:tl2br w:val="nil"/>
                    <w:tr2bl w:val="nil"/>
                  </w:tcBorders>
                  <w:vAlign w:val="center"/>
                </w:tcPr>
                <w:p>
                  <w:pPr>
                    <w:spacing w:line="240" w:lineRule="auto"/>
                    <w:ind w:firstLine="0" w:firstLineChars="0"/>
                    <w:rPr>
                      <w:color w:val="auto"/>
                    </w:rPr>
                  </w:pPr>
                  <w:r>
                    <w:rPr>
                      <w:color w:val="auto"/>
                    </w:rPr>
                    <w:t>北京洁明</w:t>
                  </w:r>
                </w:p>
              </w:tc>
              <w:tc>
                <w:tcPr>
                  <w:tcW w:w="697" w:type="dxa"/>
                  <w:vMerge w:val="restart"/>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545" w:type="dxa"/>
                  <w:vMerge w:val="continue"/>
                  <w:tcBorders>
                    <w:tl2br w:val="nil"/>
                    <w:tr2bl w:val="nil"/>
                  </w:tcBorders>
                  <w:vAlign w:val="center"/>
                </w:tcPr>
                <w:p>
                  <w:pPr>
                    <w:spacing w:line="240" w:lineRule="auto"/>
                    <w:ind w:firstLine="0" w:firstLineChars="0"/>
                    <w:rPr>
                      <w:color w:val="auto"/>
                    </w:rPr>
                  </w:pPr>
                </w:p>
              </w:tc>
              <w:tc>
                <w:tcPr>
                  <w:tcW w:w="1624" w:type="dxa"/>
                  <w:vMerge w:val="continue"/>
                  <w:tcBorders>
                    <w:tl2br w:val="nil"/>
                    <w:tr2bl w:val="nil"/>
                  </w:tcBorders>
                  <w:vAlign w:val="center"/>
                </w:tcPr>
                <w:p>
                  <w:pPr>
                    <w:spacing w:line="240" w:lineRule="auto"/>
                    <w:ind w:firstLine="0" w:firstLineChars="0"/>
                    <w:rPr>
                      <w:color w:val="auto"/>
                    </w:rPr>
                  </w:pPr>
                </w:p>
              </w:tc>
              <w:tc>
                <w:tcPr>
                  <w:tcW w:w="3441" w:type="dxa"/>
                  <w:tcBorders>
                    <w:tl2br w:val="nil"/>
                    <w:tr2bl w:val="nil"/>
                  </w:tcBorders>
                  <w:vAlign w:val="center"/>
                </w:tcPr>
                <w:p>
                  <w:pPr>
                    <w:spacing w:line="240" w:lineRule="auto"/>
                    <w:ind w:firstLine="0" w:firstLineChars="0"/>
                    <w:rPr>
                      <w:color w:val="auto"/>
                    </w:rPr>
                  </w:pPr>
                  <w:r>
                    <w:rPr>
                      <w:color w:val="auto"/>
                    </w:rPr>
                    <w:t>加药箱：容积3000L，尺寸φ1500*1850mm，材质PE</w:t>
                  </w:r>
                </w:p>
              </w:tc>
              <w:tc>
                <w:tcPr>
                  <w:tcW w:w="767" w:type="dxa"/>
                  <w:vMerge w:val="continue"/>
                  <w:tcBorders>
                    <w:tl2br w:val="nil"/>
                    <w:tr2bl w:val="nil"/>
                  </w:tcBorders>
                  <w:vAlign w:val="center"/>
                </w:tcPr>
                <w:p>
                  <w:pPr>
                    <w:spacing w:line="240" w:lineRule="auto"/>
                    <w:ind w:firstLine="0" w:firstLineChars="0"/>
                    <w:rPr>
                      <w:color w:val="auto"/>
                    </w:rPr>
                  </w:pPr>
                </w:p>
              </w:tc>
              <w:tc>
                <w:tcPr>
                  <w:tcW w:w="964" w:type="dxa"/>
                  <w:vMerge w:val="continue"/>
                  <w:tcBorders>
                    <w:tl2br w:val="nil"/>
                    <w:tr2bl w:val="nil"/>
                  </w:tcBorders>
                  <w:vAlign w:val="center"/>
                </w:tcPr>
                <w:p>
                  <w:pPr>
                    <w:spacing w:line="240" w:lineRule="auto"/>
                    <w:ind w:firstLine="0" w:firstLineChars="0"/>
                    <w:rPr>
                      <w:color w:val="auto"/>
                    </w:rPr>
                  </w:pPr>
                </w:p>
              </w:tc>
              <w:tc>
                <w:tcPr>
                  <w:tcW w:w="697" w:type="dxa"/>
                  <w:vMerge w:val="continue"/>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5" w:type="dxa"/>
                  <w:vMerge w:val="continue"/>
                  <w:tcBorders>
                    <w:tl2br w:val="nil"/>
                    <w:tr2bl w:val="nil"/>
                  </w:tcBorders>
                  <w:vAlign w:val="center"/>
                </w:tcPr>
                <w:p>
                  <w:pPr>
                    <w:spacing w:line="240" w:lineRule="auto"/>
                    <w:ind w:firstLine="0" w:firstLineChars="0"/>
                    <w:rPr>
                      <w:color w:val="auto"/>
                    </w:rPr>
                  </w:pPr>
                </w:p>
              </w:tc>
              <w:tc>
                <w:tcPr>
                  <w:tcW w:w="1624" w:type="dxa"/>
                  <w:vMerge w:val="continue"/>
                  <w:tcBorders>
                    <w:tl2br w:val="nil"/>
                    <w:tr2bl w:val="nil"/>
                  </w:tcBorders>
                  <w:vAlign w:val="center"/>
                </w:tcPr>
                <w:p>
                  <w:pPr>
                    <w:spacing w:line="240" w:lineRule="auto"/>
                    <w:ind w:firstLine="0" w:firstLineChars="0"/>
                    <w:rPr>
                      <w:color w:val="auto"/>
                    </w:rPr>
                  </w:pPr>
                </w:p>
              </w:tc>
              <w:tc>
                <w:tcPr>
                  <w:tcW w:w="3441" w:type="dxa"/>
                  <w:tcBorders>
                    <w:tl2br w:val="nil"/>
                    <w:tr2bl w:val="nil"/>
                  </w:tcBorders>
                  <w:vAlign w:val="center"/>
                </w:tcPr>
                <w:p>
                  <w:pPr>
                    <w:spacing w:line="240" w:lineRule="auto"/>
                    <w:ind w:firstLine="0" w:firstLineChars="0"/>
                    <w:rPr>
                      <w:color w:val="auto"/>
                    </w:rPr>
                  </w:pPr>
                  <w:r>
                    <w:rPr>
                      <w:color w:val="auto"/>
                    </w:rPr>
                    <w:t>搅拌机：BLD-2.2</w:t>
                  </w:r>
                  <w:r>
                    <w:rPr>
                      <w:rFonts w:hint="eastAsia"/>
                      <w:color w:val="auto"/>
                    </w:rPr>
                    <w:t>kW</w:t>
                  </w:r>
                  <w:r>
                    <w:rPr>
                      <w:color w:val="auto"/>
                    </w:rPr>
                    <w:t>，三叶式，轴桨不锈钢</w:t>
                  </w:r>
                </w:p>
              </w:tc>
              <w:tc>
                <w:tcPr>
                  <w:tcW w:w="767" w:type="dxa"/>
                  <w:vMerge w:val="continue"/>
                  <w:tcBorders>
                    <w:tl2br w:val="nil"/>
                    <w:tr2bl w:val="nil"/>
                  </w:tcBorders>
                  <w:vAlign w:val="center"/>
                </w:tcPr>
                <w:p>
                  <w:pPr>
                    <w:spacing w:line="240" w:lineRule="auto"/>
                    <w:ind w:firstLine="0" w:firstLineChars="0"/>
                    <w:rPr>
                      <w:color w:val="auto"/>
                    </w:rPr>
                  </w:pPr>
                </w:p>
              </w:tc>
              <w:tc>
                <w:tcPr>
                  <w:tcW w:w="964" w:type="dxa"/>
                  <w:vMerge w:val="continue"/>
                  <w:tcBorders>
                    <w:tl2br w:val="nil"/>
                    <w:tr2bl w:val="nil"/>
                  </w:tcBorders>
                  <w:vAlign w:val="center"/>
                </w:tcPr>
                <w:p>
                  <w:pPr>
                    <w:spacing w:line="240" w:lineRule="auto"/>
                    <w:ind w:firstLine="0" w:firstLineChars="0"/>
                    <w:rPr>
                      <w:color w:val="auto"/>
                    </w:rPr>
                  </w:pPr>
                </w:p>
              </w:tc>
              <w:tc>
                <w:tcPr>
                  <w:tcW w:w="697" w:type="dxa"/>
                  <w:vMerge w:val="continue"/>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5" w:type="dxa"/>
                  <w:vMerge w:val="continue"/>
                  <w:tcBorders>
                    <w:tl2br w:val="nil"/>
                    <w:tr2bl w:val="nil"/>
                  </w:tcBorders>
                  <w:vAlign w:val="center"/>
                </w:tcPr>
                <w:p>
                  <w:pPr>
                    <w:spacing w:line="240" w:lineRule="auto"/>
                    <w:ind w:firstLine="0" w:firstLineChars="0"/>
                    <w:rPr>
                      <w:color w:val="auto"/>
                    </w:rPr>
                  </w:pPr>
                </w:p>
              </w:tc>
              <w:tc>
                <w:tcPr>
                  <w:tcW w:w="1624" w:type="dxa"/>
                  <w:vMerge w:val="continue"/>
                  <w:tcBorders>
                    <w:tl2br w:val="nil"/>
                    <w:tr2bl w:val="nil"/>
                  </w:tcBorders>
                  <w:vAlign w:val="center"/>
                </w:tcPr>
                <w:p>
                  <w:pPr>
                    <w:spacing w:line="240" w:lineRule="auto"/>
                    <w:ind w:firstLine="0" w:firstLineChars="0"/>
                    <w:rPr>
                      <w:color w:val="auto"/>
                    </w:rPr>
                  </w:pPr>
                </w:p>
              </w:tc>
              <w:tc>
                <w:tcPr>
                  <w:tcW w:w="3441" w:type="dxa"/>
                  <w:tcBorders>
                    <w:tl2br w:val="nil"/>
                    <w:tr2bl w:val="nil"/>
                  </w:tcBorders>
                  <w:vAlign w:val="center"/>
                </w:tcPr>
                <w:p>
                  <w:pPr>
                    <w:spacing w:line="240" w:lineRule="auto"/>
                    <w:ind w:firstLine="0" w:firstLineChars="0"/>
                    <w:rPr>
                      <w:color w:val="auto"/>
                    </w:rPr>
                  </w:pPr>
                  <w:r>
                    <w:rPr>
                      <w:color w:val="auto"/>
                    </w:rPr>
                    <w:t>计量泵：机械隔膜计量泵0-300L/h，泵头PVC</w:t>
                  </w:r>
                </w:p>
              </w:tc>
              <w:tc>
                <w:tcPr>
                  <w:tcW w:w="767" w:type="dxa"/>
                  <w:vMerge w:val="continue"/>
                  <w:tcBorders>
                    <w:tl2br w:val="nil"/>
                    <w:tr2bl w:val="nil"/>
                  </w:tcBorders>
                  <w:vAlign w:val="center"/>
                </w:tcPr>
                <w:p>
                  <w:pPr>
                    <w:spacing w:line="240" w:lineRule="auto"/>
                    <w:ind w:firstLine="0" w:firstLineChars="0"/>
                    <w:rPr>
                      <w:color w:val="auto"/>
                    </w:rPr>
                  </w:pPr>
                </w:p>
              </w:tc>
              <w:tc>
                <w:tcPr>
                  <w:tcW w:w="964" w:type="dxa"/>
                  <w:vMerge w:val="continue"/>
                  <w:tcBorders>
                    <w:tl2br w:val="nil"/>
                    <w:tr2bl w:val="nil"/>
                  </w:tcBorders>
                  <w:vAlign w:val="center"/>
                </w:tcPr>
                <w:p>
                  <w:pPr>
                    <w:spacing w:line="240" w:lineRule="auto"/>
                    <w:ind w:firstLine="0" w:firstLineChars="0"/>
                    <w:rPr>
                      <w:color w:val="auto"/>
                    </w:rPr>
                  </w:pPr>
                </w:p>
              </w:tc>
              <w:tc>
                <w:tcPr>
                  <w:tcW w:w="697" w:type="dxa"/>
                  <w:vMerge w:val="continue"/>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rFonts w:hint="eastAsia"/>
                      <w:color w:val="auto"/>
                    </w:rPr>
                    <w:t>8</w:t>
                  </w:r>
                </w:p>
              </w:tc>
              <w:tc>
                <w:tcPr>
                  <w:tcW w:w="1624" w:type="dxa"/>
                  <w:tcBorders>
                    <w:tl2br w:val="nil"/>
                    <w:tr2bl w:val="nil"/>
                  </w:tcBorders>
                  <w:vAlign w:val="center"/>
                </w:tcPr>
                <w:p>
                  <w:pPr>
                    <w:spacing w:line="240" w:lineRule="auto"/>
                    <w:ind w:firstLine="0" w:firstLineChars="0"/>
                    <w:rPr>
                      <w:color w:val="auto"/>
                    </w:rPr>
                  </w:pPr>
                  <w:r>
                    <w:rPr>
                      <w:color w:val="auto"/>
                    </w:rPr>
                    <w:t>超滤设备</w:t>
                  </w:r>
                </w:p>
              </w:tc>
              <w:tc>
                <w:tcPr>
                  <w:tcW w:w="3441" w:type="dxa"/>
                  <w:tcBorders>
                    <w:tl2br w:val="nil"/>
                    <w:tr2bl w:val="nil"/>
                  </w:tcBorders>
                  <w:vAlign w:val="center"/>
                </w:tcPr>
                <w:p>
                  <w:pPr>
                    <w:spacing w:line="240" w:lineRule="auto"/>
                    <w:ind w:firstLine="0" w:firstLineChars="0"/>
                    <w:rPr>
                      <w:color w:val="auto"/>
                    </w:rPr>
                  </w:pPr>
                  <w:r>
                    <w:rPr>
                      <w:color w:val="auto"/>
                    </w:rPr>
                    <w:t>AQU200-PVC-W</w:t>
                  </w:r>
                </w:p>
              </w:tc>
              <w:tc>
                <w:tcPr>
                  <w:tcW w:w="767" w:type="dxa"/>
                  <w:tcBorders>
                    <w:tl2br w:val="nil"/>
                    <w:tr2bl w:val="nil"/>
                  </w:tcBorders>
                  <w:vAlign w:val="center"/>
                </w:tcPr>
                <w:p>
                  <w:pPr>
                    <w:spacing w:line="240" w:lineRule="auto"/>
                    <w:ind w:firstLine="0" w:firstLineChars="0"/>
                    <w:jc w:val="center"/>
                    <w:rPr>
                      <w:color w:val="auto"/>
                    </w:rPr>
                  </w:pPr>
                  <w:r>
                    <w:rPr>
                      <w:color w:val="auto"/>
                    </w:rPr>
                    <w:t>1套</w:t>
                  </w:r>
                </w:p>
              </w:tc>
              <w:tc>
                <w:tcPr>
                  <w:tcW w:w="964" w:type="dxa"/>
                  <w:tcBorders>
                    <w:tl2br w:val="nil"/>
                    <w:tr2bl w:val="nil"/>
                  </w:tcBorders>
                  <w:vAlign w:val="center"/>
                </w:tcPr>
                <w:p>
                  <w:pPr>
                    <w:spacing w:line="240" w:lineRule="auto"/>
                    <w:ind w:firstLine="0" w:firstLineChars="0"/>
                    <w:rPr>
                      <w:color w:val="auto"/>
                    </w:rPr>
                  </w:pP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rFonts w:hint="eastAsia"/>
                      <w:color w:val="auto"/>
                    </w:rPr>
                    <w:t>9</w:t>
                  </w:r>
                </w:p>
              </w:tc>
              <w:tc>
                <w:tcPr>
                  <w:tcW w:w="1624" w:type="dxa"/>
                  <w:tcBorders>
                    <w:tl2br w:val="nil"/>
                    <w:tr2bl w:val="nil"/>
                  </w:tcBorders>
                  <w:vAlign w:val="center"/>
                </w:tcPr>
                <w:p>
                  <w:pPr>
                    <w:spacing w:line="240" w:lineRule="auto"/>
                    <w:ind w:firstLine="0" w:firstLineChars="0"/>
                    <w:rPr>
                      <w:color w:val="auto"/>
                    </w:rPr>
                  </w:pPr>
                  <w:r>
                    <w:rPr>
                      <w:color w:val="auto"/>
                    </w:rPr>
                    <w:t>多介质过滤-反渗透设备配置</w:t>
                  </w:r>
                </w:p>
              </w:tc>
              <w:tc>
                <w:tcPr>
                  <w:tcW w:w="3441" w:type="dxa"/>
                  <w:tcBorders>
                    <w:tl2br w:val="nil"/>
                    <w:tr2bl w:val="nil"/>
                  </w:tcBorders>
                  <w:vAlign w:val="center"/>
                </w:tcPr>
                <w:p>
                  <w:pPr>
                    <w:spacing w:line="240" w:lineRule="auto"/>
                    <w:ind w:firstLine="0" w:firstLineChars="0"/>
                    <w:jc w:val="center"/>
                    <w:rPr>
                      <w:color w:val="auto"/>
                    </w:rPr>
                  </w:pPr>
                  <w:r>
                    <w:rPr>
                      <w:color w:val="auto"/>
                    </w:rPr>
                    <w:t>BLT32-4</w:t>
                  </w:r>
                </w:p>
              </w:tc>
              <w:tc>
                <w:tcPr>
                  <w:tcW w:w="767" w:type="dxa"/>
                  <w:tcBorders>
                    <w:tl2br w:val="nil"/>
                    <w:tr2bl w:val="nil"/>
                  </w:tcBorders>
                  <w:vAlign w:val="center"/>
                </w:tcPr>
                <w:p>
                  <w:pPr>
                    <w:spacing w:line="240" w:lineRule="auto"/>
                    <w:ind w:firstLine="0" w:firstLineChars="0"/>
                    <w:jc w:val="center"/>
                    <w:rPr>
                      <w:color w:val="auto"/>
                    </w:rPr>
                  </w:pPr>
                  <w:r>
                    <w:rPr>
                      <w:color w:val="auto"/>
                    </w:rPr>
                    <w:t>2套</w:t>
                  </w:r>
                </w:p>
              </w:tc>
              <w:tc>
                <w:tcPr>
                  <w:tcW w:w="964" w:type="dxa"/>
                  <w:tcBorders>
                    <w:tl2br w:val="nil"/>
                    <w:tr2bl w:val="nil"/>
                  </w:tcBorders>
                  <w:vAlign w:val="center"/>
                </w:tcPr>
                <w:p>
                  <w:pPr>
                    <w:spacing w:line="240" w:lineRule="auto"/>
                    <w:ind w:firstLine="0" w:firstLineChars="0"/>
                    <w:rPr>
                      <w:color w:val="auto"/>
                    </w:rPr>
                  </w:pP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38" w:type="dxa"/>
                  <w:gridSpan w:val="6"/>
                  <w:tcBorders>
                    <w:tl2br w:val="nil"/>
                    <w:tr2bl w:val="nil"/>
                  </w:tcBorders>
                  <w:vAlign w:val="center"/>
                </w:tcPr>
                <w:p>
                  <w:pPr>
                    <w:spacing w:line="240" w:lineRule="auto"/>
                    <w:ind w:firstLine="0" w:firstLineChars="0"/>
                    <w:jc w:val="center"/>
                    <w:rPr>
                      <w:color w:val="auto"/>
                    </w:rPr>
                  </w:pPr>
                  <w:r>
                    <w:rPr>
                      <w:color w:val="auto"/>
                    </w:rPr>
                    <w:t>污泥脱水系统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1</w:t>
                  </w:r>
                </w:p>
              </w:tc>
              <w:tc>
                <w:tcPr>
                  <w:tcW w:w="1624" w:type="dxa"/>
                  <w:tcBorders>
                    <w:tl2br w:val="nil"/>
                    <w:tr2bl w:val="nil"/>
                  </w:tcBorders>
                  <w:vAlign w:val="center"/>
                </w:tcPr>
                <w:p>
                  <w:pPr>
                    <w:spacing w:line="240" w:lineRule="auto"/>
                    <w:ind w:firstLine="0" w:firstLineChars="0"/>
                    <w:rPr>
                      <w:color w:val="auto"/>
                    </w:rPr>
                  </w:pPr>
                  <w:r>
                    <w:rPr>
                      <w:color w:val="auto"/>
                    </w:rPr>
                    <w:t>煤泥调理池搅拌机</w:t>
                  </w:r>
                </w:p>
              </w:tc>
              <w:tc>
                <w:tcPr>
                  <w:tcW w:w="3441" w:type="dxa"/>
                  <w:tcBorders>
                    <w:tl2br w:val="nil"/>
                    <w:tr2bl w:val="nil"/>
                  </w:tcBorders>
                  <w:vAlign w:val="center"/>
                </w:tcPr>
                <w:p>
                  <w:pPr>
                    <w:spacing w:line="240" w:lineRule="auto"/>
                    <w:ind w:firstLine="0" w:firstLineChars="0"/>
                    <w:rPr>
                      <w:color w:val="auto"/>
                    </w:rPr>
                  </w:pPr>
                  <w:r>
                    <w:rPr>
                      <w:color w:val="auto"/>
                    </w:rPr>
                    <w:t>框式搅拌机</w:t>
                  </w:r>
                </w:p>
              </w:tc>
              <w:tc>
                <w:tcPr>
                  <w:tcW w:w="767" w:type="dxa"/>
                  <w:tcBorders>
                    <w:tl2br w:val="nil"/>
                    <w:tr2bl w:val="nil"/>
                  </w:tcBorders>
                  <w:vAlign w:val="center"/>
                </w:tcPr>
                <w:p>
                  <w:pPr>
                    <w:spacing w:line="240" w:lineRule="auto"/>
                    <w:ind w:firstLine="0" w:firstLineChars="0"/>
                    <w:rPr>
                      <w:color w:val="auto"/>
                    </w:rPr>
                  </w:pPr>
                  <w:r>
                    <w:rPr>
                      <w:color w:val="auto"/>
                    </w:rPr>
                    <w:t>1台</w:t>
                  </w:r>
                </w:p>
              </w:tc>
              <w:tc>
                <w:tcPr>
                  <w:tcW w:w="964" w:type="dxa"/>
                  <w:tcBorders>
                    <w:tl2br w:val="nil"/>
                    <w:tr2bl w:val="nil"/>
                  </w:tcBorders>
                  <w:vAlign w:val="center"/>
                </w:tcPr>
                <w:p>
                  <w:pPr>
                    <w:spacing w:line="240" w:lineRule="auto"/>
                    <w:ind w:firstLine="0" w:firstLineChars="0"/>
                    <w:rPr>
                      <w:color w:val="auto"/>
                    </w:rPr>
                  </w:pP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2</w:t>
                  </w:r>
                </w:p>
              </w:tc>
              <w:tc>
                <w:tcPr>
                  <w:tcW w:w="1624" w:type="dxa"/>
                  <w:tcBorders>
                    <w:tl2br w:val="nil"/>
                    <w:tr2bl w:val="nil"/>
                  </w:tcBorders>
                  <w:vAlign w:val="center"/>
                </w:tcPr>
                <w:p>
                  <w:pPr>
                    <w:spacing w:line="240" w:lineRule="auto"/>
                    <w:ind w:firstLine="0" w:firstLineChars="0"/>
                    <w:rPr>
                      <w:color w:val="auto"/>
                    </w:rPr>
                  </w:pPr>
                  <w:r>
                    <w:rPr>
                      <w:color w:val="auto"/>
                    </w:rPr>
                    <w:t>煤泥进料泵</w:t>
                  </w:r>
                </w:p>
              </w:tc>
              <w:tc>
                <w:tcPr>
                  <w:tcW w:w="3441" w:type="dxa"/>
                  <w:tcBorders>
                    <w:tl2br w:val="nil"/>
                    <w:tr2bl w:val="nil"/>
                  </w:tcBorders>
                  <w:vAlign w:val="center"/>
                </w:tcPr>
                <w:p>
                  <w:pPr>
                    <w:spacing w:line="240" w:lineRule="auto"/>
                    <w:ind w:firstLine="0" w:firstLineChars="0"/>
                    <w:rPr>
                      <w:color w:val="auto"/>
                    </w:rPr>
                  </w:pPr>
                  <w:r>
                    <w:rPr>
                      <w:color w:val="auto"/>
                    </w:rPr>
                    <w:t>Q=15m³/h，H=70m</w:t>
                  </w:r>
                </w:p>
              </w:tc>
              <w:tc>
                <w:tcPr>
                  <w:tcW w:w="767" w:type="dxa"/>
                  <w:tcBorders>
                    <w:tl2br w:val="nil"/>
                    <w:tr2bl w:val="nil"/>
                  </w:tcBorders>
                  <w:vAlign w:val="center"/>
                </w:tcPr>
                <w:p>
                  <w:pPr>
                    <w:spacing w:line="240" w:lineRule="auto"/>
                    <w:ind w:firstLine="0" w:firstLineChars="0"/>
                    <w:rPr>
                      <w:color w:val="auto"/>
                    </w:rPr>
                  </w:pPr>
                  <w:r>
                    <w:rPr>
                      <w:color w:val="auto"/>
                    </w:rPr>
                    <w:t>2台</w:t>
                  </w:r>
                </w:p>
              </w:tc>
              <w:tc>
                <w:tcPr>
                  <w:tcW w:w="964" w:type="dxa"/>
                  <w:tcBorders>
                    <w:tl2br w:val="nil"/>
                    <w:tr2bl w:val="nil"/>
                  </w:tcBorders>
                  <w:vAlign w:val="center"/>
                </w:tcPr>
                <w:p>
                  <w:pPr>
                    <w:spacing w:line="240" w:lineRule="auto"/>
                    <w:ind w:firstLine="0" w:firstLineChars="0"/>
                    <w:rPr>
                      <w:color w:val="auto"/>
                    </w:rPr>
                  </w:pP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3</w:t>
                  </w:r>
                </w:p>
              </w:tc>
              <w:tc>
                <w:tcPr>
                  <w:tcW w:w="1624" w:type="dxa"/>
                  <w:tcBorders>
                    <w:tl2br w:val="nil"/>
                    <w:tr2bl w:val="nil"/>
                  </w:tcBorders>
                  <w:vAlign w:val="center"/>
                </w:tcPr>
                <w:p>
                  <w:pPr>
                    <w:spacing w:line="240" w:lineRule="auto"/>
                    <w:ind w:firstLine="0" w:firstLineChars="0"/>
                    <w:rPr>
                      <w:color w:val="auto"/>
                    </w:rPr>
                  </w:pPr>
                  <w:r>
                    <w:rPr>
                      <w:color w:val="auto"/>
                    </w:rPr>
                    <w:t>板框压滤机</w:t>
                  </w:r>
                </w:p>
              </w:tc>
              <w:tc>
                <w:tcPr>
                  <w:tcW w:w="3441" w:type="dxa"/>
                  <w:tcBorders>
                    <w:tl2br w:val="nil"/>
                    <w:tr2bl w:val="nil"/>
                  </w:tcBorders>
                  <w:vAlign w:val="center"/>
                </w:tcPr>
                <w:p>
                  <w:pPr>
                    <w:spacing w:line="240" w:lineRule="auto"/>
                    <w:ind w:firstLine="0" w:firstLineChars="0"/>
                    <w:rPr>
                      <w:color w:val="auto"/>
                    </w:rPr>
                  </w:pPr>
                  <w:r>
                    <w:rPr>
                      <w:color w:val="auto"/>
                    </w:rPr>
                    <w:t>成套设备，过滤面积50㎡，含皮带输送机</w:t>
                  </w:r>
                </w:p>
              </w:tc>
              <w:tc>
                <w:tcPr>
                  <w:tcW w:w="767" w:type="dxa"/>
                  <w:tcBorders>
                    <w:tl2br w:val="nil"/>
                    <w:tr2bl w:val="nil"/>
                  </w:tcBorders>
                  <w:vAlign w:val="center"/>
                </w:tcPr>
                <w:p>
                  <w:pPr>
                    <w:spacing w:line="240" w:lineRule="auto"/>
                    <w:ind w:firstLine="0" w:firstLineChars="0"/>
                    <w:rPr>
                      <w:color w:val="auto"/>
                    </w:rPr>
                  </w:pPr>
                  <w:r>
                    <w:rPr>
                      <w:color w:val="auto"/>
                    </w:rPr>
                    <w:t>1台</w:t>
                  </w:r>
                </w:p>
              </w:tc>
              <w:tc>
                <w:tcPr>
                  <w:tcW w:w="964" w:type="dxa"/>
                  <w:tcBorders>
                    <w:tl2br w:val="nil"/>
                    <w:tr2bl w:val="nil"/>
                  </w:tcBorders>
                  <w:vAlign w:val="center"/>
                </w:tcPr>
                <w:p>
                  <w:pPr>
                    <w:spacing w:line="240" w:lineRule="auto"/>
                    <w:ind w:firstLine="0" w:firstLineChars="0"/>
                    <w:rPr>
                      <w:color w:val="auto"/>
                    </w:rPr>
                  </w:pPr>
                </w:p>
              </w:tc>
              <w:tc>
                <w:tcPr>
                  <w:tcW w:w="697" w:type="dxa"/>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5" w:type="dxa"/>
                  <w:tcBorders>
                    <w:tl2br w:val="nil"/>
                    <w:tr2bl w:val="nil"/>
                  </w:tcBorders>
                  <w:vAlign w:val="center"/>
                </w:tcPr>
                <w:p>
                  <w:pPr>
                    <w:spacing w:line="240" w:lineRule="auto"/>
                    <w:ind w:firstLine="0" w:firstLineChars="0"/>
                    <w:rPr>
                      <w:color w:val="auto"/>
                    </w:rPr>
                  </w:pPr>
                  <w:r>
                    <w:rPr>
                      <w:color w:val="auto"/>
                    </w:rPr>
                    <w:t>4</w:t>
                  </w:r>
                </w:p>
              </w:tc>
              <w:tc>
                <w:tcPr>
                  <w:tcW w:w="1624" w:type="dxa"/>
                  <w:tcBorders>
                    <w:tl2br w:val="nil"/>
                    <w:tr2bl w:val="nil"/>
                  </w:tcBorders>
                  <w:vAlign w:val="center"/>
                </w:tcPr>
                <w:p>
                  <w:pPr>
                    <w:spacing w:line="240" w:lineRule="auto"/>
                    <w:ind w:firstLine="0" w:firstLineChars="0"/>
                    <w:rPr>
                      <w:color w:val="auto"/>
                    </w:rPr>
                  </w:pPr>
                  <w:r>
                    <w:rPr>
                      <w:color w:val="auto"/>
                    </w:rPr>
                    <w:t>脱水清液泵</w:t>
                  </w:r>
                </w:p>
              </w:tc>
              <w:tc>
                <w:tcPr>
                  <w:tcW w:w="3441" w:type="dxa"/>
                  <w:tcBorders>
                    <w:tl2br w:val="nil"/>
                    <w:tr2bl w:val="nil"/>
                  </w:tcBorders>
                  <w:vAlign w:val="center"/>
                </w:tcPr>
                <w:p>
                  <w:pPr>
                    <w:spacing w:line="240" w:lineRule="auto"/>
                    <w:ind w:firstLine="0" w:firstLineChars="0"/>
                    <w:rPr>
                      <w:color w:val="auto"/>
                    </w:rPr>
                  </w:pPr>
                  <w:r>
                    <w:rPr>
                      <w:color w:val="auto"/>
                    </w:rPr>
                    <w:t>Q=10m³/h</w:t>
                  </w:r>
                </w:p>
              </w:tc>
              <w:tc>
                <w:tcPr>
                  <w:tcW w:w="767" w:type="dxa"/>
                  <w:tcBorders>
                    <w:tl2br w:val="nil"/>
                    <w:tr2bl w:val="nil"/>
                  </w:tcBorders>
                  <w:vAlign w:val="center"/>
                </w:tcPr>
                <w:p>
                  <w:pPr>
                    <w:spacing w:line="240" w:lineRule="auto"/>
                    <w:ind w:firstLine="0" w:firstLineChars="0"/>
                    <w:rPr>
                      <w:color w:val="auto"/>
                    </w:rPr>
                  </w:pPr>
                  <w:r>
                    <w:rPr>
                      <w:color w:val="auto"/>
                    </w:rPr>
                    <w:t>2台</w:t>
                  </w:r>
                </w:p>
              </w:tc>
              <w:tc>
                <w:tcPr>
                  <w:tcW w:w="964" w:type="dxa"/>
                  <w:tcBorders>
                    <w:tl2br w:val="nil"/>
                    <w:tr2bl w:val="nil"/>
                  </w:tcBorders>
                  <w:vAlign w:val="center"/>
                </w:tcPr>
                <w:p>
                  <w:pPr>
                    <w:spacing w:line="240" w:lineRule="auto"/>
                    <w:ind w:firstLine="0" w:firstLineChars="0"/>
                    <w:rPr>
                      <w:color w:val="auto"/>
                    </w:rPr>
                  </w:pPr>
                </w:p>
              </w:tc>
              <w:tc>
                <w:tcPr>
                  <w:tcW w:w="697" w:type="dxa"/>
                  <w:tcBorders>
                    <w:tl2br w:val="nil"/>
                    <w:tr2bl w:val="nil"/>
                  </w:tcBorders>
                  <w:vAlign w:val="center"/>
                </w:tcPr>
                <w:p>
                  <w:pPr>
                    <w:spacing w:line="240" w:lineRule="auto"/>
                    <w:ind w:firstLine="0" w:firstLineChars="0"/>
                    <w:rPr>
                      <w:color w:val="auto"/>
                    </w:rPr>
                  </w:pPr>
                </w:p>
              </w:tc>
            </w:tr>
          </w:tbl>
          <w:p>
            <w:pPr>
              <w:ind w:firstLine="482"/>
              <w:rPr>
                <w:b/>
                <w:bCs/>
                <w:color w:val="auto"/>
              </w:rPr>
            </w:pPr>
            <w:r>
              <w:rPr>
                <w:rFonts w:hint="eastAsia"/>
                <w:b/>
                <w:bCs/>
                <w:color w:val="auto"/>
                <w:lang w:eastAsia="zh-CN"/>
              </w:rPr>
              <w:t>4.</w:t>
            </w:r>
            <w:r>
              <w:rPr>
                <w:b/>
                <w:bCs/>
                <w:color w:val="auto"/>
              </w:rPr>
              <w:t>产品方案</w:t>
            </w:r>
          </w:p>
          <w:p>
            <w:pPr>
              <w:ind w:firstLine="480"/>
              <w:rPr>
                <w:color w:val="auto"/>
              </w:rPr>
            </w:pPr>
            <w:r>
              <w:rPr>
                <w:color w:val="auto"/>
              </w:rPr>
              <w:t>本项目成品方案见表2-</w:t>
            </w:r>
            <w:r>
              <w:rPr>
                <w:rFonts w:hint="eastAsia"/>
                <w:color w:val="auto"/>
              </w:rPr>
              <w:t>6</w:t>
            </w:r>
            <w:r>
              <w:rPr>
                <w:color w:val="auto"/>
              </w:rPr>
              <w:t>。</w:t>
            </w:r>
          </w:p>
          <w:p>
            <w:pPr>
              <w:ind w:firstLine="0" w:firstLineChars="0"/>
              <w:jc w:val="center"/>
              <w:rPr>
                <w:b/>
                <w:bCs/>
                <w:color w:val="auto"/>
              </w:rPr>
            </w:pPr>
            <w:r>
              <w:rPr>
                <w:b/>
                <w:bCs/>
                <w:color w:val="auto"/>
              </w:rPr>
              <w:t>表2-</w:t>
            </w:r>
            <w:r>
              <w:rPr>
                <w:rFonts w:hint="eastAsia"/>
                <w:b/>
                <w:bCs/>
                <w:color w:val="auto"/>
              </w:rPr>
              <w:t>6</w:t>
            </w:r>
            <w:r>
              <w:rPr>
                <w:b/>
                <w:bCs/>
                <w:color w:val="auto"/>
              </w:rPr>
              <w:t>成品方案一览表</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4"/>
              <w:gridCol w:w="2086"/>
              <w:gridCol w:w="1627"/>
              <w:gridCol w:w="1761"/>
              <w:gridCol w:w="1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84" w:type="dxa"/>
                  <w:vAlign w:val="center"/>
                </w:tcPr>
                <w:p>
                  <w:pPr>
                    <w:spacing w:line="240" w:lineRule="auto"/>
                    <w:ind w:firstLine="0" w:firstLineChars="0"/>
                    <w:jc w:val="center"/>
                    <w:rPr>
                      <w:color w:val="auto"/>
                    </w:rPr>
                  </w:pPr>
                  <w:r>
                    <w:rPr>
                      <w:color w:val="auto"/>
                    </w:rPr>
                    <w:t>序号</w:t>
                  </w:r>
                </w:p>
              </w:tc>
              <w:tc>
                <w:tcPr>
                  <w:tcW w:w="3713" w:type="dxa"/>
                  <w:gridSpan w:val="2"/>
                  <w:vAlign w:val="center"/>
                </w:tcPr>
                <w:p>
                  <w:pPr>
                    <w:spacing w:line="240" w:lineRule="auto"/>
                    <w:ind w:firstLine="0" w:firstLineChars="0"/>
                    <w:jc w:val="center"/>
                    <w:rPr>
                      <w:color w:val="auto"/>
                    </w:rPr>
                  </w:pPr>
                  <w:r>
                    <w:rPr>
                      <w:color w:val="auto"/>
                    </w:rPr>
                    <w:t>原料（万t/a）</w:t>
                  </w:r>
                </w:p>
              </w:tc>
              <w:tc>
                <w:tcPr>
                  <w:tcW w:w="3341" w:type="dxa"/>
                  <w:gridSpan w:val="2"/>
                  <w:vAlign w:val="center"/>
                </w:tcPr>
                <w:p>
                  <w:pPr>
                    <w:spacing w:line="240" w:lineRule="auto"/>
                    <w:ind w:firstLine="0" w:firstLineChars="0"/>
                    <w:jc w:val="center"/>
                    <w:rPr>
                      <w:color w:val="auto"/>
                    </w:rPr>
                  </w:pPr>
                  <w:r>
                    <w:rPr>
                      <w:color w:val="auto"/>
                    </w:rPr>
                    <w:t>成品（万t/a）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784" w:type="dxa"/>
                  <w:vAlign w:val="center"/>
                </w:tcPr>
                <w:p>
                  <w:pPr>
                    <w:spacing w:line="240" w:lineRule="auto"/>
                    <w:ind w:firstLine="0" w:firstLineChars="0"/>
                    <w:jc w:val="center"/>
                    <w:rPr>
                      <w:color w:val="auto"/>
                    </w:rPr>
                  </w:pPr>
                  <w:r>
                    <w:rPr>
                      <w:color w:val="auto"/>
                    </w:rPr>
                    <w:t>1</w:t>
                  </w:r>
                </w:p>
              </w:tc>
              <w:tc>
                <w:tcPr>
                  <w:tcW w:w="2086" w:type="dxa"/>
                  <w:vAlign w:val="center"/>
                </w:tcPr>
                <w:p>
                  <w:pPr>
                    <w:spacing w:line="240" w:lineRule="auto"/>
                    <w:ind w:firstLine="0" w:firstLineChars="0"/>
                    <w:jc w:val="center"/>
                    <w:rPr>
                      <w:color w:val="auto"/>
                    </w:rPr>
                  </w:pPr>
                  <w:r>
                    <w:rPr>
                      <w:color w:val="auto"/>
                    </w:rPr>
                    <w:t>原煤</w:t>
                  </w:r>
                  <w:r>
                    <w:rPr>
                      <w:rFonts w:hint="eastAsia"/>
                      <w:color w:val="auto"/>
                    </w:rPr>
                    <w:t>（中煤掺混煤泥比为6:1）</w:t>
                  </w:r>
                </w:p>
              </w:tc>
              <w:tc>
                <w:tcPr>
                  <w:tcW w:w="1627" w:type="dxa"/>
                  <w:vAlign w:val="center"/>
                </w:tcPr>
                <w:p>
                  <w:pPr>
                    <w:spacing w:line="240" w:lineRule="auto"/>
                    <w:ind w:firstLine="0" w:firstLineChars="0"/>
                    <w:jc w:val="center"/>
                    <w:rPr>
                      <w:color w:val="auto"/>
                    </w:rPr>
                  </w:pPr>
                  <w:r>
                    <w:rPr>
                      <w:color w:val="auto"/>
                    </w:rPr>
                    <w:t>50（</w:t>
                  </w:r>
                  <w:r>
                    <w:rPr>
                      <w:rFonts w:hint="eastAsia"/>
                      <w:color w:val="auto"/>
                    </w:rPr>
                    <w:t>含水率：17.14</w:t>
                  </w:r>
                  <w:r>
                    <w:rPr>
                      <w:color w:val="auto"/>
                    </w:rPr>
                    <w:t>%）</w:t>
                  </w:r>
                  <w:r>
                    <w:rPr>
                      <w:color w:val="auto"/>
                    </w:rPr>
                    <w:commentReference w:id="19"/>
                  </w:r>
                </w:p>
              </w:tc>
              <w:tc>
                <w:tcPr>
                  <w:tcW w:w="1761" w:type="dxa"/>
                  <w:vAlign w:val="center"/>
                </w:tcPr>
                <w:p>
                  <w:pPr>
                    <w:spacing w:line="240" w:lineRule="auto"/>
                    <w:ind w:firstLine="0" w:firstLineChars="0"/>
                    <w:jc w:val="center"/>
                    <w:rPr>
                      <w:color w:val="auto"/>
                    </w:rPr>
                  </w:pPr>
                  <w:r>
                    <w:rPr>
                      <w:color w:val="auto"/>
                    </w:rPr>
                    <w:t>烘干</w:t>
                  </w:r>
                  <w:r>
                    <w:rPr>
                      <w:rFonts w:hint="eastAsia"/>
                      <w:color w:val="auto"/>
                    </w:rPr>
                    <w:t>产品煤</w:t>
                  </w:r>
                </w:p>
              </w:tc>
              <w:tc>
                <w:tcPr>
                  <w:tcW w:w="1580" w:type="dxa"/>
                  <w:vAlign w:val="center"/>
                </w:tcPr>
                <w:p>
                  <w:pPr>
                    <w:spacing w:line="240" w:lineRule="auto"/>
                    <w:ind w:firstLine="0" w:firstLineChars="0"/>
                    <w:jc w:val="center"/>
                    <w:rPr>
                      <w:color w:val="auto"/>
                    </w:rPr>
                  </w:pPr>
                  <w:r>
                    <w:rPr>
                      <w:rFonts w:hint="eastAsia"/>
                      <w:color w:val="auto"/>
                    </w:rPr>
                    <w:t>44.07</w:t>
                  </w:r>
                  <w:r>
                    <w:rPr>
                      <w:color w:val="auto"/>
                    </w:rPr>
                    <w:t>（</w:t>
                  </w:r>
                  <w:r>
                    <w:rPr>
                      <w:rFonts w:hint="eastAsia"/>
                      <w:color w:val="auto"/>
                    </w:rPr>
                    <w:t>含水率</w:t>
                  </w:r>
                  <w:r>
                    <w:rPr>
                      <w:color w:val="auto"/>
                    </w:rPr>
                    <w:t>6%）</w:t>
                  </w:r>
                </w:p>
              </w:tc>
            </w:tr>
          </w:tbl>
          <w:p>
            <w:pPr>
              <w:ind w:firstLine="482"/>
              <w:rPr>
                <w:color w:val="auto"/>
              </w:rPr>
            </w:pPr>
            <w:r>
              <w:rPr>
                <w:b/>
                <w:bCs/>
                <w:color w:val="auto"/>
              </w:rPr>
              <w:t>烘干使用的燃料用量：</w:t>
            </w:r>
            <w:r>
              <w:rPr>
                <w:color w:val="auto"/>
              </w:rPr>
              <w:t>本项目使用1台天然气蒸汽锅炉（热效率为95%），</w:t>
            </w:r>
          </w:p>
          <w:p>
            <w:pPr>
              <w:ind w:firstLine="480"/>
              <w:rPr>
                <w:color w:val="auto"/>
              </w:rPr>
            </w:pPr>
            <w:r>
              <w:rPr>
                <w:rFonts w:hint="eastAsia"/>
                <w:color w:val="auto"/>
              </w:rPr>
              <w:t>本项目使用的原料为掺混煤，鑫源选煤厂的中煤与煤泥混合，混合比为6:1，根据建设单位提供资料，鑫源选煤厂的中煤含水率约为15%，煤泥含水率约为30%，则掺混后原料的含水率经计算得1/7×30%+6/7×15%=17.14%。则烘干原料含水率以17.14%计，本项目拟建设1</w:t>
            </w:r>
            <w:r>
              <w:rPr>
                <w:rFonts w:hint="eastAsia"/>
                <w:color w:val="auto"/>
                <w:lang w:eastAsia="zh-CN"/>
              </w:rPr>
              <w:t>座</w:t>
            </w:r>
            <w:r>
              <w:rPr>
                <w:rFonts w:hint="eastAsia"/>
                <w:color w:val="auto"/>
              </w:rPr>
              <w:t>50万吨烘干规模的蒸压反应釜，进行原料煤的烘干，则本项目的烘干规模以50万t/a计。根据设备厂家提供资料，本项目烘干后产品的含水率为6%左右，本项目以6%计算。</w:t>
            </w:r>
            <w:r>
              <w:rPr>
                <w:color w:val="auto"/>
              </w:rPr>
              <w:t>则烘干成品量为50万t/a×（1-</w:t>
            </w:r>
            <w:r>
              <w:rPr>
                <w:rFonts w:hint="eastAsia"/>
                <w:color w:val="auto"/>
              </w:rPr>
              <w:t>17.14</w:t>
            </w:r>
            <w:r>
              <w:rPr>
                <w:color w:val="auto"/>
              </w:rPr>
              <w:t>%）÷（1-6%）=</w:t>
            </w:r>
            <w:r>
              <w:rPr>
                <w:rFonts w:hint="eastAsia"/>
                <w:color w:val="auto"/>
              </w:rPr>
              <w:t>44.07</w:t>
            </w:r>
            <w:r>
              <w:rPr>
                <w:color w:val="auto"/>
              </w:rPr>
              <w:t>万t/a；</w:t>
            </w:r>
            <w:r>
              <w:rPr>
                <w:rFonts w:hint="eastAsia"/>
                <w:color w:val="auto"/>
              </w:rPr>
              <w:t>根据下文计算，烘干过程起尘量为250.46t/a。</w:t>
            </w:r>
          </w:p>
          <w:p>
            <w:pPr>
              <w:ind w:firstLine="480"/>
              <w:rPr>
                <w:color w:val="auto"/>
              </w:rPr>
            </w:pPr>
            <w:r>
              <w:rPr>
                <w:rFonts w:hint="eastAsia"/>
                <w:color w:val="auto"/>
              </w:rPr>
              <w:t>根据物料平衡计算，则本项目烘干的水分量为：原煤中的含水量+锅炉蒸汽量-产品中的含水量-起尘量=500000t/a×0.1714+18t/h×7920h-440700×6%-244.15t/a=201573.85t/a。</w:t>
            </w:r>
          </w:p>
          <w:p>
            <w:pPr>
              <w:ind w:firstLine="480"/>
              <w:rPr>
                <w:b/>
                <w:bCs/>
                <w:color w:val="auto"/>
              </w:rPr>
            </w:pPr>
            <w:r>
              <w:rPr>
                <w:color w:val="auto"/>
              </w:rPr>
              <w:t>查阅相关资料可知烘干1kg水需要的吸热量为2</w:t>
            </w:r>
            <w:r>
              <w:rPr>
                <w:rFonts w:hint="eastAsia"/>
                <w:color w:val="auto"/>
              </w:rPr>
              <w:t>6</w:t>
            </w:r>
            <w:r>
              <w:rPr>
                <w:color w:val="auto"/>
              </w:rPr>
              <w:t>00kJ，烘干201573.85</w:t>
            </w:r>
            <w:r>
              <w:rPr>
                <w:rFonts w:hint="eastAsia"/>
                <w:color w:val="auto"/>
              </w:rPr>
              <w:t>吨</w:t>
            </w:r>
            <w:r>
              <w:rPr>
                <w:color w:val="auto"/>
              </w:rPr>
              <w:t>水总共需要的热量为201573.85×2</w:t>
            </w:r>
            <w:r>
              <w:rPr>
                <w:rFonts w:hint="eastAsia"/>
                <w:color w:val="auto"/>
              </w:rPr>
              <w:t>6</w:t>
            </w:r>
            <w:r>
              <w:rPr>
                <w:color w:val="auto"/>
              </w:rPr>
              <w:t>00×10</w:t>
            </w:r>
            <w:r>
              <w:rPr>
                <w:color w:val="auto"/>
                <w:vertAlign w:val="superscript"/>
              </w:rPr>
              <w:t>3</w:t>
            </w:r>
            <w:r>
              <w:rPr>
                <w:rFonts w:hint="eastAsia"/>
                <w:color w:val="auto"/>
              </w:rPr>
              <w:t>=524092010000</w:t>
            </w:r>
            <w:r>
              <w:rPr>
                <w:color w:val="auto"/>
              </w:rPr>
              <w:t>kJ。天然气的低位发热量为</w:t>
            </w:r>
            <w:r>
              <w:rPr>
                <w:rFonts w:hint="eastAsia"/>
                <w:color w:val="auto"/>
              </w:rPr>
              <w:t>31.4</w:t>
            </w:r>
            <w:r>
              <w:rPr>
                <w:color w:val="auto"/>
              </w:rPr>
              <w:t>MJ/m³，天然气相对密度为0.72kg/m³，天然气能量为4361</w:t>
            </w:r>
            <w:r>
              <w:rPr>
                <w:rFonts w:hint="eastAsia"/>
                <w:color w:val="auto"/>
              </w:rPr>
              <w:t>0</w:t>
            </w:r>
            <w:r>
              <w:rPr>
                <w:color w:val="auto"/>
              </w:rPr>
              <w:t>kJ/kg，则所需要的天然气消耗量为（201573.85×2</w:t>
            </w:r>
            <w:r>
              <w:rPr>
                <w:rFonts w:hint="eastAsia"/>
                <w:color w:val="auto"/>
              </w:rPr>
              <w:t>6</w:t>
            </w:r>
            <w:r>
              <w:rPr>
                <w:color w:val="auto"/>
              </w:rPr>
              <w:t>00×10</w:t>
            </w:r>
            <w:r>
              <w:rPr>
                <w:color w:val="auto"/>
                <w:vertAlign w:val="superscript"/>
              </w:rPr>
              <w:t>3</w:t>
            </w:r>
            <w:r>
              <w:rPr>
                <w:color w:val="auto"/>
              </w:rPr>
              <w:t>÷95%）÷</w:t>
            </w:r>
            <w:r>
              <w:rPr>
                <w:rFonts w:hint="eastAsia"/>
                <w:color w:val="auto"/>
              </w:rPr>
              <w:t>43610</w:t>
            </w:r>
            <w:r>
              <w:rPr>
                <w:color w:val="auto"/>
              </w:rPr>
              <w:t>÷10</w:t>
            </w:r>
            <w:r>
              <w:rPr>
                <w:color w:val="auto"/>
                <w:vertAlign w:val="superscript"/>
              </w:rPr>
              <w:t>3</w:t>
            </w:r>
            <w:r>
              <w:rPr>
                <w:color w:val="auto"/>
              </w:rPr>
              <w:t>=</w:t>
            </w:r>
            <w:r>
              <w:rPr>
                <w:rFonts w:hint="eastAsia"/>
                <w:color w:val="auto"/>
              </w:rPr>
              <w:t>12650.21</w:t>
            </w:r>
            <w:r>
              <w:rPr>
                <w:color w:val="auto"/>
              </w:rPr>
              <w:t>t/a</w:t>
            </w:r>
            <w:r>
              <w:rPr>
                <w:rFonts w:hint="eastAsia"/>
                <w:color w:val="auto"/>
              </w:rPr>
              <w:t>（38.06t/d）</w:t>
            </w:r>
            <w:r>
              <w:rPr>
                <w:color w:val="auto"/>
              </w:rPr>
              <w:t>，即</w:t>
            </w:r>
            <w:r>
              <w:rPr>
                <w:rFonts w:hint="eastAsia"/>
                <w:color w:val="auto"/>
              </w:rPr>
              <w:t>煤炭</w:t>
            </w:r>
            <w:r>
              <w:rPr>
                <w:color w:val="auto"/>
              </w:rPr>
              <w:t>烘干过程中年耗天然气量</w:t>
            </w:r>
            <w:r>
              <w:rPr>
                <w:rFonts w:hint="eastAsia"/>
                <w:color w:val="auto"/>
              </w:rPr>
              <w:t>为1756.97万m³/a</w:t>
            </w:r>
            <w:r>
              <w:rPr>
                <w:color w:val="auto"/>
              </w:rPr>
              <w:t>。</w:t>
            </w:r>
          </w:p>
          <w:p>
            <w:pPr>
              <w:ind w:firstLine="482"/>
              <w:rPr>
                <w:b/>
                <w:bCs/>
                <w:color w:val="auto"/>
              </w:rPr>
            </w:pPr>
            <w:r>
              <w:rPr>
                <w:rFonts w:hint="eastAsia"/>
                <w:b/>
                <w:bCs/>
                <w:color w:val="auto"/>
                <w:lang w:eastAsia="zh-CN"/>
              </w:rPr>
              <w:t>5.</w:t>
            </w:r>
            <w:r>
              <w:rPr>
                <w:b/>
                <w:bCs/>
                <w:color w:val="auto"/>
              </w:rPr>
              <w:t>生产制度</w:t>
            </w:r>
          </w:p>
          <w:p>
            <w:pPr>
              <w:ind w:firstLine="480"/>
              <w:rPr>
                <w:color w:val="auto"/>
              </w:rPr>
            </w:pPr>
            <w:r>
              <w:rPr>
                <w:color w:val="auto"/>
              </w:rPr>
              <w:t>本项目无新增劳动定员，全年工作330d，本项目工作人员10人，由现有工作人</w:t>
            </w:r>
            <w:r>
              <w:rPr>
                <w:rFonts w:hint="eastAsia"/>
                <w:color w:val="auto"/>
              </w:rPr>
              <w:t>员集</w:t>
            </w:r>
            <w:r>
              <w:rPr>
                <w:color w:val="auto"/>
              </w:rPr>
              <w:t>中调配，实行</w:t>
            </w:r>
            <w:r>
              <w:rPr>
                <w:rFonts w:hint="eastAsia"/>
                <w:color w:val="auto"/>
              </w:rPr>
              <w:t>三</w:t>
            </w:r>
            <w:r>
              <w:rPr>
                <w:color w:val="auto"/>
              </w:rPr>
              <w:t>班制，每班8h，年工作时长为</w:t>
            </w:r>
            <w:r>
              <w:rPr>
                <w:rFonts w:hint="eastAsia"/>
                <w:color w:val="auto"/>
              </w:rPr>
              <w:t>7920</w:t>
            </w:r>
            <w:r>
              <w:rPr>
                <w:color w:val="auto"/>
              </w:rPr>
              <w:t>h。</w:t>
            </w:r>
          </w:p>
          <w:p>
            <w:pPr>
              <w:ind w:firstLine="482"/>
              <w:rPr>
                <w:b/>
                <w:bCs/>
                <w:color w:val="auto"/>
              </w:rPr>
            </w:pPr>
            <w:r>
              <w:rPr>
                <w:rFonts w:hint="eastAsia"/>
                <w:b/>
                <w:bCs/>
                <w:color w:val="auto"/>
                <w:lang w:eastAsia="zh-CN"/>
              </w:rPr>
              <w:t>6.</w:t>
            </w:r>
            <w:r>
              <w:rPr>
                <w:b/>
                <w:bCs/>
                <w:color w:val="auto"/>
              </w:rPr>
              <w:t>公用工程</w:t>
            </w:r>
          </w:p>
          <w:p>
            <w:pPr>
              <w:ind w:firstLine="482"/>
              <w:rPr>
                <w:b/>
                <w:bCs/>
                <w:color w:val="auto"/>
              </w:rPr>
            </w:pPr>
            <w:r>
              <w:rPr>
                <w:b/>
                <w:bCs/>
                <w:color w:val="auto"/>
              </w:rPr>
              <w:t>（1）给水工程</w:t>
            </w:r>
          </w:p>
          <w:p>
            <w:pPr>
              <w:ind w:firstLine="480"/>
              <w:rPr>
                <w:color w:val="auto"/>
              </w:rPr>
            </w:pPr>
            <w:r>
              <w:rPr>
                <w:color w:val="auto"/>
              </w:rPr>
              <w:t>本项目无新增劳动定员，无新增生活用水；本项目生产用水主要为成品堆场喷淋降尘用水、锅炉软化系统用水</w:t>
            </w:r>
            <w:r>
              <w:rPr>
                <w:rFonts w:hint="eastAsia"/>
                <w:color w:val="auto"/>
              </w:rPr>
              <w:t>、锅炉补充用水、多介质过滤器、反渗透、超滤反冲洗用水</w:t>
            </w:r>
            <w:r>
              <w:rPr>
                <w:color w:val="auto"/>
              </w:rPr>
              <w:t>。</w:t>
            </w:r>
            <w:r>
              <w:rPr>
                <w:rFonts w:hint="eastAsia"/>
                <w:color w:val="auto"/>
              </w:rPr>
              <w:t>纯水制备用水</w:t>
            </w:r>
            <w:r>
              <w:rPr>
                <w:color w:val="auto"/>
              </w:rPr>
              <w:t>依托厂区现有供水系统</w:t>
            </w:r>
            <w:r>
              <w:rPr>
                <w:rFonts w:hint="eastAsia"/>
                <w:color w:val="auto"/>
              </w:rPr>
              <w:t>提供，由</w:t>
            </w:r>
            <w:r>
              <w:rPr>
                <w:color w:val="auto"/>
              </w:rPr>
              <w:t>鄂尔多斯市圣圆水务集团有限责任公司的矿井疏干水</w:t>
            </w:r>
            <w:r>
              <w:rPr>
                <w:rFonts w:hint="eastAsia"/>
                <w:color w:val="auto"/>
              </w:rPr>
              <w:t>供给</w:t>
            </w:r>
            <w:r>
              <w:rPr>
                <w:color w:val="auto"/>
              </w:rPr>
              <w:t>。</w:t>
            </w:r>
            <w:r>
              <w:rPr>
                <w:rFonts w:hint="eastAsia"/>
                <w:color w:val="auto"/>
              </w:rPr>
              <w:t>锅炉补充用水由软水制备系统出水提供，多介质过滤器、反渗透、超滤反冲洗用水由自建废水处理站出水提供。成品堆场洒水降尘用水由自建废水处理站出水提供。</w:t>
            </w:r>
          </w:p>
          <w:p>
            <w:pPr>
              <w:ind w:firstLine="482"/>
              <w:rPr>
                <w:b/>
                <w:bCs/>
                <w:color w:val="auto"/>
              </w:rPr>
            </w:pPr>
            <w:r>
              <w:rPr>
                <w:b/>
                <w:bCs/>
                <w:color w:val="auto"/>
              </w:rPr>
              <w:t>①成品堆场喷淋降尘用水</w:t>
            </w:r>
            <w:r>
              <w:rPr>
                <w:rFonts w:hint="eastAsia"/>
                <w:b/>
                <w:bCs/>
                <w:color w:val="auto"/>
              </w:rPr>
              <w:t>及排水</w:t>
            </w:r>
          </w:p>
          <w:p>
            <w:pPr>
              <w:ind w:firstLine="480"/>
              <w:rPr>
                <w:color w:val="auto"/>
              </w:rPr>
            </w:pPr>
            <w:r>
              <w:rPr>
                <w:color w:val="auto"/>
              </w:rPr>
              <w:t>本项目成品堆场喷淋面积为1</w:t>
            </w:r>
            <w:r>
              <w:rPr>
                <w:rFonts w:hint="eastAsia"/>
                <w:color w:val="auto"/>
              </w:rPr>
              <w:t>5</w:t>
            </w:r>
            <w:r>
              <w:rPr>
                <w:color w:val="auto"/>
              </w:rPr>
              <w:t>00㎡，根据《</w:t>
            </w:r>
            <w:r>
              <w:rPr>
                <w:rFonts w:hint="eastAsia"/>
                <w:color w:val="auto"/>
              </w:rPr>
              <w:t>内蒙古自治区</w:t>
            </w:r>
            <w:r>
              <w:rPr>
                <w:color w:val="auto"/>
              </w:rPr>
              <w:t>行业用水定额》（DB15/T385-2020）计，抑尘用水定额按照1.5L/㎡·d计，则喷淋用水量为</w:t>
            </w:r>
            <w:r>
              <w:rPr>
                <w:rFonts w:hint="eastAsia"/>
                <w:color w:val="auto"/>
              </w:rPr>
              <w:t>2</w:t>
            </w:r>
            <w:r>
              <w:rPr>
                <w:color w:val="auto"/>
              </w:rPr>
              <w:t>.</w:t>
            </w:r>
            <w:r>
              <w:rPr>
                <w:rFonts w:hint="eastAsia"/>
                <w:color w:val="auto"/>
              </w:rPr>
              <w:t>2</w:t>
            </w:r>
            <w:r>
              <w:rPr>
                <w:color w:val="auto"/>
              </w:rPr>
              <w:t>5</w:t>
            </w:r>
            <w:r>
              <w:rPr>
                <w:rFonts w:hint="eastAsia"/>
                <w:color w:val="auto"/>
              </w:rPr>
              <w:t>t/d</w:t>
            </w:r>
            <w:r>
              <w:rPr>
                <w:color w:val="auto"/>
              </w:rPr>
              <w:t>，即</w:t>
            </w:r>
            <w:r>
              <w:rPr>
                <w:rFonts w:hint="eastAsia"/>
                <w:color w:val="auto"/>
              </w:rPr>
              <w:t>742.5t/a</w:t>
            </w:r>
            <w:r>
              <w:rPr>
                <w:color w:val="auto"/>
              </w:rPr>
              <w:t>。</w:t>
            </w:r>
            <w:r>
              <w:rPr>
                <w:rFonts w:hint="eastAsia"/>
                <w:color w:val="auto"/>
              </w:rPr>
              <w:t>成品堆场喷淋降尘用水全部蒸发散失，无外排废水。</w:t>
            </w:r>
          </w:p>
          <w:p>
            <w:pPr>
              <w:ind w:firstLine="482"/>
              <w:rPr>
                <w:b/>
                <w:bCs/>
                <w:color w:val="auto"/>
              </w:rPr>
            </w:pPr>
            <w:r>
              <w:rPr>
                <w:b/>
                <w:bCs/>
                <w:color w:val="auto"/>
              </w:rPr>
              <w:t>②</w:t>
            </w:r>
            <w:r>
              <w:rPr>
                <w:rFonts w:hint="eastAsia"/>
                <w:b/>
                <w:bCs/>
                <w:color w:val="auto"/>
              </w:rPr>
              <w:t>天然气</w:t>
            </w:r>
            <w:r>
              <w:rPr>
                <w:b/>
                <w:bCs/>
                <w:color w:val="auto"/>
              </w:rPr>
              <w:t>蒸汽锅炉用水</w:t>
            </w:r>
            <w:r>
              <w:rPr>
                <w:rFonts w:hint="eastAsia"/>
                <w:b/>
                <w:bCs/>
                <w:color w:val="auto"/>
              </w:rPr>
              <w:t>及排水</w:t>
            </w:r>
          </w:p>
          <w:p>
            <w:pPr>
              <w:ind w:firstLine="480"/>
              <w:rPr>
                <w:color w:val="auto"/>
              </w:rPr>
            </w:pPr>
            <w:r>
              <w:rPr>
                <w:rFonts w:hint="eastAsia"/>
                <w:color w:val="auto"/>
              </w:rPr>
              <w:t>本项目新建一台18t/h的天然气蒸汽锅炉，日运行</w:t>
            </w:r>
            <w:r>
              <w:rPr>
                <w:color w:val="auto"/>
              </w:rPr>
              <w:t>24h</w:t>
            </w:r>
            <w:r>
              <w:rPr>
                <w:rFonts w:hint="eastAsia"/>
                <w:color w:val="auto"/>
              </w:rPr>
              <w:t>，年运行</w:t>
            </w:r>
            <w:r>
              <w:rPr>
                <w:color w:val="auto"/>
              </w:rPr>
              <w:t>330d/a</w:t>
            </w:r>
            <w:r>
              <w:rPr>
                <w:rFonts w:hint="eastAsia"/>
                <w:color w:val="auto"/>
              </w:rPr>
              <w:t>，年运行7920h。</w:t>
            </w:r>
          </w:p>
          <w:p>
            <w:pPr>
              <w:ind w:firstLine="480"/>
              <w:rPr>
                <w:color w:val="auto"/>
              </w:rPr>
            </w:pPr>
            <w:r>
              <w:rPr>
                <w:rFonts w:hint="eastAsia"/>
                <w:color w:val="auto"/>
              </w:rPr>
              <w:t>锅炉产生的蒸汽量：18t/h×7920h/a=142560m³/a（432m³/d），锅炉运行中会有排污损失，锅炉排污率通常为5%～10%，本项目取值为5%。</w:t>
            </w:r>
          </w:p>
          <w:p>
            <w:pPr>
              <w:ind w:firstLine="480"/>
              <w:rPr>
                <w:color w:val="auto"/>
              </w:rPr>
            </w:pPr>
            <w:r>
              <w:rPr>
                <w:rFonts w:hint="eastAsia"/>
                <w:color w:val="auto"/>
              </w:rPr>
              <w:t>锅炉给水量=锅炉蒸汽产量+锅炉排污水量</w:t>
            </w:r>
          </w:p>
          <w:p>
            <w:pPr>
              <w:ind w:firstLine="480"/>
              <w:rPr>
                <w:color w:val="auto"/>
              </w:rPr>
            </w:pPr>
            <w:r>
              <w:rPr>
                <w:rFonts w:hint="eastAsia"/>
                <w:color w:val="auto"/>
              </w:rPr>
              <w:t>锅炉排污水量=锅炉给水量×排污率</w:t>
            </w:r>
          </w:p>
          <w:p>
            <w:pPr>
              <w:ind w:firstLine="480"/>
              <w:rPr>
                <w:color w:val="auto"/>
              </w:rPr>
            </w:pPr>
            <w:r>
              <w:rPr>
                <w:rFonts w:hint="eastAsia"/>
                <w:color w:val="auto"/>
              </w:rPr>
              <w:t>锅炉排污废水量为432×0.05=21.6m³/d，排入厂区自建废水处理站处理后，一部分返回天然气蒸汽锅炉用于蒸汽再生产，一部分返回喷淋冷凝管道用于水蒸气冷凝、剩余部分用于厂区、煤棚洒水降尘及反冲洗用水。</w:t>
            </w:r>
          </w:p>
          <w:p>
            <w:pPr>
              <w:ind w:firstLine="480"/>
              <w:rPr>
                <w:color w:val="auto"/>
              </w:rPr>
            </w:pPr>
            <w:r>
              <w:rPr>
                <w:rFonts w:hint="eastAsia"/>
                <w:color w:val="auto"/>
              </w:rPr>
              <w:t>锅炉给水量=432t/d+21.6t/d=453.6m³/d</w:t>
            </w:r>
          </w:p>
          <w:p>
            <w:pPr>
              <w:ind w:firstLine="480"/>
              <w:rPr>
                <w:color w:val="auto"/>
              </w:rPr>
            </w:pPr>
            <w:r>
              <w:rPr>
                <w:rFonts w:hint="eastAsia"/>
                <w:color w:val="auto"/>
              </w:rPr>
              <w:t>软化设备用水量：软水制备采用“钠离子交换树脂”，软水制备率为80%，则软化设备用水量为453.6t/d÷0.8=567m³/d。</w:t>
            </w:r>
          </w:p>
          <w:p>
            <w:pPr>
              <w:ind w:firstLine="480"/>
              <w:rPr>
                <w:color w:val="auto"/>
              </w:rPr>
            </w:pPr>
            <w:r>
              <w:rPr>
                <w:rFonts w:hint="eastAsia"/>
                <w:color w:val="auto"/>
              </w:rPr>
              <w:t>软化设备排放废水量为567t/d×20%=113.4m³/d，排入厂区自建废水处理站处理后，一部分返回天然气蒸汽锅炉用于蒸汽再生产，一部分返回喷淋冷凝管道用于水蒸气冷凝、剩余部分用于厂区、煤棚洒水降尘及反冲洗用水。</w:t>
            </w:r>
          </w:p>
          <w:p>
            <w:pPr>
              <w:ind w:firstLine="480"/>
              <w:rPr>
                <w:color w:val="auto"/>
              </w:rPr>
            </w:pPr>
            <w:r>
              <w:rPr>
                <w:rFonts w:hint="eastAsia"/>
                <w:color w:val="auto"/>
              </w:rPr>
              <w:t>烘干的水分量</w:t>
            </w:r>
            <w:r>
              <w:rPr>
                <w:color w:val="auto"/>
              </w:rPr>
              <w:t>为201573.85</w:t>
            </w:r>
            <w:r>
              <w:rPr>
                <w:rFonts w:hint="eastAsia"/>
                <w:color w:val="auto"/>
              </w:rPr>
              <w:t>m³</w:t>
            </w:r>
            <w:r>
              <w:rPr>
                <w:color w:val="auto"/>
              </w:rPr>
              <w:t>/a</w:t>
            </w:r>
            <w:r>
              <w:rPr>
                <w:rFonts w:hint="eastAsia"/>
                <w:color w:val="auto"/>
              </w:rPr>
              <w:t>（610.83m³/d），蒸发水量通过冷凝回收系统进行水冷回收，回收率80%，剩余部分蒸发散失。回收的冷凝液量为</w:t>
            </w:r>
            <w:r>
              <w:rPr>
                <w:color w:val="auto"/>
              </w:rPr>
              <w:t>201573.85</w:t>
            </w:r>
            <w:r>
              <w:rPr>
                <w:rFonts w:hint="eastAsia"/>
                <w:color w:val="auto"/>
              </w:rPr>
              <w:t>×0.8=161259.08m³/a（488.66m³/d），蒸汽压力釜中排出的水蒸气经喷淋冷却管道回收、冷凝后，</w:t>
            </w:r>
            <w:r>
              <w:rPr>
                <w:rFonts w:hint="eastAsia"/>
                <w:color w:val="auto"/>
                <w:lang w:val="en-US" w:eastAsia="zh-CN"/>
              </w:rPr>
              <w:t>经管道</w:t>
            </w:r>
            <w:r>
              <w:rPr>
                <w:rFonts w:hint="eastAsia"/>
                <w:color w:val="auto"/>
              </w:rPr>
              <w:t>收</w:t>
            </w:r>
            <w:r>
              <w:rPr>
                <w:rFonts w:hint="eastAsia"/>
                <w:color w:val="auto"/>
              </w:rPr>
              <w:t>集至自建污水处理站处理达准后，一部分返回天然气蒸汽锅炉用于蒸汽再生产，一部分返回喷淋冷凝管道用于水蒸气冷凝、剩余部分用于厂区、煤棚洒水降尘及反冲洗用水。自然蒸发量为40314.77m³/a（122.17m³/d），散失于大气环境中。</w:t>
            </w:r>
          </w:p>
          <w:p>
            <w:pPr>
              <w:ind w:firstLine="482"/>
              <w:rPr>
                <w:b/>
                <w:bCs/>
                <w:color w:val="auto"/>
              </w:rPr>
            </w:pPr>
            <w:r>
              <w:rPr>
                <w:rFonts w:hint="eastAsia"/>
                <w:b/>
                <w:bCs/>
                <w:color w:val="auto"/>
              </w:rPr>
              <w:t>③废水处理站多介质过滤器、反渗透、超滤反冲洗用水及排水</w:t>
            </w:r>
          </w:p>
          <w:p>
            <w:pPr>
              <w:ind w:firstLine="480"/>
              <w:rPr>
                <w:color w:val="auto"/>
              </w:rPr>
            </w:pPr>
            <w:r>
              <w:rPr>
                <w:rFonts w:hint="eastAsia"/>
                <w:color w:val="auto"/>
              </w:rPr>
              <w:t>2台多介质过滤器反冲洗用水量及排水量：反冲洗强度为15L/（s·㎡），反冲洗时间为15min，每日自动反冲洗一次。则反冲洗用水量为10m³/d（3300m³/a），多介质过滤器反冲洗用水由废水处理站出水提供。反冲洗废水产生量按照用水量的80%计，则反冲洗废水量为8m³/d（2640m³/a），产生的反冲洗废水经浓水收集池收集后，定期交由浓水处理单位进行处置。</w:t>
            </w:r>
          </w:p>
          <w:p>
            <w:pPr>
              <w:ind w:firstLine="480"/>
              <w:rPr>
                <w:color w:val="auto"/>
              </w:rPr>
            </w:pPr>
            <w:r>
              <w:rPr>
                <w:rFonts w:hint="eastAsia"/>
                <w:color w:val="auto"/>
              </w:rPr>
              <w:t>反渗透反冲洗用水量及排水量：冲洗流量为0.3m³/支，冲洗时间为5min，10支压力容器，则反冲洗用水量为0.5m³/d（165m³/a），反冲洗用水由废水处理站出水提供。反冲洗废水量按照用水量的80%计，则反冲洗废水量为0.4m³/d（132m³/a），产生的反冲洗废水经浓水收集池收集后，定期交由浓水处理单位进行处置。</w:t>
            </w:r>
          </w:p>
          <w:p>
            <w:pPr>
              <w:ind w:firstLine="480"/>
              <w:rPr>
                <w:color w:val="auto"/>
              </w:rPr>
            </w:pPr>
            <w:r>
              <w:rPr>
                <w:rFonts w:hint="eastAsia"/>
                <w:color w:val="auto"/>
              </w:rPr>
              <w:t>超滤反冲洗用水量及排水量：超滤反冲洗用水量约为3m³/d（990m³/a），反冲洗用水由废水处理站出水提供，反冲洗废水量按照用水量的80%计，则反冲洗废水量为2.4m³/d（792m³/a），产生的反冲洗废水经浓水收集池收集后，定期交由浓水处理单位进行处置。</w:t>
            </w:r>
          </w:p>
          <w:p>
            <w:pPr>
              <w:ind w:firstLine="480"/>
              <w:rPr>
                <w:color w:val="auto"/>
              </w:rPr>
            </w:pPr>
            <w:r>
              <w:rPr>
                <w:rFonts w:hint="eastAsia"/>
                <w:color w:val="auto"/>
              </w:rPr>
              <w:t>反冲洗总用水量为10+0.5+3=13.5m³/d，反冲洗废水总量=8+0.4+2.4=10.8m³/d，反冲洗废水使用反冲洗废水池收集，考虑1.2的安全系数，则本项目反冲洗废水收集池的最小容积为12.96m³，故本项目建设一座13m³的反冲洗废水池可满足本项目的反冲洗废水的收集。</w:t>
            </w:r>
          </w:p>
          <w:p>
            <w:pPr>
              <w:ind w:firstLine="480"/>
              <w:rPr>
                <w:color w:val="auto"/>
              </w:rPr>
            </w:pPr>
            <w:r>
              <w:rPr>
                <w:rFonts w:hint="eastAsia"/>
                <w:color w:val="auto"/>
              </w:rPr>
              <w:t>本项目废水总排放量为21.6+113.4+488.66=623.66m³/d，本项目自建废水处理站进行处理本项目的锅炉排水、软化系统排水、回收的蒸汽冷凝水，处理工艺采用“絮凝沉降→多介质过滤→超滤→多介质过滤→反渗透”处理工艺进行处理，本项目废水处理站采用间歇性运行，日运行18h，则废水处理站最低处理量为34.65m³/h，考虑1.2的安全系数，则本项目废水处理站最低处理规模为41.58m³/h，故本项目建设1座42m³/h的废水处理站，可满足本项目废水处理。</w:t>
            </w:r>
          </w:p>
          <w:p>
            <w:pPr>
              <w:ind w:firstLine="480"/>
              <w:rPr>
                <w:color w:val="auto"/>
              </w:rPr>
            </w:pPr>
            <w:r>
              <w:rPr>
                <w:rFonts w:hint="eastAsia"/>
                <w:color w:val="auto"/>
              </w:rPr>
              <w:t>考虑废水处理过程中的水量损失，中水出水量按照进水量的85%计，则本项目经废水处理站处理后的中水量为623.66×0.85=530.11m³/d，损失量为93.55m³/d。废水处理站中水21.6m³/d返回天然气蒸汽锅炉用于蒸汽再生产，122.17m³/d返回喷淋冷凝管道用于水蒸气冷凝，13.5m³/d用于反冲洗用水，2.25m³/d用于成品堆场洒水降尘用水，剩余277.04m³/d用于厂区、煤棚洒水降尘用水及洗煤工艺补充用水，本项目的实施可减少整个厂区疏干水的用量。</w:t>
            </w:r>
          </w:p>
          <w:p>
            <w:pPr>
              <w:ind w:firstLine="480"/>
              <w:rPr>
                <w:color w:val="auto"/>
              </w:rPr>
            </w:pPr>
            <w:r>
              <w:rPr>
                <w:rFonts w:hint="eastAsia"/>
                <w:color w:val="auto"/>
              </w:rPr>
              <w:t>则本项目拟建设1座42m³/h的废水处理站可满足本项目的废水处理。废水处理工艺采用“斜管沉淀→多介质过滤”处理后，出水满足《城市污水再生利用工业用水水质》（GB19923-2024）中的间冷开式循环冷却水补充水、锅炉给水、工艺用水、产品用水标准后部分返回天然气蒸汽锅炉用于蒸汽再生产，部分返回喷淋冷凝管道用于水蒸气冷凝、剩余部分用于厂区、煤棚洒水降尘、反冲洗用水、选煤厂洗煤工艺补充用水。</w:t>
            </w:r>
          </w:p>
          <w:p>
            <w:pPr>
              <w:ind w:firstLine="0" w:firstLineChars="0"/>
              <w:rPr>
                <w:color w:val="auto"/>
              </w:rPr>
            </w:pPr>
            <w:r>
              <w:rPr>
                <w:color w:val="auto"/>
              </w:rPr>
              <w:drawing>
                <wp:inline distT="0" distB="0" distL="114300" distR="114300">
                  <wp:extent cx="5059680" cy="3774440"/>
                  <wp:effectExtent l="0" t="0" r="0" b="0"/>
                  <wp:docPr id="94" name="ECB019B1-382A-4266-B25C-5B523AA43C14-1" descr="C:/Users/Lenovo/AppData/Local/Temp/wps.jWHxVfwps"/>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4" name="ECB019B1-382A-4266-B25C-5B523AA43C14-1" descr="C:/Users/Lenovo/AppData/Local/Temp/wps.jWHxVfwps"/>
                          <pic:cNvPicPr>
                            <a:picLocks noChangeAspect="true"/>
                          </pic:cNvPicPr>
                        </pic:nvPicPr>
                        <pic:blipFill>
                          <a:blip r:embed="rId19"/>
                          <a:stretch>
                            <a:fillRect/>
                          </a:stretch>
                        </pic:blipFill>
                        <pic:spPr>
                          <a:xfrm>
                            <a:off x="0" y="0"/>
                            <a:ext cx="5059680" cy="3774440"/>
                          </a:xfrm>
                          <a:prstGeom prst="rect">
                            <a:avLst/>
                          </a:prstGeom>
                        </pic:spPr>
                      </pic:pic>
                    </a:graphicData>
                  </a:graphic>
                </wp:inline>
              </w:drawing>
            </w:r>
          </w:p>
          <w:p>
            <w:pPr>
              <w:pStyle w:val="56"/>
              <w:adjustRightInd w:val="0"/>
              <w:ind w:firstLine="0" w:firstLineChars="0"/>
              <w:jc w:val="center"/>
              <w:rPr>
                <w:b/>
                <w:bCs/>
                <w:color w:val="auto"/>
              </w:rPr>
            </w:pPr>
            <w:r>
              <w:rPr>
                <w:b/>
                <w:bCs/>
                <w:color w:val="auto"/>
              </w:rPr>
              <w:t>图2-1水平衡图（单位：</w:t>
            </w:r>
            <w:r>
              <w:rPr>
                <w:rFonts w:hint="eastAsia"/>
                <w:b/>
                <w:bCs/>
                <w:color w:val="auto"/>
              </w:rPr>
              <w:t>t/d</w:t>
            </w:r>
            <w:r>
              <w:rPr>
                <w:b/>
                <w:bCs/>
                <w:color w:val="auto"/>
              </w:rPr>
              <w:t>）</w:t>
            </w:r>
          </w:p>
          <w:p>
            <w:pPr>
              <w:pStyle w:val="56"/>
              <w:adjustRightInd w:val="0"/>
              <w:ind w:firstLine="0" w:firstLineChars="0"/>
              <w:jc w:val="center"/>
              <w:rPr>
                <w:b/>
                <w:bCs/>
                <w:color w:val="auto"/>
              </w:rPr>
            </w:pPr>
            <w:r>
              <w:rPr>
                <w:b/>
                <w:bCs/>
                <w:color w:val="auto"/>
              </w:rPr>
              <w:t>表2-</w:t>
            </w:r>
            <w:r>
              <w:rPr>
                <w:rFonts w:hint="eastAsia"/>
                <w:b/>
                <w:bCs/>
                <w:color w:val="auto"/>
              </w:rPr>
              <w:t>7</w:t>
            </w:r>
            <w:r>
              <w:rPr>
                <w:b/>
                <w:bCs/>
                <w:color w:val="auto"/>
              </w:rPr>
              <w:t>项目用</w:t>
            </w:r>
            <w:r>
              <w:rPr>
                <w:rFonts w:hint="eastAsia"/>
                <w:b/>
                <w:bCs/>
                <w:color w:val="auto"/>
              </w:rPr>
              <w:t>给</w:t>
            </w:r>
            <w:r>
              <w:rPr>
                <w:b/>
                <w:bCs/>
                <w:color w:val="auto"/>
              </w:rPr>
              <w:t>排水一览表（单位：</w:t>
            </w:r>
            <w:r>
              <w:rPr>
                <w:rFonts w:hint="eastAsia"/>
                <w:b/>
                <w:bCs/>
                <w:color w:val="auto"/>
              </w:rPr>
              <w:t>t/d</w:t>
            </w:r>
            <w:r>
              <w:rPr>
                <w:b/>
                <w:bCs/>
                <w:color w:val="auto"/>
              </w:rPr>
              <w:t>）</w:t>
            </w:r>
          </w:p>
          <w:tbl>
            <w:tblPr>
              <w:tblStyle w:val="22"/>
              <w:tblW w:w="79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3"/>
              <w:gridCol w:w="696"/>
              <w:gridCol w:w="668"/>
              <w:gridCol w:w="750"/>
              <w:gridCol w:w="668"/>
              <w:gridCol w:w="491"/>
              <w:gridCol w:w="709"/>
              <w:gridCol w:w="495"/>
              <w:gridCol w:w="691"/>
              <w:gridCol w:w="641"/>
              <w:gridCol w:w="17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413" w:type="dxa"/>
                  <w:vAlign w:val="center"/>
                </w:tcPr>
                <w:p>
                  <w:pPr>
                    <w:spacing w:line="240" w:lineRule="auto"/>
                    <w:ind w:firstLine="0" w:firstLineChars="0"/>
                    <w:jc w:val="center"/>
                    <w:rPr>
                      <w:color w:val="auto"/>
                      <w:sz w:val="21"/>
                      <w:szCs w:val="21"/>
                    </w:rPr>
                  </w:pPr>
                  <w:r>
                    <w:rPr>
                      <w:color w:val="auto"/>
                      <w:sz w:val="21"/>
                      <w:szCs w:val="21"/>
                    </w:rPr>
                    <w:t>序号</w:t>
                  </w:r>
                </w:p>
              </w:tc>
              <w:tc>
                <w:tcPr>
                  <w:tcW w:w="696" w:type="dxa"/>
                  <w:vAlign w:val="center"/>
                </w:tcPr>
                <w:p>
                  <w:pPr>
                    <w:spacing w:line="240" w:lineRule="auto"/>
                    <w:ind w:firstLine="0" w:firstLineChars="0"/>
                    <w:jc w:val="center"/>
                    <w:rPr>
                      <w:color w:val="auto"/>
                      <w:sz w:val="21"/>
                      <w:szCs w:val="21"/>
                    </w:rPr>
                  </w:pPr>
                  <w:r>
                    <w:rPr>
                      <w:color w:val="auto"/>
                      <w:sz w:val="21"/>
                      <w:szCs w:val="21"/>
                    </w:rPr>
                    <w:t>用水项目</w:t>
                  </w:r>
                </w:p>
              </w:tc>
              <w:tc>
                <w:tcPr>
                  <w:tcW w:w="668" w:type="dxa"/>
                  <w:vAlign w:val="center"/>
                </w:tcPr>
                <w:p>
                  <w:pPr>
                    <w:spacing w:line="240" w:lineRule="auto"/>
                    <w:ind w:firstLine="0" w:firstLineChars="0"/>
                    <w:jc w:val="center"/>
                    <w:rPr>
                      <w:color w:val="auto"/>
                      <w:sz w:val="21"/>
                      <w:szCs w:val="21"/>
                    </w:rPr>
                  </w:pPr>
                  <w:r>
                    <w:rPr>
                      <w:color w:val="auto"/>
                      <w:sz w:val="21"/>
                      <w:szCs w:val="21"/>
                    </w:rPr>
                    <w:t>疏干水用水量</w:t>
                  </w:r>
                </w:p>
              </w:tc>
              <w:tc>
                <w:tcPr>
                  <w:tcW w:w="750" w:type="dxa"/>
                  <w:vAlign w:val="center"/>
                </w:tcPr>
                <w:p>
                  <w:pPr>
                    <w:spacing w:line="240" w:lineRule="auto"/>
                    <w:ind w:firstLine="0" w:firstLineChars="0"/>
                    <w:jc w:val="center"/>
                    <w:rPr>
                      <w:color w:val="auto"/>
                      <w:sz w:val="21"/>
                      <w:szCs w:val="21"/>
                    </w:rPr>
                  </w:pPr>
                  <w:r>
                    <w:rPr>
                      <w:rFonts w:hint="eastAsia"/>
                      <w:color w:val="auto"/>
                      <w:sz w:val="21"/>
                      <w:szCs w:val="21"/>
                    </w:rPr>
                    <w:t>纯水用水水量</w:t>
                  </w:r>
                </w:p>
              </w:tc>
              <w:tc>
                <w:tcPr>
                  <w:tcW w:w="668" w:type="dxa"/>
                  <w:vAlign w:val="center"/>
                </w:tcPr>
                <w:p>
                  <w:pPr>
                    <w:spacing w:line="240" w:lineRule="auto"/>
                    <w:ind w:firstLine="0" w:firstLineChars="0"/>
                    <w:jc w:val="center"/>
                    <w:rPr>
                      <w:color w:val="auto"/>
                      <w:sz w:val="21"/>
                      <w:szCs w:val="21"/>
                    </w:rPr>
                  </w:pPr>
                  <w:r>
                    <w:rPr>
                      <w:rFonts w:hint="eastAsia"/>
                      <w:color w:val="auto"/>
                      <w:sz w:val="21"/>
                      <w:szCs w:val="21"/>
                    </w:rPr>
                    <w:t>中水用水量</w:t>
                  </w:r>
                </w:p>
              </w:tc>
              <w:tc>
                <w:tcPr>
                  <w:tcW w:w="491" w:type="dxa"/>
                  <w:vAlign w:val="center"/>
                </w:tcPr>
                <w:p>
                  <w:pPr>
                    <w:spacing w:line="240" w:lineRule="auto"/>
                    <w:ind w:firstLine="0" w:firstLineChars="0"/>
                    <w:jc w:val="center"/>
                    <w:rPr>
                      <w:color w:val="auto"/>
                      <w:sz w:val="21"/>
                      <w:szCs w:val="21"/>
                    </w:rPr>
                  </w:pPr>
                  <w:r>
                    <w:rPr>
                      <w:rFonts w:hint="eastAsia"/>
                      <w:color w:val="auto"/>
                      <w:sz w:val="21"/>
                      <w:szCs w:val="21"/>
                    </w:rPr>
                    <w:t>蒸汽</w:t>
                  </w:r>
                </w:p>
              </w:tc>
              <w:tc>
                <w:tcPr>
                  <w:tcW w:w="709" w:type="dxa"/>
                  <w:vAlign w:val="center"/>
                </w:tcPr>
                <w:p>
                  <w:pPr>
                    <w:spacing w:line="240" w:lineRule="auto"/>
                    <w:ind w:firstLine="0" w:firstLineChars="0"/>
                    <w:jc w:val="center"/>
                    <w:rPr>
                      <w:color w:val="auto"/>
                      <w:sz w:val="21"/>
                      <w:szCs w:val="21"/>
                    </w:rPr>
                  </w:pPr>
                  <w:r>
                    <w:rPr>
                      <w:rFonts w:hint="eastAsia"/>
                      <w:color w:val="auto"/>
                      <w:sz w:val="21"/>
                      <w:szCs w:val="21"/>
                    </w:rPr>
                    <w:t>原料带入水量</w:t>
                  </w:r>
                </w:p>
              </w:tc>
              <w:tc>
                <w:tcPr>
                  <w:tcW w:w="495" w:type="dxa"/>
                  <w:vAlign w:val="center"/>
                </w:tcPr>
                <w:p>
                  <w:pPr>
                    <w:spacing w:line="240" w:lineRule="auto"/>
                    <w:ind w:firstLine="0" w:firstLineChars="0"/>
                    <w:jc w:val="center"/>
                    <w:rPr>
                      <w:color w:val="auto"/>
                      <w:sz w:val="21"/>
                      <w:szCs w:val="21"/>
                    </w:rPr>
                  </w:pPr>
                  <w:r>
                    <w:rPr>
                      <w:color w:val="auto"/>
                      <w:sz w:val="21"/>
                      <w:szCs w:val="21"/>
                    </w:rPr>
                    <w:t>损耗量</w:t>
                  </w:r>
                </w:p>
              </w:tc>
              <w:tc>
                <w:tcPr>
                  <w:tcW w:w="691" w:type="dxa"/>
                  <w:vAlign w:val="center"/>
                </w:tcPr>
                <w:p>
                  <w:pPr>
                    <w:spacing w:line="240" w:lineRule="auto"/>
                    <w:ind w:firstLine="0" w:firstLineChars="0"/>
                    <w:jc w:val="center"/>
                    <w:rPr>
                      <w:color w:val="auto"/>
                      <w:sz w:val="21"/>
                      <w:szCs w:val="21"/>
                    </w:rPr>
                  </w:pPr>
                  <w:r>
                    <w:rPr>
                      <w:rFonts w:hint="eastAsia"/>
                      <w:color w:val="auto"/>
                      <w:sz w:val="21"/>
                      <w:szCs w:val="21"/>
                    </w:rPr>
                    <w:t>循环水量</w:t>
                  </w:r>
                </w:p>
              </w:tc>
              <w:tc>
                <w:tcPr>
                  <w:tcW w:w="641" w:type="dxa"/>
                  <w:vAlign w:val="center"/>
                </w:tcPr>
                <w:p>
                  <w:pPr>
                    <w:spacing w:line="240" w:lineRule="auto"/>
                    <w:ind w:firstLine="0" w:firstLineChars="0"/>
                    <w:jc w:val="center"/>
                    <w:rPr>
                      <w:color w:val="auto"/>
                      <w:sz w:val="21"/>
                      <w:szCs w:val="21"/>
                    </w:rPr>
                  </w:pPr>
                  <w:r>
                    <w:rPr>
                      <w:color w:val="auto"/>
                      <w:sz w:val="21"/>
                      <w:szCs w:val="21"/>
                    </w:rPr>
                    <w:t>排水量</w:t>
                  </w:r>
                </w:p>
              </w:tc>
              <w:tc>
                <w:tcPr>
                  <w:tcW w:w="1775" w:type="dxa"/>
                  <w:vAlign w:val="center"/>
                </w:tcPr>
                <w:p>
                  <w:pPr>
                    <w:spacing w:line="240" w:lineRule="auto"/>
                    <w:ind w:firstLine="0" w:firstLineChars="0"/>
                    <w:jc w:val="center"/>
                    <w:rPr>
                      <w:color w:val="auto"/>
                      <w:sz w:val="21"/>
                      <w:szCs w:val="21"/>
                    </w:rPr>
                  </w:pPr>
                  <w:r>
                    <w:rPr>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413" w:type="dxa"/>
                  <w:vAlign w:val="center"/>
                </w:tcPr>
                <w:p>
                  <w:pPr>
                    <w:spacing w:line="240" w:lineRule="auto"/>
                    <w:ind w:firstLine="0" w:firstLineChars="0"/>
                    <w:jc w:val="center"/>
                    <w:rPr>
                      <w:color w:val="auto"/>
                      <w:sz w:val="21"/>
                      <w:szCs w:val="21"/>
                    </w:rPr>
                  </w:pPr>
                  <w:r>
                    <w:rPr>
                      <w:color w:val="auto"/>
                      <w:sz w:val="21"/>
                      <w:szCs w:val="21"/>
                    </w:rPr>
                    <w:t>1</w:t>
                  </w:r>
                </w:p>
              </w:tc>
              <w:tc>
                <w:tcPr>
                  <w:tcW w:w="696" w:type="dxa"/>
                  <w:vAlign w:val="center"/>
                </w:tcPr>
                <w:p>
                  <w:pPr>
                    <w:spacing w:line="240" w:lineRule="auto"/>
                    <w:ind w:firstLine="0" w:firstLineChars="0"/>
                    <w:jc w:val="center"/>
                    <w:rPr>
                      <w:color w:val="auto"/>
                      <w:sz w:val="21"/>
                      <w:szCs w:val="21"/>
                    </w:rPr>
                  </w:pPr>
                  <w:r>
                    <w:rPr>
                      <w:rFonts w:hint="eastAsia"/>
                      <w:color w:val="auto"/>
                      <w:sz w:val="21"/>
                      <w:szCs w:val="21"/>
                    </w:rPr>
                    <w:t>成品</w:t>
                  </w:r>
                  <w:r>
                    <w:rPr>
                      <w:color w:val="auto"/>
                      <w:sz w:val="21"/>
                      <w:szCs w:val="21"/>
                    </w:rPr>
                    <w:t>堆场洒水降尘用水</w:t>
                  </w:r>
                </w:p>
              </w:tc>
              <w:tc>
                <w:tcPr>
                  <w:tcW w:w="668"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750"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668" w:type="dxa"/>
                  <w:vAlign w:val="center"/>
                </w:tcPr>
                <w:p>
                  <w:pPr>
                    <w:spacing w:line="240" w:lineRule="auto"/>
                    <w:ind w:firstLine="0" w:firstLineChars="0"/>
                    <w:jc w:val="center"/>
                    <w:rPr>
                      <w:color w:val="auto"/>
                      <w:sz w:val="21"/>
                      <w:szCs w:val="21"/>
                    </w:rPr>
                  </w:pPr>
                  <w:r>
                    <w:rPr>
                      <w:rFonts w:hint="eastAsia"/>
                      <w:color w:val="auto"/>
                      <w:sz w:val="21"/>
                      <w:szCs w:val="21"/>
                    </w:rPr>
                    <w:t>2.25</w:t>
                  </w:r>
                </w:p>
              </w:tc>
              <w:tc>
                <w:tcPr>
                  <w:tcW w:w="491"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709"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495" w:type="dxa"/>
                  <w:vAlign w:val="center"/>
                </w:tcPr>
                <w:p>
                  <w:pPr>
                    <w:spacing w:line="240" w:lineRule="auto"/>
                    <w:ind w:firstLine="0" w:firstLineChars="0"/>
                    <w:jc w:val="center"/>
                    <w:rPr>
                      <w:color w:val="auto"/>
                      <w:sz w:val="21"/>
                      <w:szCs w:val="21"/>
                    </w:rPr>
                  </w:pPr>
                  <w:r>
                    <w:rPr>
                      <w:rFonts w:hint="eastAsia"/>
                      <w:color w:val="auto"/>
                      <w:sz w:val="21"/>
                      <w:szCs w:val="21"/>
                    </w:rPr>
                    <w:t>2.25</w:t>
                  </w:r>
                </w:p>
              </w:tc>
              <w:tc>
                <w:tcPr>
                  <w:tcW w:w="691"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641"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1775" w:type="dxa"/>
                  <w:vAlign w:val="center"/>
                </w:tcPr>
                <w:p>
                  <w:pPr>
                    <w:spacing w:line="240" w:lineRule="auto"/>
                    <w:ind w:firstLine="0" w:firstLineChars="0"/>
                    <w:jc w:val="center"/>
                    <w:rPr>
                      <w:color w:val="auto"/>
                      <w:sz w:val="21"/>
                      <w:szCs w:val="21"/>
                    </w:rPr>
                  </w:pPr>
                  <w:r>
                    <w:rPr>
                      <w:color w:val="auto"/>
                      <w:sz w:val="21"/>
                      <w:szCs w:val="21"/>
                    </w:rPr>
                    <w:t>全部蒸发散失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413" w:type="dxa"/>
                  <w:vAlign w:val="center"/>
                </w:tcPr>
                <w:p>
                  <w:pPr>
                    <w:spacing w:line="240" w:lineRule="auto"/>
                    <w:ind w:firstLine="0" w:firstLineChars="0"/>
                    <w:jc w:val="center"/>
                    <w:rPr>
                      <w:color w:val="auto"/>
                      <w:sz w:val="21"/>
                      <w:szCs w:val="21"/>
                    </w:rPr>
                  </w:pPr>
                  <w:r>
                    <w:rPr>
                      <w:color w:val="auto"/>
                      <w:sz w:val="21"/>
                      <w:szCs w:val="21"/>
                    </w:rPr>
                    <w:t>2</w:t>
                  </w:r>
                </w:p>
              </w:tc>
              <w:tc>
                <w:tcPr>
                  <w:tcW w:w="696" w:type="dxa"/>
                  <w:vAlign w:val="center"/>
                </w:tcPr>
                <w:p>
                  <w:pPr>
                    <w:spacing w:line="240" w:lineRule="auto"/>
                    <w:ind w:firstLine="0" w:firstLineChars="0"/>
                    <w:jc w:val="center"/>
                    <w:rPr>
                      <w:color w:val="auto"/>
                      <w:sz w:val="21"/>
                      <w:szCs w:val="21"/>
                    </w:rPr>
                  </w:pPr>
                  <w:r>
                    <w:rPr>
                      <w:color w:val="auto"/>
                      <w:sz w:val="21"/>
                      <w:szCs w:val="21"/>
                    </w:rPr>
                    <w:t>软化设备用水</w:t>
                  </w:r>
                </w:p>
              </w:tc>
              <w:tc>
                <w:tcPr>
                  <w:tcW w:w="668" w:type="dxa"/>
                  <w:vAlign w:val="center"/>
                </w:tcPr>
                <w:p>
                  <w:pPr>
                    <w:spacing w:line="240" w:lineRule="auto"/>
                    <w:ind w:firstLine="0" w:firstLineChars="0"/>
                    <w:jc w:val="center"/>
                    <w:rPr>
                      <w:color w:val="auto"/>
                      <w:sz w:val="21"/>
                      <w:szCs w:val="21"/>
                    </w:rPr>
                  </w:pPr>
                  <w:r>
                    <w:rPr>
                      <w:rFonts w:hint="eastAsia"/>
                      <w:color w:val="auto"/>
                      <w:sz w:val="21"/>
                      <w:szCs w:val="21"/>
                    </w:rPr>
                    <w:t>567</w:t>
                  </w:r>
                </w:p>
              </w:tc>
              <w:tc>
                <w:tcPr>
                  <w:tcW w:w="750"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668"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491"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709"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495" w:type="dxa"/>
                  <w:vAlign w:val="center"/>
                </w:tcPr>
                <w:p>
                  <w:pPr>
                    <w:spacing w:line="240" w:lineRule="auto"/>
                    <w:ind w:firstLine="0" w:firstLineChars="0"/>
                    <w:jc w:val="center"/>
                    <w:rPr>
                      <w:color w:val="auto"/>
                      <w:sz w:val="21"/>
                      <w:szCs w:val="21"/>
                    </w:rPr>
                  </w:pPr>
                  <w:r>
                    <w:rPr>
                      <w:rFonts w:hint="eastAsia"/>
                      <w:color w:val="auto"/>
                      <w:sz w:val="21"/>
                      <w:szCs w:val="21"/>
                    </w:rPr>
                    <w:t>453.6</w:t>
                  </w:r>
                </w:p>
              </w:tc>
              <w:tc>
                <w:tcPr>
                  <w:tcW w:w="691"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641" w:type="dxa"/>
                  <w:vAlign w:val="center"/>
                </w:tcPr>
                <w:p>
                  <w:pPr>
                    <w:spacing w:line="240" w:lineRule="auto"/>
                    <w:ind w:firstLine="0" w:firstLineChars="0"/>
                    <w:jc w:val="center"/>
                    <w:rPr>
                      <w:color w:val="auto"/>
                      <w:sz w:val="21"/>
                      <w:szCs w:val="21"/>
                    </w:rPr>
                  </w:pPr>
                  <w:r>
                    <w:rPr>
                      <w:rFonts w:hint="eastAsia"/>
                      <w:color w:val="auto"/>
                      <w:sz w:val="21"/>
                      <w:szCs w:val="21"/>
                    </w:rPr>
                    <w:t>113.4</w:t>
                  </w:r>
                </w:p>
              </w:tc>
              <w:tc>
                <w:tcPr>
                  <w:tcW w:w="1775" w:type="dxa"/>
                  <w:vAlign w:val="center"/>
                </w:tcPr>
                <w:p>
                  <w:pPr>
                    <w:spacing w:line="240" w:lineRule="auto"/>
                    <w:ind w:firstLine="0" w:firstLineChars="0"/>
                    <w:jc w:val="center"/>
                    <w:rPr>
                      <w:color w:val="auto"/>
                      <w:sz w:val="21"/>
                      <w:szCs w:val="21"/>
                    </w:rPr>
                  </w:pPr>
                  <w:r>
                    <w:rPr>
                      <w:rFonts w:hint="eastAsia"/>
                      <w:color w:val="auto"/>
                      <w:sz w:val="21"/>
                      <w:szCs w:val="21"/>
                    </w:rPr>
                    <w:t>用于锅炉用水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3" w:type="dxa"/>
                  <w:vAlign w:val="center"/>
                </w:tcPr>
                <w:p>
                  <w:pPr>
                    <w:spacing w:line="240" w:lineRule="auto"/>
                    <w:ind w:firstLine="0" w:firstLineChars="0"/>
                    <w:jc w:val="center"/>
                    <w:rPr>
                      <w:color w:val="auto"/>
                      <w:sz w:val="21"/>
                      <w:szCs w:val="21"/>
                    </w:rPr>
                  </w:pPr>
                  <w:r>
                    <w:rPr>
                      <w:rFonts w:hint="eastAsia"/>
                      <w:color w:val="auto"/>
                      <w:sz w:val="21"/>
                      <w:szCs w:val="21"/>
                    </w:rPr>
                    <w:t>3</w:t>
                  </w:r>
                </w:p>
              </w:tc>
              <w:tc>
                <w:tcPr>
                  <w:tcW w:w="696" w:type="dxa"/>
                  <w:vAlign w:val="center"/>
                </w:tcPr>
                <w:p>
                  <w:pPr>
                    <w:spacing w:line="240" w:lineRule="auto"/>
                    <w:ind w:firstLine="0" w:firstLineChars="0"/>
                    <w:jc w:val="center"/>
                    <w:rPr>
                      <w:color w:val="auto"/>
                      <w:sz w:val="21"/>
                      <w:szCs w:val="21"/>
                    </w:rPr>
                  </w:pPr>
                  <w:r>
                    <w:rPr>
                      <w:rFonts w:hint="eastAsia"/>
                      <w:color w:val="auto"/>
                      <w:sz w:val="21"/>
                      <w:szCs w:val="21"/>
                    </w:rPr>
                    <w:t>锅炉用水</w:t>
                  </w:r>
                </w:p>
              </w:tc>
              <w:tc>
                <w:tcPr>
                  <w:tcW w:w="668"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750" w:type="dxa"/>
                  <w:vAlign w:val="center"/>
                </w:tcPr>
                <w:p>
                  <w:pPr>
                    <w:spacing w:line="240" w:lineRule="auto"/>
                    <w:ind w:firstLine="0" w:firstLineChars="0"/>
                    <w:jc w:val="center"/>
                    <w:rPr>
                      <w:color w:val="auto"/>
                      <w:sz w:val="21"/>
                      <w:szCs w:val="21"/>
                    </w:rPr>
                  </w:pPr>
                  <w:r>
                    <w:rPr>
                      <w:rFonts w:hint="eastAsia"/>
                      <w:color w:val="auto"/>
                      <w:sz w:val="21"/>
                      <w:szCs w:val="21"/>
                    </w:rPr>
                    <w:t>453.6</w:t>
                  </w:r>
                </w:p>
              </w:tc>
              <w:tc>
                <w:tcPr>
                  <w:tcW w:w="668"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491"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709"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495" w:type="dxa"/>
                  <w:vAlign w:val="center"/>
                </w:tcPr>
                <w:p>
                  <w:pPr>
                    <w:spacing w:line="240" w:lineRule="auto"/>
                    <w:ind w:firstLine="0" w:firstLineChars="0"/>
                    <w:jc w:val="center"/>
                    <w:rPr>
                      <w:color w:val="auto"/>
                      <w:sz w:val="21"/>
                      <w:szCs w:val="21"/>
                    </w:rPr>
                  </w:pPr>
                  <w:r>
                    <w:rPr>
                      <w:rFonts w:hint="eastAsia"/>
                      <w:color w:val="auto"/>
                      <w:sz w:val="21"/>
                      <w:szCs w:val="21"/>
                    </w:rPr>
                    <w:t>432</w:t>
                  </w:r>
                </w:p>
              </w:tc>
              <w:tc>
                <w:tcPr>
                  <w:tcW w:w="691" w:type="dxa"/>
                  <w:vAlign w:val="center"/>
                </w:tcPr>
                <w:p>
                  <w:pPr>
                    <w:spacing w:line="240" w:lineRule="auto"/>
                    <w:ind w:firstLine="0" w:firstLineChars="0"/>
                    <w:jc w:val="center"/>
                    <w:rPr>
                      <w:color w:val="auto"/>
                      <w:sz w:val="21"/>
                      <w:szCs w:val="21"/>
                    </w:rPr>
                  </w:pPr>
                  <w:r>
                    <w:rPr>
                      <w:rFonts w:hint="eastAsia"/>
                      <w:color w:val="auto"/>
                      <w:sz w:val="21"/>
                      <w:szCs w:val="21"/>
                    </w:rPr>
                    <w:t>21.6</w:t>
                  </w:r>
                </w:p>
              </w:tc>
              <w:tc>
                <w:tcPr>
                  <w:tcW w:w="641" w:type="dxa"/>
                  <w:vAlign w:val="center"/>
                </w:tcPr>
                <w:p>
                  <w:pPr>
                    <w:spacing w:line="240" w:lineRule="auto"/>
                    <w:ind w:firstLine="0" w:firstLineChars="0"/>
                    <w:jc w:val="center"/>
                    <w:rPr>
                      <w:color w:val="auto"/>
                      <w:sz w:val="21"/>
                      <w:szCs w:val="21"/>
                    </w:rPr>
                  </w:pPr>
                  <w:r>
                    <w:rPr>
                      <w:rFonts w:hint="eastAsia"/>
                      <w:color w:val="auto"/>
                      <w:sz w:val="21"/>
                      <w:szCs w:val="21"/>
                    </w:rPr>
                    <w:t>21.6</w:t>
                  </w:r>
                </w:p>
              </w:tc>
              <w:tc>
                <w:tcPr>
                  <w:tcW w:w="1775" w:type="dxa"/>
                  <w:vMerge w:val="restart"/>
                  <w:vAlign w:val="center"/>
                </w:tcPr>
                <w:p>
                  <w:pPr>
                    <w:spacing w:line="240" w:lineRule="auto"/>
                    <w:ind w:firstLine="0" w:firstLineChars="0"/>
                    <w:jc w:val="center"/>
                    <w:rPr>
                      <w:color w:val="auto"/>
                      <w:sz w:val="21"/>
                      <w:szCs w:val="21"/>
                    </w:rPr>
                  </w:pPr>
                  <w:r>
                    <w:rPr>
                      <w:rFonts w:hint="eastAsia"/>
                      <w:color w:val="auto"/>
                      <w:sz w:val="21"/>
                      <w:szCs w:val="21"/>
                    </w:rPr>
                    <w:t>排污废水收集至自建污水处理站处理达准后，一部分返回天然气蒸汽锅炉用于蒸汽再生产，一部分返回喷淋冷凝管道用于水蒸气冷凝、剩余部分用于厂区、煤棚洒水降尘及反冲洗用水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3" w:type="dxa"/>
                  <w:vAlign w:val="center"/>
                </w:tcPr>
                <w:p>
                  <w:pPr>
                    <w:spacing w:line="240" w:lineRule="auto"/>
                    <w:ind w:firstLine="0" w:firstLineChars="0"/>
                    <w:jc w:val="center"/>
                    <w:rPr>
                      <w:color w:val="auto"/>
                      <w:sz w:val="21"/>
                      <w:szCs w:val="21"/>
                    </w:rPr>
                  </w:pPr>
                  <w:r>
                    <w:rPr>
                      <w:rFonts w:hint="eastAsia"/>
                      <w:color w:val="auto"/>
                      <w:sz w:val="21"/>
                      <w:szCs w:val="21"/>
                    </w:rPr>
                    <w:t>4</w:t>
                  </w:r>
                </w:p>
              </w:tc>
              <w:tc>
                <w:tcPr>
                  <w:tcW w:w="696" w:type="dxa"/>
                  <w:vAlign w:val="center"/>
                </w:tcPr>
                <w:p>
                  <w:pPr>
                    <w:spacing w:line="240" w:lineRule="auto"/>
                    <w:ind w:firstLine="0" w:firstLineChars="0"/>
                    <w:jc w:val="center"/>
                    <w:rPr>
                      <w:color w:val="auto"/>
                      <w:sz w:val="21"/>
                      <w:szCs w:val="21"/>
                    </w:rPr>
                  </w:pPr>
                  <w:r>
                    <w:rPr>
                      <w:rFonts w:hint="eastAsia"/>
                      <w:color w:val="auto"/>
                      <w:sz w:val="21"/>
                      <w:szCs w:val="21"/>
                    </w:rPr>
                    <w:t>蒸汽压力釜</w:t>
                  </w:r>
                </w:p>
              </w:tc>
              <w:tc>
                <w:tcPr>
                  <w:tcW w:w="668"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750"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668"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491" w:type="dxa"/>
                  <w:vAlign w:val="center"/>
                </w:tcPr>
                <w:p>
                  <w:pPr>
                    <w:spacing w:line="240" w:lineRule="auto"/>
                    <w:ind w:firstLine="0" w:firstLineChars="0"/>
                    <w:jc w:val="center"/>
                    <w:rPr>
                      <w:color w:val="auto"/>
                      <w:sz w:val="21"/>
                      <w:szCs w:val="21"/>
                    </w:rPr>
                  </w:pPr>
                  <w:r>
                    <w:rPr>
                      <w:rFonts w:hint="eastAsia"/>
                      <w:color w:val="auto"/>
                      <w:sz w:val="21"/>
                      <w:szCs w:val="21"/>
                    </w:rPr>
                    <w:t>432</w:t>
                  </w:r>
                </w:p>
              </w:tc>
              <w:tc>
                <w:tcPr>
                  <w:tcW w:w="709" w:type="dxa"/>
                  <w:vAlign w:val="center"/>
                </w:tcPr>
                <w:p>
                  <w:pPr>
                    <w:spacing w:line="240" w:lineRule="auto"/>
                    <w:ind w:firstLine="0" w:firstLineChars="0"/>
                    <w:jc w:val="center"/>
                    <w:rPr>
                      <w:color w:val="auto"/>
                      <w:sz w:val="21"/>
                      <w:szCs w:val="21"/>
                    </w:rPr>
                  </w:pPr>
                  <w:r>
                    <w:rPr>
                      <w:rFonts w:hint="eastAsia"/>
                      <w:color w:val="auto"/>
                      <w:sz w:val="21"/>
                      <w:szCs w:val="21"/>
                    </w:rPr>
                    <w:t>259.70</w:t>
                  </w:r>
                </w:p>
              </w:tc>
              <w:tc>
                <w:tcPr>
                  <w:tcW w:w="495" w:type="dxa"/>
                  <w:vAlign w:val="center"/>
                </w:tcPr>
                <w:p>
                  <w:pPr>
                    <w:spacing w:line="240" w:lineRule="auto"/>
                    <w:ind w:firstLine="0" w:firstLineChars="0"/>
                    <w:jc w:val="center"/>
                    <w:rPr>
                      <w:color w:val="auto"/>
                      <w:sz w:val="21"/>
                      <w:szCs w:val="21"/>
                    </w:rPr>
                  </w:pPr>
                  <w:r>
                    <w:rPr>
                      <w:rFonts w:hint="eastAsia"/>
                      <w:color w:val="auto"/>
                      <w:sz w:val="21"/>
                      <w:szCs w:val="21"/>
                    </w:rPr>
                    <w:t>80.87</w:t>
                  </w:r>
                </w:p>
              </w:tc>
              <w:tc>
                <w:tcPr>
                  <w:tcW w:w="691"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641" w:type="dxa"/>
                  <w:vAlign w:val="center"/>
                </w:tcPr>
                <w:p>
                  <w:pPr>
                    <w:spacing w:line="240" w:lineRule="auto"/>
                    <w:ind w:firstLine="0" w:firstLineChars="0"/>
                    <w:jc w:val="center"/>
                    <w:rPr>
                      <w:color w:val="auto"/>
                      <w:sz w:val="21"/>
                      <w:szCs w:val="21"/>
                    </w:rPr>
                  </w:pPr>
                  <w:r>
                    <w:rPr>
                      <w:rFonts w:hint="eastAsia"/>
                      <w:color w:val="auto"/>
                      <w:sz w:val="21"/>
                      <w:szCs w:val="21"/>
                    </w:rPr>
                    <w:t>610.83</w:t>
                  </w:r>
                </w:p>
              </w:tc>
              <w:tc>
                <w:tcPr>
                  <w:tcW w:w="1775" w:type="dxa"/>
                  <w:vMerge w:val="continue"/>
                  <w:vAlign w:val="center"/>
                </w:tcPr>
                <w:p>
                  <w:pPr>
                    <w:spacing w:line="240" w:lineRule="auto"/>
                    <w:ind w:firstLine="0" w:firstLineChars="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3" w:type="dxa"/>
                  <w:vAlign w:val="center"/>
                </w:tcPr>
                <w:p>
                  <w:pPr>
                    <w:spacing w:line="240" w:lineRule="auto"/>
                    <w:ind w:firstLine="0" w:firstLineChars="0"/>
                    <w:jc w:val="center"/>
                    <w:rPr>
                      <w:color w:val="auto"/>
                      <w:sz w:val="21"/>
                      <w:szCs w:val="21"/>
                    </w:rPr>
                  </w:pPr>
                  <w:r>
                    <w:rPr>
                      <w:rFonts w:hint="eastAsia"/>
                      <w:color w:val="auto"/>
                      <w:sz w:val="21"/>
                      <w:szCs w:val="21"/>
                    </w:rPr>
                    <w:t>5</w:t>
                  </w:r>
                </w:p>
              </w:tc>
              <w:tc>
                <w:tcPr>
                  <w:tcW w:w="696" w:type="dxa"/>
                  <w:vAlign w:val="center"/>
                </w:tcPr>
                <w:p>
                  <w:pPr>
                    <w:spacing w:line="240" w:lineRule="auto"/>
                    <w:ind w:firstLine="0" w:firstLineChars="0"/>
                    <w:jc w:val="center"/>
                    <w:rPr>
                      <w:color w:val="auto"/>
                      <w:sz w:val="21"/>
                      <w:szCs w:val="21"/>
                    </w:rPr>
                  </w:pPr>
                  <w:r>
                    <w:rPr>
                      <w:rFonts w:hint="eastAsia"/>
                      <w:color w:val="auto"/>
                      <w:sz w:val="21"/>
                      <w:szCs w:val="21"/>
                    </w:rPr>
                    <w:t>喷淋冷凝管</w:t>
                  </w:r>
                </w:p>
              </w:tc>
              <w:tc>
                <w:tcPr>
                  <w:tcW w:w="668"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750"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668"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491" w:type="dxa"/>
                  <w:vAlign w:val="center"/>
                </w:tcPr>
                <w:p>
                  <w:pPr>
                    <w:spacing w:line="240" w:lineRule="auto"/>
                    <w:ind w:firstLine="0" w:firstLineChars="0"/>
                    <w:jc w:val="center"/>
                    <w:rPr>
                      <w:color w:val="auto"/>
                      <w:sz w:val="21"/>
                      <w:szCs w:val="21"/>
                    </w:rPr>
                  </w:pPr>
                  <w:r>
                    <w:rPr>
                      <w:rFonts w:hint="eastAsia"/>
                      <w:color w:val="auto"/>
                      <w:sz w:val="21"/>
                      <w:szCs w:val="21"/>
                    </w:rPr>
                    <w:t>610.83</w:t>
                  </w:r>
                </w:p>
              </w:tc>
              <w:tc>
                <w:tcPr>
                  <w:tcW w:w="709" w:type="dxa"/>
                  <w:vAlign w:val="center"/>
                </w:tcPr>
                <w:p>
                  <w:pPr>
                    <w:spacing w:line="240" w:lineRule="auto"/>
                    <w:ind w:firstLine="0" w:firstLineChars="0"/>
                    <w:jc w:val="center"/>
                    <w:rPr>
                      <w:color w:val="auto"/>
                      <w:sz w:val="21"/>
                      <w:szCs w:val="21"/>
                    </w:rPr>
                  </w:pPr>
                  <w:r>
                    <w:rPr>
                      <w:rFonts w:hint="eastAsia"/>
                      <w:color w:val="auto"/>
                      <w:sz w:val="21"/>
                      <w:szCs w:val="21"/>
                    </w:rPr>
                    <w:t>0</w:t>
                  </w:r>
                </w:p>
              </w:tc>
              <w:tc>
                <w:tcPr>
                  <w:tcW w:w="495" w:type="dxa"/>
                  <w:vAlign w:val="center"/>
                </w:tcPr>
                <w:p>
                  <w:pPr>
                    <w:spacing w:line="240" w:lineRule="auto"/>
                    <w:ind w:firstLine="0" w:firstLineChars="0"/>
                    <w:jc w:val="center"/>
                    <w:rPr>
                      <w:color w:val="auto"/>
                      <w:sz w:val="21"/>
                      <w:szCs w:val="21"/>
                    </w:rPr>
                  </w:pPr>
                  <w:r>
                    <w:rPr>
                      <w:rFonts w:hint="eastAsia"/>
                      <w:color w:val="auto"/>
                      <w:sz w:val="21"/>
                      <w:szCs w:val="21"/>
                    </w:rPr>
                    <w:t>122.17</w:t>
                  </w:r>
                </w:p>
              </w:tc>
              <w:tc>
                <w:tcPr>
                  <w:tcW w:w="691" w:type="dxa"/>
                  <w:vAlign w:val="center"/>
                </w:tcPr>
                <w:p>
                  <w:pPr>
                    <w:spacing w:line="240" w:lineRule="auto"/>
                    <w:ind w:firstLine="0" w:firstLineChars="0"/>
                    <w:jc w:val="center"/>
                    <w:rPr>
                      <w:color w:val="auto"/>
                      <w:sz w:val="21"/>
                      <w:szCs w:val="21"/>
                    </w:rPr>
                  </w:pPr>
                  <w:r>
                    <w:rPr>
                      <w:rFonts w:hint="eastAsia"/>
                      <w:color w:val="auto"/>
                      <w:sz w:val="21"/>
                      <w:szCs w:val="21"/>
                    </w:rPr>
                    <w:t>122.17</w:t>
                  </w:r>
                </w:p>
              </w:tc>
              <w:tc>
                <w:tcPr>
                  <w:tcW w:w="641" w:type="dxa"/>
                  <w:vAlign w:val="center"/>
                </w:tcPr>
                <w:p>
                  <w:pPr>
                    <w:spacing w:line="240" w:lineRule="auto"/>
                    <w:ind w:firstLine="0" w:firstLineChars="0"/>
                    <w:jc w:val="center"/>
                    <w:rPr>
                      <w:color w:val="auto"/>
                      <w:sz w:val="21"/>
                      <w:szCs w:val="21"/>
                    </w:rPr>
                  </w:pPr>
                  <w:r>
                    <w:rPr>
                      <w:rFonts w:hint="eastAsia"/>
                      <w:color w:val="auto"/>
                      <w:sz w:val="21"/>
                      <w:szCs w:val="21"/>
                    </w:rPr>
                    <w:t>488.66</w:t>
                  </w:r>
                </w:p>
              </w:tc>
              <w:tc>
                <w:tcPr>
                  <w:tcW w:w="1775" w:type="dxa"/>
                  <w:vMerge w:val="continue"/>
                  <w:vAlign w:val="center"/>
                </w:tcPr>
                <w:p>
                  <w:pPr>
                    <w:spacing w:line="240" w:lineRule="auto"/>
                    <w:ind w:firstLine="0" w:firstLineChars="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1109" w:type="dxa"/>
                  <w:gridSpan w:val="2"/>
                  <w:vAlign w:val="center"/>
                </w:tcPr>
                <w:p>
                  <w:pPr>
                    <w:spacing w:line="240" w:lineRule="auto"/>
                    <w:ind w:firstLine="0" w:firstLineChars="0"/>
                    <w:jc w:val="center"/>
                    <w:rPr>
                      <w:color w:val="auto"/>
                      <w:sz w:val="21"/>
                      <w:szCs w:val="21"/>
                    </w:rPr>
                  </w:pPr>
                  <w:r>
                    <w:rPr>
                      <w:color w:val="auto"/>
                      <w:sz w:val="21"/>
                      <w:szCs w:val="21"/>
                    </w:rPr>
                    <w:t>合计</w:t>
                  </w:r>
                </w:p>
              </w:tc>
              <w:tc>
                <w:tcPr>
                  <w:tcW w:w="668" w:type="dxa"/>
                  <w:vAlign w:val="center"/>
                </w:tcPr>
                <w:p>
                  <w:pPr>
                    <w:spacing w:line="240" w:lineRule="auto"/>
                    <w:ind w:firstLine="0" w:firstLineChars="0"/>
                    <w:jc w:val="center"/>
                    <w:rPr>
                      <w:color w:val="auto"/>
                      <w:sz w:val="21"/>
                      <w:szCs w:val="21"/>
                    </w:rPr>
                  </w:pPr>
                  <w:r>
                    <w:rPr>
                      <w:rFonts w:hint="eastAsia"/>
                      <w:color w:val="auto"/>
                      <w:sz w:val="21"/>
                      <w:szCs w:val="21"/>
                    </w:rPr>
                    <w:t>567</w:t>
                  </w:r>
                </w:p>
              </w:tc>
              <w:tc>
                <w:tcPr>
                  <w:tcW w:w="750" w:type="dxa"/>
                  <w:vAlign w:val="center"/>
                </w:tcPr>
                <w:p>
                  <w:pPr>
                    <w:spacing w:line="240" w:lineRule="auto"/>
                    <w:ind w:firstLine="0" w:firstLineChars="0"/>
                    <w:jc w:val="center"/>
                    <w:rPr>
                      <w:color w:val="auto"/>
                      <w:sz w:val="21"/>
                      <w:szCs w:val="21"/>
                    </w:rPr>
                  </w:pPr>
                  <w:r>
                    <w:rPr>
                      <w:rFonts w:hint="eastAsia"/>
                      <w:color w:val="auto"/>
                      <w:sz w:val="21"/>
                      <w:szCs w:val="21"/>
                    </w:rPr>
                    <w:t>453.6</w:t>
                  </w:r>
                </w:p>
              </w:tc>
              <w:tc>
                <w:tcPr>
                  <w:tcW w:w="668" w:type="dxa"/>
                  <w:vAlign w:val="center"/>
                </w:tcPr>
                <w:p>
                  <w:pPr>
                    <w:spacing w:line="240" w:lineRule="auto"/>
                    <w:ind w:firstLine="0" w:firstLineChars="0"/>
                    <w:jc w:val="center"/>
                    <w:rPr>
                      <w:color w:val="auto"/>
                      <w:sz w:val="21"/>
                      <w:szCs w:val="21"/>
                    </w:rPr>
                  </w:pPr>
                  <w:r>
                    <w:rPr>
                      <w:rFonts w:hint="eastAsia"/>
                      <w:color w:val="auto"/>
                      <w:sz w:val="21"/>
                      <w:szCs w:val="21"/>
                    </w:rPr>
                    <w:t>2.25</w:t>
                  </w:r>
                </w:p>
              </w:tc>
              <w:tc>
                <w:tcPr>
                  <w:tcW w:w="491" w:type="dxa"/>
                  <w:vAlign w:val="center"/>
                </w:tcPr>
                <w:p>
                  <w:pPr>
                    <w:spacing w:line="240" w:lineRule="auto"/>
                    <w:ind w:firstLine="0" w:firstLineChars="0"/>
                    <w:jc w:val="center"/>
                    <w:rPr>
                      <w:color w:val="auto"/>
                      <w:sz w:val="21"/>
                      <w:szCs w:val="21"/>
                    </w:rPr>
                  </w:pPr>
                  <w:r>
                    <w:rPr>
                      <w:rFonts w:hint="eastAsia"/>
                      <w:color w:val="auto"/>
                      <w:sz w:val="21"/>
                      <w:szCs w:val="21"/>
                    </w:rPr>
                    <w:fldChar w:fldCharType="begin"/>
                  </w:r>
                  <w:r>
                    <w:rPr>
                      <w:rFonts w:hint="eastAsia"/>
                      <w:color w:val="auto"/>
                      <w:sz w:val="21"/>
                      <w:szCs w:val="21"/>
                    </w:rPr>
                    <w:instrText xml:space="preserve"> = sum(F5:F6) \* MERGEFORMAT </w:instrText>
                  </w:r>
                  <w:r>
                    <w:rPr>
                      <w:rFonts w:hint="eastAsia"/>
                      <w:color w:val="auto"/>
                      <w:sz w:val="21"/>
                      <w:szCs w:val="21"/>
                    </w:rPr>
                    <w:fldChar w:fldCharType="separate"/>
                  </w:r>
                  <w:r>
                    <w:rPr>
                      <w:rFonts w:hint="eastAsia"/>
                      <w:color w:val="auto"/>
                      <w:sz w:val="21"/>
                      <w:szCs w:val="21"/>
                    </w:rPr>
                    <w:t>1042.83</w:t>
                  </w:r>
                  <w:r>
                    <w:rPr>
                      <w:rFonts w:hint="eastAsia"/>
                      <w:color w:val="auto"/>
                      <w:sz w:val="21"/>
                      <w:szCs w:val="21"/>
                    </w:rPr>
                    <w:fldChar w:fldCharType="end"/>
                  </w:r>
                </w:p>
              </w:tc>
              <w:tc>
                <w:tcPr>
                  <w:tcW w:w="709" w:type="dxa"/>
                  <w:vAlign w:val="center"/>
                </w:tcPr>
                <w:p>
                  <w:pPr>
                    <w:spacing w:line="240" w:lineRule="auto"/>
                    <w:ind w:firstLine="0" w:firstLineChars="0"/>
                    <w:jc w:val="center"/>
                    <w:rPr>
                      <w:color w:val="auto"/>
                      <w:sz w:val="21"/>
                      <w:szCs w:val="21"/>
                    </w:rPr>
                  </w:pPr>
                  <w:r>
                    <w:rPr>
                      <w:rFonts w:hint="eastAsia"/>
                      <w:color w:val="auto"/>
                      <w:sz w:val="21"/>
                      <w:szCs w:val="21"/>
                    </w:rPr>
                    <w:t>259.70</w:t>
                  </w:r>
                </w:p>
              </w:tc>
              <w:tc>
                <w:tcPr>
                  <w:tcW w:w="495" w:type="dxa"/>
                  <w:vAlign w:val="center"/>
                </w:tcPr>
                <w:p>
                  <w:pPr>
                    <w:spacing w:line="240" w:lineRule="auto"/>
                    <w:ind w:firstLine="0" w:firstLineChars="0"/>
                    <w:jc w:val="center"/>
                    <w:rPr>
                      <w:color w:val="auto"/>
                      <w:sz w:val="21"/>
                      <w:szCs w:val="21"/>
                    </w:rPr>
                  </w:pPr>
                  <w:r>
                    <w:rPr>
                      <w:color w:val="auto"/>
                      <w:sz w:val="21"/>
                      <w:szCs w:val="21"/>
                    </w:rPr>
                    <w:fldChar w:fldCharType="begin"/>
                  </w:r>
                  <w:r>
                    <w:rPr>
                      <w:color w:val="auto"/>
                      <w:sz w:val="21"/>
                      <w:szCs w:val="21"/>
                    </w:rPr>
                    <w:instrText xml:space="preserve"> = sum(H2:H6) \* MERGEFORMAT </w:instrText>
                  </w:r>
                  <w:r>
                    <w:rPr>
                      <w:color w:val="auto"/>
                      <w:sz w:val="21"/>
                      <w:szCs w:val="21"/>
                    </w:rPr>
                    <w:fldChar w:fldCharType="separate"/>
                  </w:r>
                  <w:r>
                    <w:rPr>
                      <w:color w:val="auto"/>
                      <w:sz w:val="21"/>
                      <w:szCs w:val="21"/>
                    </w:rPr>
                    <w:t>1090.89</w:t>
                  </w:r>
                  <w:r>
                    <w:rPr>
                      <w:color w:val="auto"/>
                      <w:sz w:val="21"/>
                      <w:szCs w:val="21"/>
                    </w:rPr>
                    <w:fldChar w:fldCharType="end"/>
                  </w:r>
                </w:p>
              </w:tc>
              <w:tc>
                <w:tcPr>
                  <w:tcW w:w="691" w:type="dxa"/>
                  <w:vAlign w:val="center"/>
                </w:tcPr>
                <w:p>
                  <w:pPr>
                    <w:spacing w:line="240" w:lineRule="auto"/>
                    <w:ind w:firstLine="0" w:firstLineChars="0"/>
                    <w:jc w:val="center"/>
                    <w:rPr>
                      <w:color w:val="auto"/>
                      <w:sz w:val="21"/>
                      <w:szCs w:val="21"/>
                    </w:rPr>
                  </w:pPr>
                  <w:r>
                    <w:rPr>
                      <w:color w:val="auto"/>
                      <w:sz w:val="21"/>
                      <w:szCs w:val="21"/>
                    </w:rPr>
                    <w:fldChar w:fldCharType="begin"/>
                  </w:r>
                  <w:r>
                    <w:rPr>
                      <w:color w:val="auto"/>
                      <w:sz w:val="21"/>
                      <w:szCs w:val="21"/>
                    </w:rPr>
                    <w:instrText xml:space="preserve"> = sum(I4:I6) \* MERGEFORMAT </w:instrText>
                  </w:r>
                  <w:r>
                    <w:rPr>
                      <w:color w:val="auto"/>
                      <w:sz w:val="21"/>
                      <w:szCs w:val="21"/>
                    </w:rPr>
                    <w:fldChar w:fldCharType="separate"/>
                  </w:r>
                  <w:r>
                    <w:rPr>
                      <w:color w:val="auto"/>
                      <w:sz w:val="21"/>
                      <w:szCs w:val="21"/>
                    </w:rPr>
                    <w:t>143.77</w:t>
                  </w:r>
                  <w:r>
                    <w:rPr>
                      <w:color w:val="auto"/>
                      <w:sz w:val="21"/>
                      <w:szCs w:val="21"/>
                    </w:rPr>
                    <w:fldChar w:fldCharType="end"/>
                  </w:r>
                </w:p>
              </w:tc>
              <w:tc>
                <w:tcPr>
                  <w:tcW w:w="641" w:type="dxa"/>
                  <w:vAlign w:val="center"/>
                </w:tcPr>
                <w:p>
                  <w:pPr>
                    <w:spacing w:line="240" w:lineRule="auto"/>
                    <w:ind w:firstLine="0" w:firstLineChars="0"/>
                    <w:jc w:val="center"/>
                    <w:rPr>
                      <w:color w:val="auto"/>
                      <w:sz w:val="21"/>
                      <w:szCs w:val="21"/>
                    </w:rPr>
                  </w:pPr>
                  <w:r>
                    <w:rPr>
                      <w:color w:val="auto"/>
                      <w:sz w:val="21"/>
                      <w:szCs w:val="21"/>
                    </w:rPr>
                    <w:fldChar w:fldCharType="begin"/>
                  </w:r>
                  <w:r>
                    <w:rPr>
                      <w:color w:val="auto"/>
                      <w:sz w:val="21"/>
                      <w:szCs w:val="21"/>
                    </w:rPr>
                    <w:instrText xml:space="preserve"> = sum(J3:J6) \* MERGEFORMAT </w:instrText>
                  </w:r>
                  <w:r>
                    <w:rPr>
                      <w:color w:val="auto"/>
                      <w:sz w:val="21"/>
                      <w:szCs w:val="21"/>
                    </w:rPr>
                    <w:fldChar w:fldCharType="separate"/>
                  </w:r>
                  <w:r>
                    <w:rPr>
                      <w:color w:val="auto"/>
                      <w:sz w:val="21"/>
                      <w:szCs w:val="21"/>
                    </w:rPr>
                    <w:t>1234.49</w:t>
                  </w:r>
                  <w:r>
                    <w:rPr>
                      <w:color w:val="auto"/>
                      <w:sz w:val="21"/>
                      <w:szCs w:val="21"/>
                    </w:rPr>
                    <w:fldChar w:fldCharType="end"/>
                  </w:r>
                </w:p>
              </w:tc>
              <w:tc>
                <w:tcPr>
                  <w:tcW w:w="1775" w:type="dxa"/>
                  <w:vAlign w:val="center"/>
                </w:tcPr>
                <w:p>
                  <w:pPr>
                    <w:spacing w:line="240" w:lineRule="auto"/>
                    <w:ind w:firstLine="0" w:firstLineChars="0"/>
                    <w:jc w:val="center"/>
                    <w:rPr>
                      <w:color w:val="auto"/>
                      <w:sz w:val="21"/>
                      <w:szCs w:val="21"/>
                    </w:rPr>
                  </w:pPr>
                </w:p>
              </w:tc>
            </w:tr>
          </w:tbl>
          <w:p>
            <w:pPr>
              <w:ind w:firstLine="482"/>
              <w:rPr>
                <w:b/>
                <w:bCs/>
                <w:color w:val="auto"/>
              </w:rPr>
            </w:pPr>
            <w:r>
              <w:rPr>
                <w:b/>
                <w:bCs/>
                <w:color w:val="auto"/>
              </w:rPr>
              <w:t>（3）供热工程</w:t>
            </w:r>
          </w:p>
          <w:p>
            <w:pPr>
              <w:ind w:firstLine="480"/>
              <w:rPr>
                <w:color w:val="auto"/>
              </w:rPr>
            </w:pPr>
            <w:r>
              <w:rPr>
                <w:color w:val="auto"/>
              </w:rPr>
              <w:t>本项目生活区供暖依托厂区内现有供暖方式进行供暖，干燥车间无需供暖，煤炭</w:t>
            </w:r>
            <w:r>
              <w:rPr>
                <w:rFonts w:hint="eastAsia"/>
                <w:color w:val="auto"/>
              </w:rPr>
              <w:t>烘干</w:t>
            </w:r>
            <w:r>
              <w:rPr>
                <w:color w:val="auto"/>
              </w:rPr>
              <w:t>热源采用天然气蒸汽锅炉进行供热。</w:t>
            </w:r>
          </w:p>
          <w:p>
            <w:pPr>
              <w:ind w:firstLine="482"/>
              <w:rPr>
                <w:b/>
                <w:bCs/>
                <w:color w:val="auto"/>
              </w:rPr>
            </w:pPr>
            <w:r>
              <w:rPr>
                <w:b/>
                <w:bCs/>
                <w:color w:val="auto"/>
              </w:rPr>
              <w:t>（4）供电工程</w:t>
            </w:r>
          </w:p>
          <w:p>
            <w:pPr>
              <w:ind w:firstLine="480"/>
              <w:rPr>
                <w:color w:val="auto"/>
              </w:rPr>
            </w:pPr>
            <w:r>
              <w:rPr>
                <w:color w:val="auto"/>
              </w:rPr>
              <w:t>本项目依托现有供电系统进行供电，采用札萨克镇新街区</w:t>
            </w:r>
            <w:r>
              <w:rPr>
                <w:rFonts w:hint="eastAsia"/>
                <w:color w:val="auto"/>
              </w:rPr>
              <w:t>马秦壕</w:t>
            </w:r>
            <w:r>
              <w:rPr>
                <w:color w:val="auto"/>
              </w:rPr>
              <w:t>变电站供电，年用电为150万kW·h/a。</w:t>
            </w:r>
          </w:p>
          <w:p>
            <w:pPr>
              <w:ind w:firstLine="482"/>
              <w:rPr>
                <w:b/>
                <w:bCs/>
                <w:color w:val="auto"/>
              </w:rPr>
            </w:pPr>
            <w:r>
              <w:rPr>
                <w:rFonts w:hint="eastAsia"/>
                <w:b/>
                <w:bCs/>
                <w:color w:val="auto"/>
                <w:lang w:eastAsia="zh-CN"/>
              </w:rPr>
              <w:t>7.</w:t>
            </w:r>
            <w:r>
              <w:rPr>
                <w:b/>
                <w:bCs/>
                <w:color w:val="auto"/>
              </w:rPr>
              <w:t>平面布置图</w:t>
            </w:r>
          </w:p>
          <w:p>
            <w:pPr>
              <w:ind w:firstLine="480"/>
              <w:rPr>
                <w:color w:val="auto"/>
              </w:rPr>
            </w:pPr>
            <w:r>
              <w:rPr>
                <w:color w:val="auto"/>
              </w:rPr>
              <w:t>项目利用现有工业场地内的空闲4#-1全封闭煤棚及4#-3全封闭煤棚进行本项目的建设，4#-1全封闭煤棚建设面积为3600㎡，作为本项目的原料储棚，用于本项目的原料煤存储；全封闭4#-3全封闭煤棚建筑面积为5600㎡，用作本项目的干燥车间，用于原料的烘干，全封闭干燥车间内设置一条煤烘干生产线，全封闭干燥车间内的东南角处用于烘干煤炭成品的堆存，废水处理站</w:t>
            </w:r>
            <w:r>
              <w:rPr>
                <w:rFonts w:hint="eastAsia"/>
                <w:color w:val="auto"/>
              </w:rPr>
              <w:t>位于厂区的西南侧</w:t>
            </w:r>
            <w:r>
              <w:rPr>
                <w:color w:val="auto"/>
              </w:rPr>
              <w:t>，办公区位于干燥车间的西北侧建设，</w:t>
            </w:r>
            <w:r>
              <w:rPr>
                <w:rFonts w:hint="eastAsia"/>
                <w:color w:val="auto"/>
              </w:rPr>
              <w:t>项目厂区的西北侧建设锅炉房</w:t>
            </w:r>
            <w:r>
              <w:rPr>
                <w:color w:val="auto"/>
              </w:rPr>
              <w:t>，本项目的平面布置图见附图</w:t>
            </w:r>
            <w:r>
              <w:rPr>
                <w:rFonts w:hint="eastAsia"/>
                <w:color w:val="auto"/>
              </w:rPr>
              <w:t>5</w:t>
            </w:r>
            <w:r>
              <w:rPr>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823" w:type="dxa"/>
            <w:vAlign w:val="center"/>
          </w:tcPr>
          <w:p>
            <w:pPr>
              <w:pStyle w:val="18"/>
              <w:adjustRightInd w:val="0"/>
              <w:snapToGrid w:val="0"/>
              <w:spacing w:before="0" w:beforeAutospacing="0" w:after="0" w:afterAutospacing="0"/>
              <w:ind w:firstLine="0" w:firstLineChars="0"/>
              <w:jc w:val="center"/>
              <w:rPr>
                <w:rFonts w:ascii="Times New Roman" w:hAnsi="Times New Roman"/>
                <w:color w:val="auto"/>
                <w:szCs w:val="24"/>
              </w:rPr>
            </w:pPr>
            <w:r>
              <w:rPr>
                <w:rFonts w:ascii="Times New Roman" w:hAnsi="Times New Roman"/>
                <w:color w:val="auto"/>
                <w:szCs w:val="24"/>
              </w:rPr>
              <w:t>工艺流程和产排污环节</w:t>
            </w:r>
          </w:p>
        </w:tc>
        <w:tc>
          <w:tcPr>
            <w:tcW w:w="8161" w:type="dxa"/>
            <w:gridSpan w:val="2"/>
          </w:tcPr>
          <w:p>
            <w:pPr>
              <w:adjustRightInd w:val="0"/>
              <w:snapToGrid w:val="0"/>
              <w:ind w:firstLine="482"/>
              <w:rPr>
                <w:b/>
                <w:color w:val="auto"/>
              </w:rPr>
            </w:pPr>
            <w:r>
              <w:rPr>
                <w:b/>
                <w:color w:val="auto"/>
              </w:rPr>
              <w:t>一、施工期工艺流程及产排污环节</w:t>
            </w:r>
          </w:p>
          <w:p>
            <w:pPr>
              <w:adjustRightInd w:val="0"/>
              <w:snapToGrid w:val="0"/>
              <w:ind w:firstLine="482"/>
              <w:rPr>
                <w:b/>
                <w:color w:val="auto"/>
              </w:rPr>
            </w:pPr>
            <w:r>
              <w:rPr>
                <w:rFonts w:hint="eastAsia"/>
                <w:b/>
                <w:color w:val="auto"/>
                <w:lang w:eastAsia="zh-CN"/>
              </w:rPr>
              <w:t>1.</w:t>
            </w:r>
            <w:r>
              <w:rPr>
                <w:b/>
                <w:color w:val="auto"/>
              </w:rPr>
              <w:t>施工期工艺流程</w:t>
            </w:r>
          </w:p>
          <w:p>
            <w:pPr>
              <w:adjustRightInd w:val="0"/>
              <w:snapToGrid w:val="0"/>
              <w:ind w:firstLine="480"/>
              <w:rPr>
                <w:bCs/>
                <w:color w:val="auto"/>
              </w:rPr>
            </w:pPr>
            <w:r>
              <w:rPr>
                <w:bCs/>
                <w:color w:val="auto"/>
              </w:rPr>
              <w:t>本项目施工期间的基础工程、主体工程、设备安装、工程验收等建设工序将产生噪声、扬尘、固体废弃物、少量污水和废气等污染物。施工流程及产污节点见图2-</w:t>
            </w:r>
            <w:r>
              <w:rPr>
                <w:rFonts w:hint="eastAsia"/>
                <w:bCs/>
                <w:color w:val="auto"/>
              </w:rPr>
              <w:t>2</w:t>
            </w:r>
            <w:r>
              <w:rPr>
                <w:bCs/>
                <w:color w:val="auto"/>
              </w:rPr>
              <w:t>。</w:t>
            </w:r>
          </w:p>
          <w:p>
            <w:pPr>
              <w:adjustRightInd w:val="0"/>
              <w:snapToGrid w:val="0"/>
              <w:ind w:firstLine="0" w:firstLineChars="0"/>
              <w:rPr>
                <w:bCs/>
                <w:color w:val="auto"/>
              </w:rPr>
            </w:pPr>
            <w:r>
              <w:rPr>
                <w:bCs/>
                <w:color w:val="auto"/>
              </w:rPr>
              <w:drawing>
                <wp:inline distT="0" distB="0" distL="114300" distR="114300">
                  <wp:extent cx="5043805" cy="1403985"/>
                  <wp:effectExtent l="0" t="0" r="4445" b="5715"/>
                  <wp:docPr id="38" name="图片 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23"/>
                          <pic:cNvPicPr>
                            <a:picLocks noChangeAspect="true"/>
                          </pic:cNvPicPr>
                        </pic:nvPicPr>
                        <pic:blipFill>
                          <a:blip r:embed="rId20"/>
                          <a:stretch>
                            <a:fillRect/>
                          </a:stretch>
                        </pic:blipFill>
                        <pic:spPr>
                          <a:xfrm>
                            <a:off x="0" y="0"/>
                            <a:ext cx="5043805" cy="1403985"/>
                          </a:xfrm>
                          <a:prstGeom prst="rect">
                            <a:avLst/>
                          </a:prstGeom>
                          <a:noFill/>
                          <a:ln>
                            <a:noFill/>
                          </a:ln>
                        </pic:spPr>
                      </pic:pic>
                    </a:graphicData>
                  </a:graphic>
                </wp:inline>
              </w:drawing>
            </w:r>
          </w:p>
          <w:p>
            <w:pPr>
              <w:adjustRightInd w:val="0"/>
              <w:snapToGrid w:val="0"/>
              <w:ind w:firstLine="0" w:firstLineChars="0"/>
              <w:jc w:val="center"/>
              <w:rPr>
                <w:b/>
                <w:color w:val="auto"/>
              </w:rPr>
            </w:pPr>
            <w:r>
              <w:rPr>
                <w:b/>
                <w:color w:val="auto"/>
              </w:rPr>
              <w:t>图2-</w:t>
            </w:r>
            <w:r>
              <w:rPr>
                <w:rFonts w:hint="eastAsia"/>
                <w:b/>
                <w:color w:val="auto"/>
              </w:rPr>
              <w:t>2</w:t>
            </w:r>
            <w:r>
              <w:rPr>
                <w:b/>
                <w:color w:val="auto"/>
              </w:rPr>
              <w:t>施工期工艺流程及产排污环节</w:t>
            </w:r>
          </w:p>
          <w:p>
            <w:pPr>
              <w:adjustRightInd w:val="0"/>
              <w:snapToGrid w:val="0"/>
              <w:ind w:firstLine="482"/>
              <w:rPr>
                <w:b/>
                <w:color w:val="auto"/>
              </w:rPr>
            </w:pPr>
            <w:r>
              <w:rPr>
                <w:rFonts w:hint="eastAsia"/>
                <w:b/>
                <w:color w:val="auto"/>
                <w:lang w:eastAsia="zh-CN"/>
              </w:rPr>
              <w:t>2.</w:t>
            </w:r>
            <w:r>
              <w:rPr>
                <w:b/>
                <w:color w:val="auto"/>
              </w:rPr>
              <w:t>施工期产排污环节</w:t>
            </w:r>
          </w:p>
          <w:p>
            <w:pPr>
              <w:adjustRightInd w:val="0"/>
              <w:snapToGrid w:val="0"/>
              <w:ind w:firstLine="480"/>
              <w:rPr>
                <w:bCs/>
                <w:color w:val="auto"/>
              </w:rPr>
            </w:pPr>
            <w:r>
              <w:rPr>
                <w:bCs/>
                <w:color w:val="auto"/>
              </w:rPr>
              <w:t>（1）废气：地基开挖、建筑物料、弃土堆存等在风力作用下产生的地面扬尘；</w:t>
            </w:r>
          </w:p>
          <w:p>
            <w:pPr>
              <w:adjustRightInd w:val="0"/>
              <w:snapToGrid w:val="0"/>
              <w:ind w:firstLine="480"/>
              <w:rPr>
                <w:bCs/>
                <w:color w:val="auto"/>
              </w:rPr>
            </w:pPr>
            <w:r>
              <w:rPr>
                <w:bCs/>
                <w:color w:val="auto"/>
              </w:rPr>
              <w:t>（2）废水：施工泥浆废水、施工人员生活污水；</w:t>
            </w:r>
          </w:p>
          <w:p>
            <w:pPr>
              <w:adjustRightInd w:val="0"/>
              <w:snapToGrid w:val="0"/>
              <w:ind w:firstLine="480"/>
              <w:rPr>
                <w:bCs/>
                <w:color w:val="auto"/>
              </w:rPr>
            </w:pPr>
            <w:r>
              <w:rPr>
                <w:bCs/>
                <w:color w:val="auto"/>
              </w:rPr>
              <w:t>（3）噪声：建筑施工机械噪声及运输车辆噪声；</w:t>
            </w:r>
          </w:p>
          <w:p>
            <w:pPr>
              <w:adjustRightInd w:val="0"/>
              <w:snapToGrid w:val="0"/>
              <w:ind w:firstLine="480"/>
              <w:rPr>
                <w:bCs/>
                <w:color w:val="auto"/>
              </w:rPr>
            </w:pPr>
            <w:r>
              <w:rPr>
                <w:bCs/>
                <w:color w:val="auto"/>
              </w:rPr>
              <w:t>（4）固体废物：主要为建筑垃圾及施工人员产生的生活垃圾；</w:t>
            </w:r>
          </w:p>
          <w:p>
            <w:pPr>
              <w:ind w:firstLine="480"/>
              <w:rPr>
                <w:color w:val="auto"/>
              </w:rPr>
            </w:pPr>
            <w:r>
              <w:rPr>
                <w:color w:val="auto"/>
              </w:rPr>
              <w:t>（5）生态：地基开挖产生的弃土和建筑垃圾对自然景观和植被的破坏。</w:t>
            </w:r>
          </w:p>
          <w:p>
            <w:pPr>
              <w:ind w:firstLine="482"/>
              <w:rPr>
                <w:b/>
                <w:bCs/>
                <w:color w:val="auto"/>
              </w:rPr>
            </w:pPr>
            <w:r>
              <w:rPr>
                <w:b/>
                <w:bCs/>
                <w:color w:val="auto"/>
              </w:rPr>
              <w:t>二、运营期工艺流程及产排污环节</w:t>
            </w:r>
          </w:p>
          <w:p>
            <w:pPr>
              <w:ind w:firstLine="482"/>
              <w:rPr>
                <w:b/>
                <w:bCs/>
                <w:color w:val="auto"/>
              </w:rPr>
            </w:pPr>
            <w:r>
              <w:rPr>
                <w:rFonts w:hint="eastAsia"/>
                <w:b/>
                <w:bCs/>
                <w:color w:val="auto"/>
                <w:lang w:eastAsia="zh-CN"/>
              </w:rPr>
              <w:t>1.</w:t>
            </w:r>
            <w:r>
              <w:rPr>
                <w:b/>
                <w:bCs/>
                <w:color w:val="auto"/>
              </w:rPr>
              <w:t>运营期工艺流程</w:t>
            </w:r>
          </w:p>
          <w:p>
            <w:pPr>
              <w:ind w:firstLine="480"/>
              <w:rPr>
                <w:color w:val="auto"/>
              </w:rPr>
            </w:pPr>
            <w:r>
              <w:rPr>
                <w:rFonts w:hint="eastAsia"/>
                <w:color w:val="auto"/>
              </w:rPr>
              <w:t>（一）工艺思路</w:t>
            </w:r>
          </w:p>
          <w:p>
            <w:pPr>
              <w:ind w:firstLine="480"/>
              <w:rPr>
                <w:color w:val="auto"/>
              </w:rPr>
            </w:pPr>
            <w:r>
              <w:rPr>
                <w:rFonts w:hint="eastAsia"/>
                <w:color w:val="auto"/>
              </w:rPr>
              <w:t>“空化”是指液体内局部压力降低时，液体内部或液固交界面上蒸气或气体的空穴（空泡）的形成、发展和溃灭的过程。</w:t>
            </w:r>
          </w:p>
          <w:p>
            <w:pPr>
              <w:ind w:firstLine="480"/>
              <w:rPr>
                <w:b/>
                <w:bCs/>
                <w:color w:val="auto"/>
                <w:u w:val="single"/>
              </w:rPr>
            </w:pPr>
            <w:r>
              <w:rPr>
                <w:rFonts w:hint="eastAsia"/>
                <w:color w:val="auto"/>
              </w:rPr>
              <w:t>煤炭空化改性及复吸阻断技术原理是以高热焓蒸汽为载体进行传质传热能，通过瞬间巨量势能-动能转换产生机械能，两个能量场多维耦合激发巨大的高温空化效应，使孔隙内部产生坍塌和破壁，中大孔孔隙水分迅速闪蒸，结晶水实现游离和脱附，达到水分脱除效果，</w:t>
            </w:r>
            <w:r>
              <w:rPr>
                <w:rFonts w:hint="eastAsia"/>
                <w:b/>
                <w:bCs/>
                <w:color w:val="auto"/>
              </w:rPr>
              <w:t>该过程为物理过程，不存在化学反应</w:t>
            </w:r>
            <w:r>
              <w:rPr>
                <w:rFonts w:hint="eastAsia"/>
                <w:color w:val="auto"/>
              </w:rPr>
              <w:t>；空化效应同时改变材料表面的分子极性和接触角角度，从而实现阻断复吸。</w:t>
            </w:r>
            <w:r>
              <w:rPr>
                <w:rFonts w:hint="eastAsia"/>
                <w:b/>
                <w:bCs/>
                <w:color w:val="auto"/>
              </w:rPr>
              <w:t>脱水后煤炭外观不发生改变，不会爆裂，不会新产生粉末。</w:t>
            </w:r>
          </w:p>
          <w:p>
            <w:pPr>
              <w:ind w:firstLine="480"/>
              <w:rPr>
                <w:color w:val="auto"/>
              </w:rPr>
            </w:pPr>
            <w:r>
              <w:rPr>
                <w:color w:val="auto"/>
              </w:rPr>
              <w:t>该技术能够实现将煤炭中的水分平均脱除50%以上，脱水后的煤炭发热量提升1000大卡以上</w:t>
            </w:r>
            <w:r>
              <w:rPr>
                <w:rFonts w:hint="eastAsia"/>
                <w:color w:val="auto"/>
              </w:rPr>
              <w:t>，</w:t>
            </w:r>
            <w:r>
              <w:rPr>
                <w:color w:val="auto"/>
              </w:rPr>
              <w:t>且不会再复吸。可用于</w:t>
            </w:r>
            <w:r>
              <w:rPr>
                <w:rFonts w:hint="eastAsia"/>
                <w:color w:val="auto"/>
              </w:rPr>
              <w:t>煤</w:t>
            </w:r>
            <w:r>
              <w:rPr>
                <w:color w:val="auto"/>
              </w:rPr>
              <w:t>、长焰煤等</w:t>
            </w:r>
            <w:r>
              <w:rPr>
                <w:rFonts w:hint="eastAsia"/>
                <w:color w:val="auto"/>
              </w:rPr>
              <w:t>烘干</w:t>
            </w:r>
            <w:r>
              <w:rPr>
                <w:color w:val="auto"/>
              </w:rPr>
              <w:t>动力煤和化工煤</w:t>
            </w:r>
            <w:r>
              <w:rPr>
                <w:rFonts w:hint="eastAsia"/>
                <w:color w:val="auto"/>
              </w:rPr>
              <w:t>；</w:t>
            </w:r>
            <w:r>
              <w:rPr>
                <w:color w:val="auto"/>
              </w:rPr>
              <w:t>配煤配料煤</w:t>
            </w:r>
            <w:r>
              <w:rPr>
                <w:rFonts w:hint="eastAsia"/>
                <w:color w:val="auto"/>
              </w:rPr>
              <w:t>烘干；</w:t>
            </w:r>
            <w:r>
              <w:rPr>
                <w:color w:val="auto"/>
              </w:rPr>
              <w:t>水煤浆煤及水泥喷煤脱水。</w:t>
            </w:r>
          </w:p>
          <w:p>
            <w:pPr>
              <w:ind w:firstLine="480"/>
              <w:rPr>
                <w:color w:val="auto"/>
              </w:rPr>
            </w:pPr>
            <w:r>
              <w:rPr>
                <w:color w:val="auto"/>
              </w:rPr>
              <w:t>该技术优势包括</w:t>
            </w:r>
            <w:r>
              <w:rPr>
                <w:rFonts w:hint="eastAsia"/>
                <w:color w:val="auto"/>
              </w:rPr>
              <w:t>：</w:t>
            </w:r>
          </w:p>
          <w:p>
            <w:pPr>
              <w:ind w:firstLine="480"/>
              <w:rPr>
                <w:color w:val="auto"/>
              </w:rPr>
            </w:pPr>
            <w:r>
              <w:rPr>
                <w:color w:val="auto"/>
              </w:rPr>
              <w:t>①脱水效果好，平均脱水率在50%以上，最大脱水率达90%</w:t>
            </w:r>
            <w:r>
              <w:rPr>
                <w:rFonts w:hint="eastAsia"/>
                <w:color w:val="auto"/>
              </w:rPr>
              <w:t>；</w:t>
            </w:r>
          </w:p>
          <w:p>
            <w:pPr>
              <w:ind w:firstLine="480"/>
              <w:rPr>
                <w:color w:val="auto"/>
              </w:rPr>
            </w:pPr>
            <w:r>
              <w:rPr>
                <w:rFonts w:hint="eastAsia"/>
                <w:color w:val="auto"/>
              </w:rPr>
              <w:t>②</w:t>
            </w:r>
            <w:r>
              <w:rPr>
                <w:color w:val="auto"/>
              </w:rPr>
              <w:t>脱水成本低，是热风干燥成本的50%</w:t>
            </w:r>
            <w:r>
              <w:rPr>
                <w:rFonts w:hint="eastAsia"/>
                <w:color w:val="auto"/>
              </w:rPr>
              <w:t>；</w:t>
            </w:r>
          </w:p>
          <w:p>
            <w:pPr>
              <w:ind w:firstLine="480"/>
              <w:rPr>
                <w:color w:val="auto"/>
              </w:rPr>
            </w:pPr>
            <w:r>
              <w:rPr>
                <w:rFonts w:hint="eastAsia"/>
                <w:color w:val="auto"/>
              </w:rPr>
              <w:t>③</w:t>
            </w:r>
            <w:r>
              <w:rPr>
                <w:color w:val="auto"/>
              </w:rPr>
              <w:t>脱水后无复吸，脱水后表面接触角改变，有效阻断复吸</w:t>
            </w:r>
            <w:r>
              <w:rPr>
                <w:rFonts w:hint="eastAsia"/>
                <w:color w:val="auto"/>
              </w:rPr>
              <w:t>；</w:t>
            </w:r>
          </w:p>
          <w:p>
            <w:pPr>
              <w:ind w:firstLine="480"/>
              <w:rPr>
                <w:color w:val="auto"/>
              </w:rPr>
            </w:pPr>
            <w:r>
              <w:rPr>
                <w:color w:val="auto"/>
              </w:rPr>
              <w:t>④适应范围广，煤泥及各种粒级的煤炭均可高效脱水</w:t>
            </w:r>
            <w:r>
              <w:rPr>
                <w:rFonts w:hint="eastAsia"/>
                <w:color w:val="auto"/>
              </w:rPr>
              <w:t>；</w:t>
            </w:r>
          </w:p>
          <w:p>
            <w:pPr>
              <w:ind w:firstLine="480"/>
              <w:rPr>
                <w:color w:val="auto"/>
              </w:rPr>
            </w:pPr>
            <w:r>
              <w:rPr>
                <w:color w:val="auto"/>
              </w:rPr>
              <w:t>⑤安全性高，不会发生煤自燃现象</w:t>
            </w:r>
            <w:r>
              <w:rPr>
                <w:rFonts w:hint="eastAsia"/>
                <w:color w:val="auto"/>
              </w:rPr>
              <w:t>；</w:t>
            </w:r>
          </w:p>
          <w:p>
            <w:pPr>
              <w:ind w:firstLine="480"/>
              <w:rPr>
                <w:color w:val="auto"/>
              </w:rPr>
            </w:pPr>
            <w:r>
              <w:rPr>
                <w:color w:val="auto"/>
              </w:rPr>
              <w:t>⑥环境无污染，为低温物理过程，不会产生新的化合物，不会产生粉尘</w:t>
            </w:r>
            <w:r>
              <w:rPr>
                <w:rFonts w:hint="eastAsia"/>
                <w:color w:val="auto"/>
              </w:rPr>
              <w:t>；</w:t>
            </w:r>
          </w:p>
          <w:p>
            <w:pPr>
              <w:ind w:firstLine="480"/>
              <w:rPr>
                <w:color w:val="auto"/>
              </w:rPr>
            </w:pPr>
            <w:r>
              <w:rPr>
                <w:color w:val="auto"/>
              </w:rPr>
              <w:t>⑦富水过程，脱除的水分可全部回收，增加水资源。</w:t>
            </w:r>
          </w:p>
          <w:p>
            <w:pPr>
              <w:ind w:firstLine="480"/>
              <w:rPr>
                <w:color w:val="auto"/>
              </w:rPr>
            </w:pPr>
            <w:r>
              <w:rPr>
                <w:color w:val="auto"/>
              </w:rPr>
              <w:t>通过对蒙东、先将准东、陕北、宁夏、东北、云南等地区的典型高含水煤干燥脱水研究</w:t>
            </w:r>
            <w:r>
              <w:rPr>
                <w:rFonts w:hint="eastAsia"/>
                <w:color w:val="auto"/>
              </w:rPr>
              <w:t>，</w:t>
            </w:r>
            <w:r>
              <w:rPr>
                <w:color w:val="auto"/>
              </w:rPr>
              <w:t>均可以稳定</w:t>
            </w:r>
            <w:r>
              <w:rPr>
                <w:rFonts w:hint="eastAsia"/>
                <w:color w:val="auto"/>
              </w:rPr>
              <w:t>地</w:t>
            </w:r>
            <w:r>
              <w:rPr>
                <w:color w:val="auto"/>
              </w:rPr>
              <w:t>将水分由16-40%降低至8-18%左右，脱水后煤炭平均发热量提升1200kcal</w:t>
            </w:r>
            <w:r>
              <w:rPr>
                <w:rFonts w:hint="eastAsia"/>
                <w:color w:val="auto"/>
              </w:rPr>
              <w:t>/</w:t>
            </w:r>
            <w:r>
              <w:rPr>
                <w:color w:val="auto"/>
              </w:rPr>
              <w:t>kg，煤炭脱水具有巨大经济效益和良好的社会效益。</w:t>
            </w:r>
          </w:p>
          <w:p>
            <w:pPr>
              <w:ind w:firstLine="480"/>
              <w:rPr>
                <w:color w:val="auto"/>
              </w:rPr>
            </w:pPr>
            <w:r>
              <w:rPr>
                <w:rFonts w:hint="eastAsia"/>
                <w:color w:val="auto"/>
              </w:rPr>
              <w:t>本项目采用伊金霍洛旗新街马秦壕鑫源洗煤厂洗选后的中煤（有煤泥掺混，</w:t>
            </w:r>
            <w:r>
              <w:rPr>
                <w:rFonts w:hint="eastAsia"/>
                <w:color w:val="auto"/>
              </w:rPr>
              <w:t>含水率约为</w:t>
            </w:r>
            <w:r>
              <w:rPr>
                <w:rFonts w:hint="eastAsia"/>
                <w:color w:val="auto"/>
                <w:lang w:val="en-US" w:eastAsia="zh-CN"/>
              </w:rPr>
              <w:t>17.14</w:t>
            </w:r>
            <w:r>
              <w:rPr>
                <w:rFonts w:hint="eastAsia"/>
                <w:color w:val="auto"/>
              </w:rPr>
              <w:t>%）进行加工、处理，可将含水率约为1</w:t>
            </w:r>
            <w:r>
              <w:rPr>
                <w:rFonts w:hint="eastAsia"/>
                <w:color w:val="auto"/>
                <w:lang w:val="en-US" w:eastAsia="zh-CN"/>
              </w:rPr>
              <w:t>7.14</w:t>
            </w:r>
            <w:r>
              <w:rPr>
                <w:rFonts w:hint="eastAsia"/>
                <w:color w:val="auto"/>
              </w:rPr>
              <w:t>%的中煤（有煤泥掺混）</w:t>
            </w:r>
            <w:r>
              <w:rPr>
                <w:rFonts w:hint="eastAsia"/>
                <w:color w:val="auto"/>
                <w:lang w:eastAsia="zh-CN"/>
              </w:rPr>
              <w:t>降</w:t>
            </w:r>
            <w:r>
              <w:rPr>
                <w:rFonts w:hint="eastAsia"/>
                <w:color w:val="auto"/>
              </w:rPr>
              <w:t>至6%左右。</w:t>
            </w:r>
          </w:p>
          <w:p>
            <w:pPr>
              <w:ind w:firstLine="482"/>
              <w:rPr>
                <w:b/>
                <w:bCs/>
                <w:color w:val="auto"/>
              </w:rPr>
            </w:pPr>
            <w:r>
              <w:rPr>
                <w:rFonts w:hint="eastAsia"/>
                <w:b/>
                <w:bCs/>
                <w:color w:val="auto"/>
              </w:rPr>
              <w:t>（二）工艺流程及产污节点</w:t>
            </w:r>
          </w:p>
          <w:p>
            <w:pPr>
              <w:ind w:firstLine="482"/>
              <w:rPr>
                <w:rFonts w:hint="eastAsia" w:eastAsia="宋体"/>
                <w:b/>
                <w:bCs/>
                <w:color w:val="auto"/>
                <w:lang w:eastAsia="zh-CN"/>
              </w:rPr>
            </w:pPr>
            <w:r>
              <w:rPr>
                <w:rFonts w:hint="eastAsia"/>
                <w:b/>
                <w:bCs/>
                <w:color w:val="auto"/>
                <w:lang w:eastAsia="zh-CN"/>
              </w:rPr>
              <w:t>1.</w:t>
            </w:r>
            <w:r>
              <w:rPr>
                <w:rFonts w:hint="eastAsia"/>
                <w:b/>
                <w:bCs/>
                <w:color w:val="auto"/>
              </w:rPr>
              <w:t>煤（含煤泥）脱水</w:t>
            </w:r>
            <w:r>
              <w:rPr>
                <w:rFonts w:hint="eastAsia"/>
                <w:b/>
                <w:bCs/>
                <w:color w:val="auto"/>
                <w:lang w:eastAsia="zh-CN"/>
              </w:rPr>
              <w:t>（</w:t>
            </w:r>
            <w:r>
              <w:rPr>
                <w:rFonts w:hint="eastAsia"/>
                <w:b/>
                <w:bCs/>
                <w:color w:val="auto"/>
                <w:lang w:val="en-US" w:eastAsia="zh-CN"/>
              </w:rPr>
              <w:t>涉及机密</w:t>
            </w:r>
            <w:r>
              <w:rPr>
                <w:rFonts w:hint="eastAsia"/>
                <w:b/>
                <w:bCs/>
                <w:color w:val="auto"/>
                <w:lang w:eastAsia="zh-CN"/>
              </w:rPr>
              <w:t>）</w:t>
            </w:r>
          </w:p>
          <w:p>
            <w:pPr>
              <w:ind w:firstLine="480"/>
              <w:rPr>
                <w:color w:val="auto"/>
              </w:rPr>
            </w:pPr>
            <w:r>
              <w:rPr>
                <w:rFonts w:hint="eastAsia"/>
                <w:color w:val="auto"/>
              </w:rPr>
              <w:t>（1）入料</w:t>
            </w:r>
          </w:p>
          <w:p>
            <w:pPr>
              <w:ind w:firstLine="480"/>
              <w:rPr>
                <w:rFonts w:hint="eastAsia" w:ascii="Times New Roman" w:hAnsi="Times New Roman" w:eastAsia="宋体" w:cs="Times New Roman"/>
                <w:color w:val="auto"/>
              </w:rPr>
            </w:pPr>
            <w:r>
              <w:rPr>
                <w:rFonts w:hint="eastAsia"/>
                <w:color w:val="auto"/>
              </w:rPr>
              <w:t>首先，经过上述计算，将含水率约为17.14%的中煤（含煤泥）由密闭皮带输送机送至蒸汽压力釜进料流槽，原料通过进料流槽进入压力釜，进料流槽的斜度大于原料的自然倾角，以便原料顺利进入蒸汽压力釜内。中煤（含煤泥）输送结束将蒸汽压力釜密封，随后水蒸汽（天然气蒸汽锅炉提供）经蒸汽压力釜的水蒸气入口缓慢通入，</w:t>
            </w:r>
            <w:r>
              <w:rPr>
                <w:rFonts w:hint="eastAsia" w:ascii="Times New Roman" w:hAnsi="Times New Roman" w:eastAsia="宋体" w:cs="Times New Roman"/>
                <w:color w:val="auto"/>
              </w:rPr>
              <w:t>直至蒸汽压力釜内压力达到</w:t>
            </w:r>
            <w:r>
              <w:rPr>
                <w:rFonts w:hint="eastAsia" w:ascii="Times New Roman" w:hAnsi="Times New Roman" w:eastAsia="宋体" w:cs="Times New Roman"/>
                <w:color w:val="auto"/>
                <w:lang w:val="en-US" w:eastAsia="zh-CN"/>
              </w:rPr>
              <w:t>***</w:t>
            </w:r>
            <w:r>
              <w:rPr>
                <w:rFonts w:hint="eastAsia" w:ascii="Times New Roman" w:hAnsi="Times New Roman" w:eastAsia="宋体" w:cs="Times New Roman"/>
                <w:color w:val="auto"/>
              </w:rPr>
              <w:t>，关闭蒸汽压力釜水蒸气进口。</w:t>
            </w:r>
          </w:p>
          <w:p>
            <w:pPr>
              <w:ind w:firstLine="480"/>
              <w:rPr>
                <w:rFonts w:hint="eastAsia" w:ascii="Times New Roman" w:hAnsi="Times New Roman" w:eastAsia="宋体" w:cs="Times New Roman"/>
                <w:color w:val="auto"/>
              </w:rPr>
            </w:pPr>
            <w:r>
              <w:rPr>
                <w:rFonts w:hint="eastAsia" w:ascii="Times New Roman" w:hAnsi="Times New Roman" w:eastAsia="宋体" w:cs="Times New Roman"/>
                <w:color w:val="auto"/>
              </w:rPr>
              <w:t>本项目蒸汽锅炉采用天然气为燃料（配备国际领先水平低氮燃烧器），产生的蒸汽经密闭管道与蒸汽压力釜中的物料直接接触，蒸汽压力釜内的蒸汽温度为</w:t>
            </w:r>
            <w:r>
              <w:rPr>
                <w:rFonts w:hint="eastAsia" w:ascii="Times New Roman" w:hAnsi="Times New Roman" w:eastAsia="宋体" w:cs="Times New Roman"/>
                <w:color w:val="auto"/>
                <w:lang w:val="en-US" w:eastAsia="zh-CN"/>
              </w:rPr>
              <w:t>***</w:t>
            </w:r>
            <w:r>
              <w:rPr>
                <w:rFonts w:hint="eastAsia" w:ascii="Times New Roman" w:hAnsi="Times New Roman" w:eastAsia="宋体" w:cs="Times New Roman"/>
                <w:color w:val="auto"/>
              </w:rPr>
              <w:t>。</w:t>
            </w:r>
          </w:p>
          <w:p>
            <w:pPr>
              <w:ind w:firstLine="480"/>
              <w:rPr>
                <w:rFonts w:hint="eastAsia" w:ascii="Times New Roman" w:hAnsi="Times New Roman" w:eastAsia="宋体" w:cs="Times New Roman"/>
                <w:color w:val="auto"/>
              </w:rPr>
            </w:pPr>
            <w:r>
              <w:rPr>
                <w:rFonts w:hint="eastAsia" w:ascii="Times New Roman" w:hAnsi="Times New Roman" w:eastAsia="宋体" w:cs="Times New Roman"/>
                <w:color w:val="auto"/>
              </w:rPr>
              <w:t>入料为洗煤厂产出的中煤（含煤泥）湿料，因此在入料过</w:t>
            </w:r>
            <w:r>
              <w:rPr>
                <w:rFonts w:hint="eastAsia" w:cs="Times New Roman"/>
                <w:color w:val="auto"/>
                <w:lang w:eastAsia="zh-CN"/>
              </w:rPr>
              <w:t>程中</w:t>
            </w:r>
            <w:r>
              <w:rPr>
                <w:rFonts w:hint="eastAsia" w:ascii="Times New Roman" w:hAnsi="Times New Roman" w:eastAsia="宋体" w:cs="Times New Roman"/>
                <w:color w:val="auto"/>
              </w:rPr>
              <w:t>基本无颗粒物产生。</w:t>
            </w:r>
          </w:p>
          <w:p>
            <w:pPr>
              <w:ind w:firstLine="480"/>
              <w:rPr>
                <w:rFonts w:hint="eastAsia" w:ascii="Times New Roman" w:hAnsi="Times New Roman" w:eastAsia="宋体" w:cs="Times New Roman"/>
                <w:color w:val="auto"/>
              </w:rPr>
            </w:pPr>
            <w:r>
              <w:rPr>
                <w:rFonts w:hint="eastAsia" w:ascii="Times New Roman" w:hAnsi="Times New Roman" w:eastAsia="宋体" w:cs="Times New Roman"/>
                <w:color w:val="auto"/>
              </w:rPr>
              <w:t>（2）脱水：</w:t>
            </w:r>
          </w:p>
          <w:p>
            <w:pPr>
              <w:ind w:firstLine="480"/>
              <w:rPr>
                <w:rFonts w:hint="eastAsia" w:ascii="Times New Roman" w:hAnsi="Times New Roman" w:eastAsia="宋体" w:cs="Times New Roman"/>
                <w:color w:val="auto"/>
              </w:rPr>
            </w:pPr>
            <w:r>
              <w:rPr>
                <w:rFonts w:hint="eastAsia" w:ascii="Times New Roman" w:hAnsi="Times New Roman" w:eastAsia="宋体" w:cs="Times New Roman"/>
                <w:color w:val="auto"/>
              </w:rPr>
              <w:t>①脱外水：在</w:t>
            </w:r>
            <w:r>
              <w:rPr>
                <w:rFonts w:hint="eastAsia" w:ascii="Times New Roman" w:hAnsi="Times New Roman" w:eastAsia="宋体" w:cs="Times New Roman"/>
                <w:color w:val="auto"/>
                <w:lang w:val="en-US" w:eastAsia="zh-CN"/>
              </w:rPr>
              <w:t>***</w:t>
            </w:r>
            <w:r>
              <w:rPr>
                <w:rFonts w:hint="eastAsia" w:ascii="Times New Roman" w:hAnsi="Times New Roman" w:eastAsia="宋体" w:cs="Times New Roman"/>
                <w:color w:val="auto"/>
              </w:rPr>
              <w:t>状态，蒸汽压力釜内中煤（含煤泥）附着的外表水形成水蒸气，以达到脱除中煤（含煤泥）作用，该过程约为10分钟。</w:t>
            </w:r>
          </w:p>
          <w:p>
            <w:pPr>
              <w:ind w:firstLine="480"/>
              <w:rPr>
                <w:rFonts w:hint="eastAsia" w:ascii="Times New Roman" w:hAnsi="Times New Roman" w:eastAsia="宋体" w:cs="Times New Roman"/>
                <w:color w:val="auto"/>
              </w:rPr>
            </w:pPr>
            <w:r>
              <w:rPr>
                <w:rFonts w:hint="eastAsia" w:ascii="Times New Roman" w:hAnsi="Times New Roman" w:eastAsia="宋体" w:cs="Times New Roman"/>
                <w:color w:val="auto"/>
              </w:rPr>
              <w:t>②脱内水：当大部分外水在高温高压状态成为水蒸气后，快开蒸汽压力釜的水蒸气出口并解除蒸汽压力釜密封状态迅速释放压力形成“空化效应”，使中煤（含煤泥）孔隙内部产生坍塌和破壁，中、大孔的孔隙水分迅速闪蒸，结晶水实现游离和脱附，达到内水分脱除效果。</w:t>
            </w:r>
          </w:p>
          <w:p>
            <w:pPr>
              <w:ind w:firstLine="480"/>
              <w:rPr>
                <w:rFonts w:hint="eastAsia" w:ascii="Times New Roman" w:hAnsi="Times New Roman" w:eastAsia="宋体" w:cs="Times New Roman"/>
                <w:color w:val="auto"/>
              </w:rPr>
            </w:pPr>
            <w:r>
              <w:rPr>
                <w:rFonts w:hint="eastAsia" w:ascii="Times New Roman" w:hAnsi="Times New Roman" w:eastAsia="宋体" w:cs="Times New Roman"/>
                <w:color w:val="auto"/>
                <w:lang w:val="en-US" w:eastAsia="zh-CN"/>
              </w:rPr>
              <w:t>***</w:t>
            </w:r>
            <w:r>
              <w:rPr>
                <w:rFonts w:hint="eastAsia" w:ascii="Times New Roman" w:hAnsi="Times New Roman" w:eastAsia="宋体" w:cs="Times New Roman"/>
                <w:color w:val="auto"/>
              </w:rPr>
              <w:t>。</w:t>
            </w:r>
          </w:p>
          <w:p>
            <w:pPr>
              <w:ind w:firstLine="480"/>
              <w:rPr>
                <w:color w:val="auto"/>
              </w:rPr>
            </w:pPr>
            <w:r>
              <w:rPr>
                <w:rFonts w:hint="eastAsia" w:ascii="Times New Roman" w:hAnsi="Times New Roman" w:eastAsia="宋体" w:cs="Times New Roman"/>
                <w:color w:val="auto"/>
              </w:rPr>
              <w:t>此过程在</w:t>
            </w:r>
            <w:r>
              <w:rPr>
                <w:rFonts w:hint="eastAsia" w:ascii="Times New Roman" w:hAnsi="Times New Roman" w:eastAsia="宋体" w:cs="Times New Roman"/>
                <w:color w:val="auto"/>
                <w:lang w:val="en-US" w:eastAsia="zh-CN"/>
              </w:rPr>
              <w:t>***</w:t>
            </w:r>
            <w:r>
              <w:rPr>
                <w:rFonts w:hint="eastAsia" w:ascii="Times New Roman" w:hAnsi="Times New Roman" w:eastAsia="宋体" w:cs="Times New Roman"/>
                <w:color w:val="auto"/>
              </w:rPr>
              <w:t>状态很短时间完成，空气迅速</w:t>
            </w:r>
            <w:r>
              <w:rPr>
                <w:rFonts w:hint="eastAsia"/>
                <w:color w:val="auto"/>
              </w:rPr>
              <w:t>涌入蒸汽压力釜将其内水蒸气挤压出，因此不会使水蒸气以液态形式重新附着在产品煤上形成外水，导致产品煤含水率再次升高。</w:t>
            </w:r>
          </w:p>
          <w:p>
            <w:pPr>
              <w:ind w:firstLine="480"/>
              <w:rPr>
                <w:color w:val="auto"/>
              </w:rPr>
            </w:pPr>
            <w:r>
              <w:rPr>
                <w:rFonts w:hint="eastAsia"/>
                <w:color w:val="auto"/>
              </w:rPr>
              <w:t>内外水脱除后，含水率约为17.14%的中煤（含煤泥）转化成含水率6%左右的产品煤。</w:t>
            </w:r>
          </w:p>
          <w:p>
            <w:pPr>
              <w:ind w:firstLine="480"/>
              <w:rPr>
                <w:color w:val="auto"/>
              </w:rPr>
            </w:pPr>
            <w:r>
              <w:rPr>
                <w:rFonts w:hint="eastAsia"/>
                <w:color w:val="auto"/>
              </w:rPr>
              <w:t>蒸汽压力釜中排出的水蒸气经喷淋冷却管道回收、冷凝后，收集至自建污水处理站处理达准后，部分返回天然气蒸汽锅炉用于蒸汽再生产，部分返回喷淋冷凝管道用于水蒸气冷凝、剩余部分用于厂区、煤棚洒水降尘、反冲洗用水及选煤厂洗煤工艺补充用水，回收的冷凝水主要污染物为悬浮物、COD。</w:t>
            </w:r>
          </w:p>
          <w:p>
            <w:pPr>
              <w:numPr>
                <w:ilvl w:val="0"/>
                <w:numId w:val="1"/>
              </w:numPr>
              <w:ind w:firstLine="480"/>
              <w:rPr>
                <w:color w:val="auto"/>
              </w:rPr>
            </w:pPr>
            <w:r>
              <w:rPr>
                <w:color w:val="auto"/>
              </w:rPr>
              <w:t>输出成品</w:t>
            </w:r>
          </w:p>
          <w:p>
            <w:pPr>
              <w:ind w:firstLine="480"/>
              <w:rPr>
                <w:color w:val="auto"/>
              </w:rPr>
            </w:pPr>
            <w:r>
              <w:rPr>
                <w:rFonts w:hint="eastAsia"/>
                <w:color w:val="auto"/>
              </w:rPr>
              <w:t>成品经输送皮带输送至成品堆存区，落料处进行洒水降尘，减少落料点的扬尘产生</w:t>
            </w:r>
            <w:r>
              <w:rPr>
                <w:color w:val="auto"/>
              </w:rPr>
              <w:t>。</w:t>
            </w:r>
          </w:p>
          <w:p>
            <w:pPr>
              <w:ind w:firstLine="0" w:firstLineChars="0"/>
              <w:rPr>
                <w:color w:val="auto"/>
              </w:rPr>
            </w:pPr>
            <w:r>
              <w:rPr>
                <w:color w:val="auto"/>
              </w:rPr>
              <mc:AlternateContent>
                <mc:Choice Requires="wps">
                  <w:drawing>
                    <wp:anchor distT="0" distB="0" distL="114300" distR="114300" simplePos="0" relativeHeight="251702272" behindDoc="0" locked="0" layoutInCell="1" allowOverlap="1">
                      <wp:simplePos x="0" y="0"/>
                      <wp:positionH relativeFrom="column">
                        <wp:posOffset>4444365</wp:posOffset>
                      </wp:positionH>
                      <wp:positionV relativeFrom="paragraph">
                        <wp:posOffset>1121410</wp:posOffset>
                      </wp:positionV>
                      <wp:extent cx="624840" cy="625475"/>
                      <wp:effectExtent l="0" t="0" r="3810" b="3175"/>
                      <wp:wrapNone/>
                      <wp:docPr id="124" name="文本框 124"/>
                      <wp:cNvGraphicFramePr/>
                      <a:graphic xmlns:a="http://schemas.openxmlformats.org/drawingml/2006/main">
                        <a:graphicData uri="http://schemas.microsoft.com/office/word/2010/wordprocessingShape">
                          <wps:wsp>
                            <wps:cNvSpPr txBox="true"/>
                            <wps:spPr>
                              <a:xfrm>
                                <a:off x="0" y="0"/>
                                <a:ext cx="624840" cy="6254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rPr>
                                      <w:sz w:val="15"/>
                                      <w:szCs w:val="15"/>
                                    </w:rPr>
                                  </w:pPr>
                                  <w:r>
                                    <w:rPr>
                                      <w:rFonts w:hint="eastAsia"/>
                                      <w:sz w:val="15"/>
                                      <w:szCs w:val="15"/>
                                    </w:rPr>
                                    <w:t>洒水抑尘、反冲洗用水、洗煤工艺用水</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349.95pt;margin-top:88.3pt;height:49.25pt;width:49.2pt;z-index:251702272;mso-width-relative:page;mso-height-relative:page;" fillcolor="#FFFFFF [3201]" filled="t" stroked="f" coordsize="21600,21600" o:gfxdata="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BYAAABkcnMvUEsBAhQAFAAAAAgAh07iQBiGe8rXAAAACwEAAA8A&#10;AAAAAAAAAQAgAAAAOAAAAGRycy9kb3ducmV2LnhtbFBLAQIUABQAAAAIAIdO4kCpD1aROwIAAFYE&#10;AAAOAAAAAAAAAAEAIAAAADwBAABkcnMvZTJvRG9jLnhtbFBLBQYAAAAABgAGAFkBAADpBQAAAAA=&#10;">
                      <v:fill on="t" focussize="0,0"/>
                      <v:stroke on="f" weight="0.5pt"/>
                      <v:imagedata o:title=""/>
                      <o:lock v:ext="edit" aspectratio="f"/>
                      <v:textbox>
                        <w:txbxContent>
                          <w:p>
                            <w:pPr>
                              <w:spacing w:line="240" w:lineRule="auto"/>
                              <w:ind w:firstLine="0" w:firstLineChars="0"/>
                              <w:rPr>
                                <w:sz w:val="15"/>
                                <w:szCs w:val="15"/>
                              </w:rPr>
                            </w:pPr>
                            <w:r>
                              <w:rPr>
                                <w:rFonts w:hint="eastAsia"/>
                                <w:sz w:val="15"/>
                                <w:szCs w:val="15"/>
                              </w:rPr>
                              <w:t>洒水抑尘、反冲洗用水、洗煤工艺用水</w:t>
                            </w:r>
                          </w:p>
                        </w:txbxContent>
                      </v:textbox>
                    </v:shape>
                  </w:pict>
                </mc:Fallback>
              </mc:AlternateContent>
            </w:r>
            <w:r>
              <w:rPr>
                <w:color w:val="auto"/>
              </w:rPr>
              <mc:AlternateContent>
                <mc:Choice Requires="wps">
                  <w:drawing>
                    <wp:anchor distT="0" distB="0" distL="114300" distR="114300" simplePos="0" relativeHeight="251682816" behindDoc="0" locked="0" layoutInCell="1" allowOverlap="1">
                      <wp:simplePos x="0" y="0"/>
                      <wp:positionH relativeFrom="column">
                        <wp:posOffset>1797050</wp:posOffset>
                      </wp:positionH>
                      <wp:positionV relativeFrom="paragraph">
                        <wp:posOffset>486410</wp:posOffset>
                      </wp:positionV>
                      <wp:extent cx="1143000" cy="455930"/>
                      <wp:effectExtent l="4445" t="4445" r="14605" b="15875"/>
                      <wp:wrapNone/>
                      <wp:docPr id="96" name="文本框 96"/>
                      <wp:cNvGraphicFramePr/>
                      <a:graphic xmlns:a="http://schemas.openxmlformats.org/drawingml/2006/main">
                        <a:graphicData uri="http://schemas.microsoft.com/office/word/2010/wordprocessingShape">
                          <wps:wsp>
                            <wps:cNvSpPr txBox="true"/>
                            <wps:spPr>
                              <a:xfrm>
                                <a:off x="3472180" y="5475605"/>
                                <a:ext cx="1143000" cy="4559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rPr>
                                      <w:sz w:val="15"/>
                                      <w:szCs w:val="15"/>
                                    </w:rPr>
                                  </w:pPr>
                                  <w:r>
                                    <w:rPr>
                                      <w:rFonts w:hint="eastAsia"/>
                                      <w:sz w:val="15"/>
                                      <w:szCs w:val="15"/>
                                    </w:rPr>
                                    <w:t>伊金霍洛旗新街马秦壕鑫源洗煤厂洗选后的中煤（有煤泥掺混）</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141.5pt;margin-top:38.3pt;height:35.9pt;width:90pt;z-index:251682816;mso-width-relative:page;mso-height-relative:page;" fillcolor="#FFFFFF [3201]" filled="t" stroked="t" coordsize="21600,21600" o:gfxdata="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BYAAABkcnMvUEsBAhQA&#10;FAAAAAgAh07iQHu//VbWAAAACgEAAA8AAAAAAAAAAQAgAAAAOAAAAGRycy9kb3ducmV2LnhtbFBL&#10;AQIUABQAAAAIAIdO4kDWkT9DVAIAAIkEAAAOAAAAAAAAAAEAIAAAADsBAABkcnMvZTJvRG9jLnht&#10;bFBLBQYAAAAABgAGAFkBAAABBgAAAAA=&#10;">
                      <v:fill on="t" focussize="0,0"/>
                      <v:stroke weight="0.5pt" color="#000000 [3204]" joinstyle="round"/>
                      <v:imagedata o:title=""/>
                      <o:lock v:ext="edit" aspectratio="f"/>
                      <v:textbox>
                        <w:txbxContent>
                          <w:p>
                            <w:pPr>
                              <w:spacing w:line="240" w:lineRule="auto"/>
                              <w:ind w:firstLine="0" w:firstLineChars="0"/>
                              <w:rPr>
                                <w:sz w:val="15"/>
                                <w:szCs w:val="15"/>
                              </w:rPr>
                            </w:pPr>
                            <w:r>
                              <w:rPr>
                                <w:rFonts w:hint="eastAsia"/>
                                <w:sz w:val="15"/>
                                <w:szCs w:val="15"/>
                              </w:rPr>
                              <w:t>伊金霍洛旗新街马秦壕鑫源洗煤厂洗选后的中煤（有煤泥掺混）</w:t>
                            </w:r>
                          </w:p>
                        </w:txbxContent>
                      </v:textbox>
                    </v:shape>
                  </w:pict>
                </mc:Fallback>
              </mc:AlternateContent>
            </w:r>
            <w:r>
              <w:rPr>
                <w:color w:val="auto"/>
              </w:rPr>
              <w:pict>
                <v:shape id="_x0000_i1025" o:spt="75" type="#_x0000_t75" style="height:254.3pt;width:396.95pt;" filled="f" o:preferrelative="t" stroked="f" coordsize="21600,21600">
                  <v:path/>
                  <v:fill on="f" focussize="0,0"/>
                  <v:stroke on="f" joinstyle="miter"/>
                  <v:imagedata r:id="rId21" o:title=""/>
                  <o:lock v:ext="edit" aspectratio="f"/>
                  <w10:wrap type="none"/>
                  <w10:anchorlock/>
                </v:shape>
              </w:pict>
            </w:r>
          </w:p>
          <w:p>
            <w:pPr>
              <w:ind w:firstLine="0" w:firstLineChars="0"/>
              <w:jc w:val="center"/>
              <w:rPr>
                <w:b/>
                <w:bCs/>
                <w:color w:val="auto"/>
              </w:rPr>
            </w:pPr>
            <w:r>
              <w:rPr>
                <w:b/>
                <w:bCs/>
                <w:color w:val="auto"/>
              </w:rPr>
              <w:t>图2-</w:t>
            </w:r>
            <w:r>
              <w:rPr>
                <w:rFonts w:hint="eastAsia"/>
                <w:b/>
                <w:bCs/>
                <w:color w:val="auto"/>
              </w:rPr>
              <w:t>3煤炭烘干</w:t>
            </w:r>
            <w:r>
              <w:rPr>
                <w:b/>
                <w:bCs/>
                <w:color w:val="auto"/>
              </w:rPr>
              <w:t>工艺流程图</w:t>
            </w:r>
          </w:p>
          <w:p>
            <w:pPr>
              <w:ind w:firstLine="482"/>
              <w:rPr>
                <w:b/>
                <w:bCs/>
                <w:color w:val="auto"/>
              </w:rPr>
            </w:pPr>
            <w:r>
              <w:rPr>
                <w:rFonts w:hint="eastAsia"/>
                <w:b/>
                <w:bCs/>
                <w:color w:val="auto"/>
              </w:rPr>
              <w:t>B</w:t>
            </w:r>
            <w:r>
              <w:rPr>
                <w:rFonts w:hint="eastAsia"/>
                <w:b/>
                <w:bCs/>
                <w:color w:val="auto"/>
                <w:lang w:eastAsia="zh-CN"/>
              </w:rPr>
              <w:t>.</w:t>
            </w:r>
            <w:r>
              <w:rPr>
                <w:rFonts w:hint="eastAsia"/>
                <w:b/>
                <w:bCs/>
                <w:color w:val="auto"/>
              </w:rPr>
              <w:t>天然气蒸汽锅炉工艺流程</w:t>
            </w:r>
          </w:p>
          <w:p>
            <w:pPr>
              <w:ind w:firstLine="480"/>
              <w:rPr>
                <w:color w:val="auto"/>
              </w:rPr>
            </w:pPr>
            <w:r>
              <w:rPr>
                <w:color w:val="auto"/>
              </w:rPr>
              <w:t>本项目</w:t>
            </w:r>
            <w:r>
              <w:rPr>
                <w:rFonts w:hint="eastAsia"/>
                <w:color w:val="auto"/>
              </w:rPr>
              <w:t>1</w:t>
            </w:r>
            <w:r>
              <w:rPr>
                <w:color w:val="auto"/>
              </w:rPr>
              <w:t>台</w:t>
            </w:r>
            <w:r>
              <w:rPr>
                <w:rFonts w:hint="eastAsia"/>
                <w:color w:val="auto"/>
              </w:rPr>
              <w:t>18t/h的</w:t>
            </w:r>
            <w:r>
              <w:rPr>
                <w:color w:val="auto"/>
              </w:rPr>
              <w:t>天然气蒸汽锅炉配置一套低氮燃烧器，锅炉废气汇集至1根</w:t>
            </w:r>
            <w:r>
              <w:rPr>
                <w:rFonts w:hint="eastAsia"/>
                <w:color w:val="auto"/>
              </w:rPr>
              <w:t>13</w:t>
            </w:r>
            <w:r>
              <w:rPr>
                <w:color w:val="auto"/>
              </w:rPr>
              <w:t>m高排气筒（DA001）排放。为保障锅炉使用寿命，提高蒸汽制备效率，本项目锅炉用水全部来源于软水制备系统产出的软水。本项目软水制备工艺采取钠离子交换树脂处理方式进行处理，自来水进入离子交换树脂层后使水中易结垢的钙、镁离子转变为不结垢的钠离子，当离子交换树脂吸附了水中足量的钙、镁离子后，再使用饱和食盐水对离子交换树脂进行反冲洗，将树脂里的钙、镁离子置换出去，恢复树脂的软化及交换能力，离子交换树脂需要定期更换，属于一般固废，更换频次为每年1次。废离子交换树脂产生后不落地，由厂家上门更换回收。</w:t>
            </w:r>
          </w:p>
          <w:p>
            <w:pPr>
              <w:ind w:firstLine="0" w:firstLineChars="0"/>
              <w:jc w:val="center"/>
              <w:rPr>
                <w:b/>
                <w:bCs/>
                <w:color w:val="auto"/>
              </w:rPr>
            </w:pPr>
            <w:r>
              <w:rPr>
                <w:color w:val="auto"/>
              </w:rPr>
              <mc:AlternateContent>
                <mc:Choice Requires="wps">
                  <w:drawing>
                    <wp:anchor distT="0" distB="0" distL="114300" distR="114300" simplePos="0" relativeHeight="251683840" behindDoc="0" locked="0" layoutInCell="1" allowOverlap="1">
                      <wp:simplePos x="0" y="0"/>
                      <wp:positionH relativeFrom="column">
                        <wp:posOffset>1993900</wp:posOffset>
                      </wp:positionH>
                      <wp:positionV relativeFrom="paragraph">
                        <wp:posOffset>2650490</wp:posOffset>
                      </wp:positionV>
                      <wp:extent cx="1066165" cy="357505"/>
                      <wp:effectExtent l="0" t="0" r="635" b="4445"/>
                      <wp:wrapNone/>
                      <wp:docPr id="97" name="文本框 97"/>
                      <wp:cNvGraphicFramePr/>
                      <a:graphic xmlns:a="http://schemas.openxmlformats.org/drawingml/2006/main">
                        <a:graphicData uri="http://schemas.microsoft.com/office/word/2010/wordprocessingShape">
                          <wps:wsp>
                            <wps:cNvSpPr txBox="true"/>
                            <wps:spPr>
                              <a:xfrm>
                                <a:off x="3574415" y="5125085"/>
                                <a:ext cx="1066165" cy="3575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rPr>
                                      <w:sz w:val="15"/>
                                      <w:szCs w:val="15"/>
                                    </w:rPr>
                                  </w:pPr>
                                  <w:r>
                                    <w:rPr>
                                      <w:rFonts w:hint="eastAsia"/>
                                      <w:sz w:val="15"/>
                                      <w:szCs w:val="15"/>
                                    </w:rPr>
                                    <w:t>洒水抑尘、反冲洗用水、洗煤工艺用水</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157pt;margin-top:208.7pt;height:28.15pt;width:83.95pt;z-index:251683840;mso-width-relative:page;mso-height-relative:page;" fillcolor="#FFFFFF [3201]" filled="t" stroked="f" coordsize="21600,21600" o:gfxdata="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FgAAAGRycy9QSwECFAAUAAAACACHTuJA&#10;bWBNLdcAAAALAQAADwAAAAAAAAABACAAAAA4AAAAZHJzL2Rvd25yZXYueG1sUEsBAhQAFAAAAAgA&#10;h07iQEGyG6BJAgAAYQQAAA4AAAAAAAAAAQAgAAAAPAEAAGRycy9lMm9Eb2MueG1sUEsFBgAAAAAG&#10;AAYAWQEAAPcFAAAAAA==&#10;">
                      <v:fill on="t" focussize="0,0"/>
                      <v:stroke on="f" weight="0.5pt"/>
                      <v:imagedata o:title=""/>
                      <o:lock v:ext="edit" aspectratio="f"/>
                      <v:textbox>
                        <w:txbxContent>
                          <w:p>
                            <w:pPr>
                              <w:spacing w:line="240" w:lineRule="auto"/>
                              <w:ind w:firstLine="0" w:firstLineChars="0"/>
                              <w:rPr>
                                <w:sz w:val="15"/>
                                <w:szCs w:val="15"/>
                              </w:rPr>
                            </w:pPr>
                            <w:r>
                              <w:rPr>
                                <w:rFonts w:hint="eastAsia"/>
                                <w:sz w:val="15"/>
                                <w:szCs w:val="15"/>
                              </w:rPr>
                              <w:t>洒水抑尘、反冲洗用水、洗煤工艺用水</w:t>
                            </w:r>
                          </w:p>
                        </w:txbxContent>
                      </v:textbox>
                    </v:shape>
                  </w:pict>
                </mc:Fallback>
              </mc:AlternateContent>
            </w:r>
            <w:r>
              <w:rPr>
                <w:color w:val="auto"/>
              </w:rPr>
              <w:object>
                <v:shape id="_x0000_i1026" o:spt="75" type="#_x0000_t75" style="height:248.4pt;width:399.4pt;" o:ole="t" filled="f" o:preferrelative="t" stroked="f" coordsize="21600,21600">
                  <v:path/>
                  <v:fill on="f" focussize="0,0"/>
                  <v:stroke on="f" joinstyle="miter"/>
                  <v:imagedata r:id="rId23" o:title=""/>
                  <o:lock v:ext="edit" aspectratio="f"/>
                  <w10:wrap type="none"/>
                  <w10:anchorlock/>
                </v:shape>
                <o:OLEObject Type="Embed" ProgID="Visio.Drawing.15" ShapeID="_x0000_i1026" DrawAspect="Content" ObjectID="_1468075725" r:id="rId22">
                  <o:LockedField>false</o:LockedField>
                </o:OLEObject>
              </w:object>
            </w:r>
            <w:r>
              <w:rPr>
                <w:rFonts w:hint="eastAsia"/>
                <w:b/>
                <w:bCs/>
                <w:color w:val="auto"/>
              </w:rPr>
              <w:t>图2-4天然气蒸汽锅炉生产工艺流程图</w:t>
            </w:r>
          </w:p>
          <w:p>
            <w:pPr>
              <w:ind w:firstLine="482"/>
              <w:rPr>
                <w:b/>
                <w:bCs/>
                <w:color w:val="auto"/>
              </w:rPr>
            </w:pPr>
            <w:r>
              <w:rPr>
                <w:rFonts w:hint="eastAsia"/>
                <w:b/>
                <w:bCs/>
                <w:color w:val="auto"/>
              </w:rPr>
              <w:t>C</w:t>
            </w:r>
            <w:r>
              <w:rPr>
                <w:rFonts w:hint="eastAsia"/>
                <w:b/>
                <w:bCs/>
                <w:color w:val="auto"/>
                <w:lang w:eastAsia="zh-CN"/>
              </w:rPr>
              <w:t>.</w:t>
            </w:r>
            <w:r>
              <w:rPr>
                <w:rFonts w:hint="eastAsia"/>
                <w:b/>
                <w:bCs/>
                <w:color w:val="auto"/>
              </w:rPr>
              <w:t>废水处理站处理工艺</w:t>
            </w:r>
          </w:p>
          <w:p>
            <w:pPr>
              <w:ind w:firstLine="480"/>
              <w:rPr>
                <w:color w:val="auto"/>
              </w:rPr>
            </w:pPr>
            <w:r>
              <w:rPr>
                <w:rFonts w:hint="eastAsia"/>
                <w:color w:val="auto"/>
              </w:rPr>
              <w:t>本项目蒸汽冷凝水携带的主要污染物为悬浮物和COD。本工艺为物理过程，因此COD为冷凝水中煤粉携带的COD，非本项目生产工艺产生的有机物质。冷凝水经自建污水处理站处理后直接回用于天然气蒸汽锅炉生产蒸汽，因此采用“絮凝沉降→多介质过滤→超滤→多介质过滤→反渗透”工艺，处理后的废水无须再经过软水制备设施，可直接回用于水蒸气生产。</w:t>
            </w:r>
          </w:p>
          <w:p>
            <w:pPr>
              <w:ind w:firstLine="480"/>
              <w:rPr>
                <w:color w:val="auto"/>
              </w:rPr>
            </w:pPr>
            <w:r>
              <w:rPr>
                <w:rFonts w:hint="eastAsia"/>
                <w:color w:val="auto"/>
              </w:rPr>
              <w:t>经“絮凝沉降→多介质过滤→超滤→多介质过滤→反渗透”工艺处理后的废水，可将废水中的煤粉颗粒物携带的COD降至</w:t>
            </w:r>
            <w:r>
              <w:rPr>
                <w:color w:val="auto"/>
              </w:rPr>
              <w:t>40</w:t>
            </w:r>
            <w:r>
              <w:rPr>
                <w:rFonts w:hint="eastAsia"/>
                <w:color w:val="auto"/>
              </w:rPr>
              <w:t>mg/L以下。</w:t>
            </w:r>
            <w:r>
              <w:rPr>
                <w:color w:val="auto"/>
              </w:rPr>
              <w:t>出水满足《城市污水再生利用工业用水水质》（GB19923-2024）中的间冷开式循环冷却水补充水、锅炉给水、工艺用水、产品用水</w:t>
            </w:r>
            <w:r>
              <w:rPr>
                <w:rFonts w:hint="eastAsia"/>
                <w:color w:val="auto"/>
              </w:rPr>
              <w:t>、洒水抑尘</w:t>
            </w:r>
            <w:r>
              <w:rPr>
                <w:color w:val="auto"/>
              </w:rPr>
              <w:t>标准后，</w:t>
            </w:r>
            <w:r>
              <w:rPr>
                <w:rFonts w:hint="eastAsia"/>
                <w:color w:val="auto"/>
              </w:rPr>
              <w:t>部分返回天然气蒸汽锅炉用于蒸汽再生产，部分返回喷淋冷凝管道用于水蒸气冷凝，剩余部分用于厂区、煤棚洒水降尘、反冲洗用水及选煤厂洗煤工艺补充用水。</w:t>
            </w:r>
          </w:p>
          <w:p>
            <w:pPr>
              <w:ind w:firstLine="480"/>
              <w:rPr>
                <w:color w:val="auto"/>
              </w:rPr>
            </w:pPr>
            <w:r>
              <w:rPr>
                <w:rFonts w:hint="eastAsia"/>
                <w:color w:val="auto"/>
              </w:rPr>
              <w:t>（1）絮凝沉降：</w:t>
            </w:r>
            <w:r>
              <w:rPr>
                <w:color w:val="auto"/>
              </w:rPr>
              <w:t>蒸汽瞬态脱水后的煤炭废水首先进入斜管沉淀池，通过投加混凝剂（如PAC）和絮凝剂（PAM）使废水中的煤粉、黏土等悬浮颗粒脱稳并形成较大絮体。斜管填料的蜂窝结构大幅缩短沉降距离，在5-15分钟内实现高效固液分离，去除90%以上的悬浮物（SS），出水浊度降至20-50NTU，底部污泥则定期排入污泥处理系统。</w:t>
            </w:r>
          </w:p>
          <w:p>
            <w:pPr>
              <w:ind w:firstLine="480"/>
              <w:rPr>
                <w:color w:val="auto"/>
              </w:rPr>
            </w:pPr>
            <w:r>
              <w:rPr>
                <w:rFonts w:hint="eastAsia"/>
                <w:color w:val="auto"/>
              </w:rPr>
              <w:t>（2）多介质过滤：</w:t>
            </w:r>
            <w:r>
              <w:rPr>
                <w:color w:val="auto"/>
              </w:rPr>
              <w:t>沉淀后的废水进入多介质过滤器，依次通过石英砂和</w:t>
            </w:r>
            <w:r>
              <w:rPr>
                <w:rFonts w:hint="eastAsia"/>
                <w:color w:val="auto"/>
              </w:rPr>
              <w:t>活性炭</w:t>
            </w:r>
            <w:r>
              <w:rPr>
                <w:color w:val="auto"/>
              </w:rPr>
              <w:t>组成的梯度滤层，逐级截留残留的细小颗粒（5-50μm）和胶体物质，使浊度进一步降至≤5NTU。过滤器通过定期反冲洗（水冲+气擦洗）清除截留杂质，确保过滤效率，同时部分溶解性金属（如Fe²⁺）在滤层中被氧化沉淀，为后续超滤提供低负荷进水。</w:t>
            </w:r>
          </w:p>
          <w:p>
            <w:pPr>
              <w:ind w:firstLine="480"/>
              <w:rPr>
                <w:color w:val="auto"/>
              </w:rPr>
            </w:pPr>
            <w:r>
              <w:rPr>
                <w:rFonts w:hint="eastAsia"/>
                <w:color w:val="auto"/>
              </w:rPr>
              <w:t>（3）膜过滤（</w:t>
            </w:r>
            <w:r>
              <w:rPr>
                <w:color w:val="auto"/>
              </w:rPr>
              <w:t>超滤</w:t>
            </w:r>
            <w:r>
              <w:rPr>
                <w:rFonts w:hint="eastAsia"/>
                <w:color w:val="auto"/>
              </w:rPr>
              <w:t>）：</w:t>
            </w:r>
            <w:r>
              <w:rPr>
                <w:color w:val="auto"/>
              </w:rPr>
              <w:t>废水经超滤（UF）膜的物理筛分作用，彻底去除0.01-0.1μm的微细颗粒、胶体及大分子有机物，产水浊度＜0.1</w:t>
            </w:r>
            <w:r>
              <w:rPr>
                <w:rFonts w:hint="eastAsia"/>
                <w:color w:val="auto"/>
              </w:rPr>
              <w:t>COD</w:t>
            </w:r>
            <w:r>
              <w:rPr>
                <w:color w:val="auto"/>
              </w:rPr>
              <w:t>＜50mg/L</w:t>
            </w:r>
            <w:r>
              <w:rPr>
                <w:rFonts w:hint="eastAsia"/>
                <w:color w:val="auto"/>
              </w:rPr>
              <w:t>，</w:t>
            </w:r>
            <w:r>
              <w:rPr>
                <w:color w:val="auto"/>
              </w:rPr>
              <w:t>NTU且SDI≤3，可直接回用或进入反渗透脱盐。</w:t>
            </w:r>
          </w:p>
          <w:p>
            <w:pPr>
              <w:ind w:firstLine="480"/>
              <w:rPr>
                <w:b/>
                <w:bCs/>
                <w:color w:val="auto"/>
              </w:rPr>
            </w:pPr>
            <w:r>
              <w:rPr>
                <w:rFonts w:hint="eastAsia"/>
                <w:color w:val="auto"/>
              </w:rPr>
              <w:t>（4）</w:t>
            </w:r>
            <w:r>
              <w:rPr>
                <w:color w:val="auto"/>
              </w:rPr>
              <w:t>反渗透</w:t>
            </w:r>
            <w:r>
              <w:rPr>
                <w:rFonts w:hint="eastAsia"/>
                <w:color w:val="auto"/>
              </w:rPr>
              <w:t>：</w:t>
            </w:r>
            <w:r>
              <w:rPr>
                <w:color w:val="auto"/>
              </w:rPr>
              <w:t>作为锅炉进水处理的关键工艺，通过高压选择性过滤深度去除水中99%以上的溶解性盐类（如Ca²⁺、Mg²⁺、Cl⁻）、有机物及硅化合物，将产水电导率降至＜10μS/cm，有效防止锅炉结垢、腐蚀和汽水共腾问题。其产水作为高品质锅炉补给水，不仅能显著降低排污率和热能损耗，提升热效率10%-20%，还可结合后续离子交换或EDI工艺制备超纯水（≤0.1μS/cm），满足中高压乃至超临界锅炉的严苛进水标准，从根本上保障锅炉系统的安全、稳定和高效运行。</w:t>
            </w:r>
          </w:p>
          <w:p>
            <w:pPr>
              <w:ind w:firstLine="0" w:firstLineChars="0"/>
              <w:jc w:val="center"/>
              <w:rPr>
                <w:b/>
                <w:bCs/>
                <w:color w:val="auto"/>
              </w:rPr>
            </w:pPr>
            <w:r>
              <w:rPr>
                <w:b/>
                <w:bCs/>
                <w:color w:val="auto"/>
              </w:rPr>
              <w:drawing>
                <wp:inline distT="0" distB="0" distL="114300" distR="114300">
                  <wp:extent cx="4645660" cy="2443480"/>
                  <wp:effectExtent l="0" t="0" r="0" b="0"/>
                  <wp:docPr id="93" name="ECB019B1-382A-4266-B25C-5B523AA43C14-2" descr="C:/Users/Lenovo/AppData/Local/Temp/wps.klAHImwps"/>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3" name="ECB019B1-382A-4266-B25C-5B523AA43C14-2" descr="C:/Users/Lenovo/AppData/Local/Temp/wps.klAHImwps"/>
                          <pic:cNvPicPr>
                            <a:picLocks noChangeAspect="true"/>
                          </pic:cNvPicPr>
                        </pic:nvPicPr>
                        <pic:blipFill>
                          <a:blip r:embed="rId24"/>
                          <a:stretch>
                            <a:fillRect/>
                          </a:stretch>
                        </pic:blipFill>
                        <pic:spPr>
                          <a:xfrm>
                            <a:off x="0" y="0"/>
                            <a:ext cx="4645660" cy="2443480"/>
                          </a:xfrm>
                          <a:prstGeom prst="rect">
                            <a:avLst/>
                          </a:prstGeom>
                        </pic:spPr>
                      </pic:pic>
                    </a:graphicData>
                  </a:graphic>
                </wp:inline>
              </w:drawing>
            </w:r>
          </w:p>
          <w:p>
            <w:pPr>
              <w:ind w:firstLine="0" w:firstLineChars="0"/>
              <w:jc w:val="center"/>
              <w:rPr>
                <w:b/>
                <w:bCs/>
                <w:color w:val="auto"/>
              </w:rPr>
            </w:pPr>
            <w:r>
              <w:rPr>
                <w:rFonts w:hint="eastAsia"/>
                <w:b/>
                <w:bCs/>
                <w:color w:val="auto"/>
              </w:rPr>
              <w:t>图2-5废水处理站生产工艺流程图</w:t>
            </w:r>
          </w:p>
          <w:p>
            <w:pPr>
              <w:ind w:firstLine="482"/>
              <w:rPr>
                <w:b/>
                <w:bCs/>
                <w:color w:val="auto"/>
              </w:rPr>
            </w:pPr>
            <w:r>
              <w:rPr>
                <w:rFonts w:hint="eastAsia"/>
                <w:b/>
                <w:bCs/>
                <w:color w:val="auto"/>
                <w:lang w:eastAsia="zh-CN"/>
              </w:rPr>
              <w:t>2.</w:t>
            </w:r>
            <w:r>
              <w:rPr>
                <w:b/>
                <w:bCs/>
                <w:color w:val="auto"/>
              </w:rPr>
              <w:t>运营期产排污环节</w:t>
            </w:r>
          </w:p>
          <w:p>
            <w:pPr>
              <w:ind w:firstLine="480"/>
              <w:rPr>
                <w:color w:val="auto"/>
              </w:rPr>
            </w:pPr>
            <w:r>
              <w:rPr>
                <w:color w:val="auto"/>
              </w:rPr>
              <w:t>（1）废气：成品堆存转运过程中产生的粉尘、天然气蒸汽锅炉燃烧产生的废气、</w:t>
            </w:r>
            <w:r>
              <w:rPr>
                <w:rFonts w:hint="eastAsia"/>
                <w:color w:val="auto"/>
              </w:rPr>
              <w:t>煤炭烘干过程中蒸汽压力釜产生的粉尘</w:t>
            </w:r>
            <w:r>
              <w:rPr>
                <w:color w:val="auto"/>
              </w:rPr>
              <w:t>。</w:t>
            </w:r>
          </w:p>
          <w:p>
            <w:pPr>
              <w:ind w:firstLine="480"/>
              <w:rPr>
                <w:color w:val="auto"/>
              </w:rPr>
            </w:pPr>
            <w:r>
              <w:rPr>
                <w:color w:val="auto"/>
              </w:rPr>
              <w:t>（2）废水：</w:t>
            </w:r>
            <w:r>
              <w:rPr>
                <w:rFonts w:hint="eastAsia"/>
                <w:color w:val="auto"/>
              </w:rPr>
              <w:t>蒸汽压力釜蒸发水蒸气</w:t>
            </w:r>
            <w:r>
              <w:rPr>
                <w:color w:val="auto"/>
              </w:rPr>
              <w:t>、天然气蒸汽锅炉产生的锅炉排水、纯水制备废水</w:t>
            </w:r>
            <w:r>
              <w:rPr>
                <w:rFonts w:hint="eastAsia"/>
                <w:color w:val="auto"/>
              </w:rPr>
              <w:t>、反冲洗废水。</w:t>
            </w:r>
          </w:p>
          <w:p>
            <w:pPr>
              <w:ind w:firstLine="480"/>
              <w:rPr>
                <w:color w:val="auto"/>
              </w:rPr>
            </w:pPr>
            <w:r>
              <w:rPr>
                <w:color w:val="auto"/>
              </w:rPr>
              <w:t>（3）噪声：本项目各生产设备生产运行过程中产生的噪声及运输车辆运输转运过程中产生的噪声。</w:t>
            </w:r>
          </w:p>
          <w:p>
            <w:pPr>
              <w:ind w:firstLine="480"/>
              <w:rPr>
                <w:color w:val="auto"/>
              </w:rPr>
            </w:pPr>
            <w:r>
              <w:rPr>
                <w:color w:val="auto"/>
              </w:rPr>
              <w:t>（4）固废：本项目产生的固体废弃物主要包括天然气蒸汽锅炉软水制备系统产生废离子交换树脂</w:t>
            </w:r>
            <w:r>
              <w:rPr>
                <w:rFonts w:hint="eastAsia"/>
                <w:color w:val="auto"/>
              </w:rPr>
              <w:t>、废水处理站产生的污泥、多介质过滤器中更换废滤料、废水处理站产生的废反渗透膜、设备维修过程中产生的废矿物油、废油桶。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4" w:type="dxa"/>
            <w:gridSpan w:val="2"/>
            <w:vAlign w:val="center"/>
          </w:tcPr>
          <w:p>
            <w:pPr>
              <w:pStyle w:val="18"/>
              <w:adjustRightInd w:val="0"/>
              <w:snapToGrid w:val="0"/>
              <w:spacing w:before="0" w:beforeAutospacing="0" w:after="0" w:afterAutospacing="0"/>
              <w:ind w:firstLine="0" w:firstLineChars="0"/>
              <w:jc w:val="center"/>
              <w:rPr>
                <w:rFonts w:ascii="Times New Roman" w:hAnsi="Times New Roman"/>
                <w:color w:val="auto"/>
                <w:szCs w:val="24"/>
              </w:rPr>
            </w:pPr>
            <w:r>
              <w:rPr>
                <w:rFonts w:ascii="Times New Roman" w:hAnsi="Times New Roman"/>
                <w:bCs/>
                <w:color w:val="auto"/>
                <w:kern w:val="2"/>
                <w:szCs w:val="24"/>
              </w:rPr>
              <w:t>与项目有关的原有环境污染问题</w:t>
            </w:r>
          </w:p>
        </w:tc>
        <w:tc>
          <w:tcPr>
            <w:tcW w:w="7170" w:type="dxa"/>
            <w:vAlign w:val="center"/>
          </w:tcPr>
          <w:p>
            <w:pPr>
              <w:ind w:firstLine="482"/>
              <w:rPr>
                <w:b/>
                <w:bCs/>
                <w:color w:val="auto"/>
              </w:rPr>
            </w:pPr>
            <w:r>
              <w:rPr>
                <w:b/>
                <w:bCs/>
                <w:color w:val="auto"/>
              </w:rPr>
              <w:t>1.伊金霍洛旗新街马秦壕鑫源洗煤厂基本情况</w:t>
            </w:r>
          </w:p>
          <w:p>
            <w:pPr>
              <w:ind w:firstLine="480"/>
              <w:rPr>
                <w:color w:val="auto"/>
              </w:rPr>
            </w:pPr>
            <w:r>
              <w:rPr>
                <w:color w:val="auto"/>
              </w:rPr>
              <w:t>本项目位于内蒙古自治区鄂尔多斯市伊金霍洛旗札萨克镇新街区</w:t>
            </w:r>
            <w:r>
              <w:rPr>
                <w:rFonts w:hint="eastAsia"/>
                <w:color w:val="auto"/>
              </w:rPr>
              <w:t>马秦壕</w:t>
            </w:r>
            <w:r>
              <w:rPr>
                <w:color w:val="auto"/>
              </w:rPr>
              <w:t>，</w:t>
            </w:r>
            <w:r>
              <w:rPr>
                <w:rFonts w:hint="eastAsia"/>
                <w:color w:val="auto"/>
              </w:rPr>
              <w:t>伊金霍洛旗新街马秦壕鑫源洗煤厂</w:t>
            </w:r>
            <w:r>
              <w:rPr>
                <w:color w:val="auto"/>
              </w:rPr>
              <w:t>现有工业场地内建设，2017年8月18日，原鄂尔多斯市环境保护局以鄂环评字〔2017〕105号对建设单位</w:t>
            </w:r>
            <w:r>
              <w:rPr>
                <w:rFonts w:hint="eastAsia"/>
                <w:color w:val="auto"/>
              </w:rPr>
              <w:t>伊金霍洛旗新街马秦壕鑫源洗煤厂</w:t>
            </w:r>
            <w:r>
              <w:rPr>
                <w:color w:val="auto"/>
              </w:rPr>
              <w:t>现有项目《</w:t>
            </w:r>
            <w:r>
              <w:rPr>
                <w:rFonts w:hint="eastAsia"/>
                <w:color w:val="auto"/>
              </w:rPr>
              <w:t>伊金霍洛旗新街马秦壕鑫源洗煤厂</w:t>
            </w:r>
            <w:r>
              <w:rPr>
                <w:color w:val="auto"/>
              </w:rPr>
              <w:t>改扩建项目环境影响报告表》予以批复，2017年9月30日，原鄂尔多斯市环境保护局以鄂环监字〔2017〕185号出具《</w:t>
            </w:r>
            <w:r>
              <w:rPr>
                <w:rFonts w:hint="eastAsia"/>
                <w:color w:val="auto"/>
              </w:rPr>
              <w:t>伊金霍洛旗新街马秦壕鑫源洗煤厂</w:t>
            </w:r>
            <w:r>
              <w:rPr>
                <w:color w:val="auto"/>
              </w:rPr>
              <w:t>改扩建项目竣工环境保护验收意见的通知》通过竣工环境保护验收。</w:t>
            </w:r>
            <w:r>
              <w:rPr>
                <w:rFonts w:hint="eastAsia"/>
                <w:color w:val="auto"/>
              </w:rPr>
              <w:t>伊金霍洛旗新街马秦壕鑫源洗煤厂</w:t>
            </w:r>
            <w:r>
              <w:rPr>
                <w:color w:val="auto"/>
              </w:rPr>
              <w:t>于2017年6月开工建设，2017年8月底投产，采用跳汰洗选工艺，年洗选原煤120万吨。</w:t>
            </w:r>
          </w:p>
          <w:p>
            <w:pPr>
              <w:ind w:firstLine="480"/>
              <w:rPr>
                <w:color w:val="auto"/>
              </w:rPr>
            </w:pPr>
            <w:r>
              <w:rPr>
                <w:color w:val="auto"/>
              </w:rPr>
              <w:t>2025年8月12日，鄂尔多斯市生态环境局伊金霍洛旗分局以鄂伊环审字〔2025〕30号文件对“《伊金霍洛旗新街马秦壕鑫源洗煤厂新建储煤棚项目》”的全封闭煤棚予以批复</w:t>
            </w:r>
            <w:r>
              <w:rPr>
                <w:rFonts w:hint="eastAsia"/>
                <w:color w:val="auto"/>
              </w:rPr>
              <w:t>，已进行验收。</w:t>
            </w:r>
          </w:p>
          <w:p>
            <w:pPr>
              <w:ind w:firstLine="480"/>
              <w:rPr>
                <w:color w:val="auto"/>
              </w:rPr>
            </w:pPr>
            <w:r>
              <w:rPr>
                <w:color w:val="auto"/>
              </w:rPr>
              <w:t>2020年6月18日，企业首次进行排污许可登记，有效期为2020年6月18日至2025年6月17日。企业</w:t>
            </w:r>
            <w:r>
              <w:rPr>
                <w:rFonts w:hint="eastAsia"/>
                <w:color w:val="auto"/>
              </w:rPr>
              <w:t>现阶段</w:t>
            </w:r>
            <w:r>
              <w:rPr>
                <w:color w:val="auto"/>
              </w:rPr>
              <w:t>一直处于停产整改状态，因此在排污许可登记到期后未及时延续。目前，企业已重新对排污许可进行了登记，编号：9115062779364864XY001Z，</w:t>
            </w:r>
            <w:r>
              <w:rPr>
                <w:iCs/>
                <w:color w:val="auto"/>
                <w:kern w:val="0"/>
                <w:szCs w:val="22"/>
              </w:rPr>
              <w:t>有效期为2025年</w:t>
            </w:r>
            <w:r>
              <w:rPr>
                <w:color w:val="auto"/>
              </w:rPr>
              <w:t>7月19日至2030年7月18日。</w:t>
            </w:r>
          </w:p>
          <w:p>
            <w:pPr>
              <w:ind w:firstLine="482"/>
              <w:rPr>
                <w:b/>
                <w:bCs/>
                <w:color w:val="auto"/>
              </w:rPr>
            </w:pPr>
            <w:r>
              <w:rPr>
                <w:b/>
                <w:bCs/>
                <w:color w:val="auto"/>
              </w:rPr>
              <w:t>2.现有工程污染物防治措施及污染物排放量</w:t>
            </w:r>
          </w:p>
          <w:p>
            <w:pPr>
              <w:ind w:firstLine="480"/>
              <w:rPr>
                <w:color w:val="auto"/>
              </w:rPr>
            </w:pPr>
            <w:r>
              <w:rPr>
                <w:color w:val="auto"/>
              </w:rPr>
              <w:t>现有工程采用验收检测数据（编号：BLJYSQ-2017-053）进行达标可行性分析。项目现有工程各污染防治措施及达标排放情况一览见下表。</w:t>
            </w:r>
          </w:p>
          <w:p>
            <w:pPr>
              <w:ind w:firstLine="480"/>
              <w:rPr>
                <w:color w:val="auto"/>
              </w:rPr>
            </w:pPr>
            <w:r>
              <w:rPr>
                <w:color w:val="auto"/>
              </w:rPr>
              <w:t>（1）废气污染物</w:t>
            </w:r>
          </w:p>
          <w:p>
            <w:pPr>
              <w:ind w:firstLine="480"/>
              <w:rPr>
                <w:color w:val="auto"/>
              </w:rPr>
            </w:pPr>
            <w:r>
              <w:rPr>
                <w:color w:val="auto"/>
              </w:rPr>
              <w:t>现有工程废气污染物治理措施及排放情况见表2-</w:t>
            </w:r>
            <w:r>
              <w:rPr>
                <w:rFonts w:hint="eastAsia"/>
                <w:color w:val="auto"/>
              </w:rPr>
              <w:t>8</w:t>
            </w:r>
            <w:r>
              <w:rPr>
                <w:color w:val="auto"/>
              </w:rPr>
              <w:t>。</w:t>
            </w:r>
          </w:p>
          <w:p>
            <w:pPr>
              <w:ind w:firstLine="482"/>
              <w:rPr>
                <w:b/>
                <w:bCs/>
                <w:color w:val="auto"/>
              </w:rPr>
            </w:pPr>
            <w:r>
              <w:rPr>
                <w:b/>
                <w:bCs/>
                <w:color w:val="auto"/>
              </w:rPr>
              <w:t>表2-</w:t>
            </w:r>
            <w:r>
              <w:rPr>
                <w:rFonts w:hint="eastAsia"/>
                <w:b/>
                <w:bCs/>
                <w:color w:val="auto"/>
              </w:rPr>
              <w:t>8</w:t>
            </w:r>
            <w:r>
              <w:rPr>
                <w:b/>
                <w:bCs/>
                <w:color w:val="auto"/>
              </w:rPr>
              <w:t>现有工程废气污染物治理措施及排放情况一览表</w:t>
            </w:r>
          </w:p>
          <w:tbl>
            <w:tblPr>
              <w:tblStyle w:val="22"/>
              <w:tblW w:w="69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7"/>
              <w:gridCol w:w="979"/>
              <w:gridCol w:w="1240"/>
              <w:gridCol w:w="2317"/>
              <w:gridCol w:w="13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7" w:type="dxa"/>
                  <w:vAlign w:val="center"/>
                </w:tcPr>
                <w:p>
                  <w:pPr>
                    <w:spacing w:line="240" w:lineRule="auto"/>
                    <w:ind w:firstLine="0" w:firstLineChars="0"/>
                    <w:jc w:val="center"/>
                    <w:rPr>
                      <w:color w:val="auto"/>
                    </w:rPr>
                  </w:pPr>
                  <w:r>
                    <w:rPr>
                      <w:color w:val="auto"/>
                    </w:rPr>
                    <w:t>污染源</w:t>
                  </w:r>
                </w:p>
              </w:tc>
              <w:tc>
                <w:tcPr>
                  <w:tcW w:w="979" w:type="dxa"/>
                  <w:vAlign w:val="center"/>
                </w:tcPr>
                <w:p>
                  <w:pPr>
                    <w:spacing w:line="240" w:lineRule="auto"/>
                    <w:ind w:firstLine="0" w:firstLineChars="0"/>
                    <w:jc w:val="center"/>
                    <w:rPr>
                      <w:color w:val="auto"/>
                    </w:rPr>
                  </w:pPr>
                  <w:r>
                    <w:rPr>
                      <w:color w:val="auto"/>
                    </w:rPr>
                    <w:t>污染物</w:t>
                  </w:r>
                </w:p>
              </w:tc>
              <w:tc>
                <w:tcPr>
                  <w:tcW w:w="1240" w:type="dxa"/>
                  <w:vAlign w:val="center"/>
                </w:tcPr>
                <w:p>
                  <w:pPr>
                    <w:spacing w:line="240" w:lineRule="auto"/>
                    <w:ind w:firstLine="0" w:firstLineChars="0"/>
                    <w:jc w:val="center"/>
                    <w:rPr>
                      <w:color w:val="auto"/>
                    </w:rPr>
                  </w:pPr>
                  <w:r>
                    <w:rPr>
                      <w:color w:val="auto"/>
                    </w:rPr>
                    <w:t>排放浓度mg/m³</w:t>
                  </w:r>
                </w:p>
              </w:tc>
              <w:tc>
                <w:tcPr>
                  <w:tcW w:w="2317" w:type="dxa"/>
                  <w:vAlign w:val="center"/>
                </w:tcPr>
                <w:p>
                  <w:pPr>
                    <w:spacing w:line="240" w:lineRule="auto"/>
                    <w:ind w:firstLine="0" w:firstLineChars="0"/>
                    <w:jc w:val="center"/>
                    <w:rPr>
                      <w:color w:val="auto"/>
                    </w:rPr>
                  </w:pPr>
                  <w:r>
                    <w:rPr>
                      <w:color w:val="auto"/>
                    </w:rPr>
                    <w:t>措施及排放去向</w:t>
                  </w:r>
                </w:p>
              </w:tc>
              <w:tc>
                <w:tcPr>
                  <w:tcW w:w="1391" w:type="dxa"/>
                  <w:vAlign w:val="center"/>
                </w:tcPr>
                <w:p>
                  <w:pPr>
                    <w:spacing w:line="240" w:lineRule="auto"/>
                    <w:ind w:firstLine="0" w:firstLineChars="0"/>
                    <w:jc w:val="center"/>
                    <w:rPr>
                      <w:color w:val="auto"/>
                    </w:rPr>
                  </w:pPr>
                  <w:r>
                    <w:rPr>
                      <w:color w:val="auto"/>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7" w:type="dxa"/>
                  <w:vAlign w:val="center"/>
                </w:tcPr>
                <w:p>
                  <w:pPr>
                    <w:spacing w:line="240" w:lineRule="auto"/>
                    <w:ind w:firstLine="0" w:firstLineChars="0"/>
                    <w:jc w:val="center"/>
                    <w:rPr>
                      <w:color w:val="auto"/>
                    </w:rPr>
                  </w:pPr>
                  <w:r>
                    <w:rPr>
                      <w:color w:val="auto"/>
                    </w:rPr>
                    <w:t>厂界无组织废气</w:t>
                  </w:r>
                </w:p>
              </w:tc>
              <w:tc>
                <w:tcPr>
                  <w:tcW w:w="979" w:type="dxa"/>
                  <w:vAlign w:val="center"/>
                </w:tcPr>
                <w:p>
                  <w:pPr>
                    <w:spacing w:line="240" w:lineRule="auto"/>
                    <w:ind w:firstLine="0" w:firstLineChars="0"/>
                    <w:jc w:val="center"/>
                    <w:rPr>
                      <w:color w:val="auto"/>
                    </w:rPr>
                  </w:pPr>
                  <w:r>
                    <w:rPr>
                      <w:color w:val="auto"/>
                    </w:rPr>
                    <w:t>颗粒物</w:t>
                  </w:r>
                </w:p>
              </w:tc>
              <w:tc>
                <w:tcPr>
                  <w:tcW w:w="1240" w:type="dxa"/>
                  <w:vAlign w:val="center"/>
                </w:tcPr>
                <w:p>
                  <w:pPr>
                    <w:spacing w:line="240" w:lineRule="auto"/>
                    <w:ind w:firstLine="0" w:firstLineChars="0"/>
                    <w:jc w:val="center"/>
                    <w:rPr>
                      <w:color w:val="auto"/>
                    </w:rPr>
                  </w:pPr>
                  <w:r>
                    <w:rPr>
                      <w:color w:val="auto"/>
                    </w:rPr>
                    <w:t>0.607</w:t>
                  </w:r>
                </w:p>
              </w:tc>
              <w:tc>
                <w:tcPr>
                  <w:tcW w:w="2317" w:type="dxa"/>
                  <w:vAlign w:val="center"/>
                </w:tcPr>
                <w:p>
                  <w:pPr>
                    <w:spacing w:line="240" w:lineRule="auto"/>
                    <w:ind w:firstLine="0" w:firstLineChars="0"/>
                    <w:jc w:val="center"/>
                    <w:rPr>
                      <w:color w:val="auto"/>
                    </w:rPr>
                  </w:pPr>
                  <w:r>
                    <w:rPr>
                      <w:color w:val="auto"/>
                    </w:rPr>
                    <w:t>煤棚全封闭，车间内均配备喷雾抑尘装置。场内道路绿化，封闭运输，定期洒水，厂区地面及进出厂区道路硬化。</w:t>
                  </w:r>
                </w:p>
              </w:tc>
              <w:tc>
                <w:tcPr>
                  <w:tcW w:w="1391" w:type="dxa"/>
                  <w:vAlign w:val="center"/>
                </w:tcPr>
                <w:p>
                  <w:pPr>
                    <w:spacing w:line="240" w:lineRule="auto"/>
                    <w:ind w:firstLine="0" w:firstLineChars="0"/>
                    <w:jc w:val="center"/>
                    <w:rPr>
                      <w:color w:val="auto"/>
                    </w:rPr>
                  </w:pPr>
                  <w:r>
                    <w:rPr>
                      <w:color w:val="auto"/>
                    </w:rPr>
                    <w:t>1.0mg/m³</w:t>
                  </w:r>
                </w:p>
              </w:tc>
            </w:tr>
          </w:tbl>
          <w:p>
            <w:pPr>
              <w:ind w:firstLine="480"/>
              <w:rPr>
                <w:color w:val="auto"/>
              </w:rPr>
            </w:pPr>
            <w:r>
              <w:rPr>
                <w:color w:val="auto"/>
              </w:rPr>
              <w:t>（2）废水</w:t>
            </w:r>
          </w:p>
          <w:p>
            <w:pPr>
              <w:ind w:firstLine="480"/>
              <w:rPr>
                <w:color w:val="auto"/>
              </w:rPr>
            </w:pPr>
            <w:r>
              <w:rPr>
                <w:color w:val="auto"/>
              </w:rPr>
              <w:t>①生活污水</w:t>
            </w:r>
          </w:p>
          <w:p>
            <w:pPr>
              <w:ind w:firstLine="480"/>
              <w:rPr>
                <w:color w:val="auto"/>
              </w:rPr>
            </w:pPr>
            <w:r>
              <w:rPr>
                <w:rFonts w:hint="eastAsia"/>
                <w:color w:val="auto"/>
              </w:rPr>
              <w:t>厂区内建设一个20m³的化粪池，生活污水经沉淀后由伊金霍洛旗城乡</w:t>
            </w:r>
            <w:r>
              <w:rPr>
                <w:rFonts w:hint="eastAsia"/>
                <w:color w:val="auto"/>
                <w:lang w:eastAsia="zh-CN"/>
              </w:rPr>
              <w:t>卫生</w:t>
            </w:r>
            <w:r>
              <w:rPr>
                <w:rFonts w:hint="eastAsia"/>
                <w:color w:val="auto"/>
              </w:rPr>
              <w:t>管理中心定期拉运至</w:t>
            </w:r>
            <w:r>
              <w:rPr>
                <w:rFonts w:hint="eastAsia"/>
                <w:color w:val="auto"/>
                <w:lang w:eastAsia="zh-CN"/>
              </w:rPr>
              <w:t>伊金霍洛旗札萨克镇</w:t>
            </w:r>
            <w:r>
              <w:rPr>
                <w:rFonts w:hint="eastAsia"/>
                <w:color w:val="auto"/>
              </w:rPr>
              <w:t>台格办事处污水处理厂进行处理</w:t>
            </w:r>
            <w:r>
              <w:rPr>
                <w:color w:val="auto"/>
              </w:rPr>
              <w:t>。</w:t>
            </w:r>
          </w:p>
          <w:p>
            <w:pPr>
              <w:ind w:firstLine="480"/>
              <w:rPr>
                <w:color w:val="auto"/>
              </w:rPr>
            </w:pPr>
            <w:r>
              <w:rPr>
                <w:color w:val="auto"/>
              </w:rPr>
              <w:t>②生产废水</w:t>
            </w:r>
          </w:p>
          <w:p>
            <w:pPr>
              <w:ind w:firstLine="480"/>
              <w:rPr>
                <w:color w:val="auto"/>
              </w:rPr>
            </w:pPr>
            <w:r>
              <w:rPr>
                <w:color w:val="auto"/>
              </w:rPr>
              <w:t>地面冲洗废水、洗煤废水实现闭路循环不外排。</w:t>
            </w:r>
          </w:p>
          <w:p>
            <w:pPr>
              <w:ind w:firstLine="480"/>
              <w:rPr>
                <w:color w:val="auto"/>
              </w:rPr>
            </w:pPr>
            <w:r>
              <w:rPr>
                <w:color w:val="auto"/>
              </w:rPr>
              <w:t>③初期雨水</w:t>
            </w:r>
          </w:p>
          <w:p>
            <w:pPr>
              <w:ind w:firstLine="480"/>
              <w:rPr>
                <w:color w:val="auto"/>
              </w:rPr>
            </w:pPr>
            <w:r>
              <w:rPr>
                <w:color w:val="auto"/>
              </w:rPr>
              <w:t>厂区地势低处设1个50m³初期雨水池（混凝土结构），对初期雨水进行收集，经沉淀后，用于厂区洒水抑尘。</w:t>
            </w:r>
          </w:p>
          <w:p>
            <w:pPr>
              <w:ind w:firstLine="480"/>
              <w:rPr>
                <w:color w:val="auto"/>
              </w:rPr>
            </w:pPr>
            <w:r>
              <w:rPr>
                <w:color w:val="auto"/>
              </w:rPr>
              <w:t>（3）噪声</w:t>
            </w:r>
          </w:p>
          <w:p>
            <w:pPr>
              <w:ind w:firstLine="0" w:firstLineChars="0"/>
              <w:jc w:val="center"/>
              <w:rPr>
                <w:b/>
                <w:bCs/>
                <w:color w:val="auto"/>
              </w:rPr>
            </w:pPr>
            <w:r>
              <w:rPr>
                <w:b/>
                <w:bCs/>
                <w:color w:val="auto"/>
              </w:rPr>
              <w:t>表2-</w:t>
            </w:r>
            <w:r>
              <w:rPr>
                <w:rFonts w:hint="eastAsia"/>
                <w:b/>
                <w:bCs/>
                <w:color w:val="auto"/>
              </w:rPr>
              <w:t>9</w:t>
            </w:r>
            <w:r>
              <w:rPr>
                <w:b/>
                <w:bCs/>
                <w:color w:val="auto"/>
              </w:rPr>
              <w:t>现有工程噪声污染源治理措施及排放情况一览表</w:t>
            </w:r>
          </w:p>
          <w:tbl>
            <w:tblPr>
              <w:tblStyle w:val="22"/>
              <w:tblW w:w="69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3"/>
              <w:gridCol w:w="993"/>
              <w:gridCol w:w="993"/>
              <w:gridCol w:w="993"/>
              <w:gridCol w:w="994"/>
              <w:gridCol w:w="994"/>
              <w:gridCol w:w="9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993" w:type="dxa"/>
                  <w:vMerge w:val="restart"/>
                </w:tcPr>
                <w:p>
                  <w:pPr>
                    <w:spacing w:line="240" w:lineRule="auto"/>
                    <w:ind w:firstLine="0" w:firstLineChars="0"/>
                    <w:jc w:val="center"/>
                    <w:rPr>
                      <w:color w:val="auto"/>
                    </w:rPr>
                  </w:pPr>
                  <w:r>
                    <w:rPr>
                      <w:color w:val="auto"/>
                    </w:rPr>
                    <w:t>污染源</w:t>
                  </w:r>
                </w:p>
              </w:tc>
              <w:tc>
                <w:tcPr>
                  <w:tcW w:w="993" w:type="dxa"/>
                  <w:vMerge w:val="restart"/>
                </w:tcPr>
                <w:p>
                  <w:pPr>
                    <w:spacing w:line="240" w:lineRule="auto"/>
                    <w:ind w:firstLine="0" w:firstLineChars="0"/>
                    <w:jc w:val="center"/>
                    <w:rPr>
                      <w:color w:val="auto"/>
                    </w:rPr>
                  </w:pPr>
                  <w:r>
                    <w:rPr>
                      <w:color w:val="auto"/>
                    </w:rPr>
                    <w:t>环保措施</w:t>
                  </w:r>
                </w:p>
              </w:tc>
              <w:tc>
                <w:tcPr>
                  <w:tcW w:w="993" w:type="dxa"/>
                  <w:vMerge w:val="restart"/>
                </w:tcPr>
                <w:p>
                  <w:pPr>
                    <w:spacing w:line="240" w:lineRule="auto"/>
                    <w:ind w:firstLine="0" w:firstLineChars="0"/>
                    <w:jc w:val="center"/>
                    <w:rPr>
                      <w:color w:val="auto"/>
                    </w:rPr>
                  </w:pPr>
                  <w:r>
                    <w:rPr>
                      <w:color w:val="auto"/>
                    </w:rPr>
                    <w:t>标准来源</w:t>
                  </w:r>
                </w:p>
              </w:tc>
              <w:tc>
                <w:tcPr>
                  <w:tcW w:w="993" w:type="dxa"/>
                  <w:vMerge w:val="restart"/>
                </w:tcPr>
                <w:p>
                  <w:pPr>
                    <w:spacing w:line="240" w:lineRule="auto"/>
                    <w:ind w:firstLine="0" w:firstLineChars="0"/>
                    <w:jc w:val="center"/>
                    <w:rPr>
                      <w:color w:val="auto"/>
                    </w:rPr>
                  </w:pPr>
                  <w:r>
                    <w:rPr>
                      <w:color w:val="auto"/>
                    </w:rPr>
                    <w:t>标准值dB（A）</w:t>
                  </w:r>
                </w:p>
              </w:tc>
              <w:tc>
                <w:tcPr>
                  <w:tcW w:w="994" w:type="dxa"/>
                  <w:vMerge w:val="restart"/>
                </w:tcPr>
                <w:p>
                  <w:pPr>
                    <w:spacing w:line="240" w:lineRule="auto"/>
                    <w:ind w:firstLine="0" w:firstLineChars="0"/>
                    <w:jc w:val="center"/>
                    <w:rPr>
                      <w:color w:val="auto"/>
                    </w:rPr>
                  </w:pPr>
                  <w:r>
                    <w:rPr>
                      <w:color w:val="auto"/>
                    </w:rPr>
                    <w:t>位置</w:t>
                  </w:r>
                </w:p>
              </w:tc>
              <w:tc>
                <w:tcPr>
                  <w:tcW w:w="1988" w:type="dxa"/>
                  <w:gridSpan w:val="2"/>
                </w:tcPr>
                <w:p>
                  <w:pPr>
                    <w:spacing w:line="240" w:lineRule="auto"/>
                    <w:ind w:firstLine="0" w:firstLineChars="0"/>
                    <w:jc w:val="center"/>
                    <w:rPr>
                      <w:color w:val="auto"/>
                    </w:rPr>
                  </w:pPr>
                  <w:r>
                    <w:rPr>
                      <w:color w:val="auto"/>
                    </w:rPr>
                    <w:t>监测数据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993" w:type="dxa"/>
                  <w:vMerge w:val="continue"/>
                </w:tcPr>
                <w:p>
                  <w:pPr>
                    <w:spacing w:line="240" w:lineRule="auto"/>
                    <w:ind w:firstLine="0" w:firstLineChars="0"/>
                    <w:jc w:val="center"/>
                    <w:rPr>
                      <w:color w:val="auto"/>
                    </w:rPr>
                  </w:pPr>
                </w:p>
              </w:tc>
              <w:tc>
                <w:tcPr>
                  <w:tcW w:w="993" w:type="dxa"/>
                  <w:vMerge w:val="continue"/>
                </w:tcPr>
                <w:p>
                  <w:pPr>
                    <w:spacing w:line="240" w:lineRule="auto"/>
                    <w:ind w:firstLine="0" w:firstLineChars="0"/>
                    <w:jc w:val="center"/>
                    <w:rPr>
                      <w:color w:val="auto"/>
                    </w:rPr>
                  </w:pPr>
                </w:p>
              </w:tc>
              <w:tc>
                <w:tcPr>
                  <w:tcW w:w="993" w:type="dxa"/>
                  <w:vMerge w:val="continue"/>
                </w:tcPr>
                <w:p>
                  <w:pPr>
                    <w:spacing w:line="240" w:lineRule="auto"/>
                    <w:ind w:firstLine="0" w:firstLineChars="0"/>
                    <w:jc w:val="center"/>
                    <w:rPr>
                      <w:color w:val="auto"/>
                    </w:rPr>
                  </w:pPr>
                </w:p>
              </w:tc>
              <w:tc>
                <w:tcPr>
                  <w:tcW w:w="993" w:type="dxa"/>
                  <w:vMerge w:val="continue"/>
                </w:tcPr>
                <w:p>
                  <w:pPr>
                    <w:spacing w:line="240" w:lineRule="auto"/>
                    <w:ind w:firstLine="0" w:firstLineChars="0"/>
                    <w:jc w:val="center"/>
                    <w:rPr>
                      <w:color w:val="auto"/>
                    </w:rPr>
                  </w:pPr>
                </w:p>
              </w:tc>
              <w:tc>
                <w:tcPr>
                  <w:tcW w:w="994" w:type="dxa"/>
                  <w:vMerge w:val="continue"/>
                </w:tcPr>
                <w:p>
                  <w:pPr>
                    <w:spacing w:line="240" w:lineRule="auto"/>
                    <w:ind w:firstLine="0" w:firstLineChars="0"/>
                    <w:jc w:val="center"/>
                    <w:rPr>
                      <w:color w:val="auto"/>
                    </w:rPr>
                  </w:pPr>
                </w:p>
              </w:tc>
              <w:tc>
                <w:tcPr>
                  <w:tcW w:w="994" w:type="dxa"/>
                </w:tcPr>
                <w:p>
                  <w:pPr>
                    <w:spacing w:line="240" w:lineRule="auto"/>
                    <w:ind w:firstLine="0" w:firstLineChars="0"/>
                    <w:jc w:val="center"/>
                    <w:rPr>
                      <w:color w:val="auto"/>
                    </w:rPr>
                  </w:pPr>
                  <w:r>
                    <w:rPr>
                      <w:color w:val="auto"/>
                    </w:rPr>
                    <w:t>昼间</w:t>
                  </w:r>
                </w:p>
              </w:tc>
              <w:tc>
                <w:tcPr>
                  <w:tcW w:w="994" w:type="dxa"/>
                </w:tcPr>
                <w:p>
                  <w:pPr>
                    <w:spacing w:line="240" w:lineRule="auto"/>
                    <w:ind w:firstLine="0" w:firstLineChars="0"/>
                    <w:jc w:val="center"/>
                    <w:rPr>
                      <w:color w:val="auto"/>
                    </w:rPr>
                  </w:pPr>
                  <w:r>
                    <w:rPr>
                      <w:color w:val="auto"/>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vMerge w:val="restart"/>
                </w:tcPr>
                <w:p>
                  <w:pPr>
                    <w:spacing w:line="240" w:lineRule="auto"/>
                    <w:ind w:firstLine="0" w:firstLineChars="0"/>
                    <w:rPr>
                      <w:color w:val="auto"/>
                    </w:rPr>
                  </w:pPr>
                  <w:r>
                    <w:rPr>
                      <w:color w:val="auto"/>
                    </w:rPr>
                    <w:t>生产设备、风机</w:t>
                  </w:r>
                </w:p>
              </w:tc>
              <w:tc>
                <w:tcPr>
                  <w:tcW w:w="993" w:type="dxa"/>
                  <w:vMerge w:val="restart"/>
                </w:tcPr>
                <w:p>
                  <w:pPr>
                    <w:spacing w:line="240" w:lineRule="auto"/>
                    <w:ind w:firstLine="0" w:firstLineChars="0"/>
                    <w:rPr>
                      <w:color w:val="auto"/>
                    </w:rPr>
                  </w:pPr>
                  <w:r>
                    <w:rPr>
                      <w:color w:val="auto"/>
                    </w:rPr>
                    <w:t>选用低噪声设备</w:t>
                  </w:r>
                  <w:r>
                    <w:rPr>
                      <w:rFonts w:hint="eastAsia"/>
                      <w:color w:val="auto"/>
                    </w:rPr>
                    <w:t>，</w:t>
                  </w:r>
                  <w:r>
                    <w:rPr>
                      <w:color w:val="auto"/>
                    </w:rPr>
                    <w:t>基础减振，厂房隔声等措施</w:t>
                  </w:r>
                </w:p>
              </w:tc>
              <w:tc>
                <w:tcPr>
                  <w:tcW w:w="993" w:type="dxa"/>
                  <w:vMerge w:val="restart"/>
                </w:tcPr>
                <w:p>
                  <w:pPr>
                    <w:spacing w:line="240" w:lineRule="auto"/>
                    <w:ind w:firstLine="0" w:firstLineChars="0"/>
                    <w:jc w:val="center"/>
                    <w:rPr>
                      <w:color w:val="auto"/>
                    </w:rPr>
                  </w:pPr>
                  <w:r>
                    <w:rPr>
                      <w:color w:val="auto"/>
                    </w:rPr>
                    <w:t>《工业企业厂界环境噪声排放标准》（GB12348-2008）2类标准限值要求</w:t>
                  </w:r>
                </w:p>
              </w:tc>
              <w:tc>
                <w:tcPr>
                  <w:tcW w:w="993" w:type="dxa"/>
                  <w:vMerge w:val="restart"/>
                </w:tcPr>
                <w:p>
                  <w:pPr>
                    <w:spacing w:line="240" w:lineRule="auto"/>
                    <w:ind w:firstLine="0" w:firstLineChars="0"/>
                    <w:jc w:val="center"/>
                    <w:rPr>
                      <w:color w:val="auto"/>
                    </w:rPr>
                  </w:pPr>
                  <w:r>
                    <w:rPr>
                      <w:color w:val="auto"/>
                    </w:rPr>
                    <w:t>昼间≤60</w:t>
                  </w:r>
                </w:p>
                <w:p>
                  <w:pPr>
                    <w:spacing w:line="240" w:lineRule="auto"/>
                    <w:ind w:firstLine="0" w:firstLineChars="0"/>
                    <w:jc w:val="center"/>
                    <w:rPr>
                      <w:color w:val="auto"/>
                    </w:rPr>
                  </w:pPr>
                  <w:r>
                    <w:rPr>
                      <w:color w:val="auto"/>
                    </w:rPr>
                    <w:t>夜间≤50</w:t>
                  </w:r>
                </w:p>
              </w:tc>
              <w:tc>
                <w:tcPr>
                  <w:tcW w:w="994" w:type="dxa"/>
                </w:tcPr>
                <w:p>
                  <w:pPr>
                    <w:spacing w:line="240" w:lineRule="auto"/>
                    <w:ind w:firstLine="0" w:firstLineChars="0"/>
                    <w:jc w:val="center"/>
                    <w:rPr>
                      <w:color w:val="auto"/>
                    </w:rPr>
                  </w:pPr>
                  <w:r>
                    <w:rPr>
                      <w:color w:val="auto"/>
                    </w:rPr>
                    <w:t>东厂界</w:t>
                  </w:r>
                </w:p>
              </w:tc>
              <w:tc>
                <w:tcPr>
                  <w:tcW w:w="994" w:type="dxa"/>
                </w:tcPr>
                <w:p>
                  <w:pPr>
                    <w:spacing w:line="240" w:lineRule="auto"/>
                    <w:ind w:firstLine="0" w:firstLineChars="0"/>
                    <w:jc w:val="center"/>
                    <w:rPr>
                      <w:color w:val="auto"/>
                    </w:rPr>
                  </w:pPr>
                  <w:r>
                    <w:rPr>
                      <w:color w:val="auto"/>
                    </w:rPr>
                    <w:t>52.9</w:t>
                  </w:r>
                </w:p>
              </w:tc>
              <w:tc>
                <w:tcPr>
                  <w:tcW w:w="994" w:type="dxa"/>
                </w:tcPr>
                <w:p>
                  <w:pPr>
                    <w:spacing w:line="240" w:lineRule="auto"/>
                    <w:ind w:firstLine="0" w:firstLineChars="0"/>
                    <w:jc w:val="center"/>
                    <w:rPr>
                      <w:color w:val="auto"/>
                    </w:rPr>
                  </w:pPr>
                  <w:r>
                    <w:rPr>
                      <w:color w:val="auto"/>
                    </w:rPr>
                    <w:t>42.4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vMerge w:val="continue"/>
                </w:tcPr>
                <w:p>
                  <w:pPr>
                    <w:spacing w:line="240" w:lineRule="auto"/>
                    <w:ind w:firstLine="0" w:firstLineChars="0"/>
                    <w:jc w:val="center"/>
                    <w:rPr>
                      <w:color w:val="auto"/>
                    </w:rPr>
                  </w:pPr>
                </w:p>
              </w:tc>
              <w:tc>
                <w:tcPr>
                  <w:tcW w:w="993" w:type="dxa"/>
                  <w:vMerge w:val="continue"/>
                </w:tcPr>
                <w:p>
                  <w:pPr>
                    <w:spacing w:line="240" w:lineRule="auto"/>
                    <w:ind w:firstLine="0" w:firstLineChars="0"/>
                    <w:jc w:val="center"/>
                    <w:rPr>
                      <w:color w:val="auto"/>
                    </w:rPr>
                  </w:pPr>
                </w:p>
              </w:tc>
              <w:tc>
                <w:tcPr>
                  <w:tcW w:w="993" w:type="dxa"/>
                  <w:vMerge w:val="continue"/>
                </w:tcPr>
                <w:p>
                  <w:pPr>
                    <w:spacing w:line="240" w:lineRule="auto"/>
                    <w:ind w:firstLine="0" w:firstLineChars="0"/>
                    <w:jc w:val="center"/>
                    <w:rPr>
                      <w:color w:val="auto"/>
                    </w:rPr>
                  </w:pPr>
                </w:p>
              </w:tc>
              <w:tc>
                <w:tcPr>
                  <w:tcW w:w="993" w:type="dxa"/>
                  <w:vMerge w:val="continue"/>
                </w:tcPr>
                <w:p>
                  <w:pPr>
                    <w:spacing w:line="240" w:lineRule="auto"/>
                    <w:ind w:firstLine="0" w:firstLineChars="0"/>
                    <w:jc w:val="center"/>
                    <w:rPr>
                      <w:color w:val="auto"/>
                    </w:rPr>
                  </w:pPr>
                </w:p>
              </w:tc>
              <w:tc>
                <w:tcPr>
                  <w:tcW w:w="994" w:type="dxa"/>
                </w:tcPr>
                <w:p>
                  <w:pPr>
                    <w:pStyle w:val="73"/>
                    <w:spacing w:line="240" w:lineRule="auto"/>
                    <w:ind w:firstLine="0" w:firstLineChars="0"/>
                    <w:rPr>
                      <w:rFonts w:ascii="Times New Roman" w:hAnsi="Times New Roman" w:cs="Times New Roman"/>
                      <w:color w:val="auto"/>
                      <w:lang w:eastAsia="zh-CN"/>
                    </w:rPr>
                  </w:pPr>
                  <w:r>
                    <w:rPr>
                      <w:rFonts w:ascii="Times New Roman" w:hAnsi="Times New Roman" w:cs="Times New Roman"/>
                      <w:color w:val="auto"/>
                      <w:lang w:eastAsia="zh-CN"/>
                    </w:rPr>
                    <w:t>西厂界</w:t>
                  </w:r>
                </w:p>
              </w:tc>
              <w:tc>
                <w:tcPr>
                  <w:tcW w:w="994" w:type="dxa"/>
                </w:tcPr>
                <w:p>
                  <w:pPr>
                    <w:spacing w:line="240" w:lineRule="auto"/>
                    <w:ind w:firstLine="0" w:firstLineChars="0"/>
                    <w:jc w:val="center"/>
                    <w:rPr>
                      <w:color w:val="auto"/>
                    </w:rPr>
                  </w:pPr>
                  <w:r>
                    <w:rPr>
                      <w:color w:val="auto"/>
                    </w:rPr>
                    <w:t>52.6</w:t>
                  </w:r>
                </w:p>
              </w:tc>
              <w:tc>
                <w:tcPr>
                  <w:tcW w:w="994" w:type="dxa"/>
                </w:tcPr>
                <w:p>
                  <w:pPr>
                    <w:spacing w:line="240" w:lineRule="auto"/>
                    <w:ind w:firstLine="0" w:firstLineChars="0"/>
                    <w:jc w:val="center"/>
                    <w:rPr>
                      <w:color w:val="auto"/>
                    </w:rPr>
                  </w:pPr>
                  <w:r>
                    <w:rPr>
                      <w:color w:val="auto"/>
                    </w:rPr>
                    <w:t>42.6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vMerge w:val="continue"/>
                </w:tcPr>
                <w:p>
                  <w:pPr>
                    <w:spacing w:line="240" w:lineRule="auto"/>
                    <w:ind w:firstLine="0" w:firstLineChars="0"/>
                    <w:jc w:val="center"/>
                    <w:rPr>
                      <w:color w:val="auto"/>
                    </w:rPr>
                  </w:pPr>
                </w:p>
              </w:tc>
              <w:tc>
                <w:tcPr>
                  <w:tcW w:w="993" w:type="dxa"/>
                  <w:vMerge w:val="continue"/>
                </w:tcPr>
                <w:p>
                  <w:pPr>
                    <w:spacing w:line="240" w:lineRule="auto"/>
                    <w:ind w:firstLine="0" w:firstLineChars="0"/>
                    <w:jc w:val="center"/>
                    <w:rPr>
                      <w:color w:val="auto"/>
                    </w:rPr>
                  </w:pPr>
                </w:p>
              </w:tc>
              <w:tc>
                <w:tcPr>
                  <w:tcW w:w="993" w:type="dxa"/>
                  <w:vMerge w:val="continue"/>
                </w:tcPr>
                <w:p>
                  <w:pPr>
                    <w:spacing w:line="240" w:lineRule="auto"/>
                    <w:ind w:firstLine="0" w:firstLineChars="0"/>
                    <w:jc w:val="center"/>
                    <w:rPr>
                      <w:color w:val="auto"/>
                    </w:rPr>
                  </w:pPr>
                </w:p>
              </w:tc>
              <w:tc>
                <w:tcPr>
                  <w:tcW w:w="993" w:type="dxa"/>
                  <w:vMerge w:val="continue"/>
                </w:tcPr>
                <w:p>
                  <w:pPr>
                    <w:spacing w:line="240" w:lineRule="auto"/>
                    <w:ind w:firstLine="0" w:firstLineChars="0"/>
                    <w:jc w:val="center"/>
                    <w:rPr>
                      <w:color w:val="auto"/>
                    </w:rPr>
                  </w:pPr>
                </w:p>
              </w:tc>
              <w:tc>
                <w:tcPr>
                  <w:tcW w:w="994" w:type="dxa"/>
                </w:tcPr>
                <w:p>
                  <w:pPr>
                    <w:pStyle w:val="73"/>
                    <w:spacing w:line="240" w:lineRule="auto"/>
                    <w:ind w:firstLine="0" w:firstLineChars="0"/>
                    <w:rPr>
                      <w:rFonts w:ascii="Times New Roman" w:hAnsi="Times New Roman" w:cs="Times New Roman"/>
                      <w:color w:val="auto"/>
                      <w:lang w:eastAsia="zh-CN"/>
                    </w:rPr>
                  </w:pPr>
                  <w:r>
                    <w:rPr>
                      <w:rFonts w:ascii="Times New Roman" w:hAnsi="Times New Roman" w:cs="Times New Roman"/>
                      <w:color w:val="auto"/>
                      <w:lang w:eastAsia="zh-CN"/>
                    </w:rPr>
                    <w:t>南厂界</w:t>
                  </w:r>
                </w:p>
              </w:tc>
              <w:tc>
                <w:tcPr>
                  <w:tcW w:w="994" w:type="dxa"/>
                </w:tcPr>
                <w:p>
                  <w:pPr>
                    <w:spacing w:line="240" w:lineRule="auto"/>
                    <w:ind w:firstLine="0" w:firstLineChars="0"/>
                    <w:jc w:val="center"/>
                    <w:rPr>
                      <w:color w:val="auto"/>
                    </w:rPr>
                  </w:pPr>
                  <w:r>
                    <w:rPr>
                      <w:color w:val="auto"/>
                    </w:rPr>
                    <w:t>53.7</w:t>
                  </w:r>
                </w:p>
              </w:tc>
              <w:tc>
                <w:tcPr>
                  <w:tcW w:w="994" w:type="dxa"/>
                </w:tcPr>
                <w:p>
                  <w:pPr>
                    <w:spacing w:line="240" w:lineRule="auto"/>
                    <w:ind w:firstLine="0" w:firstLineChars="0"/>
                    <w:jc w:val="center"/>
                    <w:rPr>
                      <w:color w:val="auto"/>
                    </w:rPr>
                  </w:pPr>
                  <w:r>
                    <w:rPr>
                      <w:color w:val="auto"/>
                    </w:rPr>
                    <w:t>42.3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vMerge w:val="continue"/>
                </w:tcPr>
                <w:p>
                  <w:pPr>
                    <w:spacing w:line="240" w:lineRule="auto"/>
                    <w:ind w:firstLine="0" w:firstLineChars="0"/>
                    <w:jc w:val="center"/>
                    <w:rPr>
                      <w:color w:val="auto"/>
                    </w:rPr>
                  </w:pPr>
                </w:p>
              </w:tc>
              <w:tc>
                <w:tcPr>
                  <w:tcW w:w="993" w:type="dxa"/>
                  <w:vMerge w:val="continue"/>
                </w:tcPr>
                <w:p>
                  <w:pPr>
                    <w:spacing w:line="240" w:lineRule="auto"/>
                    <w:ind w:firstLine="0" w:firstLineChars="0"/>
                    <w:jc w:val="center"/>
                    <w:rPr>
                      <w:color w:val="auto"/>
                    </w:rPr>
                  </w:pPr>
                </w:p>
              </w:tc>
              <w:tc>
                <w:tcPr>
                  <w:tcW w:w="993" w:type="dxa"/>
                  <w:vMerge w:val="continue"/>
                </w:tcPr>
                <w:p>
                  <w:pPr>
                    <w:spacing w:line="240" w:lineRule="auto"/>
                    <w:ind w:firstLine="0" w:firstLineChars="0"/>
                    <w:jc w:val="center"/>
                    <w:rPr>
                      <w:color w:val="auto"/>
                    </w:rPr>
                  </w:pPr>
                </w:p>
              </w:tc>
              <w:tc>
                <w:tcPr>
                  <w:tcW w:w="993" w:type="dxa"/>
                  <w:vMerge w:val="continue"/>
                </w:tcPr>
                <w:p>
                  <w:pPr>
                    <w:spacing w:line="240" w:lineRule="auto"/>
                    <w:ind w:firstLine="0" w:firstLineChars="0"/>
                    <w:jc w:val="center"/>
                    <w:rPr>
                      <w:color w:val="auto"/>
                    </w:rPr>
                  </w:pPr>
                </w:p>
              </w:tc>
              <w:tc>
                <w:tcPr>
                  <w:tcW w:w="994" w:type="dxa"/>
                </w:tcPr>
                <w:p>
                  <w:pPr>
                    <w:pStyle w:val="73"/>
                    <w:spacing w:line="240" w:lineRule="auto"/>
                    <w:ind w:firstLine="0" w:firstLineChars="0"/>
                    <w:rPr>
                      <w:rFonts w:ascii="Times New Roman" w:hAnsi="Times New Roman" w:cs="Times New Roman"/>
                      <w:color w:val="auto"/>
                      <w:lang w:eastAsia="zh-CN"/>
                    </w:rPr>
                  </w:pPr>
                  <w:r>
                    <w:rPr>
                      <w:rFonts w:ascii="Times New Roman" w:hAnsi="Times New Roman" w:cs="Times New Roman"/>
                      <w:color w:val="auto"/>
                      <w:lang w:eastAsia="zh-CN"/>
                    </w:rPr>
                    <w:t>北厂界</w:t>
                  </w:r>
                </w:p>
              </w:tc>
              <w:tc>
                <w:tcPr>
                  <w:tcW w:w="994" w:type="dxa"/>
                </w:tcPr>
                <w:p>
                  <w:pPr>
                    <w:spacing w:line="240" w:lineRule="auto"/>
                    <w:ind w:firstLine="0" w:firstLineChars="0"/>
                    <w:jc w:val="center"/>
                    <w:rPr>
                      <w:color w:val="auto"/>
                    </w:rPr>
                  </w:pPr>
                  <w:r>
                    <w:rPr>
                      <w:color w:val="auto"/>
                    </w:rPr>
                    <w:t>54.1</w:t>
                  </w:r>
                </w:p>
              </w:tc>
              <w:tc>
                <w:tcPr>
                  <w:tcW w:w="994" w:type="dxa"/>
                </w:tcPr>
                <w:p>
                  <w:pPr>
                    <w:spacing w:line="240" w:lineRule="auto"/>
                    <w:ind w:firstLine="0" w:firstLineChars="0"/>
                    <w:jc w:val="center"/>
                    <w:rPr>
                      <w:color w:val="auto"/>
                    </w:rPr>
                  </w:pPr>
                  <w:r>
                    <w:rPr>
                      <w:color w:val="auto"/>
                    </w:rPr>
                    <w:t>42.1</w:t>
                  </w:r>
                </w:p>
              </w:tc>
            </w:tr>
          </w:tbl>
          <w:p>
            <w:pPr>
              <w:ind w:firstLine="480"/>
              <w:rPr>
                <w:color w:val="auto"/>
              </w:rPr>
            </w:pPr>
            <w:r>
              <w:rPr>
                <w:color w:val="auto"/>
              </w:rPr>
              <w:t>根据验收监测结果，厂界噪声满足《工业企业厂界环境噪声排放标准》（GB12348-2008）2类标准。</w:t>
            </w:r>
          </w:p>
          <w:p>
            <w:pPr>
              <w:ind w:firstLine="480"/>
              <w:rPr>
                <w:color w:val="auto"/>
              </w:rPr>
            </w:pPr>
            <w:r>
              <w:rPr>
                <w:color w:val="auto"/>
              </w:rPr>
              <w:t>（4）固体废弃物</w:t>
            </w:r>
          </w:p>
          <w:p>
            <w:pPr>
              <w:ind w:firstLine="480"/>
              <w:rPr>
                <w:color w:val="auto"/>
              </w:rPr>
            </w:pPr>
            <w:r>
              <w:rPr>
                <w:color w:val="auto"/>
              </w:rPr>
              <w:t>根据验收意见现有工程产生的固废情况见下表。</w:t>
            </w:r>
          </w:p>
          <w:p>
            <w:pPr>
              <w:ind w:firstLine="0" w:firstLineChars="0"/>
              <w:jc w:val="center"/>
              <w:rPr>
                <w:b/>
                <w:bCs/>
                <w:color w:val="auto"/>
              </w:rPr>
            </w:pPr>
            <w:r>
              <w:rPr>
                <w:b/>
                <w:bCs/>
                <w:color w:val="auto"/>
              </w:rPr>
              <w:t>表2-</w:t>
            </w:r>
            <w:r>
              <w:rPr>
                <w:rFonts w:hint="eastAsia"/>
                <w:b/>
                <w:bCs/>
                <w:color w:val="auto"/>
              </w:rPr>
              <w:t>10</w:t>
            </w:r>
            <w:r>
              <w:rPr>
                <w:b/>
                <w:bCs/>
                <w:color w:val="auto"/>
              </w:rPr>
              <w:t>现有工程固体废弃物产生及处置情况</w:t>
            </w:r>
          </w:p>
          <w:tbl>
            <w:tblPr>
              <w:tblStyle w:val="22"/>
              <w:tblW w:w="69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0"/>
              <w:gridCol w:w="1571"/>
              <w:gridCol w:w="1211"/>
              <w:gridCol w:w="1391"/>
              <w:gridCol w:w="13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0" w:type="dxa"/>
                </w:tcPr>
                <w:p>
                  <w:pPr>
                    <w:spacing w:line="240" w:lineRule="auto"/>
                    <w:ind w:firstLine="0" w:firstLineChars="0"/>
                    <w:jc w:val="center"/>
                    <w:rPr>
                      <w:color w:val="auto"/>
                    </w:rPr>
                  </w:pPr>
                  <w:r>
                    <w:rPr>
                      <w:color w:val="auto"/>
                    </w:rPr>
                    <w:t>污染源</w:t>
                  </w:r>
                </w:p>
              </w:tc>
              <w:tc>
                <w:tcPr>
                  <w:tcW w:w="1571" w:type="dxa"/>
                </w:tcPr>
                <w:p>
                  <w:pPr>
                    <w:spacing w:line="240" w:lineRule="auto"/>
                    <w:ind w:firstLine="0" w:firstLineChars="0"/>
                    <w:jc w:val="center"/>
                    <w:rPr>
                      <w:color w:val="auto"/>
                    </w:rPr>
                  </w:pPr>
                  <w:r>
                    <w:rPr>
                      <w:color w:val="auto"/>
                    </w:rPr>
                    <w:t>污染因子</w:t>
                  </w:r>
                </w:p>
              </w:tc>
              <w:tc>
                <w:tcPr>
                  <w:tcW w:w="1211" w:type="dxa"/>
                </w:tcPr>
                <w:p>
                  <w:pPr>
                    <w:spacing w:line="240" w:lineRule="auto"/>
                    <w:ind w:firstLine="0" w:firstLineChars="0"/>
                    <w:jc w:val="center"/>
                    <w:rPr>
                      <w:color w:val="auto"/>
                    </w:rPr>
                  </w:pPr>
                  <w:r>
                    <w:rPr>
                      <w:color w:val="auto"/>
                    </w:rPr>
                    <w:t>产生量（t/a）</w:t>
                  </w:r>
                </w:p>
              </w:tc>
              <w:tc>
                <w:tcPr>
                  <w:tcW w:w="1391" w:type="dxa"/>
                </w:tcPr>
                <w:p>
                  <w:pPr>
                    <w:spacing w:line="240" w:lineRule="auto"/>
                    <w:ind w:firstLine="0" w:firstLineChars="0"/>
                    <w:jc w:val="center"/>
                    <w:rPr>
                      <w:color w:val="auto"/>
                    </w:rPr>
                  </w:pPr>
                  <w:r>
                    <w:rPr>
                      <w:color w:val="auto"/>
                    </w:rPr>
                    <w:t>环保措施</w:t>
                  </w:r>
                </w:p>
              </w:tc>
              <w:tc>
                <w:tcPr>
                  <w:tcW w:w="1391" w:type="dxa"/>
                </w:tcPr>
                <w:p>
                  <w:pPr>
                    <w:spacing w:line="240" w:lineRule="auto"/>
                    <w:ind w:firstLine="0" w:firstLineChars="0"/>
                    <w:jc w:val="center"/>
                    <w:rPr>
                      <w:color w:val="auto"/>
                    </w:rPr>
                  </w:pPr>
                  <w:r>
                    <w:rPr>
                      <w:color w:val="auto"/>
                    </w:rPr>
                    <w:t>固废类别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0" w:type="dxa"/>
                </w:tcPr>
                <w:p>
                  <w:pPr>
                    <w:spacing w:line="240" w:lineRule="auto"/>
                    <w:ind w:firstLine="0" w:firstLineChars="0"/>
                    <w:jc w:val="center"/>
                    <w:rPr>
                      <w:color w:val="auto"/>
                    </w:rPr>
                  </w:pPr>
                  <w:r>
                    <w:rPr>
                      <w:color w:val="auto"/>
                    </w:rPr>
                    <w:t>初期雨水沉淀池</w:t>
                  </w:r>
                </w:p>
              </w:tc>
              <w:tc>
                <w:tcPr>
                  <w:tcW w:w="1571" w:type="dxa"/>
                </w:tcPr>
                <w:p>
                  <w:pPr>
                    <w:spacing w:line="240" w:lineRule="auto"/>
                    <w:ind w:firstLine="0" w:firstLineChars="0"/>
                    <w:jc w:val="center"/>
                    <w:rPr>
                      <w:color w:val="auto"/>
                    </w:rPr>
                  </w:pPr>
                  <w:r>
                    <w:rPr>
                      <w:color w:val="auto"/>
                    </w:rPr>
                    <w:t>初期雨水沉淀池底泥</w:t>
                  </w:r>
                </w:p>
              </w:tc>
              <w:tc>
                <w:tcPr>
                  <w:tcW w:w="1211" w:type="dxa"/>
                </w:tcPr>
                <w:p>
                  <w:pPr>
                    <w:spacing w:line="240" w:lineRule="auto"/>
                    <w:ind w:firstLine="0" w:firstLineChars="0"/>
                    <w:jc w:val="center"/>
                    <w:rPr>
                      <w:color w:val="auto"/>
                    </w:rPr>
                  </w:pPr>
                  <w:r>
                    <w:rPr>
                      <w:color w:val="auto"/>
                    </w:rPr>
                    <w:t>0.5</w:t>
                  </w:r>
                </w:p>
              </w:tc>
              <w:tc>
                <w:tcPr>
                  <w:tcW w:w="1391" w:type="dxa"/>
                  <w:vMerge w:val="restart"/>
                </w:tcPr>
                <w:p>
                  <w:pPr>
                    <w:spacing w:line="240" w:lineRule="auto"/>
                    <w:ind w:firstLine="0" w:firstLineChars="0"/>
                    <w:jc w:val="center"/>
                    <w:rPr>
                      <w:color w:val="auto"/>
                    </w:rPr>
                  </w:pPr>
                  <w:r>
                    <w:rPr>
                      <w:color w:val="auto"/>
                    </w:rPr>
                    <w:t>掺入产品煤外售</w:t>
                  </w:r>
                </w:p>
              </w:tc>
              <w:tc>
                <w:tcPr>
                  <w:tcW w:w="1391" w:type="dxa"/>
                  <w:vMerge w:val="restart"/>
                </w:tcPr>
                <w:p>
                  <w:pPr>
                    <w:spacing w:line="240" w:lineRule="auto"/>
                    <w:ind w:firstLine="0" w:firstLineChars="0"/>
                    <w:jc w:val="center"/>
                    <w:rPr>
                      <w:color w:val="auto"/>
                    </w:rPr>
                  </w:pPr>
                  <w:r>
                    <w:rPr>
                      <w:color w:val="auto"/>
                    </w:rPr>
                    <w:t>一般固废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0" w:type="dxa"/>
                </w:tcPr>
                <w:p>
                  <w:pPr>
                    <w:spacing w:line="240" w:lineRule="auto"/>
                    <w:ind w:firstLine="0" w:firstLineChars="0"/>
                    <w:jc w:val="center"/>
                    <w:rPr>
                      <w:color w:val="auto"/>
                    </w:rPr>
                  </w:pPr>
                  <w:r>
                    <w:rPr>
                      <w:color w:val="auto"/>
                    </w:rPr>
                    <w:t>循环水池沉淀池</w:t>
                  </w:r>
                </w:p>
              </w:tc>
              <w:tc>
                <w:tcPr>
                  <w:tcW w:w="1571" w:type="dxa"/>
                </w:tcPr>
                <w:p>
                  <w:pPr>
                    <w:spacing w:line="240" w:lineRule="auto"/>
                    <w:ind w:firstLine="0" w:firstLineChars="0"/>
                    <w:jc w:val="center"/>
                    <w:rPr>
                      <w:color w:val="auto"/>
                    </w:rPr>
                  </w:pPr>
                  <w:r>
                    <w:rPr>
                      <w:color w:val="auto"/>
                    </w:rPr>
                    <w:t>循环水池沉淀池底泥</w:t>
                  </w:r>
                </w:p>
              </w:tc>
              <w:tc>
                <w:tcPr>
                  <w:tcW w:w="1211" w:type="dxa"/>
                </w:tcPr>
                <w:p>
                  <w:pPr>
                    <w:spacing w:line="240" w:lineRule="auto"/>
                    <w:ind w:firstLine="0" w:firstLineChars="0"/>
                    <w:jc w:val="center"/>
                    <w:rPr>
                      <w:color w:val="auto"/>
                    </w:rPr>
                  </w:pPr>
                  <w:r>
                    <w:rPr>
                      <w:color w:val="auto"/>
                    </w:rPr>
                    <w:t>1.5</w:t>
                  </w:r>
                </w:p>
              </w:tc>
              <w:tc>
                <w:tcPr>
                  <w:tcW w:w="1391" w:type="dxa"/>
                  <w:vMerge w:val="continue"/>
                </w:tcPr>
                <w:p>
                  <w:pPr>
                    <w:spacing w:line="240" w:lineRule="auto"/>
                    <w:ind w:firstLine="0" w:firstLineChars="0"/>
                    <w:jc w:val="center"/>
                    <w:rPr>
                      <w:color w:val="auto"/>
                    </w:rPr>
                  </w:pPr>
                </w:p>
              </w:tc>
              <w:tc>
                <w:tcPr>
                  <w:tcW w:w="1391" w:type="dxa"/>
                  <w:vMerge w:val="continue"/>
                </w:tcPr>
                <w:p>
                  <w:pPr>
                    <w:spacing w:line="240" w:lineRule="auto"/>
                    <w:ind w:firstLine="0" w:firstLineChars="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390" w:type="dxa"/>
                </w:tcPr>
                <w:p>
                  <w:pPr>
                    <w:spacing w:line="240" w:lineRule="auto"/>
                    <w:ind w:firstLine="0" w:firstLineChars="0"/>
                    <w:jc w:val="center"/>
                    <w:rPr>
                      <w:color w:val="auto"/>
                    </w:rPr>
                  </w:pPr>
                  <w:r>
                    <w:rPr>
                      <w:color w:val="auto"/>
                    </w:rPr>
                    <w:t>生产工序</w:t>
                  </w:r>
                </w:p>
              </w:tc>
              <w:tc>
                <w:tcPr>
                  <w:tcW w:w="1571" w:type="dxa"/>
                </w:tcPr>
                <w:p>
                  <w:pPr>
                    <w:spacing w:line="240" w:lineRule="auto"/>
                    <w:ind w:firstLine="0" w:firstLineChars="0"/>
                    <w:jc w:val="center"/>
                    <w:rPr>
                      <w:color w:val="auto"/>
                    </w:rPr>
                  </w:pPr>
                  <w:r>
                    <w:rPr>
                      <w:color w:val="auto"/>
                    </w:rPr>
                    <w:t>煤泥</w:t>
                  </w:r>
                </w:p>
              </w:tc>
              <w:tc>
                <w:tcPr>
                  <w:tcW w:w="1211" w:type="dxa"/>
                </w:tcPr>
                <w:p>
                  <w:pPr>
                    <w:spacing w:line="240" w:lineRule="auto"/>
                    <w:ind w:firstLine="0" w:firstLineChars="0"/>
                    <w:jc w:val="center"/>
                    <w:rPr>
                      <w:color w:val="auto"/>
                    </w:rPr>
                  </w:pPr>
                  <w:r>
                    <w:rPr>
                      <w:color w:val="auto"/>
                    </w:rPr>
                    <w:t>12万</w:t>
                  </w:r>
                </w:p>
              </w:tc>
              <w:tc>
                <w:tcPr>
                  <w:tcW w:w="1391" w:type="dxa"/>
                  <w:vMerge w:val="continue"/>
                </w:tcPr>
                <w:p>
                  <w:pPr>
                    <w:spacing w:line="240" w:lineRule="auto"/>
                    <w:ind w:firstLine="0" w:firstLineChars="0"/>
                    <w:jc w:val="center"/>
                    <w:rPr>
                      <w:color w:val="auto"/>
                    </w:rPr>
                  </w:pPr>
                </w:p>
              </w:tc>
              <w:tc>
                <w:tcPr>
                  <w:tcW w:w="1391" w:type="dxa"/>
                  <w:vMerge w:val="continue"/>
                </w:tcPr>
                <w:p>
                  <w:pPr>
                    <w:spacing w:line="240" w:lineRule="auto"/>
                    <w:ind w:firstLine="0" w:firstLineChars="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0" w:type="dxa"/>
                </w:tcPr>
                <w:p>
                  <w:pPr>
                    <w:spacing w:line="240" w:lineRule="auto"/>
                    <w:ind w:firstLine="0" w:firstLineChars="0"/>
                    <w:jc w:val="center"/>
                    <w:rPr>
                      <w:color w:val="auto"/>
                    </w:rPr>
                  </w:pPr>
                  <w:r>
                    <w:rPr>
                      <w:color w:val="auto"/>
                    </w:rPr>
                    <w:t>办公区</w:t>
                  </w:r>
                </w:p>
              </w:tc>
              <w:tc>
                <w:tcPr>
                  <w:tcW w:w="1571" w:type="dxa"/>
                </w:tcPr>
                <w:p>
                  <w:pPr>
                    <w:spacing w:line="240" w:lineRule="auto"/>
                    <w:ind w:firstLine="0" w:firstLineChars="0"/>
                    <w:jc w:val="center"/>
                    <w:rPr>
                      <w:color w:val="auto"/>
                    </w:rPr>
                  </w:pPr>
                  <w:r>
                    <w:rPr>
                      <w:color w:val="auto"/>
                    </w:rPr>
                    <w:t>生活垃圾</w:t>
                  </w:r>
                </w:p>
              </w:tc>
              <w:tc>
                <w:tcPr>
                  <w:tcW w:w="1211" w:type="dxa"/>
                </w:tcPr>
                <w:p>
                  <w:pPr>
                    <w:spacing w:line="240" w:lineRule="auto"/>
                    <w:ind w:firstLine="0" w:firstLineChars="0"/>
                    <w:jc w:val="center"/>
                    <w:rPr>
                      <w:color w:val="auto"/>
                    </w:rPr>
                  </w:pPr>
                  <w:r>
                    <w:rPr>
                      <w:color w:val="auto"/>
                    </w:rPr>
                    <w:t>2.5</w:t>
                  </w:r>
                </w:p>
              </w:tc>
              <w:tc>
                <w:tcPr>
                  <w:tcW w:w="1391" w:type="dxa"/>
                </w:tcPr>
                <w:p>
                  <w:pPr>
                    <w:spacing w:line="240" w:lineRule="auto"/>
                    <w:ind w:firstLine="0" w:firstLineChars="0"/>
                    <w:jc w:val="center"/>
                    <w:rPr>
                      <w:color w:val="auto"/>
                    </w:rPr>
                  </w:pPr>
                  <w:r>
                    <w:rPr>
                      <w:color w:val="auto"/>
                    </w:rPr>
                    <w:t>收集后，由鄂尔多斯市新开源物业管理服务有限公司统一清运。</w:t>
                  </w:r>
                </w:p>
              </w:tc>
              <w:tc>
                <w:tcPr>
                  <w:tcW w:w="1391" w:type="dxa"/>
                </w:tcPr>
                <w:p>
                  <w:pPr>
                    <w:spacing w:line="240" w:lineRule="auto"/>
                    <w:ind w:firstLine="0" w:firstLineChars="0"/>
                    <w:jc w:val="center"/>
                    <w:rPr>
                      <w:color w:val="auto"/>
                    </w:rPr>
                  </w:pPr>
                  <w:r>
                    <w:rPr>
                      <w:color w:val="auto"/>
                    </w:rPr>
                    <w:t>生活垃圾</w:t>
                  </w:r>
                </w:p>
              </w:tc>
            </w:tr>
          </w:tbl>
          <w:p>
            <w:pPr>
              <w:ind w:firstLine="482"/>
              <w:rPr>
                <w:b/>
                <w:bCs/>
                <w:color w:val="auto"/>
              </w:rPr>
            </w:pPr>
            <w:r>
              <w:rPr>
                <w:rFonts w:hint="eastAsia"/>
                <w:b/>
                <w:bCs/>
                <w:color w:val="auto"/>
                <w:lang w:eastAsia="zh-CN"/>
              </w:rPr>
              <w:t>3.</w:t>
            </w:r>
            <w:r>
              <w:rPr>
                <w:b/>
                <w:bCs/>
                <w:color w:val="auto"/>
              </w:rPr>
              <w:t>现有工程主要污染物排放情况</w:t>
            </w:r>
          </w:p>
          <w:p>
            <w:pPr>
              <w:ind w:firstLine="480"/>
              <w:rPr>
                <w:color w:val="auto"/>
              </w:rPr>
            </w:pPr>
            <w:r>
              <w:rPr>
                <w:color w:val="auto"/>
              </w:rPr>
              <w:t>项目现有工程全厂主要污染物排放情况一览表见表2-9。</w:t>
            </w:r>
          </w:p>
          <w:p>
            <w:pPr>
              <w:ind w:firstLine="0" w:firstLineChars="0"/>
              <w:jc w:val="center"/>
              <w:rPr>
                <w:b/>
                <w:bCs/>
                <w:color w:val="auto"/>
              </w:rPr>
            </w:pPr>
            <w:r>
              <w:rPr>
                <w:b/>
                <w:bCs/>
                <w:color w:val="auto"/>
              </w:rPr>
              <w:t>表2-</w:t>
            </w:r>
            <w:r>
              <w:rPr>
                <w:rFonts w:hint="eastAsia"/>
                <w:b/>
                <w:bCs/>
                <w:color w:val="auto"/>
              </w:rPr>
              <w:t>11</w:t>
            </w:r>
            <w:r>
              <w:rPr>
                <w:b/>
                <w:bCs/>
                <w:color w:val="auto"/>
              </w:rPr>
              <w:t>现有工程全厂主要污染物排放情况一览表</w:t>
            </w:r>
          </w:p>
          <w:tbl>
            <w:tblPr>
              <w:tblStyle w:val="22"/>
              <w:tblW w:w="69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0"/>
              <w:gridCol w:w="1019"/>
              <w:gridCol w:w="1958"/>
              <w:gridCol w:w="1099"/>
              <w:gridCol w:w="18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tcPr>
                <w:p>
                  <w:pPr>
                    <w:spacing w:line="240" w:lineRule="auto"/>
                    <w:ind w:firstLine="0" w:firstLineChars="0"/>
                    <w:jc w:val="center"/>
                    <w:rPr>
                      <w:color w:val="auto"/>
                    </w:rPr>
                  </w:pPr>
                  <w:r>
                    <w:rPr>
                      <w:color w:val="auto"/>
                    </w:rPr>
                    <w:t>污染物种类</w:t>
                  </w:r>
                </w:p>
              </w:tc>
              <w:tc>
                <w:tcPr>
                  <w:tcW w:w="1019" w:type="dxa"/>
                </w:tcPr>
                <w:p>
                  <w:pPr>
                    <w:spacing w:line="240" w:lineRule="auto"/>
                    <w:ind w:firstLine="0" w:firstLineChars="0"/>
                    <w:jc w:val="center"/>
                    <w:rPr>
                      <w:color w:val="auto"/>
                    </w:rPr>
                  </w:pPr>
                  <w:r>
                    <w:rPr>
                      <w:color w:val="auto"/>
                    </w:rPr>
                    <w:t>污染物名称</w:t>
                  </w:r>
                </w:p>
              </w:tc>
              <w:tc>
                <w:tcPr>
                  <w:tcW w:w="3057" w:type="dxa"/>
                  <w:gridSpan w:val="2"/>
                </w:tcPr>
                <w:p>
                  <w:pPr>
                    <w:spacing w:line="240" w:lineRule="auto"/>
                    <w:ind w:firstLine="0" w:firstLineChars="0"/>
                    <w:jc w:val="center"/>
                    <w:rPr>
                      <w:color w:val="auto"/>
                    </w:rPr>
                  </w:pPr>
                  <w:r>
                    <w:rPr>
                      <w:color w:val="auto"/>
                    </w:rPr>
                    <w:t>排放量t/a</w:t>
                  </w:r>
                </w:p>
              </w:tc>
              <w:tc>
                <w:tcPr>
                  <w:tcW w:w="1848" w:type="dxa"/>
                </w:tcPr>
                <w:p>
                  <w:pPr>
                    <w:spacing w:line="240" w:lineRule="auto"/>
                    <w:ind w:firstLine="0" w:firstLineChars="0"/>
                    <w:jc w:val="center"/>
                    <w:rPr>
                      <w:color w:val="auto"/>
                    </w:rPr>
                  </w:pPr>
                  <w:r>
                    <w:rPr>
                      <w:color w:val="auto"/>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1030" w:type="dxa"/>
                  <w:vMerge w:val="restart"/>
                </w:tcPr>
                <w:p>
                  <w:pPr>
                    <w:spacing w:line="240" w:lineRule="auto"/>
                    <w:ind w:firstLine="0" w:firstLineChars="0"/>
                    <w:jc w:val="center"/>
                    <w:rPr>
                      <w:color w:val="auto"/>
                    </w:rPr>
                  </w:pPr>
                  <w:r>
                    <w:rPr>
                      <w:color w:val="auto"/>
                    </w:rPr>
                    <w:t>废气</w:t>
                  </w:r>
                </w:p>
              </w:tc>
              <w:tc>
                <w:tcPr>
                  <w:tcW w:w="1019" w:type="dxa"/>
                  <w:vMerge w:val="restart"/>
                </w:tcPr>
                <w:p>
                  <w:pPr>
                    <w:spacing w:line="240" w:lineRule="auto"/>
                    <w:ind w:firstLine="0" w:firstLineChars="0"/>
                    <w:jc w:val="center"/>
                    <w:rPr>
                      <w:color w:val="auto"/>
                    </w:rPr>
                  </w:pPr>
                  <w:r>
                    <w:rPr>
                      <w:color w:val="auto"/>
                    </w:rPr>
                    <w:t>颗粒物</w:t>
                  </w:r>
                </w:p>
              </w:tc>
              <w:tc>
                <w:tcPr>
                  <w:tcW w:w="1958" w:type="dxa"/>
                </w:tcPr>
                <w:p>
                  <w:pPr>
                    <w:spacing w:line="240" w:lineRule="auto"/>
                    <w:ind w:firstLine="0" w:firstLineChars="0"/>
                    <w:jc w:val="center"/>
                    <w:rPr>
                      <w:color w:val="auto"/>
                    </w:rPr>
                  </w:pPr>
                  <w:r>
                    <w:rPr>
                      <w:rFonts w:hint="eastAsia"/>
                      <w:color w:val="auto"/>
                    </w:rPr>
                    <w:t>洗煤厂项目</w:t>
                  </w:r>
                </w:p>
              </w:tc>
              <w:tc>
                <w:tcPr>
                  <w:tcW w:w="1099" w:type="dxa"/>
                </w:tcPr>
                <w:p>
                  <w:pPr>
                    <w:spacing w:line="240" w:lineRule="auto"/>
                    <w:ind w:firstLine="0" w:firstLineChars="0"/>
                    <w:jc w:val="center"/>
                    <w:rPr>
                      <w:color w:val="auto"/>
                    </w:rPr>
                  </w:pPr>
                  <w:r>
                    <w:rPr>
                      <w:rFonts w:hint="eastAsia"/>
                      <w:color w:val="auto"/>
                    </w:rPr>
                    <w:t>3.05</w:t>
                  </w:r>
                </w:p>
              </w:tc>
              <w:tc>
                <w:tcPr>
                  <w:tcW w:w="1848" w:type="dxa"/>
                  <w:vMerge w:val="restart"/>
                </w:tcPr>
                <w:p>
                  <w:pPr>
                    <w:spacing w:line="240" w:lineRule="auto"/>
                    <w:ind w:firstLine="0" w:firstLineChars="0"/>
                    <w:jc w:val="center"/>
                    <w:rPr>
                      <w:color w:val="auto"/>
                    </w:rPr>
                  </w:pPr>
                  <w:r>
                    <w:rPr>
                      <w:color w:val="auto"/>
                    </w:rPr>
                    <w:t>现有工程</w:t>
                  </w:r>
                  <w:r>
                    <w:rPr>
                      <w:rFonts w:hint="eastAsia"/>
                      <w:color w:val="auto"/>
                    </w:rPr>
                    <w:t>验收</w:t>
                  </w:r>
                  <w:r>
                    <w:rPr>
                      <w:color w:val="auto"/>
                    </w:rPr>
                    <w:t>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1030" w:type="dxa"/>
                  <w:vMerge w:val="continue"/>
                </w:tcPr>
                <w:p>
                  <w:pPr>
                    <w:spacing w:line="240" w:lineRule="auto"/>
                    <w:ind w:firstLine="0" w:firstLineChars="0"/>
                    <w:jc w:val="center"/>
                    <w:rPr>
                      <w:color w:val="auto"/>
                    </w:rPr>
                  </w:pPr>
                </w:p>
              </w:tc>
              <w:tc>
                <w:tcPr>
                  <w:tcW w:w="1019" w:type="dxa"/>
                  <w:vMerge w:val="continue"/>
                </w:tcPr>
                <w:p>
                  <w:pPr>
                    <w:spacing w:line="240" w:lineRule="auto"/>
                    <w:ind w:firstLine="0" w:firstLineChars="0"/>
                    <w:jc w:val="center"/>
                    <w:rPr>
                      <w:color w:val="auto"/>
                    </w:rPr>
                  </w:pPr>
                </w:p>
              </w:tc>
              <w:tc>
                <w:tcPr>
                  <w:tcW w:w="1958" w:type="dxa"/>
                </w:tcPr>
                <w:p>
                  <w:pPr>
                    <w:spacing w:line="240" w:lineRule="auto"/>
                    <w:ind w:firstLine="0" w:firstLineChars="0"/>
                    <w:jc w:val="center"/>
                    <w:rPr>
                      <w:color w:val="auto"/>
                    </w:rPr>
                  </w:pPr>
                  <w:r>
                    <w:rPr>
                      <w:rFonts w:hint="eastAsia"/>
                      <w:color w:val="auto"/>
                    </w:rPr>
                    <w:t>新建储棚项目</w:t>
                  </w:r>
                </w:p>
              </w:tc>
              <w:tc>
                <w:tcPr>
                  <w:tcW w:w="1099" w:type="dxa"/>
                </w:tcPr>
                <w:p>
                  <w:pPr>
                    <w:spacing w:line="240" w:lineRule="auto"/>
                    <w:ind w:firstLine="0" w:firstLineChars="0"/>
                    <w:jc w:val="center"/>
                    <w:rPr>
                      <w:color w:val="auto"/>
                    </w:rPr>
                  </w:pPr>
                  <w:r>
                    <w:rPr>
                      <w:rFonts w:hint="eastAsia"/>
                      <w:color w:val="auto"/>
                    </w:rPr>
                    <w:t>3.22</w:t>
                  </w:r>
                </w:p>
              </w:tc>
              <w:tc>
                <w:tcPr>
                  <w:tcW w:w="1848" w:type="dxa"/>
                  <w:vMerge w:val="continue"/>
                </w:tcPr>
                <w:p>
                  <w:pPr>
                    <w:spacing w:line="240" w:lineRule="auto"/>
                    <w:ind w:firstLine="0" w:firstLineChars="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Merge w:val="restart"/>
                </w:tcPr>
                <w:p>
                  <w:pPr>
                    <w:spacing w:line="240" w:lineRule="auto"/>
                    <w:ind w:firstLine="0" w:firstLineChars="0"/>
                    <w:jc w:val="center"/>
                    <w:rPr>
                      <w:color w:val="auto"/>
                    </w:rPr>
                  </w:pPr>
                  <w:r>
                    <w:rPr>
                      <w:color w:val="auto"/>
                    </w:rPr>
                    <w:t>废水</w:t>
                  </w:r>
                </w:p>
              </w:tc>
              <w:tc>
                <w:tcPr>
                  <w:tcW w:w="1019" w:type="dxa"/>
                </w:tcPr>
                <w:p>
                  <w:pPr>
                    <w:spacing w:line="240" w:lineRule="auto"/>
                    <w:ind w:firstLine="0" w:firstLineChars="0"/>
                    <w:jc w:val="center"/>
                    <w:rPr>
                      <w:color w:val="auto"/>
                    </w:rPr>
                  </w:pPr>
                  <w:r>
                    <w:rPr>
                      <w:color w:val="auto"/>
                    </w:rPr>
                    <w:t>COD</w:t>
                  </w:r>
                </w:p>
              </w:tc>
              <w:tc>
                <w:tcPr>
                  <w:tcW w:w="3057" w:type="dxa"/>
                  <w:gridSpan w:val="2"/>
                </w:tcPr>
                <w:p>
                  <w:pPr>
                    <w:spacing w:line="240" w:lineRule="auto"/>
                    <w:ind w:firstLine="0" w:firstLineChars="0"/>
                    <w:jc w:val="center"/>
                    <w:rPr>
                      <w:color w:val="auto"/>
                    </w:rPr>
                  </w:pPr>
                  <w:r>
                    <w:rPr>
                      <w:color w:val="auto"/>
                    </w:rPr>
                    <w:t>/</w:t>
                  </w:r>
                </w:p>
              </w:tc>
              <w:tc>
                <w:tcPr>
                  <w:tcW w:w="1848" w:type="dxa"/>
                </w:tcPr>
                <w:p>
                  <w:pPr>
                    <w:spacing w:line="240" w:lineRule="auto"/>
                    <w:ind w:firstLine="0" w:firstLineChars="0"/>
                    <w:jc w:val="center"/>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Merge w:val="continue"/>
                </w:tcPr>
                <w:p>
                  <w:pPr>
                    <w:spacing w:line="240" w:lineRule="auto"/>
                    <w:ind w:firstLine="0" w:firstLineChars="0"/>
                    <w:jc w:val="center"/>
                    <w:rPr>
                      <w:color w:val="auto"/>
                    </w:rPr>
                  </w:pPr>
                </w:p>
              </w:tc>
              <w:tc>
                <w:tcPr>
                  <w:tcW w:w="1019" w:type="dxa"/>
                </w:tcPr>
                <w:p>
                  <w:pPr>
                    <w:spacing w:line="240" w:lineRule="auto"/>
                    <w:ind w:firstLine="0" w:firstLineChars="0"/>
                    <w:jc w:val="center"/>
                    <w:rPr>
                      <w:color w:val="auto"/>
                    </w:rPr>
                  </w:pPr>
                  <w:r>
                    <w:rPr>
                      <w:color w:val="auto"/>
                    </w:rPr>
                    <w:t>氨氮</w:t>
                  </w:r>
                </w:p>
              </w:tc>
              <w:tc>
                <w:tcPr>
                  <w:tcW w:w="3057" w:type="dxa"/>
                  <w:gridSpan w:val="2"/>
                </w:tcPr>
                <w:p>
                  <w:pPr>
                    <w:spacing w:line="240" w:lineRule="auto"/>
                    <w:ind w:firstLine="0" w:firstLineChars="0"/>
                    <w:jc w:val="center"/>
                    <w:rPr>
                      <w:color w:val="auto"/>
                    </w:rPr>
                  </w:pPr>
                  <w:r>
                    <w:rPr>
                      <w:color w:val="auto"/>
                    </w:rPr>
                    <w:t>/</w:t>
                  </w:r>
                </w:p>
              </w:tc>
              <w:tc>
                <w:tcPr>
                  <w:tcW w:w="1848" w:type="dxa"/>
                </w:tcPr>
                <w:p>
                  <w:pPr>
                    <w:spacing w:line="240" w:lineRule="auto"/>
                    <w:ind w:firstLine="0" w:firstLineChars="0"/>
                    <w:jc w:val="center"/>
                    <w:rPr>
                      <w:color w:val="auto"/>
                    </w:rPr>
                  </w:pPr>
                  <w:r>
                    <w:rPr>
                      <w:color w:val="auto"/>
                    </w:rPr>
                    <w:t>/</w:t>
                  </w:r>
                </w:p>
              </w:tc>
            </w:tr>
          </w:tbl>
          <w:p>
            <w:pPr>
              <w:ind w:firstLine="482"/>
              <w:rPr>
                <w:b/>
                <w:bCs/>
                <w:color w:val="auto"/>
              </w:rPr>
            </w:pPr>
            <w:r>
              <w:rPr>
                <w:rFonts w:hint="eastAsia"/>
                <w:b/>
                <w:bCs/>
                <w:color w:val="auto"/>
                <w:lang w:eastAsia="zh-CN"/>
              </w:rPr>
              <w:t>4.</w:t>
            </w:r>
            <w:r>
              <w:rPr>
                <w:b/>
                <w:bCs/>
                <w:color w:val="auto"/>
              </w:rPr>
              <w:t>现有工程总量控制指标</w:t>
            </w:r>
          </w:p>
          <w:p>
            <w:pPr>
              <w:ind w:firstLine="480"/>
              <w:rPr>
                <w:color w:val="auto"/>
              </w:rPr>
            </w:pPr>
            <w:r>
              <w:rPr>
                <w:color w:val="auto"/>
              </w:rPr>
              <w:t>现有工程污染物总量指标为：</w:t>
            </w:r>
          </w:p>
          <w:p>
            <w:pPr>
              <w:ind w:firstLine="480"/>
              <w:rPr>
                <w:color w:val="auto"/>
                <w:highlight w:val="yellow"/>
              </w:rPr>
            </w:pPr>
            <w:r>
              <w:rPr>
                <w:color w:val="auto"/>
              </w:rPr>
              <w:t>SO</w:t>
            </w:r>
            <w:r>
              <w:rPr>
                <w:color w:val="auto"/>
                <w:vertAlign w:val="subscript"/>
              </w:rPr>
              <w:t>2</w:t>
            </w:r>
            <w:r>
              <w:rPr>
                <w:color w:val="auto"/>
                <w:vertAlign w:val="baseline"/>
              </w:rPr>
              <w:t>：</w:t>
            </w:r>
            <w:r>
              <w:rPr>
                <w:color w:val="auto"/>
              </w:rPr>
              <w:t>0t/a、NO</w:t>
            </w:r>
            <w:r>
              <w:rPr>
                <w:color w:val="auto"/>
                <w:vertAlign w:val="subscript"/>
              </w:rPr>
              <w:t>X</w:t>
            </w:r>
            <w:r>
              <w:rPr>
                <w:color w:val="auto"/>
              </w:rPr>
              <w:t>：0t/a、COD：0t/a、NH</w:t>
            </w:r>
            <w:r>
              <w:rPr>
                <w:color w:val="auto"/>
                <w:vertAlign w:val="subscript"/>
              </w:rPr>
              <w:t>3</w:t>
            </w:r>
            <w:r>
              <w:rPr>
                <w:color w:val="auto"/>
              </w:rPr>
              <w:t>-N：0t/a。</w:t>
            </w:r>
          </w:p>
          <w:p>
            <w:pPr>
              <w:ind w:firstLine="482"/>
              <w:rPr>
                <w:color w:val="auto"/>
              </w:rPr>
            </w:pPr>
            <w:r>
              <w:rPr>
                <w:rFonts w:hint="eastAsia"/>
                <w:b/>
                <w:bCs/>
                <w:color w:val="auto"/>
                <w:lang w:eastAsia="zh-CN"/>
              </w:rPr>
              <w:t>5.</w:t>
            </w:r>
            <w:r>
              <w:rPr>
                <w:b/>
                <w:bCs/>
                <w:color w:val="auto"/>
              </w:rPr>
              <w:t>现有工程存在的环保问题</w:t>
            </w:r>
          </w:p>
          <w:p>
            <w:pPr>
              <w:ind w:firstLine="480"/>
              <w:rPr>
                <w:color w:val="auto"/>
              </w:rPr>
            </w:pPr>
            <w:r>
              <w:rPr>
                <w:color w:val="auto"/>
              </w:rPr>
              <w:t>本次评价对现有工程已采取环保措施情况进行梳理，存在问题的已按要求提出相应整改要求</w:t>
            </w:r>
            <w:r>
              <w:rPr>
                <w:rFonts w:hint="eastAsia"/>
                <w:color w:val="auto"/>
              </w:rPr>
              <w:t>。</w:t>
            </w:r>
          </w:p>
          <w:tbl>
            <w:tblPr>
              <w:tblStyle w:val="22"/>
              <w:tblW w:w="69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4"/>
              <w:gridCol w:w="1088"/>
              <w:gridCol w:w="2481"/>
              <w:gridCol w:w="1388"/>
              <w:gridCol w:w="13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94" w:type="dxa"/>
                </w:tcPr>
                <w:p>
                  <w:pPr>
                    <w:spacing w:line="240" w:lineRule="auto"/>
                    <w:ind w:firstLine="0" w:firstLineChars="0"/>
                    <w:jc w:val="center"/>
                    <w:rPr>
                      <w:color w:val="auto"/>
                    </w:rPr>
                  </w:pPr>
                  <w:r>
                    <w:rPr>
                      <w:rFonts w:hint="eastAsia"/>
                      <w:color w:val="auto"/>
                    </w:rPr>
                    <w:t>序号</w:t>
                  </w:r>
                </w:p>
              </w:tc>
              <w:tc>
                <w:tcPr>
                  <w:tcW w:w="1088" w:type="dxa"/>
                </w:tcPr>
                <w:p>
                  <w:pPr>
                    <w:spacing w:line="240" w:lineRule="auto"/>
                    <w:ind w:firstLine="0" w:firstLineChars="0"/>
                    <w:jc w:val="center"/>
                    <w:rPr>
                      <w:color w:val="auto"/>
                    </w:rPr>
                  </w:pPr>
                  <w:r>
                    <w:rPr>
                      <w:rFonts w:hint="eastAsia"/>
                      <w:color w:val="auto"/>
                    </w:rPr>
                    <w:t>现有环保措施</w:t>
                  </w:r>
                </w:p>
              </w:tc>
              <w:tc>
                <w:tcPr>
                  <w:tcW w:w="2481" w:type="dxa"/>
                </w:tcPr>
                <w:p>
                  <w:pPr>
                    <w:spacing w:line="240" w:lineRule="auto"/>
                    <w:ind w:firstLine="0" w:firstLineChars="0"/>
                    <w:jc w:val="center"/>
                    <w:rPr>
                      <w:color w:val="auto"/>
                    </w:rPr>
                  </w:pPr>
                  <w:r>
                    <w:rPr>
                      <w:rFonts w:hint="eastAsia"/>
                      <w:color w:val="auto"/>
                    </w:rPr>
                    <w:t>照片</w:t>
                  </w:r>
                </w:p>
              </w:tc>
              <w:tc>
                <w:tcPr>
                  <w:tcW w:w="1388" w:type="dxa"/>
                </w:tcPr>
                <w:p>
                  <w:pPr>
                    <w:spacing w:line="240" w:lineRule="auto"/>
                    <w:ind w:firstLine="0" w:firstLineChars="0"/>
                    <w:jc w:val="center"/>
                    <w:rPr>
                      <w:color w:val="auto"/>
                    </w:rPr>
                  </w:pPr>
                  <w:r>
                    <w:rPr>
                      <w:rFonts w:hint="eastAsia"/>
                      <w:color w:val="auto"/>
                    </w:rPr>
                    <w:t>是否存在问题</w:t>
                  </w:r>
                </w:p>
              </w:tc>
              <w:tc>
                <w:tcPr>
                  <w:tcW w:w="1388" w:type="dxa"/>
                </w:tcPr>
                <w:p>
                  <w:pPr>
                    <w:spacing w:line="240" w:lineRule="auto"/>
                    <w:ind w:firstLine="0" w:firstLineChars="0"/>
                    <w:jc w:val="center"/>
                    <w:rPr>
                      <w:color w:val="auto"/>
                    </w:rPr>
                  </w:pPr>
                  <w:r>
                    <w:rPr>
                      <w:rFonts w:hint="eastAsia"/>
                      <w:color w:val="auto"/>
                    </w:rPr>
                    <w:t>整改措施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0" w:hRule="atLeast"/>
              </w:trPr>
              <w:tc>
                <w:tcPr>
                  <w:tcW w:w="594" w:type="dxa"/>
                </w:tcPr>
                <w:p>
                  <w:pPr>
                    <w:spacing w:line="240" w:lineRule="auto"/>
                    <w:ind w:firstLine="0" w:firstLineChars="0"/>
                    <w:jc w:val="center"/>
                    <w:rPr>
                      <w:color w:val="auto"/>
                    </w:rPr>
                  </w:pPr>
                  <w:r>
                    <w:rPr>
                      <w:rFonts w:hint="eastAsia"/>
                      <w:color w:val="auto"/>
                    </w:rPr>
                    <w:t>1</w:t>
                  </w:r>
                </w:p>
              </w:tc>
              <w:tc>
                <w:tcPr>
                  <w:tcW w:w="1088" w:type="dxa"/>
                </w:tcPr>
                <w:p>
                  <w:pPr>
                    <w:spacing w:line="240" w:lineRule="auto"/>
                    <w:ind w:firstLine="0" w:firstLineChars="0"/>
                    <w:jc w:val="center"/>
                    <w:rPr>
                      <w:color w:val="auto"/>
                    </w:rPr>
                  </w:pPr>
                  <w:r>
                    <w:rPr>
                      <w:rFonts w:hint="eastAsia"/>
                      <w:color w:val="auto"/>
                    </w:rPr>
                    <w:t>项目煤棚均为全密闭煤棚，厂区地面进行硬化</w:t>
                  </w:r>
                </w:p>
              </w:tc>
              <w:tc>
                <w:tcPr>
                  <w:tcW w:w="2481" w:type="dxa"/>
                </w:tcPr>
                <w:p>
                  <w:pPr>
                    <w:spacing w:line="240" w:lineRule="auto"/>
                    <w:ind w:firstLine="0" w:firstLineChars="0"/>
                    <w:jc w:val="center"/>
                    <w:rPr>
                      <w:color w:val="auto"/>
                    </w:rPr>
                  </w:pPr>
                  <w:r>
                    <w:rPr>
                      <w:color w:val="auto"/>
                    </w:rPr>
                    <w:drawing>
                      <wp:inline distT="0" distB="0" distL="114300" distR="114300">
                        <wp:extent cx="1454150" cy="1343025"/>
                        <wp:effectExtent l="0" t="0" r="12700" b="9525"/>
                        <wp:docPr id="8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1" name="图片 1"/>
                                <pic:cNvPicPr>
                                  <a:picLocks noChangeAspect="true"/>
                                </pic:cNvPicPr>
                              </pic:nvPicPr>
                              <pic:blipFill>
                                <a:blip r:embed="rId25"/>
                                <a:stretch>
                                  <a:fillRect/>
                                </a:stretch>
                              </pic:blipFill>
                              <pic:spPr>
                                <a:xfrm>
                                  <a:off x="0" y="0"/>
                                  <a:ext cx="1454150" cy="1343025"/>
                                </a:xfrm>
                                <a:prstGeom prst="rect">
                                  <a:avLst/>
                                </a:prstGeom>
                                <a:noFill/>
                                <a:ln>
                                  <a:noFill/>
                                </a:ln>
                              </pic:spPr>
                            </pic:pic>
                          </a:graphicData>
                        </a:graphic>
                      </wp:inline>
                    </w:drawing>
                  </w:r>
                </w:p>
              </w:tc>
              <w:tc>
                <w:tcPr>
                  <w:tcW w:w="1388" w:type="dxa"/>
                </w:tcPr>
                <w:p>
                  <w:pPr>
                    <w:spacing w:line="240" w:lineRule="auto"/>
                    <w:ind w:firstLine="0" w:firstLineChars="0"/>
                    <w:jc w:val="center"/>
                    <w:rPr>
                      <w:color w:val="auto"/>
                    </w:rPr>
                  </w:pPr>
                  <w:r>
                    <w:rPr>
                      <w:rFonts w:hint="eastAsia"/>
                      <w:color w:val="auto"/>
                    </w:rPr>
                    <w:t>是，储煤棚破损未封闭严密</w:t>
                  </w:r>
                </w:p>
              </w:tc>
              <w:tc>
                <w:tcPr>
                  <w:tcW w:w="1388" w:type="dxa"/>
                </w:tcPr>
                <w:p>
                  <w:pPr>
                    <w:spacing w:line="240" w:lineRule="auto"/>
                    <w:ind w:firstLine="0" w:firstLineChars="0"/>
                    <w:jc w:val="center"/>
                    <w:rPr>
                      <w:color w:val="auto"/>
                    </w:rPr>
                  </w:pPr>
                  <w:r>
                    <w:rPr>
                      <w:rFonts w:hint="eastAsia"/>
                      <w:color w:val="auto"/>
                    </w:rPr>
                    <w:t>对破损的煤棚进行重新修补，对未进行硬化的地面进行硬化处理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94" w:type="dxa"/>
                </w:tcPr>
                <w:p>
                  <w:pPr>
                    <w:spacing w:line="240" w:lineRule="auto"/>
                    <w:ind w:firstLine="0" w:firstLineChars="0"/>
                    <w:jc w:val="center"/>
                    <w:rPr>
                      <w:color w:val="auto"/>
                    </w:rPr>
                  </w:pPr>
                  <w:r>
                    <w:rPr>
                      <w:rFonts w:hint="eastAsia"/>
                      <w:color w:val="auto"/>
                    </w:rPr>
                    <w:t>2</w:t>
                  </w:r>
                </w:p>
              </w:tc>
              <w:tc>
                <w:tcPr>
                  <w:tcW w:w="1088" w:type="dxa"/>
                </w:tcPr>
                <w:p>
                  <w:pPr>
                    <w:spacing w:line="240" w:lineRule="auto"/>
                    <w:ind w:firstLine="0" w:firstLineChars="0"/>
                    <w:jc w:val="center"/>
                    <w:rPr>
                      <w:color w:val="auto"/>
                    </w:rPr>
                  </w:pPr>
                  <w:r>
                    <w:rPr>
                      <w:rFonts w:hint="eastAsia"/>
                      <w:color w:val="auto"/>
                    </w:rPr>
                    <w:t>危废库</w:t>
                  </w:r>
                </w:p>
              </w:tc>
              <w:tc>
                <w:tcPr>
                  <w:tcW w:w="2481" w:type="dxa"/>
                </w:tcPr>
                <w:p>
                  <w:pPr>
                    <w:spacing w:line="240" w:lineRule="auto"/>
                    <w:ind w:firstLine="0" w:firstLineChars="0"/>
                    <w:jc w:val="center"/>
                    <w:rPr>
                      <w:color w:val="auto"/>
                    </w:rPr>
                  </w:pPr>
                  <w:r>
                    <w:rPr>
                      <w:rFonts w:hint="eastAsia"/>
                      <w:color w:val="auto"/>
                    </w:rPr>
                    <w:t>/</w:t>
                  </w:r>
                </w:p>
              </w:tc>
              <w:tc>
                <w:tcPr>
                  <w:tcW w:w="1388" w:type="dxa"/>
                </w:tcPr>
                <w:p>
                  <w:pPr>
                    <w:spacing w:line="240" w:lineRule="auto"/>
                    <w:ind w:firstLine="0" w:firstLineChars="0"/>
                    <w:jc w:val="center"/>
                    <w:rPr>
                      <w:color w:val="auto"/>
                    </w:rPr>
                  </w:pPr>
                  <w:r>
                    <w:rPr>
                      <w:rFonts w:hint="eastAsia"/>
                      <w:color w:val="auto"/>
                    </w:rPr>
                    <w:t>未设置危废库</w:t>
                  </w:r>
                </w:p>
              </w:tc>
              <w:tc>
                <w:tcPr>
                  <w:tcW w:w="1388" w:type="dxa"/>
                </w:tcPr>
                <w:p>
                  <w:pPr>
                    <w:spacing w:line="240" w:lineRule="auto"/>
                    <w:ind w:firstLine="0" w:firstLineChars="0"/>
                    <w:jc w:val="center"/>
                    <w:rPr>
                      <w:color w:val="auto"/>
                    </w:rPr>
                  </w:pPr>
                  <w:r>
                    <w:rPr>
                      <w:rFonts w:hint="eastAsia"/>
                      <w:color w:val="auto"/>
                    </w:rPr>
                    <w:t>根据《危险废物贮存污染控制标准》（GB18597-2023）中的相关规定与要求进行建设</w:t>
                  </w:r>
                </w:p>
              </w:tc>
            </w:tr>
          </w:tbl>
          <w:p>
            <w:pPr>
              <w:spacing w:line="240" w:lineRule="auto"/>
              <w:ind w:firstLine="0" w:firstLineChars="0"/>
              <w:rPr>
                <w:color w:val="auto"/>
              </w:rPr>
            </w:pPr>
          </w:p>
        </w:tc>
      </w:tr>
    </w:tbl>
    <w:p>
      <w:pPr>
        <w:pStyle w:val="18"/>
        <w:jc w:val="center"/>
        <w:rPr>
          <w:rFonts w:ascii="Times New Roman" w:hAnsi="Times New Roman" w:eastAsia="黑体"/>
          <w:snapToGrid w:val="0"/>
          <w:color w:val="auto"/>
          <w:sz w:val="36"/>
          <w:szCs w:val="36"/>
        </w:rPr>
        <w:sectPr>
          <w:headerReference r:id="rId10" w:type="default"/>
          <w:footerReference r:id="rId11" w:type="default"/>
          <w:pgSz w:w="11906" w:h="16838"/>
          <w:pgMar w:top="1440" w:right="1800" w:bottom="1440" w:left="1800" w:header="851" w:footer="851" w:gutter="0"/>
          <w:pgNumType w:fmt="numberInDash"/>
          <w:cols w:space="720" w:num="1"/>
          <w:docGrid w:linePitch="312" w:charSpace="0"/>
        </w:sectPr>
      </w:pPr>
    </w:p>
    <w:p>
      <w:pPr>
        <w:pStyle w:val="18"/>
        <w:ind w:firstLine="600"/>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三、区域环境质量现状、环境保护目标及评价标准</w:t>
      </w:r>
    </w:p>
    <w:tbl>
      <w:tblPr>
        <w:tblStyle w:val="2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7" w:hRule="atLeast"/>
          <w:jc w:val="center"/>
        </w:trPr>
        <w:tc>
          <w:tcPr>
            <w:tcW w:w="800" w:type="dxa"/>
            <w:vAlign w:val="center"/>
          </w:tcPr>
          <w:p>
            <w:pPr>
              <w:adjustRightInd w:val="0"/>
              <w:snapToGrid w:val="0"/>
              <w:ind w:firstLine="0" w:firstLineChars="0"/>
              <w:jc w:val="center"/>
              <w:rPr>
                <w:color w:val="auto"/>
                <w:kern w:val="0"/>
              </w:rPr>
            </w:pPr>
            <w:r>
              <w:rPr>
                <w:color w:val="auto"/>
                <w:kern w:val="0"/>
              </w:rPr>
              <w:t>区域</w:t>
            </w:r>
          </w:p>
          <w:p>
            <w:pPr>
              <w:adjustRightInd w:val="0"/>
              <w:snapToGrid w:val="0"/>
              <w:ind w:firstLine="0" w:firstLineChars="0"/>
              <w:jc w:val="center"/>
              <w:rPr>
                <w:color w:val="auto"/>
                <w:kern w:val="0"/>
              </w:rPr>
            </w:pPr>
            <w:r>
              <w:rPr>
                <w:color w:val="auto"/>
                <w:kern w:val="0"/>
              </w:rPr>
              <w:t>环境</w:t>
            </w:r>
          </w:p>
          <w:p>
            <w:pPr>
              <w:adjustRightInd w:val="0"/>
              <w:snapToGrid w:val="0"/>
              <w:ind w:firstLine="0" w:firstLineChars="0"/>
              <w:jc w:val="center"/>
              <w:rPr>
                <w:color w:val="auto"/>
                <w:kern w:val="0"/>
              </w:rPr>
            </w:pPr>
            <w:r>
              <w:rPr>
                <w:color w:val="auto"/>
                <w:kern w:val="0"/>
              </w:rPr>
              <w:t>质量</w:t>
            </w:r>
          </w:p>
          <w:p>
            <w:pPr>
              <w:adjustRightInd w:val="0"/>
              <w:snapToGrid w:val="0"/>
              <w:ind w:firstLine="0" w:firstLineChars="0"/>
              <w:jc w:val="center"/>
              <w:rPr>
                <w:color w:val="auto"/>
                <w:kern w:val="0"/>
              </w:rPr>
            </w:pPr>
            <w:r>
              <w:rPr>
                <w:color w:val="auto"/>
                <w:kern w:val="0"/>
              </w:rPr>
              <w:t>现状</w:t>
            </w:r>
          </w:p>
        </w:tc>
        <w:tc>
          <w:tcPr>
            <w:tcW w:w="8190" w:type="dxa"/>
            <w:vAlign w:val="center"/>
          </w:tcPr>
          <w:p>
            <w:pPr>
              <w:adjustRightInd w:val="0"/>
              <w:snapToGrid w:val="0"/>
              <w:ind w:firstLine="482"/>
              <w:jc w:val="left"/>
              <w:rPr>
                <w:b/>
                <w:bCs/>
                <w:color w:val="auto"/>
                <w:kern w:val="0"/>
              </w:rPr>
            </w:pPr>
            <w:r>
              <w:rPr>
                <w:rFonts w:hint="eastAsia"/>
                <w:b/>
                <w:bCs/>
                <w:color w:val="auto"/>
                <w:kern w:val="0"/>
                <w:lang w:eastAsia="zh-CN"/>
              </w:rPr>
              <w:t>1.</w:t>
            </w:r>
            <w:r>
              <w:rPr>
                <w:b/>
                <w:bCs/>
                <w:color w:val="auto"/>
                <w:kern w:val="0"/>
              </w:rPr>
              <w:t>环境空气质量现状</w:t>
            </w:r>
          </w:p>
          <w:p>
            <w:pPr>
              <w:adjustRightInd w:val="0"/>
              <w:snapToGrid w:val="0"/>
              <w:ind w:firstLine="480"/>
              <w:jc w:val="left"/>
              <w:rPr>
                <w:color w:val="auto"/>
                <w:kern w:val="0"/>
              </w:rPr>
            </w:pPr>
            <w:r>
              <w:rPr>
                <w:color w:val="auto"/>
                <w:kern w:val="0"/>
              </w:rPr>
              <w:t>（1）区域环境质量达标分析</w:t>
            </w:r>
          </w:p>
          <w:p>
            <w:pPr>
              <w:adjustRightInd w:val="0"/>
              <w:snapToGrid w:val="0"/>
              <w:ind w:firstLine="480"/>
              <w:jc w:val="left"/>
              <w:rPr>
                <w:color w:val="auto"/>
                <w:kern w:val="0"/>
              </w:rPr>
            </w:pPr>
            <w:r>
              <w:rPr>
                <w:color w:val="auto"/>
                <w:kern w:val="0"/>
              </w:rPr>
              <w:t>根据《环境影响评价技术导则大气环境》（HJ2.2-2018），项目所在区域达标判定，优先采用国家或地方生态环境主管部门公开发布的评价基准年环境质量公告或环境质量报告中的数据或结论。其中评价基准年为近3年中数据相对完整的1个日历年作为评价基准年。本次区域环境质量现状采用内蒙古自治区生态环境厅</w:t>
            </w:r>
            <w:r>
              <w:rPr>
                <w:color w:val="auto"/>
                <w:spacing w:val="1"/>
              </w:rPr>
              <w:t>202</w:t>
            </w:r>
            <w:r>
              <w:rPr>
                <w:rFonts w:hint="eastAsia"/>
                <w:color w:val="auto"/>
                <w:spacing w:val="1"/>
              </w:rPr>
              <w:t>5</w:t>
            </w:r>
            <w:r>
              <w:rPr>
                <w:color w:val="auto"/>
                <w:spacing w:val="1"/>
              </w:rPr>
              <w:t>年6月</w:t>
            </w:r>
            <w:r>
              <w:rPr>
                <w:rFonts w:hint="eastAsia"/>
                <w:color w:val="auto"/>
                <w:spacing w:val="1"/>
              </w:rPr>
              <w:t>4</w:t>
            </w:r>
            <w:r>
              <w:rPr>
                <w:color w:val="auto"/>
                <w:spacing w:val="1"/>
              </w:rPr>
              <w:t>日</w:t>
            </w:r>
            <w:r>
              <w:rPr>
                <w:color w:val="auto"/>
                <w:kern w:val="0"/>
              </w:rPr>
              <w:t>发布的《202</w:t>
            </w:r>
            <w:r>
              <w:rPr>
                <w:rFonts w:hint="eastAsia"/>
                <w:color w:val="auto"/>
                <w:kern w:val="0"/>
              </w:rPr>
              <w:t>4</w:t>
            </w:r>
            <w:r>
              <w:rPr>
                <w:color w:val="auto"/>
                <w:kern w:val="0"/>
              </w:rPr>
              <w:t>年内蒙古自治区生态环境状况公报》数据。鄂尔多斯市区域基本污染物各污染物平均浓度均优于《环境空气质量标准》（GB3095-2012）中二级标准限值。</w:t>
            </w:r>
          </w:p>
          <w:p>
            <w:pPr>
              <w:adjustRightInd w:val="0"/>
              <w:snapToGrid w:val="0"/>
              <w:ind w:firstLine="480"/>
              <w:jc w:val="left"/>
              <w:rPr>
                <w:color w:val="auto"/>
                <w:kern w:val="0"/>
              </w:rPr>
            </w:pPr>
            <w:r>
              <w:rPr>
                <w:color w:val="auto"/>
                <w:kern w:val="0"/>
              </w:rPr>
              <w:t>（2）其他污染物环境质量现状监测</w:t>
            </w:r>
          </w:p>
          <w:p>
            <w:pPr>
              <w:adjustRightInd w:val="0"/>
              <w:snapToGrid w:val="0"/>
              <w:ind w:firstLine="480"/>
              <w:jc w:val="left"/>
              <w:rPr>
                <w:color w:val="auto"/>
                <w:kern w:val="0"/>
              </w:rPr>
            </w:pPr>
            <w:r>
              <w:rPr>
                <w:color w:val="auto"/>
                <w:kern w:val="0"/>
              </w:rPr>
              <w:t>根据本项目的特点，确定环境空气质量现状的</w:t>
            </w:r>
            <w:r>
              <w:rPr>
                <w:rFonts w:hint="eastAsia"/>
                <w:color w:val="auto"/>
                <w:kern w:val="0"/>
              </w:rPr>
              <w:t>其他</w:t>
            </w:r>
            <w:r>
              <w:rPr>
                <w:color w:val="auto"/>
                <w:kern w:val="0"/>
              </w:rPr>
              <w:t>污染物为</w:t>
            </w:r>
            <w:r>
              <w:rPr>
                <w:rFonts w:hint="eastAsia"/>
                <w:color w:val="auto"/>
                <w:kern w:val="0"/>
              </w:rPr>
              <w:t>TSP</w:t>
            </w:r>
            <w:r>
              <w:rPr>
                <w:color w:val="auto"/>
                <w:kern w:val="0"/>
              </w:rPr>
              <w:t>。本项目位于鄂尔多斯市伊金霍洛旗，鄂尔多斯市行政范围内无</w:t>
            </w:r>
            <w:r>
              <w:rPr>
                <w:rFonts w:hint="eastAsia"/>
                <w:color w:val="auto"/>
                <w:kern w:val="0"/>
              </w:rPr>
              <w:t>TSP</w:t>
            </w:r>
            <w:r>
              <w:rPr>
                <w:color w:val="auto"/>
                <w:kern w:val="0"/>
              </w:rPr>
              <w:t>的环境空气质量监测网数据或公开发布的环境空气质量现状数据，本次评价</w:t>
            </w:r>
            <w:r>
              <w:rPr>
                <w:rFonts w:hint="eastAsia"/>
                <w:color w:val="auto"/>
                <w:kern w:val="0"/>
              </w:rPr>
              <w:t>TSP</w:t>
            </w:r>
            <w:r>
              <w:rPr>
                <w:color w:val="auto"/>
                <w:kern w:val="0"/>
              </w:rPr>
              <w:t>质量现状监测数据引用《</w:t>
            </w:r>
            <w:bookmarkStart w:id="1" w:name="_Hlk193311254"/>
            <w:r>
              <w:rPr>
                <w:rFonts w:hint="eastAsia"/>
                <w:color w:val="auto"/>
                <w:kern w:val="0"/>
              </w:rPr>
              <w:t>马秦壕</w:t>
            </w:r>
            <w:r>
              <w:rPr>
                <w:color w:val="auto"/>
                <w:kern w:val="0"/>
              </w:rPr>
              <w:t>煤矿配套混凝土搅拌站项目</w:t>
            </w:r>
            <w:bookmarkEnd w:id="1"/>
            <w:r>
              <w:rPr>
                <w:color w:val="auto"/>
                <w:kern w:val="0"/>
              </w:rPr>
              <w:t>环境影响报告表》中环境空气质量现状监测结果，由内蒙古泽铭技术检测有限公司于2025年3月23日~2025年3月25日进行连续三天监测，引用监测数据项目的1个监测点，位于本项目西南侧约</w:t>
            </w:r>
            <w:r>
              <w:rPr>
                <w:rFonts w:hint="eastAsia"/>
                <w:color w:val="auto"/>
                <w:kern w:val="0"/>
              </w:rPr>
              <w:t>2369</w:t>
            </w:r>
            <w:r>
              <w:rPr>
                <w:color w:val="auto"/>
                <w:kern w:val="0"/>
              </w:rPr>
              <w:t>米处。引用监测数据可以反映拟建项目周围环境现状，且引用数据符合3年时效性要求，监测数据可行且有效，满足《建设项目环境影响评价报告表编制技术指南》中可以引用建设项目周边5千米范围内近3年的现有监测数据。检测报告见附件。监测结果见表3-</w:t>
            </w:r>
            <w:r>
              <w:rPr>
                <w:rFonts w:hint="eastAsia"/>
                <w:color w:val="auto"/>
                <w:kern w:val="0"/>
              </w:rPr>
              <w:t>1</w:t>
            </w:r>
            <w:r>
              <w:rPr>
                <w:color w:val="auto"/>
                <w:kern w:val="0"/>
              </w:rPr>
              <w:t>。</w:t>
            </w:r>
          </w:p>
          <w:p>
            <w:pPr>
              <w:ind w:firstLine="0" w:firstLineChars="0"/>
              <w:jc w:val="center"/>
              <w:rPr>
                <w:b/>
                <w:bCs/>
                <w:color w:val="auto"/>
              </w:rPr>
            </w:pPr>
            <w:r>
              <w:rPr>
                <w:b/>
                <w:bCs/>
                <w:color w:val="auto"/>
              </w:rPr>
              <w:t>表3-</w:t>
            </w:r>
            <w:r>
              <w:rPr>
                <w:rFonts w:hint="eastAsia"/>
                <w:b/>
                <w:bCs/>
                <w:color w:val="auto"/>
              </w:rPr>
              <w:t>1</w:t>
            </w:r>
            <w:r>
              <w:rPr>
                <w:b/>
                <w:bCs/>
                <w:color w:val="auto"/>
              </w:rPr>
              <w:t>特征污染物环境质量现状（监测结果）一览表</w:t>
            </w:r>
          </w:p>
          <w:tbl>
            <w:tblPr>
              <w:tblStyle w:val="21"/>
              <w:tblW w:w="80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0"/>
              <w:gridCol w:w="975"/>
              <w:gridCol w:w="1340"/>
              <w:gridCol w:w="1535"/>
              <w:gridCol w:w="1479"/>
              <w:gridCol w:w="708"/>
              <w:gridCol w:w="7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1270" w:type="dxa"/>
                  <w:vMerge w:val="restart"/>
                  <w:vAlign w:val="center"/>
                </w:tcPr>
                <w:p>
                  <w:pPr>
                    <w:adjustRightInd w:val="0"/>
                    <w:snapToGrid w:val="0"/>
                    <w:spacing w:line="240" w:lineRule="auto"/>
                    <w:ind w:firstLine="0" w:firstLineChars="0"/>
                    <w:jc w:val="center"/>
                    <w:rPr>
                      <w:color w:val="auto"/>
                      <w:kern w:val="0"/>
                    </w:rPr>
                  </w:pPr>
                  <w:r>
                    <w:rPr>
                      <w:color w:val="auto"/>
                      <w:kern w:val="0"/>
                    </w:rPr>
                    <w:t>监测点位</w:t>
                  </w:r>
                </w:p>
              </w:tc>
              <w:tc>
                <w:tcPr>
                  <w:tcW w:w="975" w:type="dxa"/>
                  <w:vMerge w:val="restart"/>
                  <w:vAlign w:val="center"/>
                </w:tcPr>
                <w:p>
                  <w:pPr>
                    <w:adjustRightInd w:val="0"/>
                    <w:snapToGrid w:val="0"/>
                    <w:spacing w:line="240" w:lineRule="auto"/>
                    <w:ind w:firstLine="0" w:firstLineChars="0"/>
                    <w:jc w:val="center"/>
                    <w:rPr>
                      <w:color w:val="auto"/>
                      <w:kern w:val="0"/>
                    </w:rPr>
                  </w:pPr>
                  <w:r>
                    <w:rPr>
                      <w:color w:val="auto"/>
                      <w:kern w:val="0"/>
                    </w:rPr>
                    <w:t>污染物</w:t>
                  </w:r>
                </w:p>
              </w:tc>
              <w:tc>
                <w:tcPr>
                  <w:tcW w:w="1340" w:type="dxa"/>
                  <w:vMerge w:val="restart"/>
                  <w:vAlign w:val="center"/>
                </w:tcPr>
                <w:p>
                  <w:pPr>
                    <w:adjustRightInd w:val="0"/>
                    <w:snapToGrid w:val="0"/>
                    <w:spacing w:line="240" w:lineRule="auto"/>
                    <w:ind w:firstLine="0" w:firstLineChars="0"/>
                    <w:jc w:val="center"/>
                    <w:rPr>
                      <w:color w:val="auto"/>
                      <w:kern w:val="0"/>
                    </w:rPr>
                  </w:pPr>
                  <w:r>
                    <w:rPr>
                      <w:color w:val="auto"/>
                      <w:kern w:val="0"/>
                    </w:rPr>
                    <w:t>评价标准（</w:t>
                  </w:r>
                  <w:r>
                    <w:rPr>
                      <w:rFonts w:hint="eastAsia"/>
                      <w:color w:val="auto"/>
                      <w:kern w:val="0"/>
                    </w:rPr>
                    <w:t>μ</w:t>
                  </w:r>
                  <w:r>
                    <w:rPr>
                      <w:color w:val="auto"/>
                      <w:kern w:val="0"/>
                    </w:rPr>
                    <w:t>g/m³）</w:t>
                  </w:r>
                </w:p>
              </w:tc>
              <w:tc>
                <w:tcPr>
                  <w:tcW w:w="1535" w:type="dxa"/>
                  <w:vMerge w:val="restart"/>
                  <w:vAlign w:val="center"/>
                </w:tcPr>
                <w:p>
                  <w:pPr>
                    <w:adjustRightInd w:val="0"/>
                    <w:snapToGrid w:val="0"/>
                    <w:spacing w:line="240" w:lineRule="auto"/>
                    <w:ind w:firstLine="0" w:firstLineChars="0"/>
                    <w:jc w:val="center"/>
                    <w:rPr>
                      <w:color w:val="auto"/>
                      <w:kern w:val="0"/>
                    </w:rPr>
                  </w:pPr>
                  <w:r>
                    <w:rPr>
                      <w:color w:val="auto"/>
                      <w:kern w:val="0"/>
                    </w:rPr>
                    <w:t>监测浓度范围（</w:t>
                  </w:r>
                  <w:r>
                    <w:rPr>
                      <w:rFonts w:hint="eastAsia"/>
                      <w:color w:val="auto"/>
                      <w:kern w:val="0"/>
                    </w:rPr>
                    <w:t>μ</w:t>
                  </w:r>
                  <w:r>
                    <w:rPr>
                      <w:color w:val="auto"/>
                      <w:kern w:val="0"/>
                    </w:rPr>
                    <w:t>g/m³）</w:t>
                  </w:r>
                </w:p>
              </w:tc>
              <w:tc>
                <w:tcPr>
                  <w:tcW w:w="1479" w:type="dxa"/>
                  <w:vMerge w:val="restart"/>
                  <w:vAlign w:val="center"/>
                </w:tcPr>
                <w:p>
                  <w:pPr>
                    <w:adjustRightInd w:val="0"/>
                    <w:snapToGrid w:val="0"/>
                    <w:spacing w:line="240" w:lineRule="auto"/>
                    <w:ind w:firstLine="0" w:firstLineChars="0"/>
                    <w:jc w:val="center"/>
                    <w:rPr>
                      <w:color w:val="auto"/>
                      <w:kern w:val="0"/>
                    </w:rPr>
                  </w:pPr>
                  <w:r>
                    <w:rPr>
                      <w:color w:val="auto"/>
                      <w:kern w:val="0"/>
                    </w:rPr>
                    <w:t>最大浓度占标准率%</w:t>
                  </w:r>
                </w:p>
              </w:tc>
              <w:tc>
                <w:tcPr>
                  <w:tcW w:w="708" w:type="dxa"/>
                  <w:vMerge w:val="restart"/>
                  <w:vAlign w:val="center"/>
                </w:tcPr>
                <w:p>
                  <w:pPr>
                    <w:adjustRightInd w:val="0"/>
                    <w:snapToGrid w:val="0"/>
                    <w:spacing w:line="240" w:lineRule="auto"/>
                    <w:ind w:firstLine="0" w:firstLineChars="0"/>
                    <w:jc w:val="center"/>
                    <w:rPr>
                      <w:color w:val="auto"/>
                      <w:kern w:val="0"/>
                    </w:rPr>
                  </w:pPr>
                  <w:r>
                    <w:rPr>
                      <w:color w:val="auto"/>
                      <w:kern w:val="0"/>
                    </w:rPr>
                    <w:t>超标率%</w:t>
                  </w:r>
                </w:p>
              </w:tc>
              <w:tc>
                <w:tcPr>
                  <w:tcW w:w="769" w:type="dxa"/>
                  <w:vMerge w:val="restart"/>
                  <w:vAlign w:val="center"/>
                </w:tcPr>
                <w:p>
                  <w:pPr>
                    <w:adjustRightInd w:val="0"/>
                    <w:snapToGrid w:val="0"/>
                    <w:spacing w:line="240" w:lineRule="auto"/>
                    <w:ind w:firstLine="0" w:firstLineChars="0"/>
                    <w:jc w:val="center"/>
                    <w:rPr>
                      <w:color w:val="auto"/>
                      <w:kern w:val="0"/>
                    </w:rPr>
                  </w:pPr>
                  <w:r>
                    <w:rPr>
                      <w:color w:val="auto"/>
                      <w:kern w:val="0"/>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270" w:type="dxa"/>
                  <w:vMerge w:val="continue"/>
                  <w:vAlign w:val="center"/>
                </w:tcPr>
                <w:p>
                  <w:pPr>
                    <w:adjustRightInd w:val="0"/>
                    <w:snapToGrid w:val="0"/>
                    <w:spacing w:line="240" w:lineRule="auto"/>
                    <w:ind w:firstLine="0" w:firstLineChars="0"/>
                    <w:jc w:val="center"/>
                    <w:rPr>
                      <w:color w:val="auto"/>
                      <w:kern w:val="0"/>
                    </w:rPr>
                  </w:pPr>
                </w:p>
              </w:tc>
              <w:tc>
                <w:tcPr>
                  <w:tcW w:w="975" w:type="dxa"/>
                  <w:vMerge w:val="continue"/>
                  <w:vAlign w:val="center"/>
                </w:tcPr>
                <w:p>
                  <w:pPr>
                    <w:adjustRightInd w:val="0"/>
                    <w:snapToGrid w:val="0"/>
                    <w:spacing w:line="240" w:lineRule="auto"/>
                    <w:ind w:firstLine="0" w:firstLineChars="0"/>
                    <w:jc w:val="center"/>
                    <w:rPr>
                      <w:color w:val="auto"/>
                      <w:kern w:val="0"/>
                    </w:rPr>
                  </w:pPr>
                </w:p>
              </w:tc>
              <w:tc>
                <w:tcPr>
                  <w:tcW w:w="1340" w:type="dxa"/>
                  <w:vMerge w:val="continue"/>
                  <w:vAlign w:val="center"/>
                </w:tcPr>
                <w:p>
                  <w:pPr>
                    <w:adjustRightInd w:val="0"/>
                    <w:snapToGrid w:val="0"/>
                    <w:spacing w:line="240" w:lineRule="auto"/>
                    <w:ind w:firstLine="0" w:firstLineChars="0"/>
                    <w:jc w:val="center"/>
                    <w:rPr>
                      <w:color w:val="auto"/>
                      <w:kern w:val="0"/>
                    </w:rPr>
                  </w:pPr>
                </w:p>
              </w:tc>
              <w:tc>
                <w:tcPr>
                  <w:tcW w:w="1535" w:type="dxa"/>
                  <w:vMerge w:val="continue"/>
                  <w:vAlign w:val="center"/>
                </w:tcPr>
                <w:p>
                  <w:pPr>
                    <w:adjustRightInd w:val="0"/>
                    <w:snapToGrid w:val="0"/>
                    <w:spacing w:line="240" w:lineRule="auto"/>
                    <w:ind w:firstLine="0" w:firstLineChars="0"/>
                    <w:jc w:val="center"/>
                    <w:rPr>
                      <w:color w:val="auto"/>
                      <w:kern w:val="0"/>
                    </w:rPr>
                  </w:pPr>
                </w:p>
              </w:tc>
              <w:tc>
                <w:tcPr>
                  <w:tcW w:w="1479" w:type="dxa"/>
                  <w:vMerge w:val="continue"/>
                  <w:vAlign w:val="center"/>
                </w:tcPr>
                <w:p>
                  <w:pPr>
                    <w:adjustRightInd w:val="0"/>
                    <w:snapToGrid w:val="0"/>
                    <w:spacing w:line="240" w:lineRule="auto"/>
                    <w:ind w:firstLine="0" w:firstLineChars="0"/>
                    <w:jc w:val="center"/>
                    <w:rPr>
                      <w:color w:val="auto"/>
                      <w:kern w:val="0"/>
                    </w:rPr>
                  </w:pPr>
                </w:p>
              </w:tc>
              <w:tc>
                <w:tcPr>
                  <w:tcW w:w="708" w:type="dxa"/>
                  <w:vMerge w:val="continue"/>
                  <w:vAlign w:val="center"/>
                </w:tcPr>
                <w:p>
                  <w:pPr>
                    <w:adjustRightInd w:val="0"/>
                    <w:snapToGrid w:val="0"/>
                    <w:spacing w:line="240" w:lineRule="auto"/>
                    <w:ind w:firstLine="0" w:firstLineChars="0"/>
                    <w:jc w:val="center"/>
                    <w:rPr>
                      <w:color w:val="auto"/>
                      <w:kern w:val="0"/>
                    </w:rPr>
                  </w:pPr>
                </w:p>
              </w:tc>
              <w:tc>
                <w:tcPr>
                  <w:tcW w:w="769" w:type="dxa"/>
                  <w:vMerge w:val="continue"/>
                  <w:vAlign w:val="center"/>
                </w:tcPr>
                <w:p>
                  <w:pPr>
                    <w:adjustRightInd w:val="0"/>
                    <w:snapToGrid w:val="0"/>
                    <w:spacing w:line="240" w:lineRule="auto"/>
                    <w:ind w:firstLine="0" w:firstLineChars="0"/>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270" w:type="dxa"/>
                  <w:vAlign w:val="center"/>
                </w:tcPr>
                <w:p>
                  <w:pPr>
                    <w:adjustRightInd w:val="0"/>
                    <w:snapToGrid w:val="0"/>
                    <w:spacing w:line="240" w:lineRule="auto"/>
                    <w:ind w:firstLine="0" w:firstLineChars="0"/>
                    <w:jc w:val="center"/>
                    <w:rPr>
                      <w:color w:val="auto"/>
                      <w:kern w:val="0"/>
                    </w:rPr>
                  </w:pPr>
                  <w:r>
                    <w:rPr>
                      <w:color w:val="auto"/>
                      <w:kern w:val="0"/>
                    </w:rPr>
                    <w:t>厂址下风向</w:t>
                  </w:r>
                </w:p>
              </w:tc>
              <w:tc>
                <w:tcPr>
                  <w:tcW w:w="975" w:type="dxa"/>
                  <w:vAlign w:val="center"/>
                </w:tcPr>
                <w:p>
                  <w:pPr>
                    <w:adjustRightInd w:val="0"/>
                    <w:snapToGrid w:val="0"/>
                    <w:spacing w:line="240" w:lineRule="auto"/>
                    <w:ind w:firstLine="0" w:firstLineChars="0"/>
                    <w:jc w:val="center"/>
                    <w:rPr>
                      <w:color w:val="auto"/>
                      <w:kern w:val="0"/>
                    </w:rPr>
                  </w:pPr>
                  <w:r>
                    <w:rPr>
                      <w:rFonts w:hint="eastAsia"/>
                      <w:color w:val="auto"/>
                      <w:kern w:val="0"/>
                    </w:rPr>
                    <w:t>TSP</w:t>
                  </w:r>
                </w:p>
              </w:tc>
              <w:tc>
                <w:tcPr>
                  <w:tcW w:w="1340" w:type="dxa"/>
                  <w:vAlign w:val="center"/>
                </w:tcPr>
                <w:p>
                  <w:pPr>
                    <w:adjustRightInd w:val="0"/>
                    <w:snapToGrid w:val="0"/>
                    <w:spacing w:line="240" w:lineRule="auto"/>
                    <w:ind w:firstLine="0" w:firstLineChars="0"/>
                    <w:jc w:val="center"/>
                    <w:rPr>
                      <w:color w:val="auto"/>
                      <w:kern w:val="0"/>
                    </w:rPr>
                  </w:pPr>
                  <w:r>
                    <w:rPr>
                      <w:rFonts w:hint="eastAsia"/>
                      <w:color w:val="auto"/>
                      <w:kern w:val="0"/>
                    </w:rPr>
                    <w:t>300</w:t>
                  </w:r>
                </w:p>
              </w:tc>
              <w:tc>
                <w:tcPr>
                  <w:tcW w:w="1535" w:type="dxa"/>
                  <w:vAlign w:val="center"/>
                </w:tcPr>
                <w:p>
                  <w:pPr>
                    <w:adjustRightInd w:val="0"/>
                    <w:snapToGrid w:val="0"/>
                    <w:spacing w:line="240" w:lineRule="auto"/>
                    <w:ind w:firstLine="0" w:firstLineChars="0"/>
                    <w:jc w:val="center"/>
                    <w:rPr>
                      <w:color w:val="auto"/>
                      <w:kern w:val="0"/>
                    </w:rPr>
                  </w:pPr>
                  <w:r>
                    <w:rPr>
                      <w:rFonts w:hint="eastAsia"/>
                      <w:color w:val="auto"/>
                      <w:kern w:val="0"/>
                    </w:rPr>
                    <w:t>99-109</w:t>
                  </w:r>
                </w:p>
              </w:tc>
              <w:tc>
                <w:tcPr>
                  <w:tcW w:w="1479" w:type="dxa"/>
                  <w:vAlign w:val="center"/>
                </w:tcPr>
                <w:p>
                  <w:pPr>
                    <w:adjustRightInd w:val="0"/>
                    <w:snapToGrid w:val="0"/>
                    <w:spacing w:line="240" w:lineRule="auto"/>
                    <w:ind w:firstLine="0" w:firstLineChars="0"/>
                    <w:jc w:val="center"/>
                    <w:rPr>
                      <w:color w:val="auto"/>
                      <w:kern w:val="0"/>
                    </w:rPr>
                  </w:pPr>
                  <w:r>
                    <w:rPr>
                      <w:rFonts w:hint="eastAsia"/>
                      <w:color w:val="auto"/>
                    </w:rPr>
                    <w:t>36.3</w:t>
                  </w:r>
                </w:p>
              </w:tc>
              <w:tc>
                <w:tcPr>
                  <w:tcW w:w="708" w:type="dxa"/>
                  <w:vAlign w:val="center"/>
                </w:tcPr>
                <w:p>
                  <w:pPr>
                    <w:adjustRightInd w:val="0"/>
                    <w:snapToGrid w:val="0"/>
                    <w:spacing w:line="240" w:lineRule="auto"/>
                    <w:ind w:firstLine="0" w:firstLineChars="0"/>
                    <w:jc w:val="center"/>
                    <w:rPr>
                      <w:color w:val="auto"/>
                      <w:kern w:val="0"/>
                    </w:rPr>
                  </w:pPr>
                  <w:r>
                    <w:rPr>
                      <w:color w:val="auto"/>
                      <w:kern w:val="0"/>
                    </w:rPr>
                    <w:t>0</w:t>
                  </w:r>
                </w:p>
              </w:tc>
              <w:tc>
                <w:tcPr>
                  <w:tcW w:w="769" w:type="dxa"/>
                  <w:vAlign w:val="center"/>
                </w:tcPr>
                <w:p>
                  <w:pPr>
                    <w:adjustRightInd w:val="0"/>
                    <w:snapToGrid w:val="0"/>
                    <w:spacing w:line="240" w:lineRule="auto"/>
                    <w:ind w:firstLine="0" w:firstLineChars="0"/>
                    <w:jc w:val="center"/>
                    <w:rPr>
                      <w:color w:val="auto"/>
                      <w:kern w:val="0"/>
                    </w:rPr>
                  </w:pPr>
                  <w:r>
                    <w:rPr>
                      <w:color w:val="auto"/>
                      <w:kern w:val="0"/>
                    </w:rPr>
                    <w:t>达标</w:t>
                  </w:r>
                </w:p>
              </w:tc>
            </w:tr>
          </w:tbl>
          <w:p>
            <w:pPr>
              <w:ind w:firstLine="480"/>
              <w:jc w:val="left"/>
              <w:rPr>
                <w:color w:val="auto"/>
                <w:kern w:val="0"/>
              </w:rPr>
            </w:pPr>
            <w:r>
              <w:rPr>
                <w:color w:val="auto"/>
              </w:rPr>
              <w:t>由表3-</w:t>
            </w:r>
            <w:r>
              <w:rPr>
                <w:rFonts w:hint="eastAsia"/>
                <w:color w:val="auto"/>
              </w:rPr>
              <w:t>1</w:t>
            </w:r>
            <w:r>
              <w:rPr>
                <w:color w:val="auto"/>
              </w:rPr>
              <w:t>可知，评价区域特征污染物</w:t>
            </w:r>
            <w:r>
              <w:rPr>
                <w:rFonts w:hint="eastAsia"/>
                <w:color w:val="auto"/>
              </w:rPr>
              <w:t>TSP</w:t>
            </w:r>
            <w:r>
              <w:rPr>
                <w:color w:val="auto"/>
              </w:rPr>
              <w:t>检测结果满足《环境空气质量限值》（GB3095-2012）</w:t>
            </w:r>
            <w:r>
              <w:rPr>
                <w:rFonts w:hint="eastAsia"/>
                <w:color w:val="auto"/>
              </w:rPr>
              <w:t>及其修改单</w:t>
            </w:r>
            <w:r>
              <w:rPr>
                <w:color w:val="auto"/>
                <w:kern w:val="0"/>
              </w:rPr>
              <w:t>中的二级标准</w:t>
            </w:r>
            <w:r>
              <w:rPr>
                <w:rFonts w:hint="eastAsia"/>
                <w:color w:val="auto"/>
                <w:kern w:val="0"/>
              </w:rPr>
              <w:t>，</w:t>
            </w:r>
            <w:r>
              <w:rPr>
                <w:color w:val="auto"/>
                <w:kern w:val="0"/>
              </w:rPr>
              <w:t>评价区环境质量状况较好</w:t>
            </w:r>
            <w:r>
              <w:rPr>
                <w:rFonts w:hint="eastAsia"/>
                <w:color w:val="auto"/>
                <w:kern w:val="0"/>
              </w:rPr>
              <w:t>。</w:t>
            </w:r>
          </w:p>
          <w:p>
            <w:pPr>
              <w:adjustRightInd w:val="0"/>
              <w:snapToGrid w:val="0"/>
              <w:ind w:firstLine="0" w:firstLineChars="0"/>
              <w:jc w:val="left"/>
              <w:rPr>
                <w:b/>
                <w:bCs/>
                <w:color w:val="auto"/>
                <w:kern w:val="0"/>
              </w:rPr>
            </w:pPr>
            <w:r>
              <w:rPr>
                <w:color w:val="auto"/>
              </w:rPr>
              <w:drawing>
                <wp:anchor distT="0" distB="0" distL="114300" distR="114300" simplePos="0" relativeHeight="251681792" behindDoc="0" locked="0" layoutInCell="1" allowOverlap="1">
                  <wp:simplePos x="0" y="0"/>
                  <wp:positionH relativeFrom="column">
                    <wp:posOffset>4166870</wp:posOffset>
                  </wp:positionH>
                  <wp:positionV relativeFrom="paragraph">
                    <wp:posOffset>19050</wp:posOffset>
                  </wp:positionV>
                  <wp:extent cx="878205" cy="975995"/>
                  <wp:effectExtent l="0" t="0" r="17145" b="14605"/>
                  <wp:wrapNone/>
                  <wp:docPr id="114"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4" name="图片 1"/>
                          <pic:cNvPicPr>
                            <a:picLocks noChangeAspect="true"/>
                          </pic:cNvPicPr>
                        </pic:nvPicPr>
                        <pic:blipFill>
                          <a:blip r:embed="rId26"/>
                          <a:stretch>
                            <a:fillRect/>
                          </a:stretch>
                        </pic:blipFill>
                        <pic:spPr>
                          <a:xfrm>
                            <a:off x="0" y="0"/>
                            <a:ext cx="878205" cy="975995"/>
                          </a:xfrm>
                          <a:prstGeom prst="rect">
                            <a:avLst/>
                          </a:prstGeom>
                          <a:noFill/>
                          <a:ln>
                            <a:noFill/>
                          </a:ln>
                        </pic:spPr>
                      </pic:pic>
                    </a:graphicData>
                  </a:graphic>
                </wp:anchor>
              </w:drawing>
            </w:r>
            <w:r>
              <w:rPr>
                <w:color w:val="auto"/>
              </w:rPr>
              <mc:AlternateContent>
                <mc:Choice Requires="wps">
                  <w:drawing>
                    <wp:anchor distT="0" distB="0" distL="114300" distR="114300" simplePos="0" relativeHeight="251663360" behindDoc="0" locked="0" layoutInCell="1" allowOverlap="1">
                      <wp:simplePos x="0" y="0"/>
                      <wp:positionH relativeFrom="column">
                        <wp:posOffset>2227580</wp:posOffset>
                      </wp:positionH>
                      <wp:positionV relativeFrom="paragraph">
                        <wp:posOffset>2029460</wp:posOffset>
                      </wp:positionV>
                      <wp:extent cx="789940" cy="292735"/>
                      <wp:effectExtent l="0" t="0" r="10160" b="12065"/>
                      <wp:wrapNone/>
                      <wp:docPr id="4" name="文本框 8"/>
                      <wp:cNvGraphicFramePr/>
                      <a:graphic xmlns:a="http://schemas.openxmlformats.org/drawingml/2006/main">
                        <a:graphicData uri="http://schemas.microsoft.com/office/word/2010/wordprocessingShape">
                          <wps:wsp>
                            <wps:cNvSpPr txBox="true"/>
                            <wps:spPr>
                              <a:xfrm>
                                <a:off x="0" y="0"/>
                                <a:ext cx="789940" cy="292735"/>
                              </a:xfrm>
                              <a:prstGeom prst="rect">
                                <a:avLst/>
                              </a:prstGeom>
                              <a:solidFill>
                                <a:srgbClr val="FFFFFF"/>
                              </a:solidFill>
                              <a:ln>
                                <a:noFill/>
                              </a:ln>
                            </wps:spPr>
                            <wps:txbx>
                              <w:txbxContent>
                                <w:p>
                                  <w:pPr>
                                    <w:ind w:firstLine="0" w:firstLineChars="0"/>
                                  </w:pPr>
                                  <w:r>
                                    <w:rPr>
                                      <w:rFonts w:hint="eastAsia"/>
                                    </w:rPr>
                                    <w:t>WS2369m</w:t>
                                  </w:r>
                                </w:p>
                              </w:txbxContent>
                            </wps:txbx>
                            <wps:bodyPr vert="horz" wrap="square" anchor="t" anchorCtr="false" upright="true"/>
                          </wps:wsp>
                        </a:graphicData>
                      </a:graphic>
                    </wp:anchor>
                  </w:drawing>
                </mc:Choice>
                <mc:Fallback>
                  <w:pict>
                    <v:shape id="文本框 8" o:spid="_x0000_s1026" o:spt="202" type="#_x0000_t202" style="position:absolute;left:0pt;margin-left:175.4pt;margin-top:159.8pt;height:23.05pt;width:62.2pt;z-index:251663360;mso-width-relative:page;mso-height-relative:page;" fillcolor="#FFFFFF" filled="t" stroked="f" coordsize="21600,21600" o:gfxdata="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WAAAAZHJzL1BLAQIUABQAAAAIAIdO4kAtu/oH2QAAAAsBAAAP&#10;AAAAAAAAAAEAIAAAADgAAABkcnMvZG93bnJldi54bWxQSwECFAAUAAAACACHTuJAiYyoWcgBAABl&#10;AwAADgAAAAAAAAABACAAAAA+AQAAZHJzL2Uyb0RvYy54bWxQSwUGAAAAAAYABgBZAQAAeAUAAAAA&#10;">
                      <v:fill on="t" focussize="0,0"/>
                      <v:stroke on="f"/>
                      <v:imagedata o:title=""/>
                      <o:lock v:ext="edit" aspectratio="f"/>
                      <v:textbox>
                        <w:txbxContent>
                          <w:p>
                            <w:pPr>
                              <w:ind w:firstLine="0" w:firstLineChars="0"/>
                            </w:pPr>
                            <w:r>
                              <w:rPr>
                                <w:rFonts w:hint="eastAsia"/>
                              </w:rPr>
                              <w:t>WS2369m</w:t>
                            </w:r>
                          </w:p>
                        </w:txbxContent>
                      </v:textbox>
                    </v:shape>
                  </w:pict>
                </mc:Fallback>
              </mc:AlternateContent>
            </w:r>
            <w:r>
              <w:rPr>
                <w:color w:val="auto"/>
              </w:rPr>
              <mc:AlternateContent>
                <mc:Choice Requires="wps">
                  <w:drawing>
                    <wp:anchor distT="0" distB="0" distL="114300" distR="114300" simplePos="0" relativeHeight="251662336" behindDoc="0" locked="0" layoutInCell="1" allowOverlap="1">
                      <wp:simplePos x="0" y="0"/>
                      <wp:positionH relativeFrom="column">
                        <wp:posOffset>1067435</wp:posOffset>
                      </wp:positionH>
                      <wp:positionV relativeFrom="paragraph">
                        <wp:posOffset>1282065</wp:posOffset>
                      </wp:positionV>
                      <wp:extent cx="2385060" cy="1372870"/>
                      <wp:effectExtent l="6985" t="12700" r="8255" b="24130"/>
                      <wp:wrapNone/>
                      <wp:docPr id="3" name="直线 7"/>
                      <wp:cNvGraphicFramePr/>
                      <a:graphic xmlns:a="http://schemas.openxmlformats.org/drawingml/2006/main">
                        <a:graphicData uri="http://schemas.microsoft.com/office/word/2010/wordprocessingShape">
                          <wps:wsp>
                            <wps:cNvCnPr/>
                            <wps:spPr>
                              <a:xfrm flipV="true">
                                <a:off x="0" y="0"/>
                                <a:ext cx="2385060" cy="1372870"/>
                              </a:xfrm>
                              <a:prstGeom prst="line">
                                <a:avLst/>
                              </a:prstGeom>
                              <a:ln w="28575" cap="flat" cmpd="sng">
                                <a:solidFill>
                                  <a:srgbClr val="000000"/>
                                </a:solidFill>
                                <a:prstDash val="solid"/>
                                <a:headEnd type="none" w="med" len="med"/>
                                <a:tailEnd type="none" w="med" len="med"/>
                              </a:ln>
                            </wps:spPr>
                            <wps:bodyPr/>
                          </wps:wsp>
                        </a:graphicData>
                      </a:graphic>
                    </wp:anchor>
                  </w:drawing>
                </mc:Choice>
                <mc:Fallback>
                  <w:pict>
                    <v:line id="直线 7" o:spid="_x0000_s1026" o:spt="20" style="position:absolute;left:0pt;flip:y;margin-left:84.05pt;margin-top:100.95pt;height:108.1pt;width:187.8pt;z-index:251662336;mso-width-relative:page;mso-height-relative:page;" filled="f" stroked="t" coordsize="21600,21600" o:gfxdata="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FgAAAGRycy9QSwECFAAUAAAACACHTuJA&#10;cWjiOdkAAAALAQAADwAAAAAAAAABACAAAAA4AAAAZHJzL2Rvd25yZXYueG1sUEsBAhQAFAAAAAgA&#10;h07iQIXGnBbVAQAAlQMAAA4AAAAAAAAAAQAgAAAAPgEAAGRycy9lMm9Eb2MueG1sUEsFBgAAAAAG&#10;AAYAWQEAAIUFAAAAAA==&#10;">
                      <v:fill on="f" focussize="0,0"/>
                      <v:stroke weight="2.25pt" color="#000000" joinstyle="round"/>
                      <v:imagedata o:title=""/>
                      <o:lock v:ext="edit" aspectratio="f"/>
                    </v:line>
                  </w:pict>
                </mc:Fallback>
              </mc:AlternateContent>
            </w:r>
            <w:r>
              <w:rPr>
                <w:color w:val="auto"/>
              </w:rPr>
              <mc:AlternateContent>
                <mc:Choice Requires="wps">
                  <w:drawing>
                    <wp:anchor distT="0" distB="0" distL="114300" distR="114300" simplePos="0" relativeHeight="251661312" behindDoc="0" locked="0" layoutInCell="1" allowOverlap="1">
                      <wp:simplePos x="0" y="0"/>
                      <wp:positionH relativeFrom="column">
                        <wp:posOffset>612775</wp:posOffset>
                      </wp:positionH>
                      <wp:positionV relativeFrom="paragraph">
                        <wp:posOffset>2761615</wp:posOffset>
                      </wp:positionV>
                      <wp:extent cx="1141095" cy="292735"/>
                      <wp:effectExtent l="0" t="0" r="1905" b="12065"/>
                      <wp:wrapNone/>
                      <wp:docPr id="2" name="文本框 6"/>
                      <wp:cNvGraphicFramePr/>
                      <a:graphic xmlns:a="http://schemas.openxmlformats.org/drawingml/2006/main">
                        <a:graphicData uri="http://schemas.microsoft.com/office/word/2010/wordprocessingShape">
                          <wps:wsp>
                            <wps:cNvSpPr txBox="true"/>
                            <wps:spPr>
                              <a:xfrm>
                                <a:off x="0" y="0"/>
                                <a:ext cx="1141095" cy="292735"/>
                              </a:xfrm>
                              <a:prstGeom prst="rect">
                                <a:avLst/>
                              </a:prstGeom>
                              <a:solidFill>
                                <a:srgbClr val="FFFFFF"/>
                              </a:solidFill>
                              <a:ln>
                                <a:noFill/>
                              </a:ln>
                            </wps:spPr>
                            <wps:txbx>
                              <w:txbxContent>
                                <w:p>
                                  <w:pPr>
                                    <w:ind w:firstLine="0" w:firstLineChars="0"/>
                                  </w:pPr>
                                  <w:r>
                                    <w:rPr>
                                      <w:rFonts w:hint="eastAsia"/>
                                    </w:rPr>
                                    <w:t>引用检测点位置</w:t>
                                  </w:r>
                                </w:p>
                              </w:txbxContent>
                            </wps:txbx>
                            <wps:bodyPr vert="horz" wrap="square" anchor="t" anchorCtr="false" upright="true"/>
                          </wps:wsp>
                        </a:graphicData>
                      </a:graphic>
                    </wp:anchor>
                  </w:drawing>
                </mc:Choice>
                <mc:Fallback>
                  <w:pict>
                    <v:shape id="文本框 6" o:spid="_x0000_s1026" o:spt="202" type="#_x0000_t202" style="position:absolute;left:0pt;margin-left:48.25pt;margin-top:217.45pt;height:23.05pt;width:89.85pt;z-index:251661312;mso-width-relative:page;mso-height-relative:page;" fillcolor="#FFFFFF" filled="t" stroked="f" coordsize="21600,21600" o:gfxdata="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BYAAABkcnMvUEsBAhQAFAAAAAgAh07iQN9sc0HYAAAACgEAAA8A&#10;AAAAAAAAAQAgAAAAOAAAAGRycy9kb3ducmV2LnhtbFBLAQIUABQAAAAIAIdO4kDjVHU1yAEAAGYD&#10;AAAOAAAAAAAAAAEAIAAAAD0BAABkcnMvZTJvRG9jLnhtbFBLBQYAAAAABgAGAFkBAAB3BQAAAAA=&#10;">
                      <v:fill on="t" focussize="0,0"/>
                      <v:stroke on="f"/>
                      <v:imagedata o:title=""/>
                      <o:lock v:ext="edit" aspectratio="f"/>
                      <v:textbox>
                        <w:txbxContent>
                          <w:p>
                            <w:pPr>
                              <w:ind w:firstLine="0" w:firstLineChars="0"/>
                            </w:pPr>
                            <w:r>
                              <w:rPr>
                                <w:rFonts w:hint="eastAsia"/>
                              </w:rPr>
                              <w:t>引用检测点位置</w:t>
                            </w:r>
                          </w:p>
                        </w:txbxContent>
                      </v:textbox>
                    </v:shape>
                  </w:pict>
                </mc:Fallback>
              </mc:AlternateContent>
            </w:r>
            <w:r>
              <w:rPr>
                <w:color w:val="auto"/>
              </w:rPr>
              <mc:AlternateContent>
                <mc:Choice Requires="wps">
                  <w:drawing>
                    <wp:anchor distT="0" distB="0" distL="114300" distR="114300" simplePos="0" relativeHeight="251660288" behindDoc="0" locked="0" layoutInCell="1" allowOverlap="1">
                      <wp:simplePos x="0" y="0"/>
                      <wp:positionH relativeFrom="column">
                        <wp:posOffset>2987675</wp:posOffset>
                      </wp:positionH>
                      <wp:positionV relativeFrom="paragraph">
                        <wp:posOffset>839470</wp:posOffset>
                      </wp:positionV>
                      <wp:extent cx="893445" cy="292735"/>
                      <wp:effectExtent l="0" t="0" r="1905" b="12065"/>
                      <wp:wrapNone/>
                      <wp:docPr id="1" name="文本框 5"/>
                      <wp:cNvGraphicFramePr/>
                      <a:graphic xmlns:a="http://schemas.openxmlformats.org/drawingml/2006/main">
                        <a:graphicData uri="http://schemas.microsoft.com/office/word/2010/wordprocessingShape">
                          <wps:wsp>
                            <wps:cNvSpPr txBox="true"/>
                            <wps:spPr>
                              <a:xfrm>
                                <a:off x="0" y="0"/>
                                <a:ext cx="893445" cy="292735"/>
                              </a:xfrm>
                              <a:prstGeom prst="rect">
                                <a:avLst/>
                              </a:prstGeom>
                              <a:solidFill>
                                <a:srgbClr val="FFFFFF"/>
                              </a:solidFill>
                              <a:ln>
                                <a:noFill/>
                              </a:ln>
                            </wps:spPr>
                            <wps:txbx>
                              <w:txbxContent>
                                <w:p>
                                  <w:pPr>
                                    <w:ind w:firstLine="0" w:firstLineChars="0"/>
                                  </w:pPr>
                                  <w:r>
                                    <w:rPr>
                                      <w:rFonts w:hint="eastAsia"/>
                                    </w:rPr>
                                    <w:t>本项目位置</w:t>
                                  </w:r>
                                </w:p>
                              </w:txbxContent>
                            </wps:txbx>
                            <wps:bodyPr vert="horz" wrap="square" anchor="t" anchorCtr="false" upright="true"/>
                          </wps:wsp>
                        </a:graphicData>
                      </a:graphic>
                    </wp:anchor>
                  </w:drawing>
                </mc:Choice>
                <mc:Fallback>
                  <w:pict>
                    <v:shape id="文本框 5" o:spid="_x0000_s1026" o:spt="202" type="#_x0000_t202" style="position:absolute;left:0pt;margin-left:235.25pt;margin-top:66.1pt;height:23.05pt;width:70.35pt;z-index:251660288;mso-width-relative:page;mso-height-relative:page;" fillcolor="#FFFFFF" filled="t" stroked="f" coordsize="21600,21600" o:gfxdata="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FgAAAGRycy9QSwECFAAUAAAACACHTuJAK6Gj1NkAAAALAQAA&#10;DwAAAAAAAAABACAAAAA4AAAAZHJzL2Rvd25yZXYueG1sUEsBAhQAFAAAAAgAh07iQKH+Fh3JAQAA&#10;ZQMAAA4AAAAAAAAAAQAgAAAAPgEAAGRycy9lMm9Eb2MueG1sUEsFBgAAAAAGAAYAWQEAAHkFAAAA&#10;AA==&#10;">
                      <v:fill on="t" focussize="0,0"/>
                      <v:stroke on="f"/>
                      <v:imagedata o:title=""/>
                      <o:lock v:ext="edit" aspectratio="f"/>
                      <v:textbox>
                        <w:txbxContent>
                          <w:p>
                            <w:pPr>
                              <w:ind w:firstLine="0" w:firstLineChars="0"/>
                            </w:pPr>
                            <w:r>
                              <w:rPr>
                                <w:rFonts w:hint="eastAsia"/>
                              </w:rPr>
                              <w:t>本项目位置</w:t>
                            </w:r>
                          </w:p>
                        </w:txbxContent>
                      </v:textbox>
                    </v:shape>
                  </w:pict>
                </mc:Fallback>
              </mc:AlternateContent>
            </w:r>
            <w:r>
              <w:rPr>
                <w:color w:val="auto"/>
              </w:rPr>
              <w:drawing>
                <wp:inline distT="0" distB="0" distL="114300" distR="114300">
                  <wp:extent cx="5057140" cy="4007485"/>
                  <wp:effectExtent l="0" t="0" r="10160" b="12065"/>
                  <wp:docPr id="12" name="图片 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35"/>
                          <pic:cNvPicPr>
                            <a:picLocks noChangeAspect="true"/>
                          </pic:cNvPicPr>
                        </pic:nvPicPr>
                        <pic:blipFill>
                          <a:blip r:embed="rId27"/>
                          <a:stretch>
                            <a:fillRect/>
                          </a:stretch>
                        </pic:blipFill>
                        <pic:spPr>
                          <a:xfrm>
                            <a:off x="0" y="0"/>
                            <a:ext cx="5057140" cy="4007485"/>
                          </a:xfrm>
                          <a:prstGeom prst="rect">
                            <a:avLst/>
                          </a:prstGeom>
                          <a:noFill/>
                          <a:ln>
                            <a:noFill/>
                          </a:ln>
                        </pic:spPr>
                      </pic:pic>
                    </a:graphicData>
                  </a:graphic>
                </wp:inline>
              </w:drawing>
            </w:r>
          </w:p>
          <w:p>
            <w:pPr>
              <w:adjustRightInd w:val="0"/>
              <w:snapToGrid w:val="0"/>
              <w:ind w:firstLine="0" w:firstLineChars="0"/>
              <w:jc w:val="center"/>
              <w:rPr>
                <w:b/>
                <w:bCs/>
                <w:color w:val="auto"/>
                <w:kern w:val="0"/>
              </w:rPr>
            </w:pPr>
            <w:r>
              <w:rPr>
                <w:rFonts w:hint="eastAsia"/>
                <w:b/>
                <w:bCs/>
                <w:color w:val="auto"/>
                <w:kern w:val="0"/>
              </w:rPr>
              <w:t>图3-1引用检测点位置与本项目位置关系图</w:t>
            </w:r>
          </w:p>
          <w:p>
            <w:pPr>
              <w:adjustRightInd w:val="0"/>
              <w:snapToGrid w:val="0"/>
              <w:ind w:firstLine="482"/>
              <w:jc w:val="left"/>
              <w:rPr>
                <w:b/>
                <w:bCs/>
                <w:color w:val="auto"/>
                <w:kern w:val="0"/>
              </w:rPr>
            </w:pPr>
            <w:r>
              <w:rPr>
                <w:rFonts w:hint="eastAsia"/>
                <w:b/>
                <w:bCs/>
                <w:color w:val="auto"/>
                <w:kern w:val="0"/>
                <w:lang w:eastAsia="zh-CN"/>
              </w:rPr>
              <w:t>2.</w:t>
            </w:r>
            <w:r>
              <w:rPr>
                <w:b/>
                <w:bCs/>
                <w:color w:val="auto"/>
                <w:kern w:val="0"/>
              </w:rPr>
              <w:t>声环境质量现状</w:t>
            </w:r>
          </w:p>
          <w:p>
            <w:pPr>
              <w:adjustRightInd w:val="0"/>
              <w:snapToGrid w:val="0"/>
              <w:ind w:firstLine="480"/>
              <w:jc w:val="left"/>
              <w:rPr>
                <w:color w:val="auto"/>
                <w:kern w:val="0"/>
              </w:rPr>
            </w:pPr>
            <w:r>
              <w:rPr>
                <w:color w:val="auto"/>
                <w:kern w:val="0"/>
              </w:rPr>
              <w:t>根据《建设项目环境影响报告表编制技术指南（污染影响类）（试行）》，厂界外周边50米范围内存在声环境保护目标的建设项目，应监测保护目标声环境质量现状并评价达标情况。根据现场踏勘本项目厂界范围50米范围内无声环境保护目标，因此本次不对声环境质量现状进行评价。</w:t>
            </w:r>
          </w:p>
          <w:p>
            <w:pPr>
              <w:adjustRightInd w:val="0"/>
              <w:snapToGrid w:val="0"/>
              <w:ind w:firstLine="482"/>
              <w:jc w:val="left"/>
              <w:rPr>
                <w:b/>
                <w:bCs/>
                <w:color w:val="auto"/>
                <w:kern w:val="0"/>
              </w:rPr>
            </w:pPr>
            <w:r>
              <w:rPr>
                <w:rFonts w:hint="eastAsia"/>
                <w:b/>
                <w:bCs/>
                <w:color w:val="auto"/>
                <w:kern w:val="0"/>
                <w:lang w:eastAsia="zh-CN"/>
              </w:rPr>
              <w:t>3.</w:t>
            </w:r>
            <w:r>
              <w:rPr>
                <w:b/>
                <w:bCs/>
                <w:color w:val="auto"/>
                <w:kern w:val="0"/>
              </w:rPr>
              <w:t>地下水和土壤环境质量现状</w:t>
            </w:r>
          </w:p>
          <w:p>
            <w:pPr>
              <w:adjustRightInd w:val="0"/>
              <w:snapToGrid w:val="0"/>
              <w:ind w:firstLine="480"/>
              <w:jc w:val="left"/>
              <w:rPr>
                <w:color w:val="auto"/>
                <w:kern w:val="0"/>
              </w:rPr>
            </w:pPr>
            <w:r>
              <w:rPr>
                <w:color w:val="auto"/>
                <w:kern w:val="0"/>
              </w:rPr>
              <w:t>根据《建设项目环境影响报告表编制技术指南》原则上可不开展地下水环境质量现状调查。</w:t>
            </w:r>
            <w:r>
              <w:rPr>
                <w:rFonts w:hint="eastAsia"/>
                <w:color w:val="auto"/>
                <w:kern w:val="0"/>
              </w:rPr>
              <w:t>本项目无新增劳动定员无新增生活污水产生，无外排生产废水，产生的废离子交换树脂、废滤料，产后不落地，由厂家回收处置，废水处理站产生的污泥掺入洗煤厂内的产品煤种进行外售。厂区内的危废库为重点防渗区，防渗措施采用至少1m厚黏土层（渗透系数≤10</w:t>
            </w:r>
            <w:r>
              <w:rPr>
                <w:rFonts w:hint="eastAsia"/>
                <w:color w:val="auto"/>
                <w:kern w:val="0"/>
                <w:vertAlign w:val="superscript"/>
              </w:rPr>
              <w:t>-7</w:t>
            </w:r>
            <w:r>
              <w:rPr>
                <w:rFonts w:hint="eastAsia"/>
                <w:color w:val="auto"/>
                <w:kern w:val="0"/>
              </w:rPr>
              <w:t>cm/s），或至少2mm厚高密度聚乙烯膜等人工防渗材料（渗透系数≤10</w:t>
            </w:r>
            <w:r>
              <w:rPr>
                <w:rFonts w:hint="eastAsia"/>
                <w:color w:val="auto"/>
                <w:kern w:val="0"/>
                <w:vertAlign w:val="superscript"/>
              </w:rPr>
              <w:t>-10</w:t>
            </w:r>
            <w:r>
              <w:rPr>
                <w:rFonts w:hint="eastAsia"/>
                <w:color w:val="auto"/>
                <w:kern w:val="0"/>
              </w:rPr>
              <w:t>cm/s），或其他防渗性能等效的材料。锅炉房、废水处理站</w:t>
            </w:r>
            <w:r>
              <w:rPr>
                <w:color w:val="auto"/>
              </w:rPr>
              <w:t>防渗水平应达到一般防渗区防渗要求（等效黏土防渗层Mb</w:t>
            </w:r>
            <w:r>
              <w:rPr>
                <w:rFonts w:hint="eastAsia"/>
                <w:color w:val="auto"/>
              </w:rPr>
              <w:t>≥</w:t>
            </w:r>
            <w:r>
              <w:rPr>
                <w:color w:val="auto"/>
              </w:rPr>
              <w:t>1.5，渗透系数K</w:t>
            </w:r>
            <w:r>
              <w:rPr>
                <w:rFonts w:hint="eastAsia"/>
                <w:color w:val="auto"/>
              </w:rPr>
              <w:t>≤</w:t>
            </w:r>
            <w:r>
              <w:rPr>
                <w:color w:val="auto"/>
              </w:rPr>
              <w:t>1.0×10</w:t>
            </w:r>
            <w:r>
              <w:rPr>
                <w:color w:val="auto"/>
                <w:vertAlign w:val="superscript"/>
              </w:rPr>
              <w:t>-7</w:t>
            </w:r>
            <w:r>
              <w:rPr>
                <w:color w:val="auto"/>
              </w:rPr>
              <w:t>cm/s）</w:t>
            </w:r>
            <w:r>
              <w:rPr>
                <w:rFonts w:hint="eastAsia"/>
                <w:color w:val="auto"/>
                <w:kern w:val="0"/>
              </w:rPr>
              <w:t>。办公室及厂区地面做简单防渗要求，采用10cm-15cm的普通水泥硬化处理。通过实施上述措施后，</w:t>
            </w:r>
            <w:r>
              <w:rPr>
                <w:color w:val="auto"/>
                <w:kern w:val="0"/>
              </w:rPr>
              <w:t>本项目对</w:t>
            </w:r>
            <w:r>
              <w:rPr>
                <w:rFonts w:hint="eastAsia"/>
                <w:color w:val="auto"/>
                <w:kern w:val="0"/>
              </w:rPr>
              <w:t>周边</w:t>
            </w:r>
            <w:r>
              <w:rPr>
                <w:color w:val="auto"/>
                <w:kern w:val="0"/>
              </w:rPr>
              <w:t>地下水</w:t>
            </w:r>
            <w:r>
              <w:rPr>
                <w:rFonts w:hint="eastAsia"/>
                <w:color w:val="auto"/>
                <w:kern w:val="0"/>
              </w:rPr>
              <w:t>、土壤</w:t>
            </w:r>
            <w:r>
              <w:rPr>
                <w:color w:val="auto"/>
                <w:kern w:val="0"/>
              </w:rPr>
              <w:t>环境影响较小。另本项目厂界外500m范围内无地下水环境保护目标，</w:t>
            </w:r>
            <w:r>
              <w:rPr>
                <w:rFonts w:hint="eastAsia"/>
                <w:color w:val="auto"/>
                <w:kern w:val="0"/>
              </w:rPr>
              <w:t>且本项目无新增占地，</w:t>
            </w:r>
            <w:r>
              <w:rPr>
                <w:color w:val="auto"/>
                <w:kern w:val="0"/>
              </w:rPr>
              <w:t>根据《建设项目环境影响报告表编制技术指南》可不开展地下水和土壤环境质量现状调查。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vAlign w:val="center"/>
          </w:tcPr>
          <w:p>
            <w:pPr>
              <w:adjustRightInd w:val="0"/>
              <w:snapToGrid w:val="0"/>
              <w:ind w:firstLine="0" w:firstLineChars="0"/>
              <w:jc w:val="center"/>
              <w:rPr>
                <w:color w:val="auto"/>
                <w:kern w:val="0"/>
              </w:rPr>
            </w:pPr>
            <w:r>
              <w:rPr>
                <w:color w:val="auto"/>
                <w:kern w:val="0"/>
              </w:rPr>
              <w:t>环境</w:t>
            </w:r>
          </w:p>
          <w:p>
            <w:pPr>
              <w:adjustRightInd w:val="0"/>
              <w:snapToGrid w:val="0"/>
              <w:ind w:firstLine="0" w:firstLineChars="0"/>
              <w:jc w:val="center"/>
              <w:rPr>
                <w:color w:val="auto"/>
                <w:kern w:val="0"/>
              </w:rPr>
            </w:pPr>
            <w:r>
              <w:rPr>
                <w:color w:val="auto"/>
                <w:kern w:val="0"/>
              </w:rPr>
              <w:t>保护</w:t>
            </w:r>
          </w:p>
          <w:p>
            <w:pPr>
              <w:adjustRightInd w:val="0"/>
              <w:snapToGrid w:val="0"/>
              <w:ind w:firstLine="0" w:firstLineChars="0"/>
              <w:jc w:val="center"/>
              <w:rPr>
                <w:color w:val="auto"/>
                <w:kern w:val="0"/>
              </w:rPr>
            </w:pPr>
            <w:r>
              <w:rPr>
                <w:color w:val="auto"/>
                <w:kern w:val="0"/>
              </w:rPr>
              <w:t>目标</w:t>
            </w:r>
          </w:p>
        </w:tc>
        <w:tc>
          <w:tcPr>
            <w:tcW w:w="8190" w:type="dxa"/>
            <w:vAlign w:val="center"/>
          </w:tcPr>
          <w:p>
            <w:pPr>
              <w:adjustRightInd w:val="0"/>
              <w:snapToGrid w:val="0"/>
              <w:ind w:firstLine="480"/>
              <w:rPr>
                <w:color w:val="auto"/>
                <w:kern w:val="0"/>
              </w:rPr>
            </w:pPr>
            <w:r>
              <w:rPr>
                <w:color w:val="auto"/>
                <w:kern w:val="0"/>
              </w:rPr>
              <w:t>根据</w:t>
            </w:r>
            <w:r>
              <w:rPr>
                <w:rFonts w:hint="eastAsia"/>
                <w:color w:val="auto"/>
                <w:kern w:val="0"/>
              </w:rPr>
              <w:t>现场勘查</w:t>
            </w:r>
            <w:r>
              <w:rPr>
                <w:color w:val="auto"/>
                <w:kern w:val="0"/>
              </w:rPr>
              <w:t>，本项目所在区域及其附近没有自然保护区、水源地、重点文物、珍稀动植物资源等重点保护目标。根据项目性质及周围环境特征，本次调查重点保护对象为调查范围内的村庄散户（居民点），主要保护目标见表3-</w:t>
            </w:r>
            <w:r>
              <w:rPr>
                <w:rFonts w:hint="eastAsia"/>
                <w:color w:val="auto"/>
                <w:kern w:val="0"/>
              </w:rPr>
              <w:t>2</w:t>
            </w:r>
            <w:r>
              <w:rPr>
                <w:color w:val="auto"/>
                <w:kern w:val="0"/>
              </w:rPr>
              <w:t>。</w:t>
            </w:r>
          </w:p>
          <w:p>
            <w:pPr>
              <w:adjustRightInd w:val="0"/>
              <w:snapToGrid w:val="0"/>
              <w:ind w:firstLine="0" w:firstLineChars="0"/>
              <w:jc w:val="center"/>
              <w:rPr>
                <w:b/>
                <w:bCs/>
                <w:color w:val="auto"/>
                <w:kern w:val="0"/>
              </w:rPr>
            </w:pPr>
            <w:r>
              <w:rPr>
                <w:b/>
                <w:bCs/>
                <w:color w:val="auto"/>
                <w:kern w:val="0"/>
              </w:rPr>
              <w:t>表3-</w:t>
            </w:r>
            <w:r>
              <w:rPr>
                <w:rFonts w:hint="eastAsia"/>
                <w:b/>
                <w:bCs/>
                <w:color w:val="auto"/>
                <w:kern w:val="0"/>
              </w:rPr>
              <w:t>2</w:t>
            </w:r>
            <w:r>
              <w:rPr>
                <w:b/>
                <w:bCs/>
                <w:color w:val="auto"/>
                <w:kern w:val="0"/>
              </w:rPr>
              <w:t>环境保护目标一览表</w:t>
            </w:r>
          </w:p>
          <w:tbl>
            <w:tblPr>
              <w:tblStyle w:val="21"/>
              <w:tblW w:w="7917"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7"/>
              <w:gridCol w:w="1263"/>
              <w:gridCol w:w="763"/>
              <w:gridCol w:w="1596"/>
              <w:gridCol w:w="744"/>
              <w:gridCol w:w="23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3" w:hRule="atLeast"/>
              </w:trPr>
              <w:tc>
                <w:tcPr>
                  <w:tcW w:w="1187" w:type="dxa"/>
                  <w:vAlign w:val="center"/>
                </w:tcPr>
                <w:p>
                  <w:pPr>
                    <w:adjustRightInd w:val="0"/>
                    <w:snapToGrid w:val="0"/>
                    <w:spacing w:line="240" w:lineRule="auto"/>
                    <w:ind w:firstLine="0" w:firstLineChars="0"/>
                    <w:rPr>
                      <w:color w:val="auto"/>
                      <w:kern w:val="0"/>
                    </w:rPr>
                  </w:pPr>
                  <w:r>
                    <w:rPr>
                      <w:color w:val="auto"/>
                      <w:kern w:val="0"/>
                    </w:rPr>
                    <w:t>环境要素</w:t>
                  </w:r>
                </w:p>
              </w:tc>
              <w:tc>
                <w:tcPr>
                  <w:tcW w:w="1263" w:type="dxa"/>
                  <w:vAlign w:val="center"/>
                </w:tcPr>
                <w:p>
                  <w:pPr>
                    <w:adjustRightInd w:val="0"/>
                    <w:snapToGrid w:val="0"/>
                    <w:spacing w:line="240" w:lineRule="auto"/>
                    <w:ind w:firstLine="0" w:firstLineChars="0"/>
                    <w:rPr>
                      <w:color w:val="auto"/>
                      <w:kern w:val="0"/>
                    </w:rPr>
                  </w:pPr>
                  <w:r>
                    <w:rPr>
                      <w:color w:val="auto"/>
                      <w:kern w:val="0"/>
                    </w:rPr>
                    <w:t>环境保护对象名称</w:t>
                  </w:r>
                </w:p>
              </w:tc>
              <w:tc>
                <w:tcPr>
                  <w:tcW w:w="763" w:type="dxa"/>
                  <w:vAlign w:val="center"/>
                </w:tcPr>
                <w:p>
                  <w:pPr>
                    <w:adjustRightInd w:val="0"/>
                    <w:snapToGrid w:val="0"/>
                    <w:spacing w:line="240" w:lineRule="auto"/>
                    <w:ind w:firstLine="0" w:firstLineChars="0"/>
                    <w:rPr>
                      <w:color w:val="auto"/>
                      <w:kern w:val="0"/>
                    </w:rPr>
                  </w:pPr>
                  <w:r>
                    <w:rPr>
                      <w:color w:val="auto"/>
                      <w:kern w:val="0"/>
                    </w:rPr>
                    <w:t>方位</w:t>
                  </w:r>
                </w:p>
              </w:tc>
              <w:tc>
                <w:tcPr>
                  <w:tcW w:w="1596" w:type="dxa"/>
                  <w:vAlign w:val="center"/>
                </w:tcPr>
                <w:p>
                  <w:pPr>
                    <w:adjustRightInd w:val="0"/>
                    <w:snapToGrid w:val="0"/>
                    <w:spacing w:line="240" w:lineRule="auto"/>
                    <w:ind w:firstLine="0" w:firstLineChars="0"/>
                    <w:rPr>
                      <w:color w:val="auto"/>
                      <w:kern w:val="0"/>
                    </w:rPr>
                  </w:pPr>
                  <w:r>
                    <w:rPr>
                      <w:color w:val="auto"/>
                      <w:kern w:val="0"/>
                    </w:rPr>
                    <w:t>与本项目距离（m）</w:t>
                  </w:r>
                </w:p>
              </w:tc>
              <w:tc>
                <w:tcPr>
                  <w:tcW w:w="744" w:type="dxa"/>
                  <w:vAlign w:val="center"/>
                </w:tcPr>
                <w:p>
                  <w:pPr>
                    <w:adjustRightInd w:val="0"/>
                    <w:snapToGrid w:val="0"/>
                    <w:spacing w:line="240" w:lineRule="auto"/>
                    <w:ind w:firstLine="0" w:firstLineChars="0"/>
                    <w:rPr>
                      <w:color w:val="auto"/>
                      <w:kern w:val="0"/>
                    </w:rPr>
                  </w:pPr>
                  <w:r>
                    <w:rPr>
                      <w:color w:val="auto"/>
                      <w:kern w:val="0"/>
                    </w:rPr>
                    <w:t>规模</w:t>
                  </w:r>
                </w:p>
              </w:tc>
              <w:tc>
                <w:tcPr>
                  <w:tcW w:w="2364" w:type="dxa"/>
                  <w:vAlign w:val="center"/>
                </w:tcPr>
                <w:p>
                  <w:pPr>
                    <w:adjustRightInd w:val="0"/>
                    <w:snapToGrid w:val="0"/>
                    <w:spacing w:line="240" w:lineRule="auto"/>
                    <w:ind w:firstLine="0" w:firstLineChars="0"/>
                    <w:rPr>
                      <w:color w:val="auto"/>
                      <w:kern w:val="0"/>
                    </w:rPr>
                  </w:pPr>
                  <w:r>
                    <w:rPr>
                      <w:color w:val="auto"/>
                      <w:kern w:val="0"/>
                    </w:rPr>
                    <w:t>环境功能区划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87" w:type="dxa"/>
                  <w:vAlign w:val="center"/>
                </w:tcPr>
                <w:p>
                  <w:pPr>
                    <w:adjustRightInd w:val="0"/>
                    <w:snapToGrid w:val="0"/>
                    <w:spacing w:line="240" w:lineRule="auto"/>
                    <w:ind w:firstLine="0" w:firstLineChars="0"/>
                    <w:rPr>
                      <w:color w:val="auto"/>
                      <w:kern w:val="0"/>
                    </w:rPr>
                  </w:pPr>
                  <w:r>
                    <w:rPr>
                      <w:color w:val="auto"/>
                      <w:kern w:val="0"/>
                    </w:rPr>
                    <w:t>环境空气</w:t>
                  </w:r>
                </w:p>
              </w:tc>
              <w:tc>
                <w:tcPr>
                  <w:tcW w:w="4366" w:type="dxa"/>
                  <w:gridSpan w:val="4"/>
                  <w:vAlign w:val="center"/>
                </w:tcPr>
                <w:p>
                  <w:pPr>
                    <w:adjustRightInd w:val="0"/>
                    <w:snapToGrid w:val="0"/>
                    <w:spacing w:line="240" w:lineRule="auto"/>
                    <w:ind w:firstLine="0" w:firstLineChars="0"/>
                    <w:rPr>
                      <w:color w:val="auto"/>
                      <w:kern w:val="0"/>
                    </w:rPr>
                  </w:pPr>
                  <w:r>
                    <w:rPr>
                      <w:color w:val="auto"/>
                      <w:kern w:val="0"/>
                    </w:rPr>
                    <w:t>项目厂界外500m范围内无环境空气保护目标</w:t>
                  </w:r>
                </w:p>
              </w:tc>
              <w:tc>
                <w:tcPr>
                  <w:tcW w:w="2364" w:type="dxa"/>
                  <w:vAlign w:val="center"/>
                </w:tcPr>
                <w:p>
                  <w:pPr>
                    <w:adjustRightInd w:val="0"/>
                    <w:snapToGrid w:val="0"/>
                    <w:spacing w:line="240" w:lineRule="auto"/>
                    <w:ind w:firstLine="0" w:firstLineChars="0"/>
                    <w:rPr>
                      <w:color w:val="auto"/>
                      <w:kern w:val="0"/>
                    </w:rPr>
                  </w:pPr>
                  <w:r>
                    <w:rPr>
                      <w:color w:val="auto"/>
                      <w:kern w:val="0"/>
                    </w:rPr>
                    <w:t>《环境空气质量标准》</w:t>
                  </w:r>
                  <w:r>
                    <w:rPr>
                      <w:rFonts w:hint="eastAsia"/>
                      <w:color w:val="auto"/>
                      <w:kern w:val="0"/>
                    </w:rPr>
                    <w:t>（</w:t>
                  </w:r>
                  <w:r>
                    <w:rPr>
                      <w:color w:val="auto"/>
                      <w:kern w:val="0"/>
                    </w:rPr>
                    <w:t>GB3095-2012</w:t>
                  </w:r>
                  <w:r>
                    <w:rPr>
                      <w:rFonts w:hint="eastAsia"/>
                      <w:color w:val="auto"/>
                      <w:kern w:val="0"/>
                    </w:rPr>
                    <w:t>）</w:t>
                  </w:r>
                  <w:r>
                    <w:rPr>
                      <w:color w:val="auto"/>
                      <w:kern w:val="0"/>
                    </w:rPr>
                    <w:t>二类区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9" w:hRule="atLeast"/>
              </w:trPr>
              <w:tc>
                <w:tcPr>
                  <w:tcW w:w="1187" w:type="dxa"/>
                  <w:vAlign w:val="center"/>
                </w:tcPr>
                <w:p>
                  <w:pPr>
                    <w:adjustRightInd w:val="0"/>
                    <w:snapToGrid w:val="0"/>
                    <w:spacing w:line="240" w:lineRule="auto"/>
                    <w:ind w:firstLine="0" w:firstLineChars="0"/>
                    <w:rPr>
                      <w:color w:val="auto"/>
                      <w:kern w:val="0"/>
                    </w:rPr>
                  </w:pPr>
                  <w:r>
                    <w:rPr>
                      <w:color w:val="auto"/>
                      <w:kern w:val="0"/>
                    </w:rPr>
                    <w:t>声环境</w:t>
                  </w:r>
                </w:p>
              </w:tc>
              <w:tc>
                <w:tcPr>
                  <w:tcW w:w="4366" w:type="dxa"/>
                  <w:gridSpan w:val="4"/>
                  <w:vAlign w:val="center"/>
                </w:tcPr>
                <w:p>
                  <w:pPr>
                    <w:adjustRightInd w:val="0"/>
                    <w:snapToGrid w:val="0"/>
                    <w:spacing w:line="240" w:lineRule="auto"/>
                    <w:ind w:firstLine="0" w:firstLineChars="0"/>
                    <w:rPr>
                      <w:color w:val="auto"/>
                      <w:kern w:val="0"/>
                    </w:rPr>
                  </w:pPr>
                  <w:r>
                    <w:rPr>
                      <w:color w:val="auto"/>
                      <w:kern w:val="0"/>
                    </w:rPr>
                    <w:t>项目外50m范围内无声环境保护目标</w:t>
                  </w:r>
                </w:p>
              </w:tc>
              <w:tc>
                <w:tcPr>
                  <w:tcW w:w="2364" w:type="dxa"/>
                  <w:vAlign w:val="center"/>
                </w:tcPr>
                <w:p>
                  <w:pPr>
                    <w:adjustRightInd w:val="0"/>
                    <w:snapToGrid w:val="0"/>
                    <w:spacing w:line="240" w:lineRule="auto"/>
                    <w:ind w:firstLine="0" w:firstLineChars="0"/>
                    <w:rPr>
                      <w:color w:val="auto"/>
                      <w:kern w:val="0"/>
                    </w:rPr>
                  </w:pPr>
                  <w:r>
                    <w:rPr>
                      <w:color w:val="auto"/>
                      <w:kern w:val="0"/>
                    </w:rPr>
                    <w:t>《声环境质量标准》</w:t>
                  </w:r>
                  <w:r>
                    <w:rPr>
                      <w:rFonts w:hint="eastAsia"/>
                      <w:color w:val="auto"/>
                      <w:kern w:val="0"/>
                    </w:rPr>
                    <w:t>（</w:t>
                  </w:r>
                  <w:r>
                    <w:rPr>
                      <w:color w:val="auto"/>
                      <w:kern w:val="0"/>
                    </w:rPr>
                    <w:t>GB3096-2008</w:t>
                  </w:r>
                  <w:r>
                    <w:rPr>
                      <w:rFonts w:hint="eastAsia"/>
                      <w:color w:val="auto"/>
                      <w:kern w:val="0"/>
                    </w:rPr>
                    <w:t>）</w:t>
                  </w:r>
                  <w:r>
                    <w:rPr>
                      <w:color w:val="auto"/>
                      <w:kern w:val="0"/>
                    </w:rPr>
                    <w:t>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9" w:hRule="atLeast"/>
              </w:trPr>
              <w:tc>
                <w:tcPr>
                  <w:tcW w:w="1187" w:type="dxa"/>
                  <w:vAlign w:val="center"/>
                </w:tcPr>
                <w:p>
                  <w:pPr>
                    <w:adjustRightInd w:val="0"/>
                    <w:snapToGrid w:val="0"/>
                    <w:spacing w:line="240" w:lineRule="auto"/>
                    <w:ind w:firstLine="0" w:firstLineChars="0"/>
                    <w:rPr>
                      <w:color w:val="auto"/>
                      <w:kern w:val="0"/>
                    </w:rPr>
                  </w:pPr>
                  <w:r>
                    <w:rPr>
                      <w:color w:val="auto"/>
                      <w:kern w:val="0"/>
                    </w:rPr>
                    <w:t>水环境</w:t>
                  </w:r>
                </w:p>
              </w:tc>
              <w:tc>
                <w:tcPr>
                  <w:tcW w:w="4366" w:type="dxa"/>
                  <w:gridSpan w:val="4"/>
                  <w:vAlign w:val="center"/>
                </w:tcPr>
                <w:p>
                  <w:pPr>
                    <w:adjustRightInd w:val="0"/>
                    <w:snapToGrid w:val="0"/>
                    <w:spacing w:line="240" w:lineRule="auto"/>
                    <w:ind w:firstLine="0" w:firstLineChars="0"/>
                    <w:rPr>
                      <w:color w:val="auto"/>
                      <w:kern w:val="0"/>
                    </w:rPr>
                  </w:pPr>
                  <w:r>
                    <w:rPr>
                      <w:color w:val="auto"/>
                      <w:kern w:val="0"/>
                    </w:rPr>
                    <w:t>项目外500m范围内无地下水集中式饮用水水源和热水、矿泉水、温水等特殊地下水资源</w:t>
                  </w:r>
                </w:p>
              </w:tc>
              <w:tc>
                <w:tcPr>
                  <w:tcW w:w="2364" w:type="dxa"/>
                  <w:vAlign w:val="center"/>
                </w:tcPr>
                <w:p>
                  <w:pPr>
                    <w:adjustRightInd w:val="0"/>
                    <w:snapToGrid w:val="0"/>
                    <w:spacing w:line="240" w:lineRule="auto"/>
                    <w:ind w:firstLine="0" w:firstLineChars="0"/>
                    <w:rPr>
                      <w:color w:val="auto"/>
                      <w:kern w:val="0"/>
                    </w:rPr>
                  </w:pPr>
                  <w:r>
                    <w:rPr>
                      <w:color w:val="auto"/>
                      <w:kern w:val="0"/>
                    </w:rPr>
                    <w:t>《地下水质量标准》（GB/T14848-2017）中Ⅲ类标准</w:t>
                  </w:r>
                </w:p>
              </w:tc>
            </w:tr>
          </w:tbl>
          <w:p>
            <w:pPr>
              <w:adjustRightInd w:val="0"/>
              <w:snapToGrid w:val="0"/>
              <w:ind w:firstLine="480"/>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800" w:type="dxa"/>
            <w:tcMar>
              <w:left w:w="28" w:type="dxa"/>
              <w:right w:w="28" w:type="dxa"/>
            </w:tcMar>
            <w:vAlign w:val="center"/>
          </w:tcPr>
          <w:p>
            <w:pPr>
              <w:adjustRightInd w:val="0"/>
              <w:snapToGrid w:val="0"/>
              <w:ind w:firstLine="0" w:firstLineChars="0"/>
              <w:jc w:val="center"/>
              <w:rPr>
                <w:color w:val="auto"/>
                <w:kern w:val="0"/>
              </w:rPr>
            </w:pPr>
            <w:r>
              <w:rPr>
                <w:color w:val="auto"/>
                <w:kern w:val="0"/>
              </w:rPr>
              <w:t>污染</w:t>
            </w:r>
          </w:p>
          <w:p>
            <w:pPr>
              <w:adjustRightInd w:val="0"/>
              <w:snapToGrid w:val="0"/>
              <w:ind w:firstLine="0" w:firstLineChars="0"/>
              <w:jc w:val="center"/>
              <w:rPr>
                <w:color w:val="auto"/>
                <w:kern w:val="0"/>
              </w:rPr>
            </w:pPr>
            <w:r>
              <w:rPr>
                <w:color w:val="auto"/>
                <w:kern w:val="0"/>
              </w:rPr>
              <w:t>物排</w:t>
            </w:r>
          </w:p>
          <w:p>
            <w:pPr>
              <w:adjustRightInd w:val="0"/>
              <w:snapToGrid w:val="0"/>
              <w:ind w:firstLine="0" w:firstLineChars="0"/>
              <w:jc w:val="center"/>
              <w:rPr>
                <w:color w:val="auto"/>
                <w:kern w:val="0"/>
              </w:rPr>
            </w:pPr>
            <w:r>
              <w:rPr>
                <w:color w:val="auto"/>
                <w:kern w:val="0"/>
              </w:rPr>
              <w:t>放控</w:t>
            </w:r>
          </w:p>
          <w:p>
            <w:pPr>
              <w:adjustRightInd w:val="0"/>
              <w:snapToGrid w:val="0"/>
              <w:ind w:firstLine="0" w:firstLineChars="0"/>
              <w:jc w:val="center"/>
              <w:rPr>
                <w:color w:val="auto"/>
                <w:kern w:val="0"/>
              </w:rPr>
            </w:pPr>
            <w:r>
              <w:rPr>
                <w:color w:val="auto"/>
                <w:kern w:val="0"/>
              </w:rPr>
              <w:t>制标</w:t>
            </w:r>
          </w:p>
          <w:p>
            <w:pPr>
              <w:adjustRightInd w:val="0"/>
              <w:snapToGrid w:val="0"/>
              <w:ind w:firstLine="0" w:firstLineChars="0"/>
              <w:jc w:val="center"/>
              <w:rPr>
                <w:color w:val="auto"/>
                <w:kern w:val="0"/>
              </w:rPr>
            </w:pPr>
            <w:r>
              <w:rPr>
                <w:color w:val="auto"/>
                <w:kern w:val="0"/>
              </w:rPr>
              <w:t>准</w:t>
            </w:r>
          </w:p>
        </w:tc>
        <w:tc>
          <w:tcPr>
            <w:tcW w:w="8190" w:type="dxa"/>
            <w:vAlign w:val="center"/>
          </w:tcPr>
          <w:p>
            <w:pPr>
              <w:ind w:firstLine="482"/>
              <w:rPr>
                <w:b/>
                <w:bCs/>
                <w:color w:val="auto"/>
              </w:rPr>
            </w:pPr>
            <w:r>
              <w:rPr>
                <w:b/>
                <w:bCs/>
                <w:color w:val="auto"/>
              </w:rPr>
              <w:t>一、废气排放标准</w:t>
            </w:r>
          </w:p>
          <w:p>
            <w:pPr>
              <w:ind w:firstLine="480"/>
              <w:rPr>
                <w:color w:val="auto"/>
              </w:rPr>
            </w:pPr>
            <w:r>
              <w:rPr>
                <w:color w:val="auto"/>
              </w:rPr>
              <w:t>本项目施工期大气污染物排放执行《大气污染物综合排放标准》（GB16297-1996）表2新污染源大气污染物排放限值中无组织排放监控浓度限值。具体标准限值见下表3-3。</w:t>
            </w:r>
          </w:p>
          <w:p>
            <w:pPr>
              <w:ind w:firstLine="0" w:firstLineChars="0"/>
              <w:jc w:val="center"/>
              <w:rPr>
                <w:b/>
                <w:bCs/>
                <w:color w:val="auto"/>
              </w:rPr>
            </w:pPr>
            <w:r>
              <w:rPr>
                <w:b/>
                <w:bCs/>
                <w:color w:val="auto"/>
              </w:rPr>
              <w:t>表3-3《大气污染物综合排放标准》（GB16297-1996）</w:t>
            </w:r>
          </w:p>
          <w:tbl>
            <w:tblPr>
              <w:tblStyle w:val="22"/>
              <w:tblW w:w="78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6"/>
              <w:gridCol w:w="3245"/>
              <w:gridCol w:w="32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1366" w:type="dxa"/>
                  <w:vMerge w:val="restart"/>
                  <w:tcBorders>
                    <w:tl2br w:val="nil"/>
                    <w:tr2bl w:val="nil"/>
                  </w:tcBorders>
                  <w:vAlign w:val="center"/>
                </w:tcPr>
                <w:p>
                  <w:pPr>
                    <w:spacing w:line="240" w:lineRule="auto"/>
                    <w:ind w:firstLine="0" w:firstLineChars="0"/>
                    <w:jc w:val="center"/>
                    <w:rPr>
                      <w:color w:val="auto"/>
                    </w:rPr>
                  </w:pPr>
                  <w:r>
                    <w:rPr>
                      <w:color w:val="auto"/>
                    </w:rPr>
                    <w:t>污染物</w:t>
                  </w:r>
                </w:p>
              </w:tc>
              <w:tc>
                <w:tcPr>
                  <w:tcW w:w="6493" w:type="dxa"/>
                  <w:gridSpan w:val="2"/>
                  <w:tcBorders>
                    <w:tl2br w:val="nil"/>
                    <w:tr2bl w:val="nil"/>
                  </w:tcBorders>
                  <w:vAlign w:val="center"/>
                </w:tcPr>
                <w:p>
                  <w:pPr>
                    <w:spacing w:line="240" w:lineRule="auto"/>
                    <w:ind w:firstLine="0" w:firstLineChars="0"/>
                    <w:jc w:val="center"/>
                    <w:rPr>
                      <w:color w:val="auto"/>
                    </w:rPr>
                  </w:pPr>
                  <w:r>
                    <w:rPr>
                      <w:color w:val="auto"/>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66" w:type="dxa"/>
                  <w:vMerge w:val="continue"/>
                  <w:tcBorders>
                    <w:tl2br w:val="nil"/>
                    <w:tr2bl w:val="nil"/>
                  </w:tcBorders>
                  <w:vAlign w:val="center"/>
                </w:tcPr>
                <w:p>
                  <w:pPr>
                    <w:spacing w:line="240" w:lineRule="auto"/>
                    <w:ind w:firstLine="0" w:firstLineChars="0"/>
                    <w:jc w:val="center"/>
                    <w:rPr>
                      <w:color w:val="auto"/>
                    </w:rPr>
                  </w:pPr>
                </w:p>
              </w:tc>
              <w:tc>
                <w:tcPr>
                  <w:tcW w:w="3245" w:type="dxa"/>
                  <w:tcBorders>
                    <w:tl2br w:val="nil"/>
                    <w:tr2bl w:val="nil"/>
                  </w:tcBorders>
                  <w:vAlign w:val="center"/>
                </w:tcPr>
                <w:p>
                  <w:pPr>
                    <w:spacing w:line="240" w:lineRule="auto"/>
                    <w:ind w:firstLine="0" w:firstLineChars="0"/>
                    <w:jc w:val="center"/>
                    <w:rPr>
                      <w:color w:val="auto"/>
                    </w:rPr>
                  </w:pPr>
                  <w:r>
                    <w:rPr>
                      <w:color w:val="auto"/>
                    </w:rPr>
                    <w:t>监控点</w:t>
                  </w:r>
                </w:p>
              </w:tc>
              <w:tc>
                <w:tcPr>
                  <w:tcW w:w="3248" w:type="dxa"/>
                  <w:tcBorders>
                    <w:tl2br w:val="nil"/>
                    <w:tr2bl w:val="nil"/>
                  </w:tcBorders>
                  <w:vAlign w:val="center"/>
                </w:tcPr>
                <w:p>
                  <w:pPr>
                    <w:spacing w:line="240" w:lineRule="auto"/>
                    <w:ind w:firstLine="0" w:firstLineChars="0"/>
                    <w:jc w:val="center"/>
                    <w:rPr>
                      <w:color w:val="auto"/>
                    </w:rPr>
                  </w:pPr>
                  <w:r>
                    <w:rPr>
                      <w:color w:val="auto"/>
                    </w:rPr>
                    <w:t>浓度mg/m³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66" w:type="dxa"/>
                  <w:tcBorders>
                    <w:tl2br w:val="nil"/>
                    <w:tr2bl w:val="nil"/>
                  </w:tcBorders>
                  <w:vAlign w:val="center"/>
                </w:tcPr>
                <w:p>
                  <w:pPr>
                    <w:spacing w:line="240" w:lineRule="auto"/>
                    <w:ind w:firstLine="0" w:firstLineChars="0"/>
                    <w:jc w:val="center"/>
                    <w:rPr>
                      <w:color w:val="auto"/>
                    </w:rPr>
                  </w:pPr>
                  <w:r>
                    <w:rPr>
                      <w:color w:val="auto"/>
                    </w:rPr>
                    <w:t>颗粒物</w:t>
                  </w:r>
                </w:p>
              </w:tc>
              <w:tc>
                <w:tcPr>
                  <w:tcW w:w="3245" w:type="dxa"/>
                  <w:tcBorders>
                    <w:tl2br w:val="nil"/>
                    <w:tr2bl w:val="nil"/>
                  </w:tcBorders>
                  <w:vAlign w:val="center"/>
                </w:tcPr>
                <w:p>
                  <w:pPr>
                    <w:spacing w:line="240" w:lineRule="auto"/>
                    <w:ind w:firstLine="0" w:firstLineChars="0"/>
                    <w:jc w:val="center"/>
                    <w:rPr>
                      <w:color w:val="auto"/>
                    </w:rPr>
                  </w:pPr>
                  <w:r>
                    <w:rPr>
                      <w:color w:val="auto"/>
                    </w:rPr>
                    <w:t>周界外浓度最高点</w:t>
                  </w:r>
                </w:p>
              </w:tc>
              <w:tc>
                <w:tcPr>
                  <w:tcW w:w="3248" w:type="dxa"/>
                  <w:tcBorders>
                    <w:tl2br w:val="nil"/>
                    <w:tr2bl w:val="nil"/>
                  </w:tcBorders>
                  <w:vAlign w:val="center"/>
                </w:tcPr>
                <w:p>
                  <w:pPr>
                    <w:spacing w:line="240" w:lineRule="auto"/>
                    <w:ind w:firstLine="0" w:firstLineChars="0"/>
                    <w:jc w:val="center"/>
                    <w:rPr>
                      <w:color w:val="auto"/>
                    </w:rPr>
                  </w:pPr>
                  <w:r>
                    <w:rPr>
                      <w:color w:val="auto"/>
                    </w:rPr>
                    <w:t>1.0</w:t>
                  </w:r>
                </w:p>
              </w:tc>
            </w:tr>
          </w:tbl>
          <w:p>
            <w:pPr>
              <w:ind w:firstLine="480"/>
              <w:rPr>
                <w:color w:val="auto"/>
              </w:rPr>
            </w:pPr>
            <w:r>
              <w:rPr>
                <w:rFonts w:hint="eastAsia"/>
                <w:color w:val="auto"/>
              </w:rPr>
              <w:t>运营期天然气蒸汽锅炉</w:t>
            </w:r>
            <w:r>
              <w:rPr>
                <w:color w:val="auto"/>
              </w:rPr>
              <w:t>燃烧废气中污染物颗粒物、二氧化硫、氮氧化物、烟气黑度</w:t>
            </w:r>
            <w:r>
              <w:rPr>
                <w:rFonts w:hint="eastAsia"/>
                <w:color w:val="auto"/>
              </w:rPr>
              <w:t>，锅炉执行</w:t>
            </w:r>
            <w:r>
              <w:rPr>
                <w:color w:val="auto"/>
              </w:rPr>
              <w:t>《锅炉大气污染物排放标准》（GB13271-2014）中表</w:t>
            </w:r>
            <w:r>
              <w:rPr>
                <w:rFonts w:hint="eastAsia"/>
                <w:color w:val="auto"/>
              </w:rPr>
              <w:t>2新建锅炉大气污染物排放浓度限值中燃气锅炉排放限值要求</w:t>
            </w:r>
            <w:r>
              <w:rPr>
                <w:color w:val="auto"/>
              </w:rPr>
              <w:t>，具体标准限值见下表3-4</w:t>
            </w:r>
            <w:r>
              <w:rPr>
                <w:rFonts w:hint="eastAsia"/>
                <w:color w:val="auto"/>
              </w:rPr>
              <w:t>。煤炭蒸汽压力釜烘干过程中产生的有组织粉尘排放执行满足《工业炉窑大气污染物排放标准》（GB9078-1996</w:t>
            </w:r>
            <w:r>
              <w:rPr>
                <w:rFonts w:hint="eastAsia"/>
                <w:color w:val="auto"/>
              </w:rPr>
              <w:t>）表2二级排放限值要求</w:t>
            </w:r>
            <w:r>
              <w:rPr>
                <w:rFonts w:hint="eastAsia"/>
                <w:color w:val="auto"/>
                <w:lang w:eastAsia="zh-CN"/>
              </w:rPr>
              <w:t>，</w:t>
            </w:r>
            <w:r>
              <w:rPr>
                <w:rFonts w:hint="eastAsia"/>
                <w:color w:val="auto"/>
              </w:rPr>
              <w:t>烟</w:t>
            </w:r>
            <w:r>
              <w:rPr>
                <w:rFonts w:hint="eastAsia"/>
                <w:color w:val="auto"/>
              </w:rPr>
              <w:t>尘允许排放限值200mg/m³。</w:t>
            </w:r>
          </w:p>
          <w:p>
            <w:pPr>
              <w:ind w:firstLine="0" w:firstLineChars="0"/>
              <w:jc w:val="center"/>
              <w:rPr>
                <w:b/>
                <w:bCs/>
                <w:color w:val="auto"/>
              </w:rPr>
            </w:pPr>
            <w:r>
              <w:rPr>
                <w:b/>
                <w:bCs/>
                <w:color w:val="auto"/>
              </w:rPr>
              <w:t>表3-4《锅炉大气污染物排放标准》（GB13271-2014）</w:t>
            </w:r>
          </w:p>
          <w:tbl>
            <w:tblPr>
              <w:tblStyle w:val="22"/>
              <w:tblW w:w="7999" w:type="dxa"/>
              <w:tblInd w:w="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10"/>
              <w:gridCol w:w="43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3610" w:type="dxa"/>
                  <w:tcBorders>
                    <w:tl2br w:val="nil"/>
                    <w:tr2bl w:val="nil"/>
                  </w:tcBorders>
                  <w:vAlign w:val="center"/>
                </w:tcPr>
                <w:p>
                  <w:pPr>
                    <w:spacing w:line="240" w:lineRule="auto"/>
                    <w:ind w:firstLine="0" w:firstLineChars="0"/>
                    <w:jc w:val="center"/>
                    <w:rPr>
                      <w:color w:val="auto"/>
                    </w:rPr>
                  </w:pPr>
                  <w:r>
                    <w:rPr>
                      <w:color w:val="auto"/>
                    </w:rPr>
                    <w:t>污染物</w:t>
                  </w:r>
                </w:p>
              </w:tc>
              <w:tc>
                <w:tcPr>
                  <w:tcW w:w="4389" w:type="dxa"/>
                  <w:tcBorders>
                    <w:tl2br w:val="nil"/>
                    <w:tr2bl w:val="nil"/>
                  </w:tcBorders>
                  <w:vAlign w:val="center"/>
                </w:tcPr>
                <w:p>
                  <w:pPr>
                    <w:spacing w:line="240" w:lineRule="auto"/>
                    <w:ind w:firstLine="0" w:firstLineChars="0"/>
                    <w:jc w:val="center"/>
                    <w:rPr>
                      <w:color w:val="auto"/>
                    </w:rPr>
                  </w:pPr>
                  <w:r>
                    <w:rPr>
                      <w:rFonts w:hint="eastAsia"/>
                      <w:color w:val="auto"/>
                    </w:rPr>
                    <w:t>（燃气锅炉）</w:t>
                  </w:r>
                  <w:r>
                    <w:rPr>
                      <w:color w:val="auto"/>
                    </w:rPr>
                    <w:t>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3610" w:type="dxa"/>
                  <w:tcBorders>
                    <w:tl2br w:val="nil"/>
                    <w:tr2bl w:val="nil"/>
                  </w:tcBorders>
                  <w:vAlign w:val="center"/>
                </w:tcPr>
                <w:p>
                  <w:pPr>
                    <w:spacing w:line="240" w:lineRule="auto"/>
                    <w:ind w:firstLine="0" w:firstLineChars="0"/>
                    <w:jc w:val="center"/>
                    <w:rPr>
                      <w:color w:val="auto"/>
                    </w:rPr>
                  </w:pPr>
                  <w:r>
                    <w:rPr>
                      <w:color w:val="auto"/>
                    </w:rPr>
                    <w:t>颗粒物</w:t>
                  </w:r>
                </w:p>
              </w:tc>
              <w:tc>
                <w:tcPr>
                  <w:tcW w:w="4389" w:type="dxa"/>
                  <w:tcBorders>
                    <w:tl2br w:val="nil"/>
                    <w:tr2bl w:val="nil"/>
                  </w:tcBorders>
                  <w:vAlign w:val="center"/>
                </w:tcPr>
                <w:p>
                  <w:pPr>
                    <w:spacing w:line="240" w:lineRule="auto"/>
                    <w:ind w:firstLine="0" w:firstLineChars="0"/>
                    <w:jc w:val="center"/>
                    <w:rPr>
                      <w:color w:val="auto"/>
                    </w:rPr>
                  </w:pPr>
                  <w:r>
                    <w:rPr>
                      <w:rFonts w:hint="eastAsia"/>
                      <w:color w:val="auto"/>
                    </w:rPr>
                    <w:t>3</w:t>
                  </w:r>
                  <w:r>
                    <w:rPr>
                      <w:color w:val="auto"/>
                    </w:rPr>
                    <w:t>0mg/m³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3610" w:type="dxa"/>
                  <w:tcBorders>
                    <w:tl2br w:val="nil"/>
                    <w:tr2bl w:val="nil"/>
                  </w:tcBorders>
                  <w:vAlign w:val="center"/>
                </w:tcPr>
                <w:p>
                  <w:pPr>
                    <w:spacing w:line="240" w:lineRule="auto"/>
                    <w:ind w:firstLine="0" w:firstLineChars="0"/>
                    <w:jc w:val="center"/>
                    <w:rPr>
                      <w:color w:val="auto"/>
                    </w:rPr>
                  </w:pPr>
                  <w:r>
                    <w:rPr>
                      <w:color w:val="auto"/>
                    </w:rPr>
                    <w:t>二氧化硫</w:t>
                  </w:r>
                </w:p>
              </w:tc>
              <w:tc>
                <w:tcPr>
                  <w:tcW w:w="4389" w:type="dxa"/>
                  <w:tcBorders>
                    <w:tl2br w:val="nil"/>
                    <w:tr2bl w:val="nil"/>
                  </w:tcBorders>
                  <w:vAlign w:val="center"/>
                </w:tcPr>
                <w:p>
                  <w:pPr>
                    <w:spacing w:line="240" w:lineRule="auto"/>
                    <w:ind w:firstLine="0" w:firstLineChars="0"/>
                    <w:jc w:val="center"/>
                    <w:rPr>
                      <w:color w:val="auto"/>
                    </w:rPr>
                  </w:pPr>
                  <w:r>
                    <w:rPr>
                      <w:rFonts w:hint="eastAsia"/>
                      <w:color w:val="auto"/>
                    </w:rPr>
                    <w:t>100</w:t>
                  </w:r>
                  <w:r>
                    <w:rPr>
                      <w:color w:val="auto"/>
                    </w:rPr>
                    <w:t>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3610" w:type="dxa"/>
                  <w:tcBorders>
                    <w:tl2br w:val="nil"/>
                    <w:tr2bl w:val="nil"/>
                  </w:tcBorders>
                  <w:vAlign w:val="center"/>
                </w:tcPr>
                <w:p>
                  <w:pPr>
                    <w:spacing w:line="240" w:lineRule="auto"/>
                    <w:ind w:firstLine="0" w:firstLineChars="0"/>
                    <w:jc w:val="center"/>
                    <w:rPr>
                      <w:color w:val="auto"/>
                    </w:rPr>
                  </w:pPr>
                  <w:r>
                    <w:rPr>
                      <w:color w:val="auto"/>
                    </w:rPr>
                    <w:t>氮氧化物</w:t>
                  </w:r>
                </w:p>
              </w:tc>
              <w:tc>
                <w:tcPr>
                  <w:tcW w:w="4389" w:type="dxa"/>
                  <w:tcBorders>
                    <w:tl2br w:val="nil"/>
                    <w:tr2bl w:val="nil"/>
                  </w:tcBorders>
                  <w:vAlign w:val="center"/>
                </w:tcPr>
                <w:p>
                  <w:pPr>
                    <w:spacing w:line="240" w:lineRule="auto"/>
                    <w:ind w:firstLine="0" w:firstLineChars="0"/>
                    <w:jc w:val="center"/>
                    <w:rPr>
                      <w:color w:val="auto"/>
                    </w:rPr>
                  </w:pPr>
                  <w:r>
                    <w:rPr>
                      <w:rFonts w:hint="eastAsia"/>
                      <w:color w:val="auto"/>
                    </w:rPr>
                    <w:t>5</w:t>
                  </w:r>
                  <w:r>
                    <w:rPr>
                      <w:color w:val="auto"/>
                    </w:rPr>
                    <w:t>0mg/m³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610" w:type="dxa"/>
                  <w:tcBorders>
                    <w:tl2br w:val="nil"/>
                    <w:tr2bl w:val="nil"/>
                  </w:tcBorders>
                  <w:vAlign w:val="center"/>
                </w:tcPr>
                <w:p>
                  <w:pPr>
                    <w:spacing w:line="240" w:lineRule="auto"/>
                    <w:ind w:firstLine="0" w:firstLineChars="0"/>
                    <w:jc w:val="center"/>
                    <w:rPr>
                      <w:color w:val="auto"/>
                    </w:rPr>
                  </w:pPr>
                  <w:r>
                    <w:rPr>
                      <w:color w:val="auto"/>
                    </w:rPr>
                    <w:t>烟气黑度（林格曼黑度，级）</w:t>
                  </w:r>
                </w:p>
              </w:tc>
              <w:tc>
                <w:tcPr>
                  <w:tcW w:w="4389" w:type="dxa"/>
                  <w:tcBorders>
                    <w:tl2br w:val="nil"/>
                    <w:tr2bl w:val="nil"/>
                  </w:tcBorders>
                  <w:vAlign w:val="center"/>
                </w:tcPr>
                <w:p>
                  <w:pPr>
                    <w:spacing w:line="240" w:lineRule="auto"/>
                    <w:ind w:firstLine="0" w:firstLineChars="0"/>
                    <w:jc w:val="center"/>
                    <w:rPr>
                      <w:color w:val="auto"/>
                    </w:rPr>
                  </w:pPr>
                  <w:r>
                    <w:rPr>
                      <w:rFonts w:hint="eastAsia"/>
                      <w:color w:val="auto"/>
                    </w:rPr>
                    <w:t>≤</w:t>
                  </w:r>
                  <w:r>
                    <w:rPr>
                      <w:color w:val="auto"/>
                    </w:rPr>
                    <w:t>1</w:t>
                  </w:r>
                </w:p>
              </w:tc>
            </w:tr>
          </w:tbl>
          <w:p>
            <w:pPr>
              <w:ind w:firstLine="480"/>
              <w:rPr>
                <w:color w:val="auto"/>
              </w:rPr>
            </w:pPr>
            <w:r>
              <w:rPr>
                <w:rFonts w:hint="eastAsia"/>
                <w:color w:val="auto"/>
              </w:rPr>
              <w:t>项目厂界无组织颗粒物排放执行《煤炭工业污染物排放标准》（GB20426-2006）表5的规定限值。</w:t>
            </w:r>
          </w:p>
          <w:p>
            <w:pPr>
              <w:ind w:firstLine="482"/>
              <w:jc w:val="center"/>
              <w:rPr>
                <w:b/>
                <w:bCs/>
                <w:color w:val="auto"/>
              </w:rPr>
            </w:pPr>
            <w:r>
              <w:rPr>
                <w:b/>
                <w:bCs/>
                <w:color w:val="auto"/>
              </w:rPr>
              <w:t>表3-</w:t>
            </w:r>
            <w:r>
              <w:rPr>
                <w:rFonts w:hint="eastAsia"/>
                <w:b/>
                <w:bCs/>
                <w:color w:val="auto"/>
              </w:rPr>
              <w:t>5</w:t>
            </w:r>
            <w:r>
              <w:rPr>
                <w:b/>
                <w:bCs/>
                <w:color w:val="auto"/>
              </w:rPr>
              <w:t>项目废气污染物排放标准</w:t>
            </w:r>
          </w:p>
          <w:tbl>
            <w:tblPr>
              <w:tblStyle w:val="21"/>
              <w:tblW w:w="482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2"/>
              <w:gridCol w:w="1981"/>
              <w:gridCol w:w="45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718" w:type="pct"/>
                  <w:vAlign w:val="center"/>
                </w:tcPr>
                <w:p>
                  <w:pPr>
                    <w:adjustRightInd w:val="0"/>
                    <w:spacing w:line="240" w:lineRule="auto"/>
                    <w:ind w:firstLine="0" w:firstLineChars="0"/>
                    <w:rPr>
                      <w:color w:val="auto"/>
                    </w:rPr>
                  </w:pPr>
                  <w:r>
                    <w:rPr>
                      <w:color w:val="auto"/>
                    </w:rPr>
                    <w:t>污染物</w:t>
                  </w:r>
                </w:p>
              </w:tc>
              <w:tc>
                <w:tcPr>
                  <w:tcW w:w="1290" w:type="pct"/>
                  <w:vAlign w:val="center"/>
                </w:tcPr>
                <w:p>
                  <w:pPr>
                    <w:adjustRightInd w:val="0"/>
                    <w:spacing w:line="240" w:lineRule="auto"/>
                    <w:ind w:firstLine="0" w:firstLineChars="0"/>
                    <w:rPr>
                      <w:color w:val="auto"/>
                    </w:rPr>
                  </w:pPr>
                  <w:r>
                    <w:rPr>
                      <w:color w:val="auto"/>
                    </w:rPr>
                    <w:t>执行标准</w:t>
                  </w:r>
                </w:p>
              </w:tc>
              <w:tc>
                <w:tcPr>
                  <w:tcW w:w="2991" w:type="pct"/>
                  <w:vAlign w:val="center"/>
                </w:tcPr>
                <w:p>
                  <w:pPr>
                    <w:adjustRightInd w:val="0"/>
                    <w:spacing w:line="240" w:lineRule="auto"/>
                    <w:ind w:firstLine="0" w:firstLineChars="0"/>
                    <w:rPr>
                      <w:color w:val="auto"/>
                    </w:rPr>
                  </w:pPr>
                  <w:r>
                    <w:rPr>
                      <w:color w:val="auto"/>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4" w:hRule="atLeast"/>
                <w:jc w:val="center"/>
              </w:trPr>
              <w:tc>
                <w:tcPr>
                  <w:tcW w:w="718" w:type="pct"/>
                  <w:vAlign w:val="center"/>
                </w:tcPr>
                <w:p>
                  <w:pPr>
                    <w:adjustRightInd w:val="0"/>
                    <w:spacing w:line="240" w:lineRule="auto"/>
                    <w:ind w:firstLine="0" w:firstLineChars="0"/>
                    <w:rPr>
                      <w:color w:val="auto"/>
                    </w:rPr>
                  </w:pPr>
                  <w:r>
                    <w:rPr>
                      <w:color w:val="auto"/>
                    </w:rPr>
                    <w:t>无组织颗粒物</w:t>
                  </w:r>
                </w:p>
              </w:tc>
              <w:tc>
                <w:tcPr>
                  <w:tcW w:w="1290" w:type="pct"/>
                  <w:vAlign w:val="center"/>
                </w:tcPr>
                <w:p>
                  <w:pPr>
                    <w:adjustRightInd w:val="0"/>
                    <w:spacing w:line="240" w:lineRule="auto"/>
                    <w:ind w:firstLine="0" w:firstLineChars="0"/>
                    <w:rPr>
                      <w:color w:val="auto"/>
                    </w:rPr>
                  </w:pPr>
                  <w:r>
                    <w:rPr>
                      <w:color w:val="auto"/>
                    </w:rPr>
                    <w:t>周界外浓度最高点</w:t>
                  </w:r>
                  <w:r>
                    <w:rPr>
                      <w:rFonts w:hint="eastAsia"/>
                      <w:color w:val="auto"/>
                    </w:rPr>
                    <w:t>≤</w:t>
                  </w:r>
                  <w:r>
                    <w:rPr>
                      <w:color w:val="auto"/>
                    </w:rPr>
                    <w:t>1.0mg/</w:t>
                  </w:r>
                  <w:r>
                    <w:rPr>
                      <w:rFonts w:hint="eastAsia"/>
                      <w:color w:val="auto"/>
                    </w:rPr>
                    <w:t>m³</w:t>
                  </w:r>
                </w:p>
              </w:tc>
              <w:tc>
                <w:tcPr>
                  <w:tcW w:w="2991" w:type="pct"/>
                  <w:vAlign w:val="center"/>
                </w:tcPr>
                <w:p>
                  <w:pPr>
                    <w:adjustRightInd w:val="0"/>
                    <w:spacing w:line="240" w:lineRule="auto"/>
                    <w:ind w:firstLine="0" w:firstLineChars="0"/>
                    <w:rPr>
                      <w:color w:val="auto"/>
                    </w:rPr>
                  </w:pPr>
                  <w:r>
                    <w:rPr>
                      <w:color w:val="auto"/>
                    </w:rPr>
                    <w:t>《煤炭工业污染物排放标准》（GB2</w:t>
                  </w:r>
                  <w:r>
                    <w:rPr>
                      <w:rFonts w:hint="eastAsia"/>
                      <w:color w:val="auto"/>
                    </w:rPr>
                    <w:t>0</w:t>
                  </w:r>
                  <w:r>
                    <w:rPr>
                      <w:color w:val="auto"/>
                    </w:rPr>
                    <w:t>426-2006）表5煤炭工业无组织排放限值</w:t>
                  </w:r>
                </w:p>
              </w:tc>
            </w:tr>
          </w:tbl>
          <w:p>
            <w:pPr>
              <w:adjustRightInd w:val="0"/>
              <w:snapToGrid w:val="0"/>
              <w:ind w:firstLine="482"/>
              <w:rPr>
                <w:b/>
                <w:bCs/>
                <w:color w:val="auto"/>
                <w:kern w:val="0"/>
              </w:rPr>
            </w:pPr>
            <w:r>
              <w:rPr>
                <w:rFonts w:hint="eastAsia"/>
                <w:b/>
                <w:bCs/>
                <w:color w:val="auto"/>
                <w:kern w:val="0"/>
              </w:rPr>
              <w:t>二、废水排放标准</w:t>
            </w:r>
          </w:p>
          <w:p>
            <w:pPr>
              <w:ind w:firstLine="480"/>
              <w:rPr>
                <w:color w:val="auto"/>
              </w:rPr>
            </w:pPr>
            <w:r>
              <w:rPr>
                <w:rFonts w:hint="eastAsia"/>
                <w:color w:val="auto"/>
              </w:rPr>
              <w:t>锅炉排污废水、纯水制备排污废水、回收的蒸发冷凝液排入自建废水处理站处理后，出水满足《城市污水再生利用工业用水水质》（GB19923-2024）中的间冷开式循环冷却水补充水、锅炉给水、工艺用水、产品用水标准后部分返回天然气蒸汽锅炉用于蒸汽再生产，部分返回喷淋冷凝管道用于水蒸气冷凝，剩余部分用于厂区、煤棚洒水降尘、反冲洗用水及选煤厂洗煤工艺补充用水。浓水收集池收集后，定期交由浓水处理单位进行处置。</w:t>
            </w:r>
          </w:p>
          <w:p>
            <w:pPr>
              <w:ind w:firstLine="0" w:firstLineChars="0"/>
              <w:jc w:val="center"/>
              <w:rPr>
                <w:b/>
                <w:bCs/>
                <w:color w:val="auto"/>
              </w:rPr>
            </w:pPr>
            <w:r>
              <w:rPr>
                <w:rFonts w:hint="eastAsia"/>
                <w:b/>
                <w:bCs/>
                <w:color w:val="auto"/>
              </w:rPr>
              <w:t>表3-6废水处理站出水水质标准</w:t>
            </w:r>
          </w:p>
          <w:tbl>
            <w:tblPr>
              <w:tblStyle w:val="22"/>
              <w:tblW w:w="79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4"/>
              <w:gridCol w:w="2676"/>
              <w:gridCol w:w="44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tcPr>
                <w:p>
                  <w:pPr>
                    <w:spacing w:line="240" w:lineRule="auto"/>
                    <w:ind w:firstLine="0" w:firstLineChars="0"/>
                    <w:jc w:val="center"/>
                    <w:rPr>
                      <w:color w:val="auto"/>
                    </w:rPr>
                  </w:pPr>
                  <w:r>
                    <w:rPr>
                      <w:rFonts w:hint="eastAsia"/>
                      <w:color w:val="auto"/>
                    </w:rPr>
                    <w:t>序号</w:t>
                  </w:r>
                </w:p>
              </w:tc>
              <w:tc>
                <w:tcPr>
                  <w:tcW w:w="2676" w:type="dxa"/>
                </w:tcPr>
                <w:p>
                  <w:pPr>
                    <w:spacing w:line="240" w:lineRule="auto"/>
                    <w:ind w:firstLine="0" w:firstLineChars="0"/>
                    <w:jc w:val="center"/>
                    <w:rPr>
                      <w:color w:val="auto"/>
                    </w:rPr>
                  </w:pPr>
                  <w:r>
                    <w:rPr>
                      <w:rFonts w:hint="eastAsia"/>
                      <w:color w:val="auto"/>
                    </w:rPr>
                    <w:t>控制标准</w:t>
                  </w:r>
                </w:p>
              </w:tc>
              <w:tc>
                <w:tcPr>
                  <w:tcW w:w="4494" w:type="dxa"/>
                </w:tcPr>
                <w:p>
                  <w:pPr>
                    <w:spacing w:line="240" w:lineRule="auto"/>
                    <w:ind w:firstLine="0" w:firstLineChars="0"/>
                    <w:jc w:val="center"/>
                    <w:rPr>
                      <w:color w:val="auto"/>
                    </w:rPr>
                  </w:pPr>
                  <w:r>
                    <w:rPr>
                      <w:color w:val="auto"/>
                    </w:rPr>
                    <w:t>间冷开式循环冷却水补充水、锅炉补给水、工艺用水、产品用水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tcPr>
                <w:p>
                  <w:pPr>
                    <w:spacing w:line="240" w:lineRule="auto"/>
                    <w:ind w:firstLine="0" w:firstLineChars="0"/>
                    <w:jc w:val="center"/>
                    <w:rPr>
                      <w:color w:val="auto"/>
                    </w:rPr>
                  </w:pPr>
                  <w:r>
                    <w:rPr>
                      <w:rFonts w:hint="eastAsia"/>
                      <w:color w:val="auto"/>
                    </w:rPr>
                    <w:t>1</w:t>
                  </w:r>
                </w:p>
              </w:tc>
              <w:tc>
                <w:tcPr>
                  <w:tcW w:w="2676" w:type="dxa"/>
                </w:tcPr>
                <w:p>
                  <w:pPr>
                    <w:spacing w:line="240" w:lineRule="auto"/>
                    <w:ind w:firstLine="0" w:firstLineChars="0"/>
                    <w:jc w:val="center"/>
                    <w:rPr>
                      <w:color w:val="auto"/>
                    </w:rPr>
                  </w:pPr>
                  <w:r>
                    <w:rPr>
                      <w:rFonts w:hint="eastAsia"/>
                      <w:color w:val="auto"/>
                    </w:rPr>
                    <w:t>pH（无量纲）</w:t>
                  </w:r>
                </w:p>
              </w:tc>
              <w:tc>
                <w:tcPr>
                  <w:tcW w:w="4494" w:type="dxa"/>
                </w:tcPr>
                <w:p>
                  <w:pPr>
                    <w:spacing w:line="240" w:lineRule="auto"/>
                    <w:ind w:firstLine="0" w:firstLineChars="0"/>
                    <w:jc w:val="center"/>
                    <w:rPr>
                      <w:color w:val="auto"/>
                    </w:rPr>
                  </w:pPr>
                  <w:r>
                    <w:rPr>
                      <w:rFonts w:hint="eastAsia"/>
                      <w:color w:val="auto"/>
                    </w:rPr>
                    <w:t>6.0-9.0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tcPr>
                <w:p>
                  <w:pPr>
                    <w:spacing w:line="240" w:lineRule="auto"/>
                    <w:ind w:firstLine="0" w:firstLineChars="0"/>
                    <w:jc w:val="center"/>
                    <w:rPr>
                      <w:color w:val="auto"/>
                    </w:rPr>
                  </w:pPr>
                  <w:r>
                    <w:rPr>
                      <w:rFonts w:hint="eastAsia"/>
                      <w:color w:val="auto"/>
                    </w:rPr>
                    <w:t>2</w:t>
                  </w:r>
                </w:p>
              </w:tc>
              <w:tc>
                <w:tcPr>
                  <w:tcW w:w="2676" w:type="dxa"/>
                </w:tcPr>
                <w:p>
                  <w:pPr>
                    <w:spacing w:line="240" w:lineRule="auto"/>
                    <w:ind w:firstLine="0" w:firstLineChars="0"/>
                    <w:jc w:val="center"/>
                    <w:rPr>
                      <w:color w:val="auto"/>
                    </w:rPr>
                  </w:pPr>
                  <w:r>
                    <w:rPr>
                      <w:rFonts w:hint="eastAsia"/>
                      <w:color w:val="auto"/>
                    </w:rPr>
                    <w:t>色度/度</w:t>
                  </w:r>
                </w:p>
              </w:tc>
              <w:tc>
                <w:tcPr>
                  <w:tcW w:w="4494" w:type="dxa"/>
                </w:tcPr>
                <w:p>
                  <w:pPr>
                    <w:spacing w:line="240" w:lineRule="auto"/>
                    <w:ind w:firstLine="0" w:firstLineChars="0"/>
                    <w:jc w:val="center"/>
                    <w:rPr>
                      <w:color w:val="auto"/>
                    </w:rPr>
                  </w:pPr>
                  <w:r>
                    <w:rPr>
                      <w:rFonts w:hint="eastAsia"/>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04" w:type="dxa"/>
                </w:tcPr>
                <w:p>
                  <w:pPr>
                    <w:spacing w:line="240" w:lineRule="auto"/>
                    <w:ind w:firstLine="0" w:firstLineChars="0"/>
                    <w:jc w:val="center"/>
                    <w:rPr>
                      <w:color w:val="auto"/>
                    </w:rPr>
                  </w:pPr>
                  <w:r>
                    <w:rPr>
                      <w:rFonts w:hint="eastAsia"/>
                      <w:color w:val="auto"/>
                    </w:rPr>
                    <w:t>3</w:t>
                  </w:r>
                </w:p>
              </w:tc>
              <w:tc>
                <w:tcPr>
                  <w:tcW w:w="2676" w:type="dxa"/>
                </w:tcPr>
                <w:p>
                  <w:pPr>
                    <w:spacing w:line="240" w:lineRule="auto"/>
                    <w:ind w:firstLine="0" w:firstLineChars="0"/>
                    <w:jc w:val="center"/>
                    <w:rPr>
                      <w:color w:val="auto"/>
                    </w:rPr>
                  </w:pPr>
                  <w:r>
                    <w:rPr>
                      <w:rFonts w:hint="eastAsia"/>
                      <w:color w:val="auto"/>
                    </w:rPr>
                    <w:t>浊度/NTU</w:t>
                  </w:r>
                </w:p>
              </w:tc>
              <w:tc>
                <w:tcPr>
                  <w:tcW w:w="4494" w:type="dxa"/>
                </w:tcPr>
                <w:p>
                  <w:pPr>
                    <w:spacing w:line="240" w:lineRule="auto"/>
                    <w:ind w:firstLine="0" w:firstLineChars="0"/>
                    <w:jc w:val="center"/>
                    <w:rPr>
                      <w:color w:val="auto"/>
                    </w:rPr>
                  </w:pPr>
                  <w:r>
                    <w:rPr>
                      <w:rFonts w:hint="eastAsia"/>
                      <w:color w:va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tcPr>
                <w:p>
                  <w:pPr>
                    <w:spacing w:line="240" w:lineRule="auto"/>
                    <w:ind w:firstLine="0" w:firstLineChars="0"/>
                    <w:jc w:val="center"/>
                    <w:rPr>
                      <w:color w:val="auto"/>
                    </w:rPr>
                  </w:pPr>
                  <w:r>
                    <w:rPr>
                      <w:rFonts w:hint="eastAsia"/>
                      <w:color w:val="auto"/>
                    </w:rPr>
                    <w:t>4</w:t>
                  </w:r>
                </w:p>
              </w:tc>
              <w:tc>
                <w:tcPr>
                  <w:tcW w:w="2676" w:type="dxa"/>
                </w:tcPr>
                <w:p>
                  <w:pPr>
                    <w:spacing w:line="240" w:lineRule="auto"/>
                    <w:ind w:firstLine="0" w:firstLineChars="0"/>
                    <w:jc w:val="center"/>
                    <w:rPr>
                      <w:color w:val="auto"/>
                    </w:rPr>
                  </w:pPr>
                  <w:r>
                    <w:rPr>
                      <w:rFonts w:hint="eastAsia"/>
                      <w:color w:val="auto"/>
                    </w:rPr>
                    <w:t>BOD</w:t>
                  </w:r>
                  <w:r>
                    <w:rPr>
                      <w:rFonts w:hint="eastAsia"/>
                      <w:color w:val="auto"/>
                      <w:vertAlign w:val="subscript"/>
                    </w:rPr>
                    <w:t>5</w:t>
                  </w:r>
                  <w:r>
                    <w:rPr>
                      <w:rFonts w:hint="eastAsia"/>
                      <w:color w:val="auto"/>
                    </w:rPr>
                    <w:t>/（mg/L）</w:t>
                  </w:r>
                </w:p>
              </w:tc>
              <w:tc>
                <w:tcPr>
                  <w:tcW w:w="4494" w:type="dxa"/>
                </w:tcPr>
                <w:p>
                  <w:pPr>
                    <w:spacing w:line="240" w:lineRule="auto"/>
                    <w:ind w:firstLine="0" w:firstLineChars="0"/>
                    <w:jc w:val="center"/>
                    <w:rPr>
                      <w:color w:val="auto"/>
                    </w:rPr>
                  </w:pPr>
                  <w:r>
                    <w:rPr>
                      <w:rFonts w:hint="eastAsia"/>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tcPr>
                <w:p>
                  <w:pPr>
                    <w:spacing w:line="240" w:lineRule="auto"/>
                    <w:ind w:firstLine="0" w:firstLineChars="0"/>
                    <w:jc w:val="center"/>
                    <w:rPr>
                      <w:color w:val="auto"/>
                    </w:rPr>
                  </w:pPr>
                  <w:r>
                    <w:rPr>
                      <w:rFonts w:hint="eastAsia"/>
                      <w:color w:val="auto"/>
                    </w:rPr>
                    <w:t>5</w:t>
                  </w:r>
                </w:p>
              </w:tc>
              <w:tc>
                <w:tcPr>
                  <w:tcW w:w="2676" w:type="dxa"/>
                </w:tcPr>
                <w:p>
                  <w:pPr>
                    <w:spacing w:line="240" w:lineRule="auto"/>
                    <w:ind w:firstLine="0" w:firstLineChars="0"/>
                    <w:jc w:val="center"/>
                    <w:rPr>
                      <w:color w:val="auto"/>
                    </w:rPr>
                  </w:pPr>
                  <w:r>
                    <w:rPr>
                      <w:rFonts w:hint="eastAsia"/>
                      <w:color w:val="auto"/>
                    </w:rPr>
                    <w:t>COD</w:t>
                  </w:r>
                </w:p>
              </w:tc>
              <w:tc>
                <w:tcPr>
                  <w:tcW w:w="4494" w:type="dxa"/>
                </w:tcPr>
                <w:p>
                  <w:pPr>
                    <w:spacing w:line="240" w:lineRule="auto"/>
                    <w:ind w:firstLine="0" w:firstLineChars="0"/>
                    <w:jc w:val="center"/>
                    <w:rPr>
                      <w:color w:val="auto"/>
                    </w:rPr>
                  </w:pPr>
                  <w:r>
                    <w:rPr>
                      <w:rFonts w:hint="eastAsia"/>
                      <w:color w:val="auto"/>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tcPr>
                <w:p>
                  <w:pPr>
                    <w:spacing w:line="240" w:lineRule="auto"/>
                    <w:ind w:firstLine="0" w:firstLineChars="0"/>
                    <w:jc w:val="center"/>
                    <w:rPr>
                      <w:color w:val="auto"/>
                    </w:rPr>
                  </w:pPr>
                  <w:r>
                    <w:rPr>
                      <w:rFonts w:hint="eastAsia"/>
                      <w:color w:val="auto"/>
                    </w:rPr>
                    <w:t>6</w:t>
                  </w:r>
                </w:p>
              </w:tc>
              <w:tc>
                <w:tcPr>
                  <w:tcW w:w="2676" w:type="dxa"/>
                </w:tcPr>
                <w:p>
                  <w:pPr>
                    <w:spacing w:line="240" w:lineRule="auto"/>
                    <w:ind w:firstLine="0" w:firstLineChars="0"/>
                    <w:jc w:val="center"/>
                    <w:rPr>
                      <w:color w:val="auto"/>
                    </w:rPr>
                  </w:pPr>
                  <w:r>
                    <w:rPr>
                      <w:rFonts w:hint="eastAsia"/>
                      <w:color w:val="auto"/>
                    </w:rPr>
                    <w:t>氨氮/（mg/L）</w:t>
                  </w:r>
                </w:p>
              </w:tc>
              <w:tc>
                <w:tcPr>
                  <w:tcW w:w="4494" w:type="dxa"/>
                </w:tcPr>
                <w:p>
                  <w:pPr>
                    <w:spacing w:line="240" w:lineRule="auto"/>
                    <w:ind w:firstLine="0" w:firstLineChars="0"/>
                    <w:jc w:val="center"/>
                    <w:rPr>
                      <w:color w:val="auto"/>
                    </w:rPr>
                  </w:pPr>
                  <w:r>
                    <w:rPr>
                      <w:rFonts w:hint="eastAsia"/>
                      <w:color w:va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04" w:type="dxa"/>
                </w:tcPr>
                <w:p>
                  <w:pPr>
                    <w:spacing w:line="240" w:lineRule="auto"/>
                    <w:ind w:firstLine="0" w:firstLineChars="0"/>
                    <w:jc w:val="center"/>
                    <w:rPr>
                      <w:color w:val="auto"/>
                    </w:rPr>
                  </w:pPr>
                  <w:r>
                    <w:rPr>
                      <w:rFonts w:hint="eastAsia"/>
                      <w:color w:val="auto"/>
                    </w:rPr>
                    <w:t>7</w:t>
                  </w:r>
                </w:p>
              </w:tc>
              <w:tc>
                <w:tcPr>
                  <w:tcW w:w="2676" w:type="dxa"/>
                </w:tcPr>
                <w:p>
                  <w:pPr>
                    <w:spacing w:line="240" w:lineRule="auto"/>
                    <w:ind w:firstLine="0" w:firstLineChars="0"/>
                    <w:jc w:val="center"/>
                    <w:rPr>
                      <w:color w:val="auto"/>
                    </w:rPr>
                  </w:pPr>
                  <w:r>
                    <w:rPr>
                      <w:rFonts w:hint="eastAsia"/>
                      <w:color w:val="auto"/>
                    </w:rPr>
                    <w:t>总氮/（mg/L）</w:t>
                  </w:r>
                </w:p>
              </w:tc>
              <w:tc>
                <w:tcPr>
                  <w:tcW w:w="4494" w:type="dxa"/>
                </w:tcPr>
                <w:p>
                  <w:pPr>
                    <w:spacing w:line="240" w:lineRule="auto"/>
                    <w:ind w:firstLine="0" w:firstLineChars="0"/>
                    <w:jc w:val="center"/>
                    <w:rPr>
                      <w:color w:val="auto"/>
                    </w:rPr>
                  </w:pPr>
                  <w:r>
                    <w:rPr>
                      <w:rFonts w:hint="eastAsia"/>
                      <w:color w:val="auto"/>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tcPr>
                <w:p>
                  <w:pPr>
                    <w:spacing w:line="240" w:lineRule="auto"/>
                    <w:ind w:firstLine="0" w:firstLineChars="0"/>
                    <w:jc w:val="center"/>
                    <w:rPr>
                      <w:color w:val="auto"/>
                    </w:rPr>
                  </w:pPr>
                  <w:r>
                    <w:rPr>
                      <w:rFonts w:hint="eastAsia"/>
                      <w:color w:val="auto"/>
                    </w:rPr>
                    <w:t>8</w:t>
                  </w:r>
                </w:p>
              </w:tc>
              <w:tc>
                <w:tcPr>
                  <w:tcW w:w="2676" w:type="dxa"/>
                </w:tcPr>
                <w:p>
                  <w:pPr>
                    <w:spacing w:line="240" w:lineRule="auto"/>
                    <w:ind w:firstLine="0" w:firstLineChars="0"/>
                    <w:jc w:val="center"/>
                    <w:rPr>
                      <w:color w:val="auto"/>
                    </w:rPr>
                  </w:pPr>
                  <w:r>
                    <w:rPr>
                      <w:rFonts w:hint="eastAsia"/>
                      <w:color w:val="auto"/>
                    </w:rPr>
                    <w:t>总磷/（mg/L）</w:t>
                  </w:r>
                </w:p>
              </w:tc>
              <w:tc>
                <w:tcPr>
                  <w:tcW w:w="4494" w:type="dxa"/>
                </w:tcPr>
                <w:p>
                  <w:pPr>
                    <w:spacing w:line="240" w:lineRule="auto"/>
                    <w:ind w:firstLine="0" w:firstLineChars="0"/>
                    <w:jc w:val="center"/>
                    <w:rPr>
                      <w:color w:val="auto"/>
                    </w:rPr>
                  </w:pPr>
                  <w:r>
                    <w:rPr>
                      <w:rFonts w:hint="eastAsia"/>
                      <w:color w:val="auto"/>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tcPr>
                <w:p>
                  <w:pPr>
                    <w:spacing w:line="240" w:lineRule="auto"/>
                    <w:ind w:firstLine="0" w:firstLineChars="0"/>
                    <w:jc w:val="center"/>
                    <w:rPr>
                      <w:color w:val="auto"/>
                    </w:rPr>
                  </w:pPr>
                  <w:r>
                    <w:rPr>
                      <w:rFonts w:hint="eastAsia"/>
                      <w:color w:val="auto"/>
                    </w:rPr>
                    <w:t>9</w:t>
                  </w:r>
                </w:p>
              </w:tc>
              <w:tc>
                <w:tcPr>
                  <w:tcW w:w="2676" w:type="dxa"/>
                </w:tcPr>
                <w:p>
                  <w:pPr>
                    <w:spacing w:line="240" w:lineRule="auto"/>
                    <w:ind w:firstLine="0" w:firstLineChars="0"/>
                    <w:jc w:val="center"/>
                    <w:rPr>
                      <w:color w:val="auto"/>
                    </w:rPr>
                  </w:pPr>
                  <w:r>
                    <w:rPr>
                      <w:rFonts w:hint="eastAsia"/>
                      <w:color w:val="auto"/>
                    </w:rPr>
                    <w:t>阴离子表面活性剂/（mg/L）</w:t>
                  </w:r>
                </w:p>
              </w:tc>
              <w:tc>
                <w:tcPr>
                  <w:tcW w:w="4494" w:type="dxa"/>
                </w:tcPr>
                <w:p>
                  <w:pPr>
                    <w:spacing w:line="240" w:lineRule="auto"/>
                    <w:ind w:firstLine="0" w:firstLineChars="0"/>
                    <w:jc w:val="center"/>
                    <w:rPr>
                      <w:color w:val="auto"/>
                    </w:rPr>
                  </w:pPr>
                  <w:r>
                    <w:rPr>
                      <w:rFonts w:hint="eastAsia"/>
                      <w:color w:val="auto"/>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tcPr>
                <w:p>
                  <w:pPr>
                    <w:spacing w:line="240" w:lineRule="auto"/>
                    <w:ind w:firstLine="0" w:firstLineChars="0"/>
                    <w:jc w:val="center"/>
                    <w:rPr>
                      <w:color w:val="auto"/>
                    </w:rPr>
                  </w:pPr>
                  <w:r>
                    <w:rPr>
                      <w:rFonts w:hint="eastAsia"/>
                      <w:color w:val="auto"/>
                    </w:rPr>
                    <w:t>10</w:t>
                  </w:r>
                </w:p>
              </w:tc>
              <w:tc>
                <w:tcPr>
                  <w:tcW w:w="2676" w:type="dxa"/>
                </w:tcPr>
                <w:p>
                  <w:pPr>
                    <w:spacing w:line="240" w:lineRule="auto"/>
                    <w:ind w:firstLine="0" w:firstLineChars="0"/>
                    <w:jc w:val="center"/>
                    <w:rPr>
                      <w:color w:val="auto"/>
                    </w:rPr>
                  </w:pPr>
                  <w:r>
                    <w:rPr>
                      <w:rFonts w:hint="eastAsia"/>
                      <w:color w:val="auto"/>
                    </w:rPr>
                    <w:t>石油类/（mg/L）</w:t>
                  </w:r>
                </w:p>
              </w:tc>
              <w:tc>
                <w:tcPr>
                  <w:tcW w:w="4494" w:type="dxa"/>
                </w:tcPr>
                <w:p>
                  <w:pPr>
                    <w:spacing w:line="240" w:lineRule="auto"/>
                    <w:ind w:firstLine="0" w:firstLineChars="0"/>
                    <w:jc w:val="center"/>
                    <w:rPr>
                      <w:color w:val="auto"/>
                    </w:rPr>
                  </w:pPr>
                  <w:r>
                    <w:rPr>
                      <w:rFonts w:hint="eastAsia"/>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04" w:type="dxa"/>
                </w:tcPr>
                <w:p>
                  <w:pPr>
                    <w:spacing w:line="240" w:lineRule="auto"/>
                    <w:ind w:firstLine="0" w:firstLineChars="0"/>
                    <w:jc w:val="center"/>
                    <w:rPr>
                      <w:color w:val="auto"/>
                    </w:rPr>
                  </w:pPr>
                  <w:r>
                    <w:rPr>
                      <w:rFonts w:hint="eastAsia"/>
                      <w:color w:val="auto"/>
                    </w:rPr>
                    <w:t>11</w:t>
                  </w:r>
                </w:p>
              </w:tc>
              <w:tc>
                <w:tcPr>
                  <w:tcW w:w="2676" w:type="dxa"/>
                </w:tcPr>
                <w:p>
                  <w:pPr>
                    <w:spacing w:line="240" w:lineRule="auto"/>
                    <w:ind w:firstLine="0" w:firstLineChars="0"/>
                    <w:jc w:val="center"/>
                    <w:rPr>
                      <w:color w:val="auto"/>
                    </w:rPr>
                  </w:pPr>
                  <w:r>
                    <w:rPr>
                      <w:rFonts w:hint="eastAsia"/>
                      <w:color w:val="auto"/>
                    </w:rPr>
                    <w:t>总碱度/（mg/L）</w:t>
                  </w:r>
                </w:p>
              </w:tc>
              <w:tc>
                <w:tcPr>
                  <w:tcW w:w="4494" w:type="dxa"/>
                </w:tcPr>
                <w:p>
                  <w:pPr>
                    <w:spacing w:line="240" w:lineRule="auto"/>
                    <w:ind w:firstLine="0" w:firstLineChars="0"/>
                    <w:jc w:val="center"/>
                    <w:rPr>
                      <w:color w:val="auto"/>
                    </w:rPr>
                  </w:pPr>
                  <w:r>
                    <w:rPr>
                      <w:rFonts w:hint="eastAsia"/>
                      <w:color w:val="auto"/>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tcPr>
                <w:p>
                  <w:pPr>
                    <w:spacing w:line="240" w:lineRule="auto"/>
                    <w:ind w:firstLine="0" w:firstLineChars="0"/>
                    <w:jc w:val="center"/>
                    <w:rPr>
                      <w:color w:val="auto"/>
                    </w:rPr>
                  </w:pPr>
                  <w:r>
                    <w:rPr>
                      <w:rFonts w:hint="eastAsia"/>
                      <w:color w:val="auto"/>
                    </w:rPr>
                    <w:t>12</w:t>
                  </w:r>
                </w:p>
              </w:tc>
              <w:tc>
                <w:tcPr>
                  <w:tcW w:w="2676" w:type="dxa"/>
                </w:tcPr>
                <w:p>
                  <w:pPr>
                    <w:spacing w:line="240" w:lineRule="auto"/>
                    <w:ind w:firstLine="0" w:firstLineChars="0"/>
                    <w:jc w:val="center"/>
                    <w:rPr>
                      <w:color w:val="auto"/>
                    </w:rPr>
                  </w:pPr>
                  <w:r>
                    <w:rPr>
                      <w:rFonts w:hint="eastAsia"/>
                      <w:color w:val="auto"/>
                    </w:rPr>
                    <w:t>总硬度/（mg/L）</w:t>
                  </w:r>
                </w:p>
              </w:tc>
              <w:tc>
                <w:tcPr>
                  <w:tcW w:w="4494" w:type="dxa"/>
                </w:tcPr>
                <w:p>
                  <w:pPr>
                    <w:spacing w:line="240" w:lineRule="auto"/>
                    <w:ind w:firstLine="0" w:firstLineChars="0"/>
                    <w:jc w:val="center"/>
                    <w:rPr>
                      <w:color w:val="auto"/>
                    </w:rPr>
                  </w:pPr>
                  <w:r>
                    <w:rPr>
                      <w:rFonts w:hint="eastAsia"/>
                      <w:color w:val="auto"/>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tcPr>
                <w:p>
                  <w:pPr>
                    <w:spacing w:line="240" w:lineRule="auto"/>
                    <w:ind w:firstLine="0" w:firstLineChars="0"/>
                    <w:jc w:val="center"/>
                    <w:rPr>
                      <w:color w:val="auto"/>
                    </w:rPr>
                  </w:pPr>
                  <w:r>
                    <w:rPr>
                      <w:rFonts w:hint="eastAsia"/>
                      <w:color w:val="auto"/>
                    </w:rPr>
                    <w:t>13</w:t>
                  </w:r>
                </w:p>
              </w:tc>
              <w:tc>
                <w:tcPr>
                  <w:tcW w:w="2676" w:type="dxa"/>
                </w:tcPr>
                <w:p>
                  <w:pPr>
                    <w:spacing w:line="240" w:lineRule="auto"/>
                    <w:ind w:firstLine="0" w:firstLineChars="0"/>
                    <w:jc w:val="center"/>
                    <w:rPr>
                      <w:color w:val="auto"/>
                    </w:rPr>
                  </w:pPr>
                  <w:r>
                    <w:rPr>
                      <w:rFonts w:hint="eastAsia"/>
                      <w:color w:val="auto"/>
                    </w:rPr>
                    <w:t>溶解性总固体/（mg/L）</w:t>
                  </w:r>
                </w:p>
              </w:tc>
              <w:tc>
                <w:tcPr>
                  <w:tcW w:w="4494" w:type="dxa"/>
                </w:tcPr>
                <w:p>
                  <w:pPr>
                    <w:spacing w:line="240" w:lineRule="auto"/>
                    <w:ind w:firstLine="0" w:firstLineChars="0"/>
                    <w:jc w:val="center"/>
                    <w:rPr>
                      <w:color w:val="auto"/>
                    </w:rPr>
                  </w:pPr>
                  <w:r>
                    <w:rPr>
                      <w:rFonts w:hint="eastAsia"/>
                      <w:color w:val="auto"/>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tcPr>
                <w:p>
                  <w:pPr>
                    <w:spacing w:line="240" w:lineRule="auto"/>
                    <w:ind w:firstLine="0" w:firstLineChars="0"/>
                    <w:jc w:val="center"/>
                    <w:rPr>
                      <w:color w:val="auto"/>
                    </w:rPr>
                  </w:pPr>
                  <w:r>
                    <w:rPr>
                      <w:rFonts w:hint="eastAsia"/>
                      <w:color w:val="auto"/>
                    </w:rPr>
                    <w:t>14</w:t>
                  </w:r>
                </w:p>
              </w:tc>
              <w:tc>
                <w:tcPr>
                  <w:tcW w:w="2676" w:type="dxa"/>
                </w:tcPr>
                <w:p>
                  <w:pPr>
                    <w:spacing w:line="240" w:lineRule="auto"/>
                    <w:ind w:firstLine="0" w:firstLineChars="0"/>
                    <w:jc w:val="center"/>
                    <w:rPr>
                      <w:color w:val="auto"/>
                    </w:rPr>
                  </w:pPr>
                  <w:r>
                    <w:rPr>
                      <w:rFonts w:hint="eastAsia"/>
                      <w:color w:val="auto"/>
                    </w:rPr>
                    <w:t>氯化物/（mg/L）</w:t>
                  </w:r>
                </w:p>
              </w:tc>
              <w:tc>
                <w:tcPr>
                  <w:tcW w:w="4494" w:type="dxa"/>
                </w:tcPr>
                <w:p>
                  <w:pPr>
                    <w:spacing w:line="240" w:lineRule="auto"/>
                    <w:ind w:firstLine="0" w:firstLineChars="0"/>
                    <w:jc w:val="center"/>
                    <w:rPr>
                      <w:color w:val="auto"/>
                    </w:rPr>
                  </w:pPr>
                  <w:r>
                    <w:rPr>
                      <w:rFonts w:hint="eastAsia"/>
                      <w:color w:val="auto"/>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04" w:type="dxa"/>
                </w:tcPr>
                <w:p>
                  <w:pPr>
                    <w:spacing w:line="240" w:lineRule="auto"/>
                    <w:ind w:firstLine="0" w:firstLineChars="0"/>
                    <w:jc w:val="center"/>
                    <w:rPr>
                      <w:color w:val="auto"/>
                    </w:rPr>
                  </w:pPr>
                  <w:r>
                    <w:rPr>
                      <w:rFonts w:hint="eastAsia"/>
                      <w:color w:val="auto"/>
                    </w:rPr>
                    <w:t>15</w:t>
                  </w:r>
                </w:p>
              </w:tc>
              <w:tc>
                <w:tcPr>
                  <w:tcW w:w="2676" w:type="dxa"/>
                </w:tcPr>
                <w:p>
                  <w:pPr>
                    <w:spacing w:line="240" w:lineRule="auto"/>
                    <w:ind w:firstLine="0" w:firstLineChars="0"/>
                    <w:jc w:val="center"/>
                    <w:rPr>
                      <w:color w:val="auto"/>
                    </w:rPr>
                  </w:pPr>
                  <w:r>
                    <w:rPr>
                      <w:rFonts w:hint="eastAsia"/>
                      <w:color w:val="auto"/>
                    </w:rPr>
                    <w:t>硫酸盐/（mg/L）</w:t>
                  </w:r>
                </w:p>
              </w:tc>
              <w:tc>
                <w:tcPr>
                  <w:tcW w:w="4494" w:type="dxa"/>
                </w:tcPr>
                <w:p>
                  <w:pPr>
                    <w:spacing w:line="240" w:lineRule="auto"/>
                    <w:ind w:firstLine="0" w:firstLineChars="0"/>
                    <w:jc w:val="center"/>
                    <w:rPr>
                      <w:color w:val="auto"/>
                    </w:rPr>
                  </w:pPr>
                  <w:r>
                    <w:rPr>
                      <w:rFonts w:hint="eastAsia"/>
                      <w:color w:val="auto"/>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tcPr>
                <w:p>
                  <w:pPr>
                    <w:spacing w:line="240" w:lineRule="auto"/>
                    <w:ind w:firstLine="0" w:firstLineChars="0"/>
                    <w:jc w:val="center"/>
                    <w:rPr>
                      <w:color w:val="auto"/>
                    </w:rPr>
                  </w:pPr>
                  <w:r>
                    <w:rPr>
                      <w:rFonts w:hint="eastAsia"/>
                      <w:color w:val="auto"/>
                    </w:rPr>
                    <w:t>16</w:t>
                  </w:r>
                </w:p>
              </w:tc>
              <w:tc>
                <w:tcPr>
                  <w:tcW w:w="2676" w:type="dxa"/>
                </w:tcPr>
                <w:p>
                  <w:pPr>
                    <w:spacing w:line="240" w:lineRule="auto"/>
                    <w:ind w:firstLine="0" w:firstLineChars="0"/>
                    <w:jc w:val="center"/>
                    <w:rPr>
                      <w:color w:val="auto"/>
                    </w:rPr>
                  </w:pPr>
                  <w:r>
                    <w:rPr>
                      <w:rFonts w:hint="eastAsia"/>
                      <w:color w:val="auto"/>
                    </w:rPr>
                    <w:t>铁/（mg/L）</w:t>
                  </w:r>
                </w:p>
              </w:tc>
              <w:tc>
                <w:tcPr>
                  <w:tcW w:w="4494" w:type="dxa"/>
                </w:tcPr>
                <w:p>
                  <w:pPr>
                    <w:spacing w:line="240" w:lineRule="auto"/>
                    <w:ind w:firstLine="0" w:firstLineChars="0"/>
                    <w:jc w:val="center"/>
                    <w:rPr>
                      <w:color w:val="auto"/>
                    </w:rPr>
                  </w:pPr>
                  <w:r>
                    <w:rPr>
                      <w:rFonts w:hint="eastAsia"/>
                      <w:color w:val="auto"/>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tcPr>
                <w:p>
                  <w:pPr>
                    <w:spacing w:line="240" w:lineRule="auto"/>
                    <w:ind w:firstLine="0" w:firstLineChars="0"/>
                    <w:jc w:val="center"/>
                    <w:rPr>
                      <w:color w:val="auto"/>
                    </w:rPr>
                  </w:pPr>
                  <w:r>
                    <w:rPr>
                      <w:rFonts w:hint="eastAsia"/>
                      <w:color w:val="auto"/>
                    </w:rPr>
                    <w:t>17</w:t>
                  </w:r>
                </w:p>
              </w:tc>
              <w:tc>
                <w:tcPr>
                  <w:tcW w:w="2676" w:type="dxa"/>
                </w:tcPr>
                <w:p>
                  <w:pPr>
                    <w:spacing w:line="240" w:lineRule="auto"/>
                    <w:ind w:firstLine="0" w:firstLineChars="0"/>
                    <w:jc w:val="center"/>
                    <w:rPr>
                      <w:color w:val="auto"/>
                    </w:rPr>
                  </w:pPr>
                  <w:r>
                    <w:rPr>
                      <w:rFonts w:hint="eastAsia"/>
                      <w:color w:val="auto"/>
                    </w:rPr>
                    <w:t>锰/（mg/L）</w:t>
                  </w:r>
                </w:p>
              </w:tc>
              <w:tc>
                <w:tcPr>
                  <w:tcW w:w="4494" w:type="dxa"/>
                </w:tcPr>
                <w:p>
                  <w:pPr>
                    <w:spacing w:line="240" w:lineRule="auto"/>
                    <w:ind w:firstLine="0" w:firstLineChars="0"/>
                    <w:jc w:val="center"/>
                    <w:rPr>
                      <w:color w:val="auto"/>
                    </w:rPr>
                  </w:pPr>
                  <w:r>
                    <w:rPr>
                      <w:rFonts w:hint="eastAsia"/>
                      <w:color w:val="auto"/>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tcPr>
                <w:p>
                  <w:pPr>
                    <w:spacing w:line="240" w:lineRule="auto"/>
                    <w:ind w:firstLine="0" w:firstLineChars="0"/>
                    <w:jc w:val="center"/>
                    <w:rPr>
                      <w:color w:val="auto"/>
                    </w:rPr>
                  </w:pPr>
                  <w:r>
                    <w:rPr>
                      <w:rFonts w:hint="eastAsia"/>
                      <w:color w:val="auto"/>
                    </w:rPr>
                    <w:t>18</w:t>
                  </w:r>
                </w:p>
              </w:tc>
              <w:tc>
                <w:tcPr>
                  <w:tcW w:w="2676" w:type="dxa"/>
                </w:tcPr>
                <w:p>
                  <w:pPr>
                    <w:spacing w:line="240" w:lineRule="auto"/>
                    <w:ind w:firstLine="0" w:firstLineChars="0"/>
                    <w:jc w:val="center"/>
                    <w:rPr>
                      <w:color w:val="auto"/>
                    </w:rPr>
                  </w:pPr>
                  <w:r>
                    <w:rPr>
                      <w:rFonts w:hint="eastAsia"/>
                      <w:color w:val="auto"/>
                    </w:rPr>
                    <w:t>二氧化硅/（mg/L）</w:t>
                  </w:r>
                </w:p>
              </w:tc>
              <w:tc>
                <w:tcPr>
                  <w:tcW w:w="4494" w:type="dxa"/>
                </w:tcPr>
                <w:p>
                  <w:pPr>
                    <w:spacing w:line="240" w:lineRule="auto"/>
                    <w:ind w:firstLine="0" w:firstLineChars="0"/>
                    <w:jc w:val="center"/>
                    <w:rPr>
                      <w:color w:val="auto"/>
                    </w:rPr>
                  </w:pPr>
                  <w:r>
                    <w:rPr>
                      <w:rFonts w:hint="eastAsia"/>
                      <w:color w:val="auto"/>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04" w:type="dxa"/>
                </w:tcPr>
                <w:p>
                  <w:pPr>
                    <w:spacing w:line="240" w:lineRule="auto"/>
                    <w:ind w:firstLine="0" w:firstLineChars="0"/>
                    <w:jc w:val="center"/>
                    <w:rPr>
                      <w:color w:val="auto"/>
                    </w:rPr>
                  </w:pPr>
                  <w:r>
                    <w:rPr>
                      <w:rFonts w:hint="eastAsia"/>
                      <w:color w:val="auto"/>
                    </w:rPr>
                    <w:t>19</w:t>
                  </w:r>
                </w:p>
              </w:tc>
              <w:tc>
                <w:tcPr>
                  <w:tcW w:w="2676" w:type="dxa"/>
                </w:tcPr>
                <w:p>
                  <w:pPr>
                    <w:spacing w:line="240" w:lineRule="auto"/>
                    <w:ind w:firstLine="0" w:firstLineChars="0"/>
                    <w:jc w:val="center"/>
                    <w:rPr>
                      <w:color w:val="auto"/>
                    </w:rPr>
                  </w:pPr>
                  <w:r>
                    <w:rPr>
                      <w:rFonts w:hint="eastAsia"/>
                      <w:color w:val="auto"/>
                    </w:rPr>
                    <w:t>粪大肠菌群/（MPN/L）</w:t>
                  </w:r>
                </w:p>
              </w:tc>
              <w:tc>
                <w:tcPr>
                  <w:tcW w:w="4494" w:type="dxa"/>
                </w:tcPr>
                <w:p>
                  <w:pPr>
                    <w:spacing w:line="240" w:lineRule="auto"/>
                    <w:ind w:firstLine="0" w:firstLineChars="0"/>
                    <w:jc w:val="center"/>
                    <w:rPr>
                      <w:color w:val="auto"/>
                    </w:rPr>
                  </w:pPr>
                  <w:r>
                    <w:rPr>
                      <w:rFonts w:hint="eastAsia"/>
                      <w:color w:val="auto"/>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tcPr>
                <w:p>
                  <w:pPr>
                    <w:spacing w:line="240" w:lineRule="auto"/>
                    <w:ind w:firstLine="0" w:firstLineChars="0"/>
                    <w:jc w:val="center"/>
                    <w:rPr>
                      <w:color w:val="auto"/>
                    </w:rPr>
                  </w:pPr>
                  <w:r>
                    <w:rPr>
                      <w:rFonts w:hint="eastAsia"/>
                      <w:color w:val="auto"/>
                    </w:rPr>
                    <w:t>20</w:t>
                  </w:r>
                </w:p>
              </w:tc>
              <w:tc>
                <w:tcPr>
                  <w:tcW w:w="2676" w:type="dxa"/>
                </w:tcPr>
                <w:p>
                  <w:pPr>
                    <w:spacing w:line="240" w:lineRule="auto"/>
                    <w:ind w:firstLine="0" w:firstLineChars="0"/>
                    <w:jc w:val="center"/>
                    <w:rPr>
                      <w:color w:val="auto"/>
                    </w:rPr>
                  </w:pPr>
                  <w:r>
                    <w:rPr>
                      <w:rFonts w:hint="eastAsia"/>
                      <w:color w:val="auto"/>
                    </w:rPr>
                    <w:t>总余氯/（mg/L）</w:t>
                  </w:r>
                </w:p>
              </w:tc>
              <w:tc>
                <w:tcPr>
                  <w:tcW w:w="4494" w:type="dxa"/>
                </w:tcPr>
                <w:p>
                  <w:pPr>
                    <w:spacing w:line="240" w:lineRule="auto"/>
                    <w:ind w:firstLine="0" w:firstLineChars="0"/>
                    <w:jc w:val="center"/>
                    <w:rPr>
                      <w:color w:val="auto"/>
                    </w:rPr>
                  </w:pPr>
                  <w:r>
                    <w:rPr>
                      <w:rFonts w:hint="eastAsia"/>
                      <w:color w:val="auto"/>
                    </w:rPr>
                    <w:t>0.1-0.2</w:t>
                  </w:r>
                </w:p>
              </w:tc>
            </w:tr>
          </w:tbl>
          <w:p>
            <w:pPr>
              <w:adjustRightInd w:val="0"/>
              <w:snapToGrid w:val="0"/>
              <w:ind w:firstLine="482"/>
              <w:rPr>
                <w:b/>
                <w:bCs/>
                <w:color w:val="auto"/>
                <w:kern w:val="0"/>
              </w:rPr>
            </w:pPr>
            <w:r>
              <w:rPr>
                <w:rFonts w:hint="eastAsia"/>
                <w:b/>
                <w:bCs/>
                <w:color w:val="auto"/>
                <w:kern w:val="0"/>
              </w:rPr>
              <w:t>三、噪声排放标准</w:t>
            </w:r>
          </w:p>
          <w:p>
            <w:pPr>
              <w:ind w:firstLine="480"/>
              <w:rPr>
                <w:color w:val="auto"/>
              </w:rPr>
            </w:pPr>
            <w:r>
              <w:rPr>
                <w:rFonts w:hint="eastAsia"/>
                <w:color w:val="auto"/>
              </w:rPr>
              <w:t>项目施工期噪声执行《建筑施工厂界环境噪声排放标准》（GB12523-2011）标准值；运营期厂界噪声执行《工业企业厂界环境噪声排放标准》（GB12348-2008）2类标准。</w:t>
            </w:r>
          </w:p>
          <w:p>
            <w:pPr>
              <w:ind w:firstLine="482"/>
              <w:jc w:val="center"/>
              <w:rPr>
                <w:b/>
                <w:bCs/>
                <w:color w:val="auto"/>
              </w:rPr>
            </w:pPr>
            <w:r>
              <w:rPr>
                <w:rFonts w:hint="eastAsia"/>
                <w:b/>
                <w:bCs/>
                <w:color w:val="auto"/>
              </w:rPr>
              <w:t>表3-7环境噪声排放标准</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6"/>
              <w:gridCol w:w="916"/>
              <w:gridCol w:w="1050"/>
              <w:gridCol w:w="4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4" w:type="pct"/>
                  <w:vAlign w:val="center"/>
                </w:tcPr>
                <w:p>
                  <w:pPr>
                    <w:adjustRightInd w:val="0"/>
                    <w:snapToGrid w:val="0"/>
                    <w:spacing w:line="240" w:lineRule="auto"/>
                    <w:ind w:firstLine="0" w:firstLineChars="0"/>
                    <w:jc w:val="center"/>
                    <w:rPr>
                      <w:color w:val="auto"/>
                      <w:kern w:val="0"/>
                    </w:rPr>
                  </w:pPr>
                  <w:r>
                    <w:rPr>
                      <w:rFonts w:hint="eastAsia"/>
                      <w:color w:val="auto"/>
                      <w:kern w:val="0"/>
                    </w:rPr>
                    <w:t>污染源</w:t>
                  </w:r>
                </w:p>
              </w:tc>
              <w:tc>
                <w:tcPr>
                  <w:tcW w:w="575" w:type="pct"/>
                  <w:vAlign w:val="center"/>
                </w:tcPr>
                <w:p>
                  <w:pPr>
                    <w:adjustRightInd w:val="0"/>
                    <w:snapToGrid w:val="0"/>
                    <w:spacing w:line="240" w:lineRule="auto"/>
                    <w:ind w:firstLine="0" w:firstLineChars="0"/>
                    <w:jc w:val="center"/>
                    <w:rPr>
                      <w:color w:val="auto"/>
                      <w:kern w:val="0"/>
                    </w:rPr>
                  </w:pPr>
                  <w:r>
                    <w:rPr>
                      <w:rFonts w:hint="eastAsia"/>
                      <w:color w:val="auto"/>
                      <w:kern w:val="0"/>
                    </w:rPr>
                    <w:t>昼间</w:t>
                  </w:r>
                </w:p>
              </w:tc>
              <w:tc>
                <w:tcPr>
                  <w:tcW w:w="659" w:type="pct"/>
                  <w:vAlign w:val="center"/>
                </w:tcPr>
                <w:p>
                  <w:pPr>
                    <w:adjustRightInd w:val="0"/>
                    <w:snapToGrid w:val="0"/>
                    <w:spacing w:line="240" w:lineRule="auto"/>
                    <w:ind w:firstLine="0" w:firstLineChars="0"/>
                    <w:jc w:val="center"/>
                    <w:rPr>
                      <w:color w:val="auto"/>
                      <w:kern w:val="0"/>
                    </w:rPr>
                  </w:pPr>
                  <w:r>
                    <w:rPr>
                      <w:rFonts w:hint="eastAsia"/>
                      <w:color w:val="auto"/>
                      <w:kern w:val="0"/>
                    </w:rPr>
                    <w:t>夜间</w:t>
                  </w:r>
                </w:p>
              </w:tc>
              <w:tc>
                <w:tcPr>
                  <w:tcW w:w="2970" w:type="pct"/>
                  <w:vAlign w:val="center"/>
                </w:tcPr>
                <w:p>
                  <w:pPr>
                    <w:adjustRightInd w:val="0"/>
                    <w:snapToGrid w:val="0"/>
                    <w:spacing w:line="240" w:lineRule="auto"/>
                    <w:ind w:firstLine="0" w:firstLineChars="0"/>
                    <w:jc w:val="center"/>
                    <w:rPr>
                      <w:color w:val="auto"/>
                      <w:kern w:val="0"/>
                    </w:rPr>
                  </w:pPr>
                  <w:r>
                    <w:rPr>
                      <w:rFonts w:hint="eastAsia"/>
                      <w:color w:val="auto"/>
                      <w:kern w:val="0"/>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4" w:type="pct"/>
                  <w:vAlign w:val="center"/>
                </w:tcPr>
                <w:p>
                  <w:pPr>
                    <w:adjustRightInd w:val="0"/>
                    <w:snapToGrid w:val="0"/>
                    <w:spacing w:line="240" w:lineRule="auto"/>
                    <w:ind w:firstLine="0" w:firstLineChars="0"/>
                    <w:jc w:val="center"/>
                    <w:rPr>
                      <w:color w:val="auto"/>
                      <w:kern w:val="0"/>
                    </w:rPr>
                  </w:pPr>
                  <w:r>
                    <w:rPr>
                      <w:rFonts w:hint="eastAsia"/>
                      <w:color w:val="auto"/>
                      <w:kern w:val="0"/>
                    </w:rPr>
                    <w:t>施工期</w:t>
                  </w:r>
                </w:p>
              </w:tc>
              <w:tc>
                <w:tcPr>
                  <w:tcW w:w="575" w:type="pct"/>
                  <w:vAlign w:val="center"/>
                </w:tcPr>
                <w:p>
                  <w:pPr>
                    <w:adjustRightInd w:val="0"/>
                    <w:snapToGrid w:val="0"/>
                    <w:spacing w:line="240" w:lineRule="auto"/>
                    <w:ind w:firstLine="0" w:firstLineChars="0"/>
                    <w:jc w:val="center"/>
                    <w:rPr>
                      <w:color w:val="auto"/>
                      <w:kern w:val="0"/>
                    </w:rPr>
                  </w:pPr>
                  <w:r>
                    <w:rPr>
                      <w:rFonts w:hint="eastAsia"/>
                      <w:color w:val="auto"/>
                      <w:kern w:val="0"/>
                    </w:rPr>
                    <w:t>70</w:t>
                  </w:r>
                </w:p>
              </w:tc>
              <w:tc>
                <w:tcPr>
                  <w:tcW w:w="659" w:type="pct"/>
                  <w:vAlign w:val="center"/>
                </w:tcPr>
                <w:p>
                  <w:pPr>
                    <w:adjustRightInd w:val="0"/>
                    <w:snapToGrid w:val="0"/>
                    <w:spacing w:line="240" w:lineRule="auto"/>
                    <w:ind w:firstLine="0" w:firstLineChars="0"/>
                    <w:jc w:val="center"/>
                    <w:rPr>
                      <w:color w:val="auto"/>
                      <w:kern w:val="0"/>
                    </w:rPr>
                  </w:pPr>
                  <w:r>
                    <w:rPr>
                      <w:rFonts w:hint="eastAsia"/>
                      <w:color w:val="auto"/>
                      <w:kern w:val="0"/>
                    </w:rPr>
                    <w:t>55</w:t>
                  </w:r>
                </w:p>
              </w:tc>
              <w:tc>
                <w:tcPr>
                  <w:tcW w:w="2970" w:type="pct"/>
                  <w:vAlign w:val="center"/>
                </w:tcPr>
                <w:p>
                  <w:pPr>
                    <w:adjustRightInd w:val="0"/>
                    <w:snapToGrid w:val="0"/>
                    <w:spacing w:line="240" w:lineRule="auto"/>
                    <w:ind w:firstLine="0" w:firstLineChars="0"/>
                    <w:jc w:val="center"/>
                    <w:rPr>
                      <w:color w:val="auto"/>
                      <w:kern w:val="0"/>
                    </w:rPr>
                  </w:pPr>
                  <w:r>
                    <w:rPr>
                      <w:rFonts w:hint="eastAsia"/>
                      <w:color w:val="auto"/>
                      <w:kern w:val="0"/>
                    </w:rPr>
                    <w:t>《建筑施工厂界环境噪声排放标准》（GB12523-2011）标准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794" w:type="pct"/>
                  <w:vAlign w:val="center"/>
                </w:tcPr>
                <w:p>
                  <w:pPr>
                    <w:adjustRightInd w:val="0"/>
                    <w:snapToGrid w:val="0"/>
                    <w:spacing w:line="240" w:lineRule="auto"/>
                    <w:ind w:firstLine="0" w:firstLineChars="0"/>
                    <w:jc w:val="center"/>
                    <w:rPr>
                      <w:color w:val="auto"/>
                      <w:kern w:val="0"/>
                    </w:rPr>
                  </w:pPr>
                  <w:r>
                    <w:rPr>
                      <w:rFonts w:hint="eastAsia"/>
                      <w:color w:val="auto"/>
                      <w:kern w:val="0"/>
                    </w:rPr>
                    <w:t>运营期</w:t>
                  </w:r>
                </w:p>
              </w:tc>
              <w:tc>
                <w:tcPr>
                  <w:tcW w:w="575" w:type="pct"/>
                  <w:vAlign w:val="center"/>
                </w:tcPr>
                <w:p>
                  <w:pPr>
                    <w:adjustRightInd w:val="0"/>
                    <w:snapToGrid w:val="0"/>
                    <w:spacing w:line="240" w:lineRule="auto"/>
                    <w:ind w:firstLine="0" w:firstLineChars="0"/>
                    <w:jc w:val="center"/>
                    <w:rPr>
                      <w:color w:val="auto"/>
                      <w:kern w:val="0"/>
                    </w:rPr>
                  </w:pPr>
                  <w:r>
                    <w:rPr>
                      <w:rFonts w:hint="eastAsia"/>
                      <w:color w:val="auto"/>
                      <w:kern w:val="0"/>
                    </w:rPr>
                    <w:t>60</w:t>
                  </w:r>
                </w:p>
              </w:tc>
              <w:tc>
                <w:tcPr>
                  <w:tcW w:w="659" w:type="pct"/>
                  <w:vAlign w:val="center"/>
                </w:tcPr>
                <w:p>
                  <w:pPr>
                    <w:adjustRightInd w:val="0"/>
                    <w:snapToGrid w:val="0"/>
                    <w:spacing w:line="240" w:lineRule="auto"/>
                    <w:ind w:firstLine="0" w:firstLineChars="0"/>
                    <w:jc w:val="center"/>
                    <w:rPr>
                      <w:color w:val="auto"/>
                      <w:kern w:val="0"/>
                    </w:rPr>
                  </w:pPr>
                  <w:r>
                    <w:rPr>
                      <w:rFonts w:hint="eastAsia"/>
                      <w:color w:val="auto"/>
                      <w:kern w:val="0"/>
                    </w:rPr>
                    <w:t>50</w:t>
                  </w:r>
                </w:p>
              </w:tc>
              <w:tc>
                <w:tcPr>
                  <w:tcW w:w="2970" w:type="pct"/>
                  <w:vAlign w:val="center"/>
                </w:tcPr>
                <w:p>
                  <w:pPr>
                    <w:adjustRightInd w:val="0"/>
                    <w:snapToGrid w:val="0"/>
                    <w:spacing w:line="240" w:lineRule="auto"/>
                    <w:ind w:firstLine="0" w:firstLineChars="0"/>
                    <w:jc w:val="center"/>
                    <w:rPr>
                      <w:color w:val="auto"/>
                      <w:kern w:val="0"/>
                    </w:rPr>
                  </w:pPr>
                  <w:r>
                    <w:rPr>
                      <w:rFonts w:hint="eastAsia"/>
                      <w:color w:val="auto"/>
                      <w:kern w:val="0"/>
                    </w:rPr>
                    <w:t>《工业企业厂界环境噪声排放标准》（GB12348-2008）2类标准</w:t>
                  </w:r>
                </w:p>
              </w:tc>
            </w:tr>
          </w:tbl>
          <w:p>
            <w:pPr>
              <w:adjustRightInd w:val="0"/>
              <w:snapToGrid w:val="0"/>
              <w:ind w:firstLine="482"/>
              <w:rPr>
                <w:b/>
                <w:bCs/>
                <w:color w:val="auto"/>
                <w:kern w:val="0"/>
              </w:rPr>
            </w:pPr>
            <w:r>
              <w:rPr>
                <w:rFonts w:hint="eastAsia"/>
                <w:b/>
                <w:bCs/>
                <w:color w:val="auto"/>
                <w:kern w:val="0"/>
              </w:rPr>
              <w:t>四、固体废物排放标准</w:t>
            </w:r>
          </w:p>
          <w:p>
            <w:pPr>
              <w:adjustRightInd w:val="0"/>
              <w:snapToGrid w:val="0"/>
              <w:ind w:firstLine="480"/>
              <w:rPr>
                <w:color w:val="auto"/>
                <w:kern w:val="0"/>
              </w:rPr>
            </w:pPr>
            <w:r>
              <w:rPr>
                <w:rFonts w:hint="eastAsia"/>
                <w:color w:val="auto"/>
                <w:kern w:val="0"/>
              </w:rPr>
              <w:t>一般工业固体废物执行《一般工业固体废物贮存和填埋污染控制标准》（GB18599-2020）；</w:t>
            </w:r>
            <w:r>
              <w:rPr>
                <w:rFonts w:hint="eastAsia"/>
                <w:color w:val="auto"/>
              </w:rPr>
              <w:t>危险废物执行《危险废物贮存污染控制标准》（GB18597-2023）。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vAlign w:val="center"/>
          </w:tcPr>
          <w:p>
            <w:pPr>
              <w:adjustRightInd w:val="0"/>
              <w:snapToGrid w:val="0"/>
              <w:ind w:firstLine="0" w:firstLineChars="0"/>
              <w:jc w:val="center"/>
              <w:rPr>
                <w:color w:val="auto"/>
                <w:kern w:val="0"/>
              </w:rPr>
            </w:pPr>
            <w:r>
              <w:rPr>
                <w:color w:val="auto"/>
                <w:kern w:val="0"/>
              </w:rPr>
              <w:t>总量</w:t>
            </w:r>
          </w:p>
          <w:p>
            <w:pPr>
              <w:adjustRightInd w:val="0"/>
              <w:snapToGrid w:val="0"/>
              <w:ind w:firstLine="0" w:firstLineChars="0"/>
              <w:jc w:val="center"/>
              <w:rPr>
                <w:color w:val="auto"/>
                <w:kern w:val="0"/>
              </w:rPr>
            </w:pPr>
            <w:r>
              <w:rPr>
                <w:color w:val="auto"/>
                <w:kern w:val="0"/>
              </w:rPr>
              <w:t>控制</w:t>
            </w:r>
          </w:p>
          <w:p>
            <w:pPr>
              <w:adjustRightInd w:val="0"/>
              <w:snapToGrid w:val="0"/>
              <w:ind w:firstLine="0" w:firstLineChars="0"/>
              <w:jc w:val="center"/>
              <w:rPr>
                <w:color w:val="auto"/>
                <w:kern w:val="0"/>
              </w:rPr>
            </w:pPr>
            <w:r>
              <w:rPr>
                <w:color w:val="auto"/>
                <w:kern w:val="0"/>
              </w:rPr>
              <w:t>指标</w:t>
            </w:r>
          </w:p>
        </w:tc>
        <w:tc>
          <w:tcPr>
            <w:tcW w:w="8190" w:type="dxa"/>
            <w:vAlign w:val="center"/>
          </w:tcPr>
          <w:p>
            <w:pPr>
              <w:ind w:firstLine="480"/>
              <w:rPr>
                <w:color w:val="auto"/>
              </w:rPr>
            </w:pPr>
            <w:r>
              <w:rPr>
                <w:color w:val="auto"/>
              </w:rPr>
              <w:t>根据国务院《关于印发“十四五”节能减排综合工作方案的通知》（国发〔2016〕74号）以及大气污染防治行动计划第五条第十七款的规定，实施污染物排放总量控制的指标有化学需氧量、氨氮、二氧化硫和氮氧化物四项污染物。</w:t>
            </w:r>
            <w:r>
              <w:rPr>
                <w:rFonts w:hint="eastAsia"/>
                <w:color w:val="auto"/>
              </w:rPr>
              <w:t>本项目无外排废水，故本项目总量控制指标对化学需氧量、氨氮无控制要求。烘干过程中会产生二氧化硫及氮氧化物，本项目涉及的总量控制指标为二氧化硫、氮氧化物。</w:t>
            </w:r>
          </w:p>
          <w:p>
            <w:pPr>
              <w:ind w:firstLine="480"/>
              <w:rPr>
                <w:color w:val="auto"/>
              </w:rPr>
            </w:pPr>
            <w:r>
              <w:rPr>
                <w:rFonts w:hint="eastAsia"/>
                <w:color w:val="auto"/>
              </w:rPr>
              <w:t>经计算本项目二氧化硫排放量为3.51t/a，氮氧化物排放量为5.32t/a。</w:t>
            </w:r>
          </w:p>
          <w:p>
            <w:pPr>
              <w:ind w:firstLine="480"/>
              <w:rPr>
                <w:color w:val="auto"/>
                <w:kern w:val="0"/>
              </w:rPr>
            </w:pPr>
            <w:r>
              <w:rPr>
                <w:rFonts w:hint="eastAsia"/>
                <w:color w:val="auto"/>
              </w:rPr>
              <w:t>本项目建议总量控制指标为二氧化硫量3.51t/a，氮氧化物量5.32t/a。</w:t>
            </w:r>
          </w:p>
        </w:tc>
      </w:tr>
    </w:tbl>
    <w:p>
      <w:pPr>
        <w:pStyle w:val="18"/>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6"/>
          <w:szCs w:val="36"/>
        </w:rPr>
        <w:br w:type="page"/>
      </w:r>
      <w:r>
        <w:rPr>
          <w:rFonts w:ascii="Times New Roman" w:hAnsi="Times New Roman" w:eastAsia="黑体"/>
          <w:snapToGrid w:val="0"/>
          <w:color w:val="auto"/>
          <w:sz w:val="30"/>
          <w:szCs w:val="30"/>
        </w:rPr>
        <w:t>四、主要环境影响和保护措施</w:t>
      </w:r>
    </w:p>
    <w:tbl>
      <w:tblPr>
        <w:tblStyle w:val="2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9" w:hRule="atLeast"/>
          <w:jc w:val="center"/>
        </w:trPr>
        <w:tc>
          <w:tcPr>
            <w:tcW w:w="746" w:type="dxa"/>
            <w:tcMar>
              <w:left w:w="28" w:type="dxa"/>
              <w:right w:w="28" w:type="dxa"/>
            </w:tcMar>
            <w:vAlign w:val="center"/>
          </w:tcPr>
          <w:p>
            <w:pPr>
              <w:pStyle w:val="18"/>
              <w:adjustRightInd w:val="0"/>
              <w:snapToGrid w:val="0"/>
              <w:spacing w:before="0" w:beforeAutospacing="0" w:after="0" w:afterAutospacing="0" w:line="240" w:lineRule="auto"/>
              <w:ind w:firstLine="0" w:firstLineChars="0"/>
              <w:jc w:val="both"/>
              <w:rPr>
                <w:rFonts w:ascii="Times New Roman" w:hAnsi="Times New Roman"/>
                <w:bCs/>
                <w:color w:val="auto"/>
                <w:kern w:val="2"/>
                <w:szCs w:val="24"/>
              </w:rPr>
            </w:pPr>
            <w:r>
              <w:rPr>
                <w:rFonts w:ascii="Times New Roman" w:hAnsi="Times New Roman"/>
                <w:color w:val="auto"/>
                <w:kern w:val="2"/>
                <w:szCs w:val="24"/>
              </w:rPr>
              <w:t>施工期环境保护措施</w:t>
            </w:r>
          </w:p>
        </w:tc>
        <w:tc>
          <w:tcPr>
            <w:tcW w:w="8162" w:type="dxa"/>
            <w:vAlign w:val="center"/>
          </w:tcPr>
          <w:p>
            <w:pPr>
              <w:ind w:firstLine="482"/>
              <w:rPr>
                <w:b/>
                <w:bCs/>
                <w:color w:val="auto"/>
              </w:rPr>
            </w:pPr>
            <w:r>
              <w:rPr>
                <w:b/>
                <w:bCs/>
                <w:color w:val="auto"/>
              </w:rPr>
              <w:t>一、施工期废气污染环境保护措施</w:t>
            </w:r>
          </w:p>
          <w:p>
            <w:pPr>
              <w:ind w:firstLine="480"/>
              <w:rPr>
                <w:color w:val="auto"/>
              </w:rPr>
            </w:pPr>
            <w:r>
              <w:rPr>
                <w:color w:val="auto"/>
              </w:rPr>
              <w:t>项目在施工准备期应该制定合理的施工计划，严格划定作业区域，加强施工队伍环境管理，责任落实到位。施工人员进场前应对其进行环保培训加强其环保意识。</w:t>
            </w:r>
          </w:p>
          <w:p>
            <w:pPr>
              <w:ind w:firstLine="480"/>
              <w:rPr>
                <w:color w:val="auto"/>
              </w:rPr>
            </w:pPr>
            <w:r>
              <w:rPr>
                <w:color w:val="auto"/>
              </w:rPr>
              <w:t>装卸、运输易产生扬尘污染的物料运输车辆，应当采取密闭化措施。运输单位和个人应当加强对车辆机械密闭装置的维护，选用符合环保要求的装载机，使用符合国家标准的柴油，确保尾气排放满足《非道路移动机械用柴油机排气污染物排放限值及测量方法</w:t>
            </w:r>
            <w:r>
              <w:rPr>
                <w:rFonts w:hint="eastAsia"/>
                <w:color w:val="auto"/>
              </w:rPr>
              <w:t>（</w:t>
            </w:r>
            <w:r>
              <w:rPr>
                <w:color w:val="auto"/>
              </w:rPr>
              <w:t>中国第三、四阶段</w:t>
            </w:r>
            <w:r>
              <w:rPr>
                <w:rFonts w:hint="eastAsia"/>
                <w:color w:val="auto"/>
              </w:rPr>
              <w:t>）</w:t>
            </w:r>
            <w:r>
              <w:rPr>
                <w:color w:val="auto"/>
              </w:rPr>
              <w:t>》</w:t>
            </w:r>
            <w:r>
              <w:rPr>
                <w:rFonts w:hint="eastAsia"/>
                <w:color w:val="auto"/>
              </w:rPr>
              <w:t>（</w:t>
            </w:r>
            <w:r>
              <w:rPr>
                <w:color w:val="auto"/>
              </w:rPr>
              <w:t>GB20891-2014</w:t>
            </w:r>
            <w:r>
              <w:rPr>
                <w:rFonts w:hint="eastAsia"/>
                <w:color w:val="auto"/>
              </w:rPr>
              <w:t>）</w:t>
            </w:r>
            <w:r>
              <w:rPr>
                <w:color w:val="auto"/>
              </w:rPr>
              <w:t>及修改单中相关要求。运输途中不得沿途泄漏、散落或者飞扬，并按照指定的时间、区域和路线行驶。</w:t>
            </w:r>
          </w:p>
          <w:p>
            <w:pPr>
              <w:ind w:firstLine="480"/>
              <w:rPr>
                <w:color w:val="auto"/>
              </w:rPr>
            </w:pPr>
            <w:r>
              <w:rPr>
                <w:color w:val="auto"/>
              </w:rPr>
              <w:t>强化施工期环境监督管理，</w:t>
            </w:r>
            <w:r>
              <w:rPr>
                <w:rFonts w:hint="eastAsia"/>
                <w:color w:val="auto"/>
              </w:rPr>
              <w:t>增强</w:t>
            </w:r>
            <w:r>
              <w:rPr>
                <w:color w:val="auto"/>
              </w:rPr>
              <w:t>全员环保意识，加强环保宣传和教育，制定合理的施工计划。采取上述措施后，可有效降低施工扬尘排放量，对周边环境空气质量影响较小。</w:t>
            </w:r>
          </w:p>
          <w:p>
            <w:pPr>
              <w:ind w:firstLine="482"/>
              <w:rPr>
                <w:b/>
                <w:bCs/>
                <w:color w:val="auto"/>
              </w:rPr>
            </w:pPr>
            <w:r>
              <w:rPr>
                <w:b/>
                <w:bCs/>
                <w:color w:val="auto"/>
              </w:rPr>
              <w:t>二、施工期废水污染环境保护措施</w:t>
            </w:r>
          </w:p>
          <w:p>
            <w:pPr>
              <w:ind w:firstLine="480"/>
              <w:rPr>
                <w:b/>
                <w:bCs/>
                <w:color w:val="auto"/>
              </w:rPr>
            </w:pPr>
            <w:r>
              <w:rPr>
                <w:color w:val="auto"/>
              </w:rPr>
              <w:t>项目施工废水主要为施工人员生活污水及施工生产废水，施工期生活污水依托厂区内现有生活污水处理站进行处理，进入厂区地埋式一体化污水处理设备处理，处理后用于厂区绿化、泼洒抑尘。施工废水主要来自清洗设备等产生的污水，此部分污水中的污染物主要为SS，不含有其他有毒有害物质，施工场地设置一处临时沉淀池，收集生产废水，经沉淀池沉淀后回用于施工用水。采取上述措施后，施工废水对周围环境影响较小。</w:t>
            </w:r>
          </w:p>
          <w:p>
            <w:pPr>
              <w:ind w:firstLine="482"/>
              <w:rPr>
                <w:b/>
                <w:bCs/>
                <w:color w:val="auto"/>
              </w:rPr>
            </w:pPr>
            <w:r>
              <w:rPr>
                <w:b/>
                <w:bCs/>
                <w:color w:val="auto"/>
              </w:rPr>
              <w:t>三、施工期噪声污染环境保护措施</w:t>
            </w:r>
          </w:p>
          <w:p>
            <w:pPr>
              <w:ind w:firstLine="480"/>
              <w:rPr>
                <w:color w:val="auto"/>
              </w:rPr>
            </w:pPr>
            <w:r>
              <w:rPr>
                <w:color w:val="auto"/>
              </w:rPr>
              <w:t>本项目施工期噪声主要包括建筑施工噪声和交通噪声两类。根据施工环节主要的噪声源有：挖掘机、混凝土搅拌机、吊车、升降机等。其特点是间歇性或阵发性，并具备流动性，噪声级较高，在75dB（A）～95dB（A）之间，平均噪声级在85dB（A）左右。项目200m范围内无居民等敏感点，施工期产生的噪声对当地环境影响不大。为减少施工噪声对周边环境的影响，施工中采取了如下措施以减少</w:t>
            </w:r>
            <w:r>
              <w:rPr>
                <w:rFonts w:hint="eastAsia"/>
                <w:color w:val="auto"/>
                <w:lang w:eastAsia="zh-CN"/>
              </w:rPr>
              <w:t>噪声</w:t>
            </w:r>
            <w:r>
              <w:rPr>
                <w:color w:val="auto"/>
              </w:rPr>
              <w:t>环境的影响。</w:t>
            </w:r>
          </w:p>
          <w:p>
            <w:pPr>
              <w:ind w:firstLine="480"/>
              <w:rPr>
                <w:color w:val="auto"/>
              </w:rPr>
            </w:pPr>
            <w:r>
              <w:rPr>
                <w:color w:val="auto"/>
              </w:rPr>
              <w:t>①严格控制施工时间，根据不同季节正常休息时间，合理安排施工计划，尽可能避开夜间（22：00-06：00）、昼夜午休时间动用高噪声设备。</w:t>
            </w:r>
          </w:p>
          <w:p>
            <w:pPr>
              <w:ind w:firstLine="480"/>
              <w:rPr>
                <w:color w:val="auto"/>
              </w:rPr>
            </w:pPr>
            <w:r>
              <w:rPr>
                <w:color w:val="auto"/>
              </w:rPr>
              <w:t>②严格使用商品混凝土，与施工场地设置混凝土搅拌机相比，商品混凝土具有占地少、施工量少、施工方便、噪声污染小等特点，同时大大减少水泥、砂石的汽车运量，减轻道路交通噪声及扬尘污染。</w:t>
            </w:r>
          </w:p>
          <w:p>
            <w:pPr>
              <w:ind w:firstLine="480"/>
              <w:rPr>
                <w:color w:val="auto"/>
              </w:rPr>
            </w:pPr>
            <w:r>
              <w:rPr>
                <w:color w:val="auto"/>
              </w:rPr>
              <w:t>③施工物料及设备运入、运出，车辆应尽可能避开夜间（22：00-06：00）运输，严格控制操作流程，降低人为噪声。不合理的施工操作是产生人为噪声的主要原因，如脚手架的安装、拆除、钢筋材料的装卸过</w:t>
            </w:r>
            <w:r>
              <w:rPr>
                <w:rFonts w:hint="eastAsia"/>
                <w:color w:val="auto"/>
              </w:rPr>
              <w:t>程中</w:t>
            </w:r>
            <w:r>
              <w:rPr>
                <w:color w:val="auto"/>
              </w:rPr>
              <w:t>产生的金属碰撞声；运输车辆进入工地应减速，减少鸣笛等。</w:t>
            </w:r>
          </w:p>
          <w:p>
            <w:pPr>
              <w:ind w:firstLine="480"/>
              <w:rPr>
                <w:color w:val="auto"/>
              </w:rPr>
            </w:pPr>
            <w:r>
              <w:rPr>
                <w:color w:val="auto"/>
              </w:rPr>
              <w:t>④采取适当措施，降低噪声，对位置相对固定的机械设备，应设置在棚内；</w:t>
            </w:r>
          </w:p>
          <w:p>
            <w:pPr>
              <w:ind w:firstLine="480"/>
              <w:rPr>
                <w:color w:val="auto"/>
              </w:rPr>
            </w:pPr>
            <w:r>
              <w:rPr>
                <w:color w:val="auto"/>
              </w:rPr>
              <w:t>⑤要求施工单位进行文明施工，减轻施工期间施工人员产生的社会噪声对环境的影响。在施工现场标明投诉电话号码，对投诉问题业主应及时与当地环保部门取得联系，在24小时内处理各种环境纠纷。</w:t>
            </w:r>
          </w:p>
          <w:p>
            <w:pPr>
              <w:ind w:firstLine="482"/>
              <w:rPr>
                <w:b/>
                <w:bCs/>
                <w:color w:val="auto"/>
              </w:rPr>
            </w:pPr>
            <w:r>
              <w:rPr>
                <w:b/>
                <w:bCs/>
                <w:color w:val="auto"/>
              </w:rPr>
              <w:t>四、施工期固废环境保护措施</w:t>
            </w:r>
          </w:p>
          <w:p>
            <w:pPr>
              <w:ind w:firstLine="480"/>
              <w:rPr>
                <w:bCs/>
                <w:color w:val="auto"/>
                <w:spacing w:val="-10"/>
              </w:rPr>
            </w:pPr>
            <w:r>
              <w:rPr>
                <w:color w:val="auto"/>
              </w:rPr>
              <w:t>施工中产生的固体废物主要是建筑垃圾、地基挖掘产生的土方和生活垃圾。根据建设方提供资料，工程厂区地势平坦、无大型构筑物，挖方大部分用于回填地基，剩余部分用于厂区沟坑的填埋及厂区的平整，无弃土产生；建筑垃圾送市政部门指定地点填埋；生活垃圾产生量较小，依托厂区现有生活垃圾箱。</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46" w:type="dxa"/>
            <w:tcMar>
              <w:left w:w="28" w:type="dxa"/>
              <w:right w:w="28" w:type="dxa"/>
            </w:tcMar>
            <w:vAlign w:val="center"/>
          </w:tcPr>
          <w:p>
            <w:pPr>
              <w:adjustRightInd w:val="0"/>
              <w:snapToGrid w:val="0"/>
              <w:spacing w:line="240" w:lineRule="auto"/>
              <w:ind w:firstLine="0" w:firstLineChars="0"/>
              <w:jc w:val="center"/>
              <w:rPr>
                <w:bCs/>
                <w:color w:val="auto"/>
              </w:rPr>
            </w:pPr>
            <w:r>
              <w:rPr>
                <w:bCs/>
                <w:color w:val="auto"/>
              </w:rPr>
              <w:t>运营期环境影响和保护措施</w:t>
            </w:r>
          </w:p>
        </w:tc>
        <w:tc>
          <w:tcPr>
            <w:tcW w:w="8162" w:type="dxa"/>
            <w:vAlign w:val="center"/>
          </w:tcPr>
          <w:p>
            <w:pPr>
              <w:adjustRightInd w:val="0"/>
              <w:snapToGrid w:val="0"/>
              <w:ind w:firstLine="442"/>
              <w:rPr>
                <w:b/>
                <w:color w:val="auto"/>
                <w:spacing w:val="-10"/>
              </w:rPr>
            </w:pPr>
            <w:r>
              <w:rPr>
                <w:b/>
                <w:color w:val="auto"/>
                <w:spacing w:val="-10"/>
              </w:rPr>
              <w:t>一、废气环境影响和保护措施</w:t>
            </w:r>
          </w:p>
          <w:p>
            <w:pPr>
              <w:adjustRightInd w:val="0"/>
              <w:snapToGrid w:val="0"/>
              <w:ind w:firstLine="442"/>
              <w:rPr>
                <w:b/>
                <w:color w:val="auto"/>
                <w:spacing w:val="-10"/>
              </w:rPr>
            </w:pPr>
            <w:r>
              <w:rPr>
                <w:rFonts w:hint="eastAsia"/>
                <w:b/>
                <w:color w:val="auto"/>
                <w:spacing w:val="-10"/>
                <w:lang w:eastAsia="zh-CN"/>
              </w:rPr>
              <w:t>1.</w:t>
            </w:r>
            <w:r>
              <w:rPr>
                <w:b/>
                <w:color w:val="auto"/>
                <w:spacing w:val="-10"/>
              </w:rPr>
              <w:t>废气源强核算</w:t>
            </w:r>
          </w:p>
          <w:p>
            <w:pPr>
              <w:ind w:firstLine="480"/>
              <w:rPr>
                <w:color w:val="auto"/>
              </w:rPr>
            </w:pPr>
            <w:r>
              <w:rPr>
                <w:color w:val="auto"/>
              </w:rPr>
              <w:t>本项目废气主要包括成品装卸及堆存产生的粉尘、</w:t>
            </w:r>
            <w:r>
              <w:rPr>
                <w:rFonts w:hint="eastAsia"/>
                <w:color w:val="auto"/>
              </w:rPr>
              <w:t>蒸汽压力釜烘干过程中产生的粉尘、</w:t>
            </w:r>
            <w:r>
              <w:rPr>
                <w:color w:val="auto"/>
              </w:rPr>
              <w:t>天然气蒸汽锅炉燃烧废气。</w:t>
            </w:r>
            <w:commentRangeStart w:id="20"/>
            <w:commentRangeStart w:id="21"/>
            <w:r>
              <w:rPr>
                <w:color w:val="auto"/>
              </w:rPr>
              <w:commentReference w:id="20"/>
            </w:r>
            <w:commentRangeEnd w:id="20"/>
            <w:commentRangeEnd w:id="21"/>
            <w:r>
              <w:rPr>
                <w:color w:val="auto"/>
              </w:rPr>
              <w:commentReference w:id="21"/>
            </w:r>
          </w:p>
          <w:p>
            <w:pPr>
              <w:ind w:firstLine="480"/>
              <w:rPr>
                <w:b/>
                <w:color w:val="auto"/>
                <w:spacing w:val="-10"/>
              </w:rPr>
            </w:pPr>
            <w:r>
              <w:rPr>
                <w:b/>
                <w:color w:val="auto"/>
                <w:spacing w:val="-10"/>
              </w:rPr>
              <w:t>（2）成品煤装卸及堆存过程中产生的粉尘</w:t>
            </w:r>
          </w:p>
          <w:p>
            <w:pPr>
              <w:adjustRightInd w:val="0"/>
              <w:snapToGrid w:val="0"/>
              <w:ind w:firstLine="440"/>
              <w:rPr>
                <w:bCs/>
                <w:color w:val="auto"/>
                <w:spacing w:val="-10"/>
              </w:rPr>
            </w:pPr>
            <w:r>
              <w:rPr>
                <w:bCs/>
                <w:color w:val="auto"/>
                <w:spacing w:val="-10"/>
              </w:rPr>
              <w:t>根据《排放源统计调查产排污核算方法和系数手册》附表2工业源固体物料堆场颗粒物核算系数手册，“工业企业固体物料堆存颗粒物包括装卸扬尘和风蚀扬尘”，则工业固体物料堆放装卸和堆存引起的扬尘量如下：</w:t>
            </w:r>
          </w:p>
          <w:p>
            <w:pPr>
              <w:adjustRightInd w:val="0"/>
              <w:snapToGrid w:val="0"/>
              <w:ind w:firstLine="440"/>
              <w:rPr>
                <w:bCs/>
                <w:color w:val="auto"/>
                <w:spacing w:val="-10"/>
              </w:rPr>
            </w:pPr>
            <w:r>
              <w:rPr>
                <w:bCs/>
                <w:color w:val="auto"/>
                <w:spacing w:val="-10"/>
              </w:rPr>
              <w:t>①粉尘产生量</w:t>
            </w:r>
          </w:p>
          <w:p>
            <w:pPr>
              <w:adjustRightInd w:val="0"/>
              <w:snapToGrid w:val="0"/>
              <w:ind w:firstLine="480"/>
              <w:rPr>
                <w:bCs/>
                <w:color w:val="auto"/>
                <w:spacing w:val="-10"/>
              </w:rPr>
            </w:pPr>
            <w:r>
              <w:rPr>
                <w:bCs/>
                <w:color w:val="auto"/>
                <w:spacing w:val="-10"/>
              </w:rPr>
              <w:drawing>
                <wp:inline distT="0" distB="0" distL="114300" distR="114300">
                  <wp:extent cx="3811270" cy="327025"/>
                  <wp:effectExtent l="0" t="0" r="17780" b="15875"/>
                  <wp:docPr id="51" name="图片 4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 name="图片 41"/>
                          <pic:cNvPicPr>
                            <a:picLocks noChangeAspect="true"/>
                          </pic:cNvPicPr>
                        </pic:nvPicPr>
                        <pic:blipFill>
                          <a:blip r:embed="rId28"/>
                          <a:stretch>
                            <a:fillRect/>
                          </a:stretch>
                        </pic:blipFill>
                        <pic:spPr>
                          <a:xfrm>
                            <a:off x="0" y="0"/>
                            <a:ext cx="3811270" cy="327025"/>
                          </a:xfrm>
                          <a:prstGeom prst="rect">
                            <a:avLst/>
                          </a:prstGeom>
                          <a:noFill/>
                          <a:ln>
                            <a:noFill/>
                          </a:ln>
                        </pic:spPr>
                      </pic:pic>
                    </a:graphicData>
                  </a:graphic>
                </wp:inline>
              </w:drawing>
            </w:r>
          </w:p>
          <w:p>
            <w:pPr>
              <w:ind w:firstLine="480"/>
              <w:rPr>
                <w:color w:val="auto"/>
              </w:rPr>
            </w:pPr>
            <w:r>
              <w:rPr>
                <w:color w:val="auto"/>
              </w:rPr>
              <w:t>式中：P——颗粒物产生量，t/a；</w:t>
            </w:r>
          </w:p>
          <w:p>
            <w:pPr>
              <w:ind w:firstLine="480"/>
              <w:rPr>
                <w:color w:val="auto"/>
              </w:rPr>
            </w:pPr>
            <w:r>
              <w:rPr>
                <w:color w:val="auto"/>
              </w:rPr>
              <w:t>ZCy——装卸扬尘产生量，t/a；</w:t>
            </w:r>
          </w:p>
          <w:p>
            <w:pPr>
              <w:ind w:firstLine="480"/>
              <w:rPr>
                <w:color w:val="auto"/>
              </w:rPr>
            </w:pPr>
            <w:r>
              <w:rPr>
                <w:color w:val="auto"/>
              </w:rPr>
              <w:t>FCy——风蚀扬尘产生量，t/a；</w:t>
            </w:r>
          </w:p>
          <w:p>
            <w:pPr>
              <w:ind w:firstLine="480"/>
              <w:rPr>
                <w:color w:val="auto"/>
              </w:rPr>
            </w:pPr>
            <w:r>
              <w:rPr>
                <w:color w:val="auto"/>
              </w:rPr>
              <w:t>Nc——年物料运载车次（车）；车次Nc=</w:t>
            </w:r>
            <w:r>
              <w:rPr>
                <w:rFonts w:hint="eastAsia"/>
                <w:color w:val="auto"/>
              </w:rPr>
              <w:t>9042</w:t>
            </w:r>
            <w:r>
              <w:rPr>
                <w:color w:val="auto"/>
              </w:rPr>
              <w:t>车次</w:t>
            </w:r>
          </w:p>
          <w:p>
            <w:pPr>
              <w:ind w:firstLine="480"/>
              <w:rPr>
                <w:color w:val="auto"/>
              </w:rPr>
            </w:pPr>
            <w:r>
              <w:rPr>
                <w:color w:val="auto"/>
              </w:rPr>
              <w:t>D——单车平均运100载量（吨/车），</w:t>
            </w:r>
            <w:r>
              <w:rPr>
                <w:rFonts w:hint="eastAsia"/>
                <w:color w:val="auto"/>
              </w:rPr>
              <w:t>50</w:t>
            </w:r>
            <w:r>
              <w:rPr>
                <w:color w:val="auto"/>
              </w:rPr>
              <w:t>吨/车，全厂年周转成品煤</w:t>
            </w:r>
            <w:r>
              <w:rPr>
                <w:rFonts w:hint="eastAsia"/>
                <w:color w:val="auto"/>
              </w:rPr>
              <w:t>44.07万</w:t>
            </w:r>
            <w:r>
              <w:rPr>
                <w:color w:val="auto"/>
              </w:rPr>
              <w:t>t，Nc×D=</w:t>
            </w:r>
            <w:r>
              <w:rPr>
                <w:rFonts w:hint="eastAsia"/>
                <w:color w:val="auto"/>
              </w:rPr>
              <w:t>44.07</w:t>
            </w:r>
            <w:r>
              <w:rPr>
                <w:color w:val="auto"/>
              </w:rPr>
              <w:t>万t（装、卸总量）；</w:t>
            </w:r>
          </w:p>
          <w:p>
            <w:pPr>
              <w:ind w:firstLine="480"/>
              <w:rPr>
                <w:color w:val="auto"/>
              </w:rPr>
            </w:pPr>
            <w:r>
              <w:rPr>
                <w:color w:val="auto"/>
              </w:rPr>
              <w:t>（a/b）——装卸扬尘概化系数（kg/t）；a指各省风速概化系数，内蒙古自治区取0.0017，b指物料含水率概化系数，煤炭取0.0054；</w:t>
            </w:r>
          </w:p>
          <w:p>
            <w:pPr>
              <w:ind w:firstLine="480"/>
              <w:rPr>
                <w:color w:val="auto"/>
              </w:rPr>
            </w:pPr>
            <w:r>
              <w:rPr>
                <w:color w:val="auto"/>
              </w:rPr>
              <w:t>Ef——堆场风蚀扬尘概化系数，（kg/㎡），参照01煤炭取31.1418；</w:t>
            </w:r>
          </w:p>
          <w:p>
            <w:pPr>
              <w:ind w:firstLine="480"/>
              <w:rPr>
                <w:color w:val="auto"/>
              </w:rPr>
            </w:pPr>
            <w:r>
              <w:rPr>
                <w:color w:val="auto"/>
              </w:rPr>
              <w:t>S——堆场占地面积（㎡），</w:t>
            </w:r>
            <w:r>
              <w:rPr>
                <w:color w:val="auto"/>
              </w:rPr>
              <w:t>项目原煤储棚占地面积为1</w:t>
            </w:r>
            <w:r>
              <w:rPr>
                <w:rFonts w:hint="eastAsia"/>
                <w:color w:val="auto"/>
              </w:rPr>
              <w:t>5</w:t>
            </w:r>
            <w:r>
              <w:rPr>
                <w:color w:val="auto"/>
              </w:rPr>
              <w:t>00㎡。</w:t>
            </w:r>
          </w:p>
          <w:p>
            <w:pPr>
              <w:ind w:firstLine="480"/>
              <w:rPr>
                <w:color w:val="auto"/>
              </w:rPr>
            </w:pPr>
            <w:r>
              <w:rPr>
                <w:color w:val="auto"/>
              </w:rPr>
              <w:t>根据计算，项目新增颗粒物产生量共计为</w:t>
            </w:r>
            <w:r>
              <w:rPr>
                <w:rFonts w:hint="eastAsia"/>
                <w:color w:val="auto"/>
              </w:rPr>
              <w:t>235.75</w:t>
            </w:r>
            <w:r>
              <w:rPr>
                <w:color w:val="auto"/>
              </w:rPr>
              <w:t>t/a。</w:t>
            </w:r>
          </w:p>
          <w:p>
            <w:pPr>
              <w:ind w:firstLine="480"/>
              <w:rPr>
                <w:color w:val="auto"/>
              </w:rPr>
            </w:pPr>
            <w:r>
              <w:rPr>
                <w:color w:val="auto"/>
              </w:rPr>
              <w:t>原煤储棚颗粒物排放量核算公式如下：</w:t>
            </w:r>
          </w:p>
          <w:p>
            <w:pPr>
              <w:adjustRightInd w:val="0"/>
              <w:snapToGrid w:val="0"/>
              <w:ind w:firstLine="480"/>
              <w:rPr>
                <w:bCs/>
                <w:color w:val="auto"/>
                <w:spacing w:val="-10"/>
              </w:rPr>
            </w:pPr>
            <w:r>
              <w:rPr>
                <w:bCs/>
                <w:color w:val="auto"/>
                <w:spacing w:val="-10"/>
              </w:rPr>
              <w:drawing>
                <wp:inline distT="0" distB="0" distL="114300" distR="114300">
                  <wp:extent cx="2036445" cy="311785"/>
                  <wp:effectExtent l="0" t="0" r="1905" b="12065"/>
                  <wp:docPr id="52" name="图片 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 name="图片 42"/>
                          <pic:cNvPicPr>
                            <a:picLocks noChangeAspect="true"/>
                          </pic:cNvPicPr>
                        </pic:nvPicPr>
                        <pic:blipFill>
                          <a:blip r:embed="rId29"/>
                          <a:stretch>
                            <a:fillRect/>
                          </a:stretch>
                        </pic:blipFill>
                        <pic:spPr>
                          <a:xfrm>
                            <a:off x="0" y="0"/>
                            <a:ext cx="2036445" cy="311785"/>
                          </a:xfrm>
                          <a:prstGeom prst="rect">
                            <a:avLst/>
                          </a:prstGeom>
                          <a:noFill/>
                          <a:ln>
                            <a:noFill/>
                          </a:ln>
                        </pic:spPr>
                      </pic:pic>
                    </a:graphicData>
                  </a:graphic>
                </wp:inline>
              </w:drawing>
            </w:r>
          </w:p>
          <w:p>
            <w:pPr>
              <w:ind w:firstLine="480"/>
              <w:rPr>
                <w:color w:val="auto"/>
              </w:rPr>
            </w:pPr>
            <w:r>
              <w:rPr>
                <w:color w:val="auto"/>
              </w:rPr>
              <w:t>式中：Uc——颗粒物排放量，t/a；</w:t>
            </w:r>
          </w:p>
          <w:p>
            <w:pPr>
              <w:ind w:firstLine="480"/>
              <w:rPr>
                <w:color w:val="auto"/>
              </w:rPr>
            </w:pPr>
            <w:r>
              <w:rPr>
                <w:color w:val="auto"/>
              </w:rPr>
              <w:t>P——颗粒物产生量，t/a；</w:t>
            </w:r>
          </w:p>
          <w:p>
            <w:pPr>
              <w:ind w:firstLine="480"/>
              <w:rPr>
                <w:color w:val="auto"/>
              </w:rPr>
            </w:pPr>
            <w:r>
              <w:rPr>
                <w:color w:val="auto"/>
              </w:rPr>
              <w:t>Cm——颗粒物控制措施控制效率（%），Cm取值为0；</w:t>
            </w:r>
          </w:p>
          <w:p>
            <w:pPr>
              <w:ind w:firstLine="480"/>
              <w:rPr>
                <w:color w:val="auto"/>
              </w:rPr>
            </w:pPr>
            <w:r>
              <w:rPr>
                <w:color w:val="auto"/>
              </w:rPr>
              <w:t>Tm——堆场类型控制效率（%），见附录5，本项目设置密闭式厂房，控制效率99%</w:t>
            </w:r>
            <w:r>
              <w:rPr>
                <w:rFonts w:hint="eastAsia"/>
                <w:color w:val="auto"/>
              </w:rPr>
              <w:t>。</w:t>
            </w:r>
          </w:p>
          <w:p>
            <w:pPr>
              <w:ind w:firstLine="480"/>
              <w:rPr>
                <w:color w:val="auto"/>
              </w:rPr>
            </w:pPr>
            <w:r>
              <w:rPr>
                <w:color w:val="auto"/>
              </w:rPr>
              <w:t>经计算，成品装卸及堆存排放量为</w:t>
            </w:r>
            <w:r>
              <w:rPr>
                <w:rFonts w:hint="eastAsia"/>
                <w:color w:val="auto"/>
              </w:rPr>
              <w:t>2.36</w:t>
            </w:r>
            <w:r>
              <w:rPr>
                <w:color w:val="auto"/>
              </w:rPr>
              <w:t>t/a。</w:t>
            </w:r>
          </w:p>
          <w:p>
            <w:pPr>
              <w:adjustRightInd w:val="0"/>
              <w:snapToGrid w:val="0"/>
              <w:ind w:firstLine="442"/>
              <w:rPr>
                <w:b/>
                <w:color w:val="auto"/>
                <w:spacing w:val="-10"/>
              </w:rPr>
            </w:pPr>
            <w:r>
              <w:rPr>
                <w:b/>
                <w:color w:val="auto"/>
                <w:spacing w:val="-10"/>
              </w:rPr>
              <w:t>（3）天然气蒸汽锅炉废气</w:t>
            </w:r>
          </w:p>
          <w:p>
            <w:pPr>
              <w:ind w:firstLine="480"/>
              <w:rPr>
                <w:color w:val="auto"/>
              </w:rPr>
            </w:pPr>
            <w:r>
              <w:rPr>
                <w:color w:val="auto"/>
              </w:rPr>
              <w:t>本项目天然气蒸汽锅炉采用“低氮燃烧器”。运营期主要废气为燃烧机产生的颗粒物、SO</w:t>
            </w:r>
            <w:r>
              <w:rPr>
                <w:color w:val="auto"/>
                <w:vertAlign w:val="subscript"/>
              </w:rPr>
              <w:t>2</w:t>
            </w:r>
            <w:r>
              <w:rPr>
                <w:color w:val="auto"/>
              </w:rPr>
              <w:t>、NO</w:t>
            </w:r>
            <w:r>
              <w:rPr>
                <w:color w:val="auto"/>
                <w:vertAlign w:val="subscript"/>
              </w:rPr>
              <w:t>X</w:t>
            </w:r>
            <w:r>
              <w:rPr>
                <w:color w:val="auto"/>
              </w:rPr>
              <w:t>。天然气消耗量为</w:t>
            </w:r>
            <w:r>
              <w:rPr>
                <w:rFonts w:hint="eastAsia"/>
                <w:color w:val="auto"/>
              </w:rPr>
              <w:t>1756.97万m³/a</w:t>
            </w:r>
            <w:r>
              <w:rPr>
                <w:color w:val="auto"/>
              </w:rPr>
              <w:t>，年运行330d，日运行24h，</w:t>
            </w:r>
            <w:r>
              <w:rPr>
                <w:rFonts w:hint="eastAsia"/>
                <w:color w:val="auto"/>
              </w:rPr>
              <w:t>年运行7920h，</w:t>
            </w:r>
            <w:r>
              <w:rPr>
                <w:color w:val="auto"/>
              </w:rPr>
              <w:t>锅炉废气经低氮燃烧器处理后最终由1</w:t>
            </w:r>
            <w:r>
              <w:rPr>
                <w:rFonts w:hint="eastAsia"/>
                <w:color w:val="auto"/>
              </w:rPr>
              <w:t>3</w:t>
            </w:r>
            <w:r>
              <w:rPr>
                <w:color w:val="auto"/>
              </w:rPr>
              <w:t>m高的排气筒（DA001）排放。</w:t>
            </w:r>
          </w:p>
          <w:p>
            <w:pPr>
              <w:ind w:firstLine="480"/>
              <w:rPr>
                <w:color w:val="auto"/>
              </w:rPr>
            </w:pPr>
            <w:r>
              <w:rPr>
                <w:color w:val="auto"/>
              </w:rPr>
              <w:t>根据《排放源统计调查产排污核算方法和系数手册》中“4430工业锅炉（热力生产和供应行业）产污系数表-燃气工业锅炉”，工业废气量产污系数为107753Nm³/万m³-原料，SO</w:t>
            </w:r>
            <w:r>
              <w:rPr>
                <w:color w:val="auto"/>
                <w:vertAlign w:val="subscript"/>
              </w:rPr>
              <w:t>2</w:t>
            </w:r>
            <w:r>
              <w:rPr>
                <w:color w:val="auto"/>
              </w:rPr>
              <w:t>产污系数为0.02Skg/万m³-原料（二氧化硫产污系数是以含硫量（S）形式表示，其中含硫量（S）指燃气收到基硫分含量，单位为mg/m³。项目使用的天然气用气气质符合《天然气》（GB17820-2018）中表1二类质量要求为总硫≤100mg/m³，本次评价取最大值，则S=100），NO</w:t>
            </w:r>
            <w:r>
              <w:rPr>
                <w:rFonts w:hint="eastAsia"/>
                <w:color w:val="auto"/>
                <w:vertAlign w:val="subscript"/>
              </w:rPr>
              <w:t>X</w:t>
            </w:r>
            <w:r>
              <w:rPr>
                <w:color w:val="auto"/>
              </w:rPr>
              <w:t>产污系数为</w:t>
            </w:r>
            <w:r>
              <w:rPr>
                <w:rFonts w:hint="eastAsia"/>
                <w:color w:val="auto"/>
              </w:rPr>
              <w:t>3.03</w:t>
            </w:r>
            <w:r>
              <w:rPr>
                <w:color w:val="auto"/>
              </w:rPr>
              <w:t>kg/万m³-原料（低氮燃烧</w:t>
            </w:r>
            <w:r>
              <w:rPr>
                <w:rFonts w:hint="eastAsia"/>
                <w:color w:val="auto"/>
              </w:rPr>
              <w:t>国际</w:t>
            </w:r>
            <w:r>
              <w:rPr>
                <w:color w:val="auto"/>
              </w:rPr>
              <w:t>领先），根据《环境保护实用数据手册》，颗粒物排污系数为1.5kg/万m³-原料。</w:t>
            </w:r>
          </w:p>
          <w:p>
            <w:pPr>
              <w:ind w:firstLine="480"/>
              <w:rPr>
                <w:color w:val="auto"/>
              </w:rPr>
            </w:pPr>
            <w:r>
              <w:rPr>
                <w:color w:val="auto"/>
              </w:rPr>
              <w:t>工业废气量=107753Nm³/万m³-原料</w:t>
            </w:r>
            <w:r>
              <w:rPr>
                <w:rFonts w:hint="eastAsia"/>
                <w:color w:val="auto"/>
              </w:rPr>
              <w:t>=</w:t>
            </w:r>
            <w:r>
              <w:rPr>
                <w:color w:val="auto"/>
              </w:rPr>
              <w:t>107753Nm³/万m³×</w:t>
            </w:r>
            <w:r>
              <w:rPr>
                <w:rFonts w:hint="eastAsia"/>
                <w:color w:val="auto"/>
              </w:rPr>
              <w:t>1756.97</w:t>
            </w:r>
            <w:r>
              <w:rPr>
                <w:color w:val="auto"/>
              </w:rPr>
              <w:t>万m³/a=189318788.41N</w:t>
            </w:r>
            <w:r>
              <w:rPr>
                <w:rFonts w:hint="eastAsia"/>
                <w:color w:val="auto"/>
              </w:rPr>
              <w:t>m³/a</w:t>
            </w:r>
          </w:p>
          <w:p>
            <w:pPr>
              <w:ind w:firstLine="480"/>
              <w:rPr>
                <w:color w:val="auto"/>
              </w:rPr>
            </w:pPr>
            <w:r>
              <w:rPr>
                <w:color w:val="auto"/>
              </w:rPr>
              <w:t>SO</w:t>
            </w:r>
            <w:r>
              <w:rPr>
                <w:color w:val="auto"/>
                <w:vertAlign w:val="subscript"/>
              </w:rPr>
              <w:t>2</w:t>
            </w:r>
            <w:r>
              <w:rPr>
                <w:color w:val="auto"/>
              </w:rPr>
              <w:t>排放量</w:t>
            </w:r>
            <w:r>
              <w:rPr>
                <w:rFonts w:hint="eastAsia"/>
                <w:color w:val="auto"/>
              </w:rPr>
              <w:t>=</w:t>
            </w:r>
            <w:r>
              <w:rPr>
                <w:color w:val="auto"/>
              </w:rPr>
              <w:t>0.02Skg/万m³-原料=0.02kg/万m³</w:t>
            </w:r>
            <w:r>
              <w:rPr>
                <w:rFonts w:hint="eastAsia"/>
                <w:color w:val="auto"/>
              </w:rPr>
              <w:t>×</w:t>
            </w:r>
            <w:r>
              <w:rPr>
                <w:color w:val="auto"/>
              </w:rPr>
              <w:t>100×</w:t>
            </w:r>
            <w:r>
              <w:rPr>
                <w:rFonts w:hint="eastAsia"/>
                <w:color w:val="auto"/>
              </w:rPr>
              <w:t>1756.97</w:t>
            </w:r>
            <w:r>
              <w:rPr>
                <w:color w:val="auto"/>
              </w:rPr>
              <w:t>万m³/a=</w:t>
            </w:r>
            <w:r>
              <w:rPr>
                <w:rFonts w:hint="eastAsia"/>
                <w:color w:val="auto"/>
              </w:rPr>
              <w:t>3.51</w:t>
            </w:r>
            <w:r>
              <w:rPr>
                <w:color w:val="auto"/>
              </w:rPr>
              <w:t>t/a</w:t>
            </w:r>
          </w:p>
          <w:p>
            <w:pPr>
              <w:ind w:firstLine="480"/>
              <w:rPr>
                <w:color w:val="auto"/>
              </w:rPr>
            </w:pPr>
            <w:r>
              <w:rPr>
                <w:color w:val="auto"/>
              </w:rPr>
              <w:t>SO</w:t>
            </w:r>
            <w:r>
              <w:rPr>
                <w:color w:val="auto"/>
                <w:vertAlign w:val="subscript"/>
              </w:rPr>
              <w:t>2</w:t>
            </w:r>
            <w:r>
              <w:rPr>
                <w:color w:val="auto"/>
              </w:rPr>
              <w:t>排放浓度=</w:t>
            </w:r>
            <w:r>
              <w:rPr>
                <w:rFonts w:hint="eastAsia"/>
                <w:color w:val="auto"/>
              </w:rPr>
              <w:t>3.51</w:t>
            </w:r>
            <w:r>
              <w:rPr>
                <w:color w:val="auto"/>
              </w:rPr>
              <w:t>t/a÷189318788.41N</w:t>
            </w:r>
            <w:r>
              <w:rPr>
                <w:rFonts w:hint="eastAsia"/>
                <w:color w:val="auto"/>
              </w:rPr>
              <w:t>m³/a</w:t>
            </w:r>
            <w:r>
              <w:rPr>
                <w:color w:val="auto"/>
              </w:rPr>
              <w:t>=18.</w:t>
            </w:r>
            <w:r>
              <w:rPr>
                <w:rFonts w:hint="eastAsia"/>
                <w:color w:val="auto"/>
              </w:rPr>
              <w:t>54</w:t>
            </w:r>
            <w:r>
              <w:rPr>
                <w:color w:val="auto"/>
              </w:rPr>
              <w:t>mg/m³</w:t>
            </w:r>
          </w:p>
          <w:p>
            <w:pPr>
              <w:ind w:firstLine="480"/>
              <w:rPr>
                <w:color w:val="auto"/>
              </w:rPr>
            </w:pPr>
            <w:r>
              <w:rPr>
                <w:color w:val="auto"/>
              </w:rPr>
              <w:t>NO</w:t>
            </w:r>
            <w:r>
              <w:rPr>
                <w:color w:val="auto"/>
                <w:vertAlign w:val="subscript"/>
              </w:rPr>
              <w:t>X</w:t>
            </w:r>
            <w:r>
              <w:rPr>
                <w:color w:val="auto"/>
              </w:rPr>
              <w:t>排放量=</w:t>
            </w:r>
            <w:r>
              <w:rPr>
                <w:rFonts w:hint="eastAsia"/>
                <w:color w:val="auto"/>
              </w:rPr>
              <w:t>3.03</w:t>
            </w:r>
            <w:r>
              <w:rPr>
                <w:color w:val="auto"/>
              </w:rPr>
              <w:t>kg/万m³-原料</w:t>
            </w:r>
            <w:r>
              <w:rPr>
                <w:rFonts w:hint="eastAsia"/>
                <w:color w:val="auto"/>
              </w:rPr>
              <w:t>=3.03</w:t>
            </w:r>
            <w:r>
              <w:rPr>
                <w:color w:val="auto"/>
              </w:rPr>
              <w:t>kg/万m³</w:t>
            </w:r>
            <w:r>
              <w:rPr>
                <w:rFonts w:hint="eastAsia"/>
                <w:color w:val="auto"/>
              </w:rPr>
              <w:t>×1756.97</w:t>
            </w:r>
            <w:r>
              <w:rPr>
                <w:color w:val="auto"/>
              </w:rPr>
              <w:t>万N</w:t>
            </w:r>
            <w:r>
              <w:rPr>
                <w:rFonts w:hint="eastAsia"/>
                <w:color w:val="auto"/>
              </w:rPr>
              <w:t>m³/a</w:t>
            </w:r>
            <w:r>
              <w:rPr>
                <w:color w:val="auto"/>
              </w:rPr>
              <w:t>=</w:t>
            </w:r>
            <w:r>
              <w:rPr>
                <w:rFonts w:hint="eastAsia"/>
                <w:color w:val="auto"/>
              </w:rPr>
              <w:t>5.32</w:t>
            </w:r>
            <w:r>
              <w:rPr>
                <w:color w:val="auto"/>
              </w:rPr>
              <w:t>t/a</w:t>
            </w:r>
          </w:p>
          <w:p>
            <w:pPr>
              <w:ind w:firstLine="480"/>
              <w:rPr>
                <w:color w:val="auto"/>
              </w:rPr>
            </w:pPr>
            <w:r>
              <w:rPr>
                <w:color w:val="auto"/>
              </w:rPr>
              <w:t>NO</w:t>
            </w:r>
            <w:r>
              <w:rPr>
                <w:color w:val="auto"/>
                <w:vertAlign w:val="subscript"/>
              </w:rPr>
              <w:t>X</w:t>
            </w:r>
            <w:r>
              <w:rPr>
                <w:color w:val="auto"/>
              </w:rPr>
              <w:t>排放浓度=</w:t>
            </w:r>
            <w:r>
              <w:rPr>
                <w:rFonts w:hint="eastAsia"/>
                <w:color w:val="auto"/>
              </w:rPr>
              <w:t>5.32t/a</w:t>
            </w:r>
            <w:r>
              <w:rPr>
                <w:color w:val="auto"/>
              </w:rPr>
              <w:t>÷189318788.41N</w:t>
            </w:r>
            <w:r>
              <w:rPr>
                <w:rFonts w:hint="eastAsia"/>
                <w:color w:val="auto"/>
              </w:rPr>
              <w:t>m³/a</w:t>
            </w:r>
            <w:r>
              <w:rPr>
                <w:color w:val="auto"/>
              </w:rPr>
              <w:t>=</w:t>
            </w:r>
            <w:r>
              <w:rPr>
                <w:rFonts w:hint="eastAsia"/>
                <w:color w:val="auto"/>
              </w:rPr>
              <w:t>28.10</w:t>
            </w:r>
            <w:r>
              <w:rPr>
                <w:color w:val="auto"/>
              </w:rPr>
              <w:t>mg/m³</w:t>
            </w:r>
          </w:p>
          <w:p>
            <w:pPr>
              <w:ind w:firstLine="480"/>
              <w:rPr>
                <w:color w:val="auto"/>
              </w:rPr>
            </w:pPr>
            <w:r>
              <w:rPr>
                <w:color w:val="auto"/>
              </w:rPr>
              <w:t>颗粒物排放量</w:t>
            </w:r>
            <w:r>
              <w:rPr>
                <w:rFonts w:hint="eastAsia"/>
                <w:color w:val="auto"/>
              </w:rPr>
              <w:t>=</w:t>
            </w:r>
            <w:r>
              <w:rPr>
                <w:color w:val="auto"/>
              </w:rPr>
              <w:t>1.5kg/万m³-原料=1.5kg/万m³×1756.97万N</w:t>
            </w:r>
            <w:r>
              <w:rPr>
                <w:rFonts w:hint="eastAsia"/>
                <w:color w:val="auto"/>
              </w:rPr>
              <w:t>m³/a</w:t>
            </w:r>
            <w:r>
              <w:rPr>
                <w:color w:val="auto"/>
              </w:rPr>
              <w:t>=</w:t>
            </w:r>
            <w:r>
              <w:rPr>
                <w:rFonts w:hint="eastAsia"/>
                <w:color w:val="auto"/>
              </w:rPr>
              <w:t>2.64</w:t>
            </w:r>
            <w:r>
              <w:rPr>
                <w:color w:val="auto"/>
              </w:rPr>
              <w:t>t/a</w:t>
            </w:r>
          </w:p>
          <w:p>
            <w:pPr>
              <w:ind w:firstLine="480"/>
              <w:rPr>
                <w:color w:val="auto"/>
              </w:rPr>
            </w:pPr>
            <w:r>
              <w:rPr>
                <w:color w:val="auto"/>
              </w:rPr>
              <w:t>颗粒物排放浓度=</w:t>
            </w:r>
            <w:r>
              <w:rPr>
                <w:rFonts w:hint="eastAsia"/>
                <w:color w:val="auto"/>
              </w:rPr>
              <w:t>2.64t/a</w:t>
            </w:r>
            <w:r>
              <w:rPr>
                <w:color w:val="auto"/>
              </w:rPr>
              <w:t>÷189318788.41N</w:t>
            </w:r>
            <w:r>
              <w:rPr>
                <w:rFonts w:hint="eastAsia"/>
                <w:color w:val="auto"/>
              </w:rPr>
              <w:t>m³/a</w:t>
            </w:r>
            <w:r>
              <w:rPr>
                <w:color w:val="auto"/>
              </w:rPr>
              <w:t>=</w:t>
            </w:r>
            <w:r>
              <w:rPr>
                <w:rFonts w:hint="eastAsia"/>
                <w:color w:val="auto"/>
              </w:rPr>
              <w:t>13.94</w:t>
            </w:r>
            <w:r>
              <w:rPr>
                <w:color w:val="auto"/>
              </w:rPr>
              <w:t>mg/m³。</w:t>
            </w:r>
          </w:p>
          <w:p>
            <w:pPr>
              <w:ind w:firstLine="480"/>
              <w:rPr>
                <w:color w:val="auto"/>
              </w:rPr>
            </w:pPr>
            <w:r>
              <w:rPr>
                <w:color w:val="auto"/>
              </w:rPr>
              <w:t>经计算天然气蒸汽锅炉排放的废气二氧化硫、氮氧化物、颗粒物排放浓度均满足《锅炉大气污染物排放标准》（GB13271-2014）中表2新建锅炉大气污染物排放浓度限值中燃气锅炉排放限值要求。</w:t>
            </w:r>
          </w:p>
          <w:p>
            <w:pPr>
              <w:ind w:firstLine="482"/>
              <w:rPr>
                <w:b/>
                <w:bCs/>
                <w:color w:val="auto"/>
              </w:rPr>
            </w:pPr>
            <w:r>
              <w:rPr>
                <w:rFonts w:hint="eastAsia"/>
                <w:b/>
                <w:bCs/>
                <w:color w:val="auto"/>
              </w:rPr>
              <w:t>（4）蒸汽压力釜烘干过程中产生的粉尘</w:t>
            </w:r>
          </w:p>
          <w:p>
            <w:pPr>
              <w:ind w:firstLine="480"/>
              <w:rPr>
                <w:color w:val="auto"/>
              </w:rPr>
            </w:pPr>
            <w:r>
              <w:rPr>
                <w:rFonts w:hint="eastAsia"/>
                <w:color w:val="auto"/>
              </w:rPr>
              <w:t>烘干粉尘一期经引风机通过管道收集至袋式除尘器处理后通过一根15m高排气筒DA002排放。由于《排放源统计调查产排污核算方法和系数手册》中“2524煤制品制造行业”系数手册中颗粒物包含了燃料燃烧产生的颗粒物，不单指煤炭产生的颗粒物，故蒸汽压力釜废气内</w:t>
            </w:r>
            <w:r>
              <w:rPr>
                <w:rFonts w:hint="eastAsia"/>
                <w:color w:val="auto"/>
                <w:lang w:val="en-US" w:eastAsia="zh-CN"/>
              </w:rPr>
              <w:t>的</w:t>
            </w:r>
            <w:r>
              <w:rPr>
                <w:rFonts w:hint="eastAsia"/>
                <w:color w:val="auto"/>
              </w:rPr>
              <w:t>颗粒物总产生量参照《排放源统计调查产排污核算方法和系数手册》中“2524煤制品制造行业——烘干”产污系数进行计算。根据《排放源统计调查产排污核算方法和系数手册》中颗粒物产污系数为0.554千克/吨-产品，布袋除尘效率99%，工业废气量为1098Nm³/吨-产品，则蒸汽压力釜废气内</w:t>
            </w:r>
            <w:r>
              <w:rPr>
                <w:rFonts w:hint="eastAsia"/>
                <w:color w:val="auto"/>
                <w:lang w:val="en-US" w:eastAsia="zh-CN"/>
              </w:rPr>
              <w:t>的</w:t>
            </w:r>
            <w:r>
              <w:rPr>
                <w:rFonts w:hint="eastAsia"/>
                <w:color w:val="auto"/>
              </w:rPr>
              <w:t>颗粒物产生量计算公式如下：</w:t>
            </w:r>
          </w:p>
          <w:p>
            <w:pPr>
              <w:ind w:firstLine="480"/>
              <w:rPr>
                <w:color w:val="auto"/>
              </w:rPr>
            </w:pPr>
            <w:r>
              <w:rPr>
                <w:rFonts w:hint="eastAsia"/>
                <w:color w:val="auto"/>
              </w:rPr>
              <w:t>工业废气量为1098Nm³/吨×44.07万t/a=483888600Nm³/a</w:t>
            </w:r>
          </w:p>
          <w:p>
            <w:pPr>
              <w:ind w:firstLine="480"/>
              <w:rPr>
                <w:color w:val="auto"/>
              </w:rPr>
            </w:pPr>
            <w:r>
              <w:rPr>
                <w:rFonts w:hint="eastAsia"/>
                <w:color w:val="auto"/>
              </w:rPr>
              <w:t>产生的颗粒物量=0.554kg/t-产品×44.07万t/a=244.15t/a</w:t>
            </w:r>
          </w:p>
          <w:p>
            <w:pPr>
              <w:ind w:firstLine="480"/>
              <w:rPr>
                <w:color w:val="auto"/>
              </w:rPr>
            </w:pPr>
            <w:r>
              <w:rPr>
                <w:rFonts w:hint="eastAsia"/>
                <w:color w:val="auto"/>
              </w:rPr>
              <w:t>颗粒物排放量=244.15×（1-99%）=2.44t/a</w:t>
            </w:r>
          </w:p>
          <w:p>
            <w:pPr>
              <w:ind w:firstLine="480"/>
              <w:rPr>
                <w:color w:val="auto"/>
              </w:rPr>
            </w:pPr>
            <w:r>
              <w:rPr>
                <w:rFonts w:hint="eastAsia"/>
                <w:color w:val="auto"/>
              </w:rPr>
              <w:t>颗粒物排放浓度为2.50t/a÷496405800Nm³/a=5.04mg/m³</w:t>
            </w:r>
          </w:p>
          <w:p>
            <w:pPr>
              <w:ind w:firstLine="480"/>
              <w:rPr>
                <w:color w:val="auto"/>
              </w:rPr>
            </w:pPr>
            <w:r>
              <w:rPr>
                <w:rFonts w:hint="eastAsia"/>
                <w:color w:val="auto"/>
              </w:rPr>
              <w:t>经上述计算可知蒸汽压力釜产生的有组织颗粒物排放浓度满足《工业炉窑大气污染物排放标准》（GB9078-1996）表2二级排放限值要求</w:t>
            </w:r>
            <w:r>
              <w:rPr>
                <w:rFonts w:hint="eastAsia"/>
                <w:color w:val="auto"/>
                <w:lang w:eastAsia="zh-CN"/>
              </w:rPr>
              <w:t>，</w:t>
            </w:r>
            <w:r>
              <w:rPr>
                <w:rFonts w:hint="eastAsia"/>
                <w:color w:val="auto"/>
              </w:rPr>
              <w:t>烟尘允许排放限值200mg/m³。</w:t>
            </w:r>
          </w:p>
          <w:p>
            <w:pPr>
              <w:ind w:firstLine="482"/>
              <w:rPr>
                <w:b/>
                <w:bCs/>
                <w:color w:val="auto"/>
              </w:rPr>
            </w:pPr>
            <w:r>
              <w:rPr>
                <w:rFonts w:hint="eastAsia"/>
                <w:b/>
                <w:bCs/>
                <w:color w:val="auto"/>
                <w:lang w:eastAsia="zh-CN"/>
              </w:rPr>
              <w:t>2.</w:t>
            </w:r>
            <w:r>
              <w:rPr>
                <w:b/>
                <w:bCs/>
                <w:color w:val="auto"/>
              </w:rPr>
              <w:t>废气排放情况汇总及达标情况分析</w:t>
            </w:r>
          </w:p>
          <w:p>
            <w:pPr>
              <w:ind w:firstLine="480"/>
              <w:rPr>
                <w:color w:val="auto"/>
              </w:rPr>
            </w:pPr>
            <w:r>
              <w:rPr>
                <w:color w:val="auto"/>
              </w:rPr>
              <w:t>本项目废气产排放情况汇总如下表所示：</w:t>
            </w:r>
          </w:p>
          <w:p>
            <w:pPr>
              <w:spacing w:line="240" w:lineRule="auto"/>
              <w:ind w:firstLine="0" w:firstLineChars="0"/>
              <w:jc w:val="center"/>
              <w:rPr>
                <w:b/>
                <w:bCs/>
                <w:color w:val="auto"/>
              </w:rPr>
            </w:pPr>
            <w:r>
              <w:rPr>
                <w:rFonts w:hint="eastAsia"/>
                <w:b/>
                <w:bCs/>
                <w:color w:val="auto"/>
              </w:rPr>
              <w:t>表4-1废气排放情况一览表</w:t>
            </w:r>
          </w:p>
          <w:tbl>
            <w:tblPr>
              <w:tblStyle w:val="21"/>
              <w:tblW w:w="8097" w:type="dxa"/>
              <w:jc w:val="center"/>
              <w:tblLayout w:type="fixed"/>
              <w:tblCellMar>
                <w:top w:w="0" w:type="dxa"/>
                <w:left w:w="108" w:type="dxa"/>
                <w:bottom w:w="0" w:type="dxa"/>
                <w:right w:w="108" w:type="dxa"/>
              </w:tblCellMar>
            </w:tblPr>
            <w:tblGrid>
              <w:gridCol w:w="929"/>
              <w:gridCol w:w="858"/>
              <w:gridCol w:w="1200"/>
              <w:gridCol w:w="1240"/>
              <w:gridCol w:w="975"/>
              <w:gridCol w:w="1062"/>
              <w:gridCol w:w="1061"/>
              <w:gridCol w:w="772"/>
            </w:tblGrid>
            <w:tr>
              <w:tblPrEx>
                <w:tblCellMar>
                  <w:top w:w="0" w:type="dxa"/>
                  <w:left w:w="108" w:type="dxa"/>
                  <w:bottom w:w="0" w:type="dxa"/>
                  <w:right w:w="108" w:type="dxa"/>
                </w:tblCellMar>
              </w:tblPrEx>
              <w:trPr>
                <w:trHeight w:val="301" w:hRule="atLeast"/>
                <w:jc w:val="center"/>
              </w:trPr>
              <w:tc>
                <w:tcPr>
                  <w:tcW w:w="1103" w:type="pct"/>
                  <w:gridSpan w:val="2"/>
                  <w:vMerge w:val="restar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snapToGrid w:val="0"/>
                      <w:color w:val="auto"/>
                      <w:kern w:val="0"/>
                      <w:sz w:val="21"/>
                      <w:szCs w:val="21"/>
                      <w:lang w:bidi="ar"/>
                    </w:rPr>
                    <w:t>产污环节</w:t>
                  </w:r>
                </w:p>
              </w:tc>
              <w:tc>
                <w:tcPr>
                  <w:tcW w:w="741" w:type="pct"/>
                  <w:vMerge w:val="restar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snapToGrid w:val="0"/>
                      <w:color w:val="auto"/>
                      <w:kern w:val="0"/>
                      <w:sz w:val="21"/>
                      <w:szCs w:val="21"/>
                      <w:lang w:bidi="ar"/>
                    </w:rPr>
                    <w:t>污染物</w:t>
                  </w:r>
                </w:p>
              </w:tc>
              <w:tc>
                <w:tcPr>
                  <w:tcW w:w="766" w:type="pct"/>
                  <w:vMerge w:val="restart"/>
                  <w:tcBorders>
                    <w:top w:val="single" w:color="000000" w:sz="4" w:space="0"/>
                    <w:left w:val="single" w:color="000000" w:sz="4" w:space="0"/>
                    <w:right w:val="single" w:color="000000" w:sz="4" w:space="0"/>
                  </w:tcBorders>
                  <w:vAlign w:val="center"/>
                </w:tcPr>
                <w:p>
                  <w:pPr>
                    <w:widowControl/>
                    <w:spacing w:line="240" w:lineRule="auto"/>
                    <w:ind w:firstLine="0" w:firstLineChars="0"/>
                    <w:jc w:val="center"/>
                    <w:textAlignment w:val="center"/>
                    <w:rPr>
                      <w:snapToGrid w:val="0"/>
                      <w:color w:val="auto"/>
                      <w:kern w:val="0"/>
                      <w:sz w:val="21"/>
                      <w:szCs w:val="21"/>
                      <w:lang w:bidi="ar"/>
                    </w:rPr>
                  </w:pPr>
                  <w:r>
                    <w:rPr>
                      <w:snapToGrid w:val="0"/>
                      <w:color w:val="auto"/>
                      <w:kern w:val="0"/>
                      <w:sz w:val="21"/>
                      <w:szCs w:val="21"/>
                      <w:lang w:bidi="ar"/>
                    </w:rPr>
                    <w:t>排放量</w:t>
                  </w:r>
                </w:p>
                <w:p>
                  <w:pPr>
                    <w:widowControl/>
                    <w:spacing w:line="240" w:lineRule="auto"/>
                    <w:ind w:firstLine="0" w:firstLineChars="0"/>
                    <w:jc w:val="center"/>
                    <w:textAlignment w:val="center"/>
                    <w:rPr>
                      <w:color w:val="auto"/>
                      <w:sz w:val="21"/>
                      <w:szCs w:val="21"/>
                    </w:rPr>
                  </w:pPr>
                  <w:r>
                    <w:rPr>
                      <w:snapToGrid w:val="0"/>
                      <w:color w:val="auto"/>
                      <w:kern w:val="0"/>
                      <w:sz w:val="21"/>
                      <w:szCs w:val="21"/>
                      <w:lang w:bidi="ar"/>
                    </w:rPr>
                    <w:t>t/a</w:t>
                  </w:r>
                </w:p>
              </w:tc>
              <w:tc>
                <w:tcPr>
                  <w:tcW w:w="602" w:type="pct"/>
                  <w:vMerge w:val="restart"/>
                  <w:tcBorders>
                    <w:top w:val="single" w:color="000000" w:sz="4" w:space="0"/>
                    <w:left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snapToGrid w:val="0"/>
                      <w:color w:val="auto"/>
                      <w:kern w:val="0"/>
                      <w:sz w:val="21"/>
                      <w:szCs w:val="21"/>
                      <w:lang w:bidi="ar"/>
                    </w:rPr>
                    <w:t>排放速率kg/h</w:t>
                  </w:r>
                </w:p>
              </w:tc>
              <w:tc>
                <w:tcPr>
                  <w:tcW w:w="656" w:type="pct"/>
                  <w:vMerge w:val="restart"/>
                  <w:tcBorders>
                    <w:top w:val="single" w:color="000000" w:sz="4" w:space="0"/>
                    <w:left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snapToGrid w:val="0"/>
                      <w:color w:val="auto"/>
                      <w:kern w:val="0"/>
                      <w:sz w:val="21"/>
                      <w:szCs w:val="21"/>
                      <w:lang w:bidi="ar"/>
                    </w:rPr>
                    <w:t>排放浓度mg/m</w:t>
                  </w:r>
                  <w:r>
                    <w:rPr>
                      <w:rStyle w:val="77"/>
                      <w:snapToGrid w:val="0"/>
                      <w:color w:val="auto"/>
                      <w:sz w:val="21"/>
                      <w:szCs w:val="21"/>
                      <w:lang w:bidi="ar"/>
                    </w:rPr>
                    <w:t>3</w:t>
                  </w:r>
                </w:p>
              </w:tc>
              <w:tc>
                <w:tcPr>
                  <w:tcW w:w="1130" w:type="pct"/>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color w:val="auto"/>
                      <w:sz w:val="21"/>
                      <w:szCs w:val="21"/>
                    </w:rPr>
                  </w:pPr>
                  <w:r>
                    <w:rPr>
                      <w:snapToGrid w:val="0"/>
                      <w:color w:val="auto"/>
                      <w:kern w:val="0"/>
                      <w:sz w:val="21"/>
                      <w:szCs w:val="21"/>
                      <w:lang w:bidi="ar"/>
                    </w:rPr>
                    <w:t>执行标准</w:t>
                  </w:r>
                  <w:r>
                    <w:rPr>
                      <w:rFonts w:hint="eastAsia"/>
                      <w:snapToGrid w:val="0"/>
                      <w:color w:val="auto"/>
                      <w:kern w:val="0"/>
                      <w:sz w:val="21"/>
                      <w:szCs w:val="21"/>
                      <w:lang w:bidi="ar"/>
                    </w:rPr>
                    <w:t>限值</w:t>
                  </w:r>
                </w:p>
              </w:tc>
            </w:tr>
            <w:tr>
              <w:tblPrEx>
                <w:tblCellMar>
                  <w:top w:w="0" w:type="dxa"/>
                  <w:left w:w="108" w:type="dxa"/>
                  <w:bottom w:w="0" w:type="dxa"/>
                  <w:right w:w="108" w:type="dxa"/>
                </w:tblCellMar>
              </w:tblPrEx>
              <w:trPr>
                <w:trHeight w:val="90" w:hRule="atLeast"/>
                <w:jc w:val="center"/>
              </w:trPr>
              <w:tc>
                <w:tcPr>
                  <w:tcW w:w="1103" w:type="pct"/>
                  <w:gridSpan w:val="2"/>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color w:val="auto"/>
                      <w:sz w:val="21"/>
                      <w:szCs w:val="21"/>
                    </w:rPr>
                  </w:pPr>
                </w:p>
              </w:tc>
              <w:tc>
                <w:tcPr>
                  <w:tcW w:w="741"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color w:val="auto"/>
                      <w:sz w:val="21"/>
                      <w:szCs w:val="21"/>
                    </w:rPr>
                  </w:pPr>
                </w:p>
              </w:tc>
              <w:tc>
                <w:tcPr>
                  <w:tcW w:w="766" w:type="pct"/>
                  <w:vMerge w:val="continue"/>
                  <w:tcBorders>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p>
              </w:tc>
              <w:tc>
                <w:tcPr>
                  <w:tcW w:w="602" w:type="pct"/>
                  <w:vMerge w:val="continue"/>
                  <w:tcBorders>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p>
              </w:tc>
              <w:tc>
                <w:tcPr>
                  <w:tcW w:w="656" w:type="pct"/>
                  <w:vMerge w:val="continue"/>
                  <w:tcBorders>
                    <w:left w:val="single" w:color="000000" w:sz="4" w:space="0"/>
                    <w:bottom w:val="single" w:color="000000" w:sz="4" w:space="0"/>
                    <w:right w:val="single" w:color="000000" w:sz="4" w:space="0"/>
                  </w:tcBorders>
                  <w:vAlign w:val="center"/>
                </w:tcPr>
                <w:p>
                  <w:pPr>
                    <w:widowControl/>
                    <w:spacing w:line="240" w:lineRule="auto"/>
                    <w:ind w:firstLine="0" w:firstLineChars="0"/>
                    <w:jc w:val="center"/>
                    <w:rPr>
                      <w:color w:val="auto"/>
                      <w:sz w:val="21"/>
                      <w:szCs w:val="21"/>
                    </w:rPr>
                  </w:pPr>
                </w:p>
              </w:tc>
              <w:tc>
                <w:tcPr>
                  <w:tcW w:w="655"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snapToGrid w:val="0"/>
                      <w:color w:val="auto"/>
                      <w:kern w:val="0"/>
                      <w:sz w:val="21"/>
                      <w:szCs w:val="21"/>
                      <w:lang w:bidi="ar"/>
                    </w:rPr>
                  </w:pPr>
                  <w:r>
                    <w:rPr>
                      <w:snapToGrid w:val="0"/>
                      <w:color w:val="auto"/>
                      <w:kern w:val="0"/>
                      <w:sz w:val="21"/>
                      <w:szCs w:val="21"/>
                      <w:lang w:bidi="ar"/>
                    </w:rPr>
                    <w:t>浓度</w:t>
                  </w:r>
                </w:p>
                <w:p>
                  <w:pPr>
                    <w:widowControl/>
                    <w:spacing w:line="240" w:lineRule="auto"/>
                    <w:ind w:firstLine="0" w:firstLineChars="0"/>
                    <w:jc w:val="center"/>
                    <w:textAlignment w:val="center"/>
                    <w:rPr>
                      <w:snapToGrid w:val="0"/>
                      <w:color w:val="auto"/>
                      <w:kern w:val="0"/>
                      <w:sz w:val="21"/>
                      <w:szCs w:val="21"/>
                      <w:lang w:bidi="ar"/>
                    </w:rPr>
                  </w:pPr>
                  <w:r>
                    <w:rPr>
                      <w:snapToGrid w:val="0"/>
                      <w:color w:val="auto"/>
                      <w:kern w:val="0"/>
                      <w:sz w:val="21"/>
                      <w:szCs w:val="21"/>
                      <w:lang w:bidi="ar"/>
                    </w:rPr>
                    <w:t>mg/m</w:t>
                  </w:r>
                  <w:r>
                    <w:rPr>
                      <w:rStyle w:val="77"/>
                      <w:snapToGrid w:val="0"/>
                      <w:color w:val="auto"/>
                      <w:sz w:val="21"/>
                      <w:szCs w:val="21"/>
                      <w:lang w:bidi="ar"/>
                    </w:rPr>
                    <w:t>3</w:t>
                  </w:r>
                </w:p>
              </w:tc>
              <w:tc>
                <w:tcPr>
                  <w:tcW w:w="474"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snapToGrid w:val="0"/>
                      <w:color w:val="auto"/>
                      <w:kern w:val="0"/>
                      <w:sz w:val="21"/>
                      <w:szCs w:val="21"/>
                      <w:lang w:bidi="ar"/>
                    </w:rPr>
                  </w:pPr>
                  <w:r>
                    <w:rPr>
                      <w:snapToGrid w:val="0"/>
                      <w:color w:val="auto"/>
                      <w:kern w:val="0"/>
                      <w:sz w:val="21"/>
                      <w:szCs w:val="21"/>
                      <w:lang w:bidi="ar"/>
                    </w:rPr>
                    <w:t>速率</w:t>
                  </w:r>
                </w:p>
                <w:p>
                  <w:pPr>
                    <w:widowControl/>
                    <w:spacing w:line="240" w:lineRule="auto"/>
                    <w:ind w:firstLine="0" w:firstLineChars="0"/>
                    <w:jc w:val="center"/>
                    <w:textAlignment w:val="center"/>
                    <w:rPr>
                      <w:snapToGrid w:val="0"/>
                      <w:color w:val="auto"/>
                      <w:kern w:val="0"/>
                      <w:sz w:val="21"/>
                      <w:szCs w:val="21"/>
                      <w:lang w:bidi="ar"/>
                    </w:rPr>
                  </w:pPr>
                  <w:r>
                    <w:rPr>
                      <w:snapToGrid w:val="0"/>
                      <w:color w:val="auto"/>
                      <w:kern w:val="0"/>
                      <w:sz w:val="21"/>
                      <w:szCs w:val="21"/>
                      <w:lang w:bidi="ar"/>
                    </w:rPr>
                    <w:t>kg/h</w:t>
                  </w:r>
                </w:p>
              </w:tc>
            </w:tr>
            <w:tr>
              <w:tblPrEx>
                <w:tblCellMar>
                  <w:top w:w="0" w:type="dxa"/>
                  <w:left w:w="108" w:type="dxa"/>
                  <w:bottom w:w="0" w:type="dxa"/>
                  <w:right w:w="108" w:type="dxa"/>
                </w:tblCellMar>
              </w:tblPrEx>
              <w:trPr>
                <w:trHeight w:val="274" w:hRule="atLeast"/>
                <w:jc w:val="center"/>
              </w:trPr>
              <w:tc>
                <w:tcPr>
                  <w:tcW w:w="5000" w:type="pct"/>
                  <w:gridSpan w:val="8"/>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snapToGrid w:val="0"/>
                      <w:color w:val="auto"/>
                      <w:kern w:val="0"/>
                      <w:sz w:val="21"/>
                      <w:szCs w:val="21"/>
                      <w:lang w:bidi="ar"/>
                    </w:rPr>
                    <w:t>有组织</w:t>
                  </w:r>
                </w:p>
              </w:tc>
            </w:tr>
            <w:tr>
              <w:tblPrEx>
                <w:tblCellMar>
                  <w:top w:w="0" w:type="dxa"/>
                  <w:left w:w="108" w:type="dxa"/>
                  <w:bottom w:w="0" w:type="dxa"/>
                  <w:right w:w="108" w:type="dxa"/>
                </w:tblCellMar>
              </w:tblPrEx>
              <w:trPr>
                <w:trHeight w:val="288" w:hRule="atLeast"/>
                <w:jc w:val="center"/>
              </w:trPr>
              <w:tc>
                <w:tcPr>
                  <w:tcW w:w="573" w:type="pct"/>
                  <w:vMerge w:val="restar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天然气蒸汽锅炉</w:t>
                  </w:r>
                </w:p>
              </w:tc>
              <w:tc>
                <w:tcPr>
                  <w:tcW w:w="530" w:type="pct"/>
                  <w:vMerge w:val="restar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snapToGrid w:val="0"/>
                      <w:color w:val="auto"/>
                      <w:kern w:val="0"/>
                      <w:sz w:val="21"/>
                      <w:szCs w:val="21"/>
                      <w:lang w:bidi="ar"/>
                    </w:rPr>
                    <w:t>DA001</w:t>
                  </w:r>
                </w:p>
              </w:tc>
              <w:tc>
                <w:tcPr>
                  <w:tcW w:w="741"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snapToGrid w:val="0"/>
                      <w:color w:val="auto"/>
                      <w:kern w:val="0"/>
                      <w:sz w:val="21"/>
                      <w:szCs w:val="21"/>
                      <w:lang w:bidi="ar"/>
                    </w:rPr>
                    <w:t>颗粒物</w:t>
                  </w:r>
                </w:p>
              </w:tc>
              <w:tc>
                <w:tcPr>
                  <w:tcW w:w="766"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2.49</w:t>
                  </w:r>
                </w:p>
              </w:tc>
              <w:tc>
                <w:tcPr>
                  <w:tcW w:w="60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0.31</w:t>
                  </w:r>
                </w:p>
              </w:tc>
              <w:tc>
                <w:tcPr>
                  <w:tcW w:w="656"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13.94</w:t>
                  </w:r>
                </w:p>
              </w:tc>
              <w:tc>
                <w:tcPr>
                  <w:tcW w:w="655"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30</w:t>
                  </w:r>
                </w:p>
              </w:tc>
              <w:tc>
                <w:tcPr>
                  <w:tcW w:w="474"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w:t>
                  </w:r>
                </w:p>
              </w:tc>
            </w:tr>
            <w:tr>
              <w:tblPrEx>
                <w:tblCellMar>
                  <w:top w:w="0" w:type="dxa"/>
                  <w:left w:w="108" w:type="dxa"/>
                  <w:bottom w:w="0" w:type="dxa"/>
                  <w:right w:w="108" w:type="dxa"/>
                </w:tblCellMar>
              </w:tblPrEx>
              <w:trPr>
                <w:trHeight w:val="301" w:hRule="atLeast"/>
                <w:jc w:val="center"/>
              </w:trPr>
              <w:tc>
                <w:tcPr>
                  <w:tcW w:w="5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color w:val="auto"/>
                      <w:sz w:val="21"/>
                      <w:szCs w:val="21"/>
                    </w:rPr>
                  </w:pPr>
                </w:p>
              </w:tc>
              <w:tc>
                <w:tcPr>
                  <w:tcW w:w="530"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color w:val="auto"/>
                      <w:sz w:val="21"/>
                      <w:szCs w:val="21"/>
                    </w:rPr>
                  </w:pPr>
                </w:p>
              </w:tc>
              <w:tc>
                <w:tcPr>
                  <w:tcW w:w="741"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snapToGrid w:val="0"/>
                      <w:color w:val="auto"/>
                      <w:kern w:val="0"/>
                      <w:sz w:val="21"/>
                      <w:szCs w:val="21"/>
                      <w:lang w:bidi="ar"/>
                    </w:rPr>
                    <w:t>二氧化硫</w:t>
                  </w:r>
                </w:p>
              </w:tc>
              <w:tc>
                <w:tcPr>
                  <w:tcW w:w="766"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3.32</w:t>
                  </w:r>
                </w:p>
              </w:tc>
              <w:tc>
                <w:tcPr>
                  <w:tcW w:w="60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0.42</w:t>
                  </w:r>
                </w:p>
              </w:tc>
              <w:tc>
                <w:tcPr>
                  <w:tcW w:w="656"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18.59</w:t>
                  </w:r>
                </w:p>
              </w:tc>
              <w:tc>
                <w:tcPr>
                  <w:tcW w:w="655"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100</w:t>
                  </w:r>
                </w:p>
              </w:tc>
              <w:tc>
                <w:tcPr>
                  <w:tcW w:w="474"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w:t>
                  </w:r>
                </w:p>
              </w:tc>
            </w:tr>
            <w:tr>
              <w:tblPrEx>
                <w:tblCellMar>
                  <w:top w:w="0" w:type="dxa"/>
                  <w:left w:w="108" w:type="dxa"/>
                  <w:bottom w:w="0" w:type="dxa"/>
                  <w:right w:w="108" w:type="dxa"/>
                </w:tblCellMar>
              </w:tblPrEx>
              <w:trPr>
                <w:trHeight w:val="90" w:hRule="atLeast"/>
                <w:jc w:val="center"/>
              </w:trPr>
              <w:tc>
                <w:tcPr>
                  <w:tcW w:w="573"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color w:val="auto"/>
                      <w:sz w:val="21"/>
                      <w:szCs w:val="21"/>
                    </w:rPr>
                  </w:pPr>
                </w:p>
              </w:tc>
              <w:tc>
                <w:tcPr>
                  <w:tcW w:w="530" w:type="pct"/>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color w:val="auto"/>
                      <w:sz w:val="21"/>
                      <w:szCs w:val="21"/>
                    </w:rPr>
                  </w:pPr>
                </w:p>
              </w:tc>
              <w:tc>
                <w:tcPr>
                  <w:tcW w:w="741"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snapToGrid w:val="0"/>
                      <w:color w:val="auto"/>
                      <w:kern w:val="0"/>
                      <w:sz w:val="21"/>
                      <w:szCs w:val="21"/>
                      <w:lang w:bidi="ar"/>
                    </w:rPr>
                    <w:t>氮氧化物</w:t>
                  </w:r>
                </w:p>
              </w:tc>
              <w:tc>
                <w:tcPr>
                  <w:tcW w:w="766"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5.02</w:t>
                  </w:r>
                </w:p>
              </w:tc>
              <w:tc>
                <w:tcPr>
                  <w:tcW w:w="60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0.63</w:t>
                  </w:r>
                </w:p>
              </w:tc>
              <w:tc>
                <w:tcPr>
                  <w:tcW w:w="656"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28.10</w:t>
                  </w:r>
                </w:p>
              </w:tc>
              <w:tc>
                <w:tcPr>
                  <w:tcW w:w="655"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50</w:t>
                  </w:r>
                </w:p>
              </w:tc>
              <w:tc>
                <w:tcPr>
                  <w:tcW w:w="474"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w:t>
                  </w:r>
                </w:p>
              </w:tc>
            </w:tr>
            <w:tr>
              <w:tblPrEx>
                <w:tblCellMar>
                  <w:top w:w="0" w:type="dxa"/>
                  <w:left w:w="108" w:type="dxa"/>
                  <w:bottom w:w="0" w:type="dxa"/>
                  <w:right w:w="108" w:type="dxa"/>
                </w:tblCellMar>
              </w:tblPrEx>
              <w:trPr>
                <w:trHeight w:val="104" w:hRule="atLeast"/>
                <w:jc w:val="center"/>
              </w:trPr>
              <w:tc>
                <w:tcPr>
                  <w:tcW w:w="573"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蒸汽压力釜烘干过程</w:t>
                  </w:r>
                </w:p>
              </w:tc>
              <w:tc>
                <w:tcPr>
                  <w:tcW w:w="530"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color w:val="auto"/>
                      <w:sz w:val="21"/>
                      <w:szCs w:val="21"/>
                    </w:rPr>
                  </w:pPr>
                  <w:r>
                    <w:rPr>
                      <w:snapToGrid w:val="0"/>
                      <w:color w:val="auto"/>
                      <w:kern w:val="0"/>
                      <w:sz w:val="21"/>
                      <w:szCs w:val="21"/>
                      <w:lang w:bidi="ar"/>
                    </w:rPr>
                    <w:t>DA00</w:t>
                  </w:r>
                  <w:r>
                    <w:rPr>
                      <w:rFonts w:hint="eastAsia"/>
                      <w:snapToGrid w:val="0"/>
                      <w:color w:val="auto"/>
                      <w:kern w:val="0"/>
                      <w:sz w:val="21"/>
                      <w:szCs w:val="21"/>
                      <w:lang w:bidi="ar"/>
                    </w:rPr>
                    <w:t>2</w:t>
                  </w:r>
                </w:p>
              </w:tc>
              <w:tc>
                <w:tcPr>
                  <w:tcW w:w="741"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snapToGrid w:val="0"/>
                      <w:color w:val="auto"/>
                      <w:kern w:val="0"/>
                      <w:sz w:val="21"/>
                      <w:szCs w:val="21"/>
                      <w:lang w:bidi="ar"/>
                    </w:rPr>
                    <w:t>颗粒物</w:t>
                  </w:r>
                </w:p>
              </w:tc>
              <w:tc>
                <w:tcPr>
                  <w:tcW w:w="766"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2.23</w:t>
                  </w:r>
                </w:p>
              </w:tc>
              <w:tc>
                <w:tcPr>
                  <w:tcW w:w="60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0.28</w:t>
                  </w:r>
                </w:p>
              </w:tc>
              <w:tc>
                <w:tcPr>
                  <w:tcW w:w="656"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5.05</w:t>
                  </w:r>
                </w:p>
              </w:tc>
              <w:tc>
                <w:tcPr>
                  <w:tcW w:w="655"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200</w:t>
                  </w:r>
                </w:p>
              </w:tc>
              <w:tc>
                <w:tcPr>
                  <w:tcW w:w="474"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color w:val="auto"/>
                      <w:sz w:val="21"/>
                      <w:szCs w:val="21"/>
                    </w:rPr>
                  </w:pPr>
                  <w:r>
                    <w:rPr>
                      <w:snapToGrid w:val="0"/>
                      <w:color w:val="auto"/>
                      <w:kern w:val="0"/>
                      <w:sz w:val="21"/>
                      <w:szCs w:val="21"/>
                      <w:lang w:bidi="ar"/>
                    </w:rPr>
                    <w:t>/</w:t>
                  </w:r>
                </w:p>
              </w:tc>
            </w:tr>
            <w:tr>
              <w:tblPrEx>
                <w:tblCellMar>
                  <w:top w:w="0" w:type="dxa"/>
                  <w:left w:w="108" w:type="dxa"/>
                  <w:bottom w:w="0" w:type="dxa"/>
                  <w:right w:w="108" w:type="dxa"/>
                </w:tblCellMar>
              </w:tblPrEx>
              <w:trPr>
                <w:trHeight w:val="274" w:hRule="atLeast"/>
                <w:jc w:val="center"/>
              </w:trPr>
              <w:tc>
                <w:tcPr>
                  <w:tcW w:w="5000" w:type="pct"/>
                  <w:gridSpan w:val="8"/>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color w:val="auto"/>
                      <w:sz w:val="21"/>
                      <w:szCs w:val="21"/>
                    </w:rPr>
                  </w:pPr>
                  <w:r>
                    <w:rPr>
                      <w:snapToGrid w:val="0"/>
                      <w:color w:val="auto"/>
                      <w:kern w:val="0"/>
                      <w:sz w:val="21"/>
                      <w:szCs w:val="21"/>
                      <w:lang w:bidi="ar"/>
                    </w:rPr>
                    <w:t>无组织</w:t>
                  </w:r>
                </w:p>
              </w:tc>
            </w:tr>
            <w:tr>
              <w:tblPrEx>
                <w:tblCellMar>
                  <w:top w:w="0" w:type="dxa"/>
                  <w:left w:w="108" w:type="dxa"/>
                  <w:bottom w:w="0" w:type="dxa"/>
                  <w:right w:w="108" w:type="dxa"/>
                </w:tblCellMar>
              </w:tblPrEx>
              <w:trPr>
                <w:trHeight w:val="274" w:hRule="atLeast"/>
                <w:jc w:val="center"/>
              </w:trPr>
              <w:tc>
                <w:tcPr>
                  <w:tcW w:w="1103" w:type="pct"/>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color w:val="auto"/>
                      <w:sz w:val="21"/>
                      <w:szCs w:val="21"/>
                    </w:rPr>
                  </w:pPr>
                  <w:r>
                    <w:rPr>
                      <w:color w:val="auto"/>
                      <w:sz w:val="21"/>
                      <w:szCs w:val="21"/>
                    </w:rPr>
                    <w:t>成品煤装卸及堆存过程</w:t>
                  </w:r>
                </w:p>
              </w:tc>
              <w:tc>
                <w:tcPr>
                  <w:tcW w:w="741"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snapToGrid w:val="0"/>
                      <w:color w:val="auto"/>
                      <w:kern w:val="0"/>
                      <w:sz w:val="21"/>
                      <w:szCs w:val="21"/>
                      <w:lang w:bidi="ar"/>
                    </w:rPr>
                    <w:t>颗粒物</w:t>
                  </w:r>
                </w:p>
              </w:tc>
              <w:tc>
                <w:tcPr>
                  <w:tcW w:w="766"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2.36</w:t>
                  </w:r>
                </w:p>
              </w:tc>
              <w:tc>
                <w:tcPr>
                  <w:tcW w:w="602"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0.30</w:t>
                  </w:r>
                </w:p>
              </w:tc>
              <w:tc>
                <w:tcPr>
                  <w:tcW w:w="656"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color w:val="auto"/>
                      <w:sz w:val="21"/>
                      <w:szCs w:val="21"/>
                    </w:rPr>
                  </w:pPr>
                  <w:r>
                    <w:rPr>
                      <w:snapToGrid w:val="0"/>
                      <w:color w:val="auto"/>
                      <w:kern w:val="0"/>
                      <w:sz w:val="21"/>
                      <w:szCs w:val="21"/>
                      <w:lang w:bidi="ar"/>
                    </w:rPr>
                    <w:t>/</w:t>
                  </w:r>
                </w:p>
              </w:tc>
              <w:tc>
                <w:tcPr>
                  <w:tcW w:w="655"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color w:val="auto"/>
                      <w:sz w:val="21"/>
                      <w:szCs w:val="21"/>
                    </w:rPr>
                  </w:pPr>
                  <w:r>
                    <w:rPr>
                      <w:rFonts w:hint="eastAsia"/>
                      <w:snapToGrid w:val="0"/>
                      <w:color w:val="auto"/>
                      <w:kern w:val="0"/>
                      <w:sz w:val="21"/>
                      <w:szCs w:val="21"/>
                      <w:lang w:bidi="ar"/>
                    </w:rPr>
                    <w:t>1.0</w:t>
                  </w:r>
                </w:p>
              </w:tc>
              <w:tc>
                <w:tcPr>
                  <w:tcW w:w="474"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color w:val="auto"/>
                      <w:sz w:val="21"/>
                      <w:szCs w:val="21"/>
                    </w:rPr>
                  </w:pPr>
                  <w:r>
                    <w:rPr>
                      <w:snapToGrid w:val="0"/>
                      <w:color w:val="auto"/>
                      <w:kern w:val="0"/>
                      <w:sz w:val="21"/>
                      <w:szCs w:val="21"/>
                      <w:lang w:bidi="ar"/>
                    </w:rPr>
                    <w:t>/</w:t>
                  </w:r>
                </w:p>
              </w:tc>
            </w:tr>
          </w:tbl>
          <w:p>
            <w:pPr>
              <w:ind w:firstLine="480"/>
              <w:rPr>
                <w:color w:val="auto"/>
              </w:rPr>
            </w:pPr>
            <w:r>
              <w:rPr>
                <w:color w:val="auto"/>
              </w:rPr>
              <w:t>由上表可知</w:t>
            </w:r>
            <w:r>
              <w:rPr>
                <w:rFonts w:hint="eastAsia"/>
                <w:color w:val="auto"/>
              </w:rPr>
              <w:t>各个有组织排放口均达标排放。</w:t>
            </w:r>
          </w:p>
          <w:p>
            <w:pPr>
              <w:ind w:firstLine="482"/>
              <w:rPr>
                <w:b/>
                <w:bCs/>
                <w:color w:val="auto"/>
              </w:rPr>
            </w:pPr>
            <w:r>
              <w:rPr>
                <w:rFonts w:hint="eastAsia"/>
                <w:b/>
                <w:bCs/>
                <w:color w:val="auto"/>
                <w:lang w:eastAsia="zh-CN"/>
              </w:rPr>
              <w:t>3.</w:t>
            </w:r>
            <w:r>
              <w:rPr>
                <w:b/>
                <w:bCs/>
                <w:color w:val="auto"/>
              </w:rPr>
              <w:t>废气处理措施可行性分析</w:t>
            </w:r>
          </w:p>
          <w:p>
            <w:pPr>
              <w:ind w:firstLine="480"/>
              <w:rPr>
                <w:bCs/>
                <w:color w:val="auto"/>
                <w:spacing w:val="-10"/>
              </w:rPr>
            </w:pPr>
            <w:r>
              <w:rPr>
                <w:color w:val="auto"/>
              </w:rPr>
              <w:t>本项目废气主要包括成品装卸及堆存产生的粉尘、</w:t>
            </w:r>
            <w:r>
              <w:rPr>
                <w:rFonts w:hint="eastAsia"/>
                <w:color w:val="auto"/>
              </w:rPr>
              <w:t>蒸汽压力釜烘干过程中产生的粉尘、</w:t>
            </w:r>
            <w:r>
              <w:rPr>
                <w:color w:val="auto"/>
              </w:rPr>
              <w:t>天然气蒸汽锅炉燃烧废气。</w:t>
            </w:r>
          </w:p>
          <w:p>
            <w:pPr>
              <w:ind w:firstLine="480"/>
              <w:rPr>
                <w:color w:val="auto"/>
              </w:rPr>
            </w:pPr>
            <w:r>
              <w:rPr>
                <w:color w:val="auto"/>
              </w:rPr>
              <w:t>成品装卸及堆存扬尘通过全封闭储全封闭煤棚、输送机全封闭和喷淋洒水等措施来减轻对环境的影响，采取措施后产生的装卸扬尘排放浓度满足《煤炭工业污染物排放标准》（GB20426-2006）中表5煤炭工业无组织排放限值，颗粒物1.0mg/m³</w:t>
            </w:r>
            <w:r>
              <w:rPr>
                <w:rFonts w:hint="eastAsia"/>
                <w:color w:val="auto"/>
              </w:rPr>
              <w:t>。</w:t>
            </w:r>
          </w:p>
          <w:p>
            <w:pPr>
              <w:ind w:firstLine="480"/>
              <w:rPr>
                <w:color w:val="auto"/>
              </w:rPr>
            </w:pPr>
            <w:r>
              <w:rPr>
                <w:color w:val="auto"/>
              </w:rPr>
              <w:t>煤炭</w:t>
            </w:r>
            <w:r>
              <w:rPr>
                <w:rFonts w:hint="eastAsia"/>
                <w:color w:val="auto"/>
              </w:rPr>
              <w:t>蒸汽压力釜</w:t>
            </w:r>
            <w:r>
              <w:rPr>
                <w:color w:val="auto"/>
              </w:rPr>
              <w:t>物料起尘位于全封闭煤炭</w:t>
            </w:r>
            <w:r>
              <w:rPr>
                <w:rFonts w:hint="eastAsia"/>
                <w:color w:val="auto"/>
              </w:rPr>
              <w:t>蒸汽压力釜</w:t>
            </w:r>
            <w:r>
              <w:rPr>
                <w:color w:val="auto"/>
              </w:rPr>
              <w:t>内进行，</w:t>
            </w:r>
            <w:r>
              <w:rPr>
                <w:rFonts w:hint="eastAsia"/>
                <w:color w:val="auto"/>
              </w:rPr>
              <w:t>产生的粉尘经袋式除尘器处理后，最终由15m高排气筒排放，采取措施后排放的有组织颗粒物排放浓度满足《工业炉窑大气污染物排放标准》（GB9078-1996）中烟尘允许排放限值200mg/m³。</w:t>
            </w:r>
          </w:p>
          <w:p>
            <w:pPr>
              <w:ind w:firstLine="480"/>
              <w:rPr>
                <w:color w:val="auto"/>
              </w:rPr>
            </w:pPr>
            <w:r>
              <w:rPr>
                <w:color w:val="auto"/>
              </w:rPr>
              <w:t>天然气蒸汽锅炉废气处理设施：本项目天然气蒸汽锅炉配置1套低氮燃烧器，符合《排污许可证申请与核发技术规范锅炉》（HJ953-2018）“表7锅炉烟气污染防治可行技术”中燃气锅炉的可行性技术，因此本项目设置的废气治理措施可行。根据《锅炉大气污染物排放标准》（GB13271-2014）中“燃油、燃气锅炉烟囱不低于</w:t>
            </w:r>
            <w:r>
              <w:rPr>
                <w:rFonts w:hint="eastAsia"/>
                <w:color w:val="auto"/>
              </w:rPr>
              <w:t>8</w:t>
            </w:r>
            <w:r>
              <w:rPr>
                <w:color w:val="auto"/>
              </w:rPr>
              <w:t>米，锅炉烟囱的具体高度按批复的环境影响评价文件确定。新建锅炉房的烟囱周围半径200m距离内有建筑物时，其烟囱应高出最高建筑物3m以上。本项目建设的建构筑物中最高为</w:t>
            </w:r>
            <w:r>
              <w:rPr>
                <w:rFonts w:hint="eastAsia"/>
                <w:color w:val="auto"/>
              </w:rPr>
              <w:t>10</w:t>
            </w:r>
            <w:r>
              <w:rPr>
                <w:color w:val="auto"/>
              </w:rPr>
              <w:t>，故本项目</w:t>
            </w:r>
            <w:r>
              <w:rPr>
                <w:rFonts w:hint="eastAsia"/>
                <w:color w:val="auto"/>
              </w:rPr>
              <w:t>13</w:t>
            </w:r>
            <w:r>
              <w:rPr>
                <w:color w:val="auto"/>
              </w:rPr>
              <w:t>m高的排气筒设置合理。</w:t>
            </w:r>
          </w:p>
          <w:p>
            <w:pPr>
              <w:ind w:firstLine="482"/>
              <w:rPr>
                <w:b/>
                <w:bCs/>
                <w:color w:val="auto"/>
              </w:rPr>
            </w:pPr>
            <w:r>
              <w:rPr>
                <w:rFonts w:hint="eastAsia"/>
                <w:b/>
                <w:bCs/>
                <w:color w:val="auto"/>
                <w:lang w:eastAsia="zh-CN"/>
              </w:rPr>
              <w:t>3.</w:t>
            </w:r>
            <w:r>
              <w:rPr>
                <w:b/>
                <w:bCs/>
                <w:color w:val="auto"/>
              </w:rPr>
              <w:t>非正常工况下废气排放情况</w:t>
            </w:r>
          </w:p>
          <w:p>
            <w:pPr>
              <w:ind w:firstLine="480"/>
              <w:rPr>
                <w:color w:val="auto"/>
              </w:rPr>
            </w:pPr>
            <w:r>
              <w:rPr>
                <w:color w:val="auto"/>
              </w:rPr>
              <w:t>项目非正常工况污染源主要为废气治理设施故障导致的废气非正常排放，该情况下的事故废气排放污染源强按未经处理的污染物产生量计算，非正常工况下主要大气污染物的排放源强见下表。</w:t>
            </w:r>
          </w:p>
          <w:p>
            <w:pPr>
              <w:ind w:firstLine="0" w:firstLineChars="0"/>
              <w:jc w:val="center"/>
              <w:rPr>
                <w:b/>
                <w:bCs/>
                <w:color w:val="auto"/>
              </w:rPr>
            </w:pPr>
            <w:r>
              <w:rPr>
                <w:b/>
                <w:bCs/>
                <w:color w:val="auto"/>
              </w:rPr>
              <w:t>表4-</w:t>
            </w:r>
            <w:r>
              <w:rPr>
                <w:rFonts w:hint="eastAsia"/>
                <w:b/>
                <w:bCs/>
                <w:color w:val="auto"/>
              </w:rPr>
              <w:t>2</w:t>
            </w:r>
            <w:r>
              <w:rPr>
                <w:b/>
                <w:bCs/>
                <w:color w:val="auto"/>
              </w:rPr>
              <w:t>非正常工况废气排放情况一览表</w:t>
            </w:r>
          </w:p>
          <w:tbl>
            <w:tblPr>
              <w:tblStyle w:val="22"/>
              <w:tblW w:w="78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5"/>
              <w:gridCol w:w="1339"/>
              <w:gridCol w:w="789"/>
              <w:gridCol w:w="862"/>
              <w:gridCol w:w="1108"/>
              <w:gridCol w:w="1113"/>
              <w:gridCol w:w="1068"/>
              <w:gridCol w:w="7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trPr>
              <w:tc>
                <w:tcPr>
                  <w:tcW w:w="825" w:type="dxa"/>
                  <w:vAlign w:val="center"/>
                </w:tcPr>
                <w:p>
                  <w:pPr>
                    <w:spacing w:line="240" w:lineRule="auto"/>
                    <w:ind w:firstLine="0" w:firstLineChars="0"/>
                    <w:jc w:val="center"/>
                    <w:rPr>
                      <w:color w:val="auto"/>
                    </w:rPr>
                  </w:pPr>
                  <w:r>
                    <w:rPr>
                      <w:color w:val="auto"/>
                    </w:rPr>
                    <w:t>情形</w:t>
                  </w:r>
                </w:p>
              </w:tc>
              <w:tc>
                <w:tcPr>
                  <w:tcW w:w="1339" w:type="dxa"/>
                  <w:vAlign w:val="center"/>
                </w:tcPr>
                <w:p>
                  <w:pPr>
                    <w:spacing w:line="240" w:lineRule="auto"/>
                    <w:ind w:firstLine="0" w:firstLineChars="0"/>
                    <w:jc w:val="center"/>
                    <w:rPr>
                      <w:color w:val="auto"/>
                    </w:rPr>
                  </w:pPr>
                  <w:r>
                    <w:rPr>
                      <w:color w:val="auto"/>
                    </w:rPr>
                    <w:t>排放口</w:t>
                  </w:r>
                </w:p>
              </w:tc>
              <w:tc>
                <w:tcPr>
                  <w:tcW w:w="789" w:type="dxa"/>
                  <w:vAlign w:val="center"/>
                </w:tcPr>
                <w:p>
                  <w:pPr>
                    <w:spacing w:line="240" w:lineRule="auto"/>
                    <w:ind w:firstLine="0" w:firstLineChars="0"/>
                    <w:jc w:val="center"/>
                    <w:rPr>
                      <w:color w:val="auto"/>
                    </w:rPr>
                  </w:pPr>
                  <w:r>
                    <w:rPr>
                      <w:color w:val="auto"/>
                    </w:rPr>
                    <w:t>去除效率</w:t>
                  </w:r>
                </w:p>
              </w:tc>
              <w:tc>
                <w:tcPr>
                  <w:tcW w:w="862" w:type="dxa"/>
                  <w:vAlign w:val="center"/>
                </w:tcPr>
                <w:p>
                  <w:pPr>
                    <w:spacing w:line="240" w:lineRule="auto"/>
                    <w:ind w:firstLine="0" w:firstLineChars="0"/>
                    <w:jc w:val="center"/>
                    <w:rPr>
                      <w:color w:val="auto"/>
                    </w:rPr>
                  </w:pPr>
                  <w:r>
                    <w:rPr>
                      <w:color w:val="auto"/>
                    </w:rPr>
                    <w:t>持续时间</w:t>
                  </w:r>
                </w:p>
              </w:tc>
              <w:tc>
                <w:tcPr>
                  <w:tcW w:w="1108" w:type="dxa"/>
                  <w:vAlign w:val="center"/>
                </w:tcPr>
                <w:p>
                  <w:pPr>
                    <w:spacing w:line="240" w:lineRule="auto"/>
                    <w:ind w:firstLine="0" w:firstLineChars="0"/>
                    <w:jc w:val="center"/>
                    <w:rPr>
                      <w:color w:val="auto"/>
                    </w:rPr>
                  </w:pPr>
                  <w:r>
                    <w:rPr>
                      <w:color w:val="auto"/>
                    </w:rPr>
                    <w:t>污染物</w:t>
                  </w:r>
                </w:p>
              </w:tc>
              <w:tc>
                <w:tcPr>
                  <w:tcW w:w="1113" w:type="dxa"/>
                  <w:vAlign w:val="center"/>
                </w:tcPr>
                <w:p>
                  <w:pPr>
                    <w:spacing w:line="240" w:lineRule="auto"/>
                    <w:ind w:firstLine="0" w:firstLineChars="0"/>
                    <w:jc w:val="center"/>
                    <w:rPr>
                      <w:color w:val="auto"/>
                    </w:rPr>
                  </w:pPr>
                  <w:r>
                    <w:rPr>
                      <w:color w:val="auto"/>
                    </w:rPr>
                    <w:t>排放浓度</w:t>
                  </w:r>
                </w:p>
              </w:tc>
              <w:tc>
                <w:tcPr>
                  <w:tcW w:w="1068" w:type="dxa"/>
                  <w:vAlign w:val="center"/>
                </w:tcPr>
                <w:p>
                  <w:pPr>
                    <w:spacing w:line="240" w:lineRule="auto"/>
                    <w:ind w:firstLine="0" w:firstLineChars="0"/>
                    <w:jc w:val="center"/>
                    <w:rPr>
                      <w:color w:val="auto"/>
                    </w:rPr>
                  </w:pPr>
                  <w:r>
                    <w:rPr>
                      <w:color w:val="auto"/>
                    </w:rPr>
                    <w:t>排放量</w:t>
                  </w:r>
                </w:p>
              </w:tc>
              <w:tc>
                <w:tcPr>
                  <w:tcW w:w="774" w:type="dxa"/>
                  <w:vAlign w:val="center"/>
                </w:tcPr>
                <w:p>
                  <w:pPr>
                    <w:spacing w:line="240" w:lineRule="auto"/>
                    <w:ind w:firstLine="0" w:firstLineChars="0"/>
                    <w:jc w:val="center"/>
                    <w:rPr>
                      <w:color w:val="auto"/>
                    </w:rPr>
                  </w:pPr>
                  <w:r>
                    <w:rPr>
                      <w:color w:val="auto"/>
                    </w:rPr>
                    <w:t>应对措施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trPr>
              <w:tc>
                <w:tcPr>
                  <w:tcW w:w="825" w:type="dxa"/>
                  <w:vMerge w:val="restart"/>
                  <w:vAlign w:val="center"/>
                </w:tcPr>
                <w:p>
                  <w:pPr>
                    <w:spacing w:line="240" w:lineRule="auto"/>
                    <w:ind w:firstLine="0" w:firstLineChars="0"/>
                    <w:jc w:val="center"/>
                    <w:rPr>
                      <w:color w:val="auto"/>
                    </w:rPr>
                  </w:pPr>
                  <w:r>
                    <w:rPr>
                      <w:color w:val="auto"/>
                    </w:rPr>
                    <w:t>设备故障</w:t>
                  </w:r>
                </w:p>
              </w:tc>
              <w:tc>
                <w:tcPr>
                  <w:tcW w:w="1339" w:type="dxa"/>
                  <w:vMerge w:val="restart"/>
                  <w:vAlign w:val="center"/>
                </w:tcPr>
                <w:p>
                  <w:pPr>
                    <w:spacing w:line="240" w:lineRule="auto"/>
                    <w:ind w:firstLine="0" w:firstLineChars="0"/>
                    <w:jc w:val="center"/>
                    <w:rPr>
                      <w:color w:val="auto"/>
                    </w:rPr>
                  </w:pPr>
                  <w:r>
                    <w:rPr>
                      <w:color w:val="auto"/>
                    </w:rPr>
                    <w:t>天然气蒸汽锅炉废气排放口DA001</w:t>
                  </w:r>
                </w:p>
              </w:tc>
              <w:tc>
                <w:tcPr>
                  <w:tcW w:w="789" w:type="dxa"/>
                  <w:vMerge w:val="restart"/>
                  <w:vAlign w:val="center"/>
                </w:tcPr>
                <w:p>
                  <w:pPr>
                    <w:spacing w:line="240" w:lineRule="auto"/>
                    <w:ind w:firstLine="0" w:firstLineChars="0"/>
                    <w:jc w:val="center"/>
                    <w:rPr>
                      <w:color w:val="auto"/>
                    </w:rPr>
                  </w:pPr>
                  <w:r>
                    <w:rPr>
                      <w:color w:val="auto"/>
                    </w:rPr>
                    <w:t>0</w:t>
                  </w:r>
                </w:p>
              </w:tc>
              <w:tc>
                <w:tcPr>
                  <w:tcW w:w="862" w:type="dxa"/>
                  <w:vMerge w:val="restart"/>
                  <w:vAlign w:val="center"/>
                </w:tcPr>
                <w:p>
                  <w:pPr>
                    <w:spacing w:line="240" w:lineRule="auto"/>
                    <w:ind w:firstLine="0" w:firstLineChars="0"/>
                    <w:jc w:val="center"/>
                    <w:rPr>
                      <w:color w:val="auto"/>
                    </w:rPr>
                  </w:pPr>
                  <w:r>
                    <w:rPr>
                      <w:color w:val="auto"/>
                    </w:rPr>
                    <w:t>0.5h</w:t>
                  </w:r>
                </w:p>
              </w:tc>
              <w:tc>
                <w:tcPr>
                  <w:tcW w:w="1108" w:type="dxa"/>
                  <w:vAlign w:val="center"/>
                </w:tcPr>
                <w:p>
                  <w:pPr>
                    <w:spacing w:line="240" w:lineRule="auto"/>
                    <w:ind w:firstLine="0" w:firstLineChars="0"/>
                    <w:jc w:val="center"/>
                    <w:rPr>
                      <w:color w:val="auto"/>
                    </w:rPr>
                  </w:pPr>
                  <w:r>
                    <w:rPr>
                      <w:color w:val="auto"/>
                    </w:rPr>
                    <w:t>二氧化硫</w:t>
                  </w:r>
                </w:p>
              </w:tc>
              <w:tc>
                <w:tcPr>
                  <w:tcW w:w="1113" w:type="dxa"/>
                  <w:vAlign w:val="center"/>
                </w:tcPr>
                <w:p>
                  <w:pPr>
                    <w:spacing w:line="240" w:lineRule="auto"/>
                    <w:ind w:firstLine="0" w:firstLineChars="0"/>
                    <w:jc w:val="center"/>
                    <w:rPr>
                      <w:color w:val="auto"/>
                    </w:rPr>
                  </w:pPr>
                  <w:r>
                    <w:rPr>
                      <w:color w:val="auto"/>
                    </w:rPr>
                    <w:t>18.5</w:t>
                  </w:r>
                  <w:r>
                    <w:rPr>
                      <w:rFonts w:hint="eastAsia"/>
                      <w:color w:val="auto"/>
                    </w:rPr>
                    <w:t>4</w:t>
                  </w:r>
                  <w:r>
                    <w:rPr>
                      <w:color w:val="auto"/>
                    </w:rPr>
                    <w:t>mg/m³</w:t>
                  </w:r>
                </w:p>
              </w:tc>
              <w:tc>
                <w:tcPr>
                  <w:tcW w:w="1068" w:type="dxa"/>
                  <w:vAlign w:val="center"/>
                </w:tcPr>
                <w:p>
                  <w:pPr>
                    <w:spacing w:line="240" w:lineRule="auto"/>
                    <w:ind w:firstLine="0" w:firstLineChars="0"/>
                    <w:jc w:val="center"/>
                    <w:rPr>
                      <w:color w:val="auto"/>
                    </w:rPr>
                  </w:pPr>
                  <w:r>
                    <w:rPr>
                      <w:rFonts w:hint="eastAsia"/>
                      <w:color w:val="auto"/>
                    </w:rPr>
                    <w:t>3.51</w:t>
                  </w:r>
                  <w:r>
                    <w:rPr>
                      <w:color w:val="auto"/>
                    </w:rPr>
                    <w:t>t/a</w:t>
                  </w:r>
                </w:p>
              </w:tc>
              <w:tc>
                <w:tcPr>
                  <w:tcW w:w="774" w:type="dxa"/>
                  <w:vMerge w:val="restart"/>
                  <w:vAlign w:val="center"/>
                </w:tcPr>
                <w:p>
                  <w:pPr>
                    <w:spacing w:line="240" w:lineRule="auto"/>
                    <w:ind w:firstLine="0" w:firstLineChars="0"/>
                    <w:jc w:val="center"/>
                    <w:rPr>
                      <w:color w:val="auto"/>
                    </w:rPr>
                  </w:pPr>
                  <w:r>
                    <w:rPr>
                      <w:color w:val="auto"/>
                    </w:rPr>
                    <w:t>停产检修，日常维护保养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trPr>
              <w:tc>
                <w:tcPr>
                  <w:tcW w:w="825" w:type="dxa"/>
                  <w:vMerge w:val="continue"/>
                  <w:vAlign w:val="center"/>
                </w:tcPr>
                <w:p>
                  <w:pPr>
                    <w:spacing w:line="240" w:lineRule="auto"/>
                    <w:ind w:firstLine="0" w:firstLineChars="0"/>
                    <w:jc w:val="center"/>
                    <w:rPr>
                      <w:color w:val="auto"/>
                    </w:rPr>
                  </w:pPr>
                </w:p>
              </w:tc>
              <w:tc>
                <w:tcPr>
                  <w:tcW w:w="1339" w:type="dxa"/>
                  <w:vMerge w:val="continue"/>
                  <w:vAlign w:val="center"/>
                </w:tcPr>
                <w:p>
                  <w:pPr>
                    <w:spacing w:line="240" w:lineRule="auto"/>
                    <w:ind w:firstLine="0" w:firstLineChars="0"/>
                    <w:jc w:val="center"/>
                    <w:rPr>
                      <w:color w:val="auto"/>
                    </w:rPr>
                  </w:pPr>
                </w:p>
              </w:tc>
              <w:tc>
                <w:tcPr>
                  <w:tcW w:w="789" w:type="dxa"/>
                  <w:vMerge w:val="continue"/>
                  <w:vAlign w:val="center"/>
                </w:tcPr>
                <w:p>
                  <w:pPr>
                    <w:spacing w:line="240" w:lineRule="auto"/>
                    <w:ind w:firstLine="0" w:firstLineChars="0"/>
                    <w:jc w:val="center"/>
                    <w:rPr>
                      <w:color w:val="auto"/>
                    </w:rPr>
                  </w:pPr>
                </w:p>
              </w:tc>
              <w:tc>
                <w:tcPr>
                  <w:tcW w:w="862" w:type="dxa"/>
                  <w:vMerge w:val="continue"/>
                  <w:vAlign w:val="center"/>
                </w:tcPr>
                <w:p>
                  <w:pPr>
                    <w:spacing w:line="240" w:lineRule="auto"/>
                    <w:ind w:firstLine="0" w:firstLineChars="0"/>
                    <w:jc w:val="center"/>
                    <w:rPr>
                      <w:color w:val="auto"/>
                    </w:rPr>
                  </w:pPr>
                </w:p>
              </w:tc>
              <w:tc>
                <w:tcPr>
                  <w:tcW w:w="1108" w:type="dxa"/>
                  <w:vAlign w:val="center"/>
                </w:tcPr>
                <w:p>
                  <w:pPr>
                    <w:spacing w:line="240" w:lineRule="auto"/>
                    <w:ind w:firstLine="0" w:firstLineChars="0"/>
                    <w:jc w:val="center"/>
                    <w:rPr>
                      <w:color w:val="auto"/>
                      <w:highlight w:val="yellow"/>
                    </w:rPr>
                  </w:pPr>
                  <w:r>
                    <w:rPr>
                      <w:color w:val="auto"/>
                    </w:rPr>
                    <w:t>氮氧化物</w:t>
                  </w:r>
                </w:p>
              </w:tc>
              <w:tc>
                <w:tcPr>
                  <w:tcW w:w="1113" w:type="dxa"/>
                  <w:vAlign w:val="center"/>
                </w:tcPr>
                <w:p>
                  <w:pPr>
                    <w:spacing w:line="240" w:lineRule="auto"/>
                    <w:ind w:firstLine="0" w:firstLineChars="0"/>
                    <w:jc w:val="center"/>
                    <w:rPr>
                      <w:color w:val="auto"/>
                      <w:highlight w:val="yellow"/>
                    </w:rPr>
                  </w:pPr>
                  <w:r>
                    <w:rPr>
                      <w:rFonts w:hint="eastAsia"/>
                      <w:color w:val="auto"/>
                    </w:rPr>
                    <w:t>28.10</w:t>
                  </w:r>
                  <w:r>
                    <w:rPr>
                      <w:color w:val="auto"/>
                    </w:rPr>
                    <w:t>mg/m³</w:t>
                  </w:r>
                  <w:r>
                    <w:rPr>
                      <w:color w:val="auto"/>
                    </w:rPr>
                    <w:commentReference w:id="22"/>
                  </w:r>
                </w:p>
              </w:tc>
              <w:tc>
                <w:tcPr>
                  <w:tcW w:w="1068" w:type="dxa"/>
                  <w:vAlign w:val="center"/>
                </w:tcPr>
                <w:p>
                  <w:pPr>
                    <w:spacing w:line="240" w:lineRule="auto"/>
                    <w:ind w:firstLine="0" w:firstLineChars="0"/>
                    <w:jc w:val="center"/>
                    <w:rPr>
                      <w:color w:val="auto"/>
                    </w:rPr>
                  </w:pPr>
                  <w:r>
                    <w:rPr>
                      <w:rFonts w:hint="eastAsia"/>
                      <w:color w:val="auto"/>
                    </w:rPr>
                    <w:t>5.32</w:t>
                  </w:r>
                  <w:r>
                    <w:rPr>
                      <w:color w:val="auto"/>
                    </w:rPr>
                    <w:t>t/a</w:t>
                  </w:r>
                </w:p>
              </w:tc>
              <w:tc>
                <w:tcPr>
                  <w:tcW w:w="774" w:type="dxa"/>
                  <w:vMerge w:val="continue"/>
                  <w:vAlign w:val="center"/>
                </w:tcPr>
                <w:p>
                  <w:pPr>
                    <w:spacing w:line="240" w:lineRule="auto"/>
                    <w:ind w:firstLine="0" w:firstLineChars="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1" w:hRule="atLeast"/>
              </w:trPr>
              <w:tc>
                <w:tcPr>
                  <w:tcW w:w="825" w:type="dxa"/>
                  <w:vMerge w:val="continue"/>
                  <w:vAlign w:val="center"/>
                </w:tcPr>
                <w:p>
                  <w:pPr>
                    <w:spacing w:line="240" w:lineRule="auto"/>
                    <w:ind w:firstLine="0" w:firstLineChars="0"/>
                    <w:jc w:val="center"/>
                    <w:rPr>
                      <w:color w:val="auto"/>
                    </w:rPr>
                  </w:pPr>
                </w:p>
              </w:tc>
              <w:tc>
                <w:tcPr>
                  <w:tcW w:w="1339" w:type="dxa"/>
                  <w:vMerge w:val="continue"/>
                  <w:vAlign w:val="center"/>
                </w:tcPr>
                <w:p>
                  <w:pPr>
                    <w:spacing w:line="240" w:lineRule="auto"/>
                    <w:ind w:firstLine="0" w:firstLineChars="0"/>
                    <w:jc w:val="center"/>
                    <w:rPr>
                      <w:color w:val="auto"/>
                    </w:rPr>
                  </w:pPr>
                </w:p>
              </w:tc>
              <w:tc>
                <w:tcPr>
                  <w:tcW w:w="789" w:type="dxa"/>
                  <w:vMerge w:val="continue"/>
                  <w:vAlign w:val="center"/>
                </w:tcPr>
                <w:p>
                  <w:pPr>
                    <w:spacing w:line="240" w:lineRule="auto"/>
                    <w:ind w:firstLine="0" w:firstLineChars="0"/>
                    <w:jc w:val="center"/>
                    <w:rPr>
                      <w:color w:val="auto"/>
                    </w:rPr>
                  </w:pPr>
                </w:p>
              </w:tc>
              <w:tc>
                <w:tcPr>
                  <w:tcW w:w="862" w:type="dxa"/>
                  <w:vMerge w:val="continue"/>
                  <w:vAlign w:val="center"/>
                </w:tcPr>
                <w:p>
                  <w:pPr>
                    <w:spacing w:line="240" w:lineRule="auto"/>
                    <w:ind w:firstLine="0" w:firstLineChars="0"/>
                    <w:jc w:val="center"/>
                    <w:rPr>
                      <w:color w:val="auto"/>
                    </w:rPr>
                  </w:pPr>
                </w:p>
              </w:tc>
              <w:tc>
                <w:tcPr>
                  <w:tcW w:w="1108" w:type="dxa"/>
                  <w:vAlign w:val="center"/>
                </w:tcPr>
                <w:p>
                  <w:pPr>
                    <w:spacing w:line="240" w:lineRule="auto"/>
                    <w:ind w:firstLine="0" w:firstLineChars="0"/>
                    <w:jc w:val="center"/>
                    <w:rPr>
                      <w:color w:val="auto"/>
                    </w:rPr>
                  </w:pPr>
                  <w:r>
                    <w:rPr>
                      <w:color w:val="auto"/>
                    </w:rPr>
                    <w:t>颗粒物</w:t>
                  </w:r>
                </w:p>
              </w:tc>
              <w:tc>
                <w:tcPr>
                  <w:tcW w:w="1113" w:type="dxa"/>
                  <w:vAlign w:val="center"/>
                </w:tcPr>
                <w:p>
                  <w:pPr>
                    <w:spacing w:line="240" w:lineRule="auto"/>
                    <w:ind w:firstLine="0" w:firstLineChars="0"/>
                    <w:jc w:val="center"/>
                    <w:rPr>
                      <w:color w:val="auto"/>
                    </w:rPr>
                  </w:pPr>
                  <w:r>
                    <w:rPr>
                      <w:color w:val="auto"/>
                    </w:rPr>
                    <w:t>13.</w:t>
                  </w:r>
                  <w:r>
                    <w:rPr>
                      <w:rFonts w:hint="eastAsia"/>
                      <w:color w:val="auto"/>
                    </w:rPr>
                    <w:t>94</w:t>
                  </w:r>
                  <w:r>
                    <w:rPr>
                      <w:color w:val="auto"/>
                    </w:rPr>
                    <w:t>mg/m³</w:t>
                  </w:r>
                </w:p>
              </w:tc>
              <w:tc>
                <w:tcPr>
                  <w:tcW w:w="1068" w:type="dxa"/>
                  <w:vAlign w:val="center"/>
                </w:tcPr>
                <w:p>
                  <w:pPr>
                    <w:spacing w:line="240" w:lineRule="auto"/>
                    <w:ind w:firstLine="0" w:firstLineChars="0"/>
                    <w:jc w:val="center"/>
                    <w:rPr>
                      <w:color w:val="auto"/>
                    </w:rPr>
                  </w:pPr>
                  <w:r>
                    <w:rPr>
                      <w:rFonts w:hint="eastAsia"/>
                      <w:color w:val="auto"/>
                    </w:rPr>
                    <w:t>2.64</w:t>
                  </w:r>
                  <w:r>
                    <w:rPr>
                      <w:color w:val="auto"/>
                    </w:rPr>
                    <w:t>t/a</w:t>
                  </w:r>
                </w:p>
              </w:tc>
              <w:tc>
                <w:tcPr>
                  <w:tcW w:w="774" w:type="dxa"/>
                  <w:vMerge w:val="continue"/>
                  <w:vAlign w:val="center"/>
                </w:tcPr>
                <w:p>
                  <w:pPr>
                    <w:spacing w:line="240" w:lineRule="auto"/>
                    <w:ind w:firstLine="0" w:firstLineChars="0"/>
                    <w:jc w:val="center"/>
                    <w:rPr>
                      <w:color w:val="auto"/>
                    </w:rPr>
                  </w:pPr>
                </w:p>
              </w:tc>
            </w:tr>
          </w:tbl>
          <w:p>
            <w:pPr>
              <w:ind w:firstLine="482"/>
              <w:rPr>
                <w:b/>
                <w:bCs/>
                <w:color w:val="auto"/>
              </w:rPr>
            </w:pPr>
            <w:r>
              <w:rPr>
                <w:rFonts w:hint="eastAsia"/>
                <w:b/>
                <w:bCs/>
                <w:color w:val="auto"/>
                <w:lang w:eastAsia="zh-CN"/>
              </w:rPr>
              <w:t>4.</w:t>
            </w:r>
            <w:r>
              <w:rPr>
                <w:b/>
                <w:bCs/>
                <w:color w:val="auto"/>
              </w:rPr>
              <w:t>监测计划</w:t>
            </w:r>
          </w:p>
          <w:p>
            <w:pPr>
              <w:ind w:firstLine="480"/>
              <w:rPr>
                <w:color w:val="auto"/>
              </w:rPr>
            </w:pPr>
            <w:r>
              <w:rPr>
                <w:color w:val="auto"/>
              </w:rPr>
              <w:t>根据《排污单位自行监测技术指南总则》（HJ819-2017）、《排污许可证申请与核发技术规范锅炉》（HJ953-2018）、《排污单位自行监测技术指南火力发电及锅炉》（HJ820-2017）中要求及《排污单位自行监测技术指南水处理》（HJ1083-2020）要求，本项目废气监测计划见下表：</w:t>
            </w:r>
          </w:p>
          <w:p>
            <w:pPr>
              <w:ind w:firstLine="0" w:firstLineChars="0"/>
              <w:jc w:val="center"/>
              <w:rPr>
                <w:b/>
                <w:bCs/>
                <w:color w:val="auto"/>
              </w:rPr>
            </w:pPr>
            <w:r>
              <w:rPr>
                <w:b/>
                <w:bCs/>
                <w:color w:val="auto"/>
              </w:rPr>
              <w:t>表4-</w:t>
            </w:r>
            <w:r>
              <w:rPr>
                <w:rFonts w:hint="eastAsia"/>
                <w:b/>
                <w:bCs/>
                <w:color w:val="auto"/>
              </w:rPr>
              <w:t>3</w:t>
            </w:r>
            <w:r>
              <w:rPr>
                <w:b/>
                <w:bCs/>
                <w:color w:val="auto"/>
              </w:rPr>
              <w:t>废气监测计划表</w:t>
            </w:r>
          </w:p>
          <w:tbl>
            <w:tblPr>
              <w:tblStyle w:val="66"/>
              <w:tblW w:w="4995" w:type="pct"/>
              <w:tblInd w:w="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37" w:type="dxa"/>
                <w:left w:w="116" w:type="dxa"/>
                <w:bottom w:w="0" w:type="dxa"/>
                <w:right w:w="66" w:type="dxa"/>
              </w:tblCellMar>
            </w:tblPr>
            <w:tblGrid>
              <w:gridCol w:w="407"/>
              <w:gridCol w:w="729"/>
              <w:gridCol w:w="1165"/>
              <w:gridCol w:w="1265"/>
              <w:gridCol w:w="1286"/>
              <w:gridCol w:w="30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7" w:type="dxa"/>
                  <w:left w:w="116" w:type="dxa"/>
                  <w:bottom w:w="0" w:type="dxa"/>
                  <w:right w:w="66" w:type="dxa"/>
                </w:tblCellMar>
              </w:tblPrEx>
              <w:trPr>
                <w:trHeight w:val="482" w:hRule="atLeast"/>
              </w:trPr>
              <w:tc>
                <w:tcPr>
                  <w:tcW w:w="2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序号</w:t>
                  </w:r>
                </w:p>
              </w:tc>
              <w:tc>
                <w:tcPr>
                  <w:tcW w:w="4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类别</w:t>
                  </w:r>
                </w:p>
              </w:tc>
              <w:tc>
                <w:tcPr>
                  <w:tcW w:w="7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监测点位</w:t>
                  </w:r>
                </w:p>
              </w:tc>
              <w:tc>
                <w:tcPr>
                  <w:tcW w:w="7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监测因子</w:t>
                  </w:r>
                </w:p>
              </w:tc>
              <w:tc>
                <w:tcPr>
                  <w:tcW w:w="81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监测频次</w:t>
                  </w:r>
                </w:p>
              </w:tc>
              <w:tc>
                <w:tcPr>
                  <w:tcW w:w="19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7" w:type="dxa"/>
                  <w:left w:w="116" w:type="dxa"/>
                  <w:bottom w:w="0" w:type="dxa"/>
                  <w:right w:w="66" w:type="dxa"/>
                </w:tblCellMar>
              </w:tblPrEx>
              <w:trPr>
                <w:trHeight w:val="383" w:hRule="atLeast"/>
              </w:trPr>
              <w:tc>
                <w:tcPr>
                  <w:tcW w:w="25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460"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有组织废气</w:t>
                  </w:r>
                </w:p>
              </w:tc>
              <w:tc>
                <w:tcPr>
                  <w:tcW w:w="734"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天然气蒸汽锅炉废气</w:t>
                  </w:r>
                  <w:r>
                    <w:rPr>
                      <w:rFonts w:hint="eastAsia" w:ascii="Times New Roman" w:hAnsi="Times New Roman" w:eastAsia="宋体" w:cs="Times New Roman"/>
                      <w:color w:val="auto"/>
                    </w:rPr>
                    <w:t>排放口</w:t>
                  </w:r>
                  <w:r>
                    <w:rPr>
                      <w:rFonts w:hint="default" w:ascii="Times New Roman" w:hAnsi="Times New Roman" w:eastAsia="宋体" w:cs="Times New Roman"/>
                      <w:color w:val="auto"/>
                    </w:rPr>
                    <w:t>DA001</w:t>
                  </w:r>
                </w:p>
              </w:tc>
              <w:tc>
                <w:tcPr>
                  <w:tcW w:w="7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NO</w:t>
                  </w:r>
                  <w:r>
                    <w:rPr>
                      <w:rFonts w:hint="default" w:ascii="Times New Roman" w:hAnsi="Times New Roman" w:eastAsia="宋体" w:cs="Times New Roman"/>
                      <w:color w:val="auto"/>
                      <w:vertAlign w:val="subscript"/>
                    </w:rPr>
                    <w:t>X</w:t>
                  </w:r>
                </w:p>
              </w:tc>
              <w:tc>
                <w:tcPr>
                  <w:tcW w:w="81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1次/月</w:t>
                  </w:r>
                </w:p>
              </w:tc>
              <w:tc>
                <w:tcPr>
                  <w:tcW w:w="1938"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颗粒物、SO2、NOx、林格曼黑度执行《锅炉大气污染物排放标准》（GB13271-2014）2新建锅炉大气污染物排放浓度限值中燃气锅炉排放限值要求。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7" w:type="dxa"/>
                  <w:left w:w="116" w:type="dxa"/>
                  <w:bottom w:w="0" w:type="dxa"/>
                  <w:right w:w="66" w:type="dxa"/>
                </w:tblCellMar>
              </w:tblPrEx>
              <w:trPr>
                <w:trHeight w:val="425" w:hRule="atLeast"/>
              </w:trPr>
              <w:tc>
                <w:tcPr>
                  <w:tcW w:w="25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p>
              </w:tc>
              <w:tc>
                <w:tcPr>
                  <w:tcW w:w="4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p>
              </w:tc>
              <w:tc>
                <w:tcPr>
                  <w:tcW w:w="73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p>
              </w:tc>
              <w:tc>
                <w:tcPr>
                  <w:tcW w:w="7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颗粒物、SO</w:t>
                  </w:r>
                  <w:r>
                    <w:rPr>
                      <w:rFonts w:hint="default" w:ascii="Times New Roman" w:hAnsi="Times New Roman" w:eastAsia="宋体" w:cs="Times New Roman"/>
                      <w:color w:val="auto"/>
                      <w:vertAlign w:val="subscript"/>
                    </w:rPr>
                    <w:t>2</w:t>
                  </w:r>
                  <w:r>
                    <w:rPr>
                      <w:rFonts w:hint="default" w:ascii="Times New Roman" w:hAnsi="Times New Roman" w:eastAsia="宋体" w:cs="Times New Roman"/>
                      <w:color w:val="auto"/>
                    </w:rPr>
                    <w:t>、林格曼黑度</w:t>
                  </w:r>
                </w:p>
              </w:tc>
              <w:tc>
                <w:tcPr>
                  <w:tcW w:w="81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1次/年</w:t>
                  </w:r>
                </w:p>
              </w:tc>
              <w:tc>
                <w:tcPr>
                  <w:tcW w:w="193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7" w:type="dxa"/>
                  <w:left w:w="116" w:type="dxa"/>
                  <w:bottom w:w="0" w:type="dxa"/>
                  <w:right w:w="66" w:type="dxa"/>
                </w:tblCellMar>
              </w:tblPrEx>
              <w:trPr>
                <w:trHeight w:val="610" w:hRule="atLeast"/>
              </w:trPr>
              <w:tc>
                <w:tcPr>
                  <w:tcW w:w="2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4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有组织</w:t>
                  </w:r>
                </w:p>
              </w:tc>
              <w:tc>
                <w:tcPr>
                  <w:tcW w:w="7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r>
                    <w:rPr>
                      <w:rFonts w:hint="eastAsia" w:ascii="Times New Roman" w:hAnsi="Times New Roman" w:eastAsia="宋体" w:cs="Times New Roman"/>
                      <w:color w:val="auto"/>
                    </w:rPr>
                    <w:t>蒸汽压力釜烘干废气排气筒刚</w:t>
                  </w:r>
                  <w:r>
                    <w:rPr>
                      <w:rFonts w:hint="default" w:ascii="Times New Roman" w:hAnsi="Times New Roman" w:eastAsia="宋体" w:cs="Times New Roman"/>
                      <w:color w:val="auto"/>
                    </w:rPr>
                    <w:t>DA002</w:t>
                  </w:r>
                </w:p>
              </w:tc>
              <w:tc>
                <w:tcPr>
                  <w:tcW w:w="7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r>
                    <w:rPr>
                      <w:rFonts w:hint="eastAsia" w:ascii="Times New Roman" w:hAnsi="Times New Roman" w:eastAsia="宋体" w:cs="Times New Roman"/>
                      <w:color w:val="auto"/>
                    </w:rPr>
                    <w:t>颗粒物</w:t>
                  </w:r>
                </w:p>
              </w:tc>
              <w:tc>
                <w:tcPr>
                  <w:tcW w:w="81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1次/半年</w:t>
                  </w:r>
                </w:p>
              </w:tc>
              <w:tc>
                <w:tcPr>
                  <w:tcW w:w="19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rPr>
                  </w:pPr>
                  <w:r>
                    <w:rPr>
                      <w:rFonts w:hint="eastAsia" w:ascii="Times New Roman" w:hAnsi="Times New Roman" w:eastAsia="宋体" w:cs="Times New Roman"/>
                      <w:color w:val="auto"/>
                    </w:rPr>
                    <w:t>《工业炉窑大气污染物排放标准》（GB9078-1996）中烟尘允许排放限值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37" w:type="dxa"/>
                  <w:left w:w="116" w:type="dxa"/>
                  <w:bottom w:w="0" w:type="dxa"/>
                  <w:right w:w="66" w:type="dxa"/>
                </w:tblCellMar>
              </w:tblPrEx>
              <w:trPr>
                <w:trHeight w:val="230" w:hRule="atLeast"/>
              </w:trPr>
              <w:tc>
                <w:tcPr>
                  <w:tcW w:w="257" w:type="pct"/>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460" w:type="pct"/>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无组织</w:t>
                  </w:r>
                </w:p>
              </w:tc>
              <w:tc>
                <w:tcPr>
                  <w:tcW w:w="734" w:type="pct"/>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厂界</w:t>
                  </w:r>
                </w:p>
              </w:tc>
              <w:tc>
                <w:tcPr>
                  <w:tcW w:w="797" w:type="pct"/>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颗粒物</w:t>
                  </w:r>
                </w:p>
              </w:tc>
              <w:tc>
                <w:tcPr>
                  <w:tcW w:w="810" w:type="pct"/>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1次/年</w:t>
                  </w:r>
                </w:p>
              </w:tc>
              <w:tc>
                <w:tcPr>
                  <w:tcW w:w="1938" w:type="pct"/>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《煤炭工业污染物排放标准》（GB20426-2006）表5煤炭工业无组织排放限值</w:t>
                  </w:r>
                </w:p>
              </w:tc>
            </w:tr>
          </w:tbl>
          <w:p>
            <w:pPr>
              <w:ind w:firstLine="0" w:firstLineChars="0"/>
              <w:jc w:val="center"/>
              <w:rPr>
                <w:b/>
                <w:bCs/>
                <w:color w:val="auto"/>
              </w:rPr>
            </w:pPr>
            <w:r>
              <w:rPr>
                <w:b/>
                <w:bCs/>
                <w:color w:val="auto"/>
              </w:rPr>
              <w:t>表4-4排放口详细内容</w:t>
            </w:r>
          </w:p>
          <w:tbl>
            <w:tblPr>
              <w:tblStyle w:val="21"/>
              <w:tblW w:w="7935" w:type="dxa"/>
              <w:tblInd w:w="0" w:type="dxa"/>
              <w:tblLayout w:type="fixed"/>
              <w:tblCellMar>
                <w:top w:w="0" w:type="dxa"/>
                <w:left w:w="0" w:type="dxa"/>
                <w:bottom w:w="0" w:type="dxa"/>
                <w:right w:w="0" w:type="dxa"/>
              </w:tblCellMar>
            </w:tblPr>
            <w:tblGrid>
              <w:gridCol w:w="1102"/>
              <w:gridCol w:w="1102"/>
              <w:gridCol w:w="1102"/>
              <w:gridCol w:w="1361"/>
              <w:gridCol w:w="1536"/>
              <w:gridCol w:w="866"/>
              <w:gridCol w:w="866"/>
            </w:tblGrid>
            <w:tr>
              <w:tblPrEx>
                <w:tblCellMar>
                  <w:top w:w="0" w:type="dxa"/>
                  <w:left w:w="0" w:type="dxa"/>
                  <w:bottom w:w="0" w:type="dxa"/>
                  <w:right w:w="0" w:type="dxa"/>
                </w:tblCellMar>
              </w:tblPrEx>
              <w:trPr>
                <w:trHeight w:val="773" w:hRule="atLeast"/>
              </w:trPr>
              <w:tc>
                <w:tcPr>
                  <w:tcW w:w="110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ind w:firstLine="0" w:firstLineChars="0"/>
                    <w:jc w:val="center"/>
                    <w:rPr>
                      <w:color w:val="auto"/>
                    </w:rPr>
                  </w:pPr>
                  <w:r>
                    <w:rPr>
                      <w:rFonts w:hint="eastAsia"/>
                      <w:color w:val="auto"/>
                    </w:rPr>
                    <w:t>排放口</w:t>
                  </w:r>
                </w:p>
              </w:tc>
              <w:tc>
                <w:tcPr>
                  <w:tcW w:w="110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ind w:firstLine="0" w:firstLineChars="0"/>
                    <w:jc w:val="center"/>
                    <w:rPr>
                      <w:color w:val="auto"/>
                    </w:rPr>
                  </w:pPr>
                  <w:r>
                    <w:rPr>
                      <w:color w:val="auto"/>
                    </w:rPr>
                    <w:t>排放口名称</w:t>
                  </w:r>
                </w:p>
              </w:tc>
              <w:tc>
                <w:tcPr>
                  <w:tcW w:w="110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ind w:firstLine="0" w:firstLineChars="0"/>
                    <w:jc w:val="center"/>
                    <w:rPr>
                      <w:color w:val="auto"/>
                    </w:rPr>
                  </w:pPr>
                  <w:r>
                    <w:rPr>
                      <w:color w:val="auto"/>
                    </w:rPr>
                    <w:t>排放口编号</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ind w:firstLine="0" w:firstLineChars="0"/>
                    <w:jc w:val="center"/>
                    <w:rPr>
                      <w:color w:val="auto"/>
                    </w:rPr>
                  </w:pPr>
                  <w:r>
                    <w:rPr>
                      <w:color w:val="auto"/>
                    </w:rPr>
                    <w:t>污染物种类</w:t>
                  </w:r>
                </w:p>
              </w:tc>
              <w:tc>
                <w:tcPr>
                  <w:tcW w:w="15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ind w:firstLine="0" w:firstLineChars="0"/>
                    <w:jc w:val="center"/>
                    <w:rPr>
                      <w:color w:val="auto"/>
                    </w:rPr>
                  </w:pPr>
                  <w:r>
                    <w:rPr>
                      <w:color w:val="auto"/>
                    </w:rPr>
                    <w:t>排放口中心坐标</w:t>
                  </w:r>
                </w:p>
              </w:tc>
              <w:tc>
                <w:tcPr>
                  <w:tcW w:w="866" w:type="dxa"/>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spacing w:line="240" w:lineRule="auto"/>
                    <w:ind w:firstLine="0" w:firstLineChars="0"/>
                    <w:jc w:val="center"/>
                    <w:rPr>
                      <w:color w:val="auto"/>
                    </w:rPr>
                  </w:pPr>
                  <w:r>
                    <w:rPr>
                      <w:color w:val="auto"/>
                    </w:rPr>
                    <w:t>排放口高度</w:t>
                  </w:r>
                </w:p>
              </w:tc>
              <w:tc>
                <w:tcPr>
                  <w:tcW w:w="866" w:type="dxa"/>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spacing w:line="240" w:lineRule="auto"/>
                    <w:ind w:firstLine="0" w:firstLineChars="0"/>
                    <w:jc w:val="center"/>
                    <w:rPr>
                      <w:color w:val="auto"/>
                    </w:rPr>
                  </w:pPr>
                  <w:r>
                    <w:rPr>
                      <w:color w:val="auto"/>
                    </w:rPr>
                    <w:t>排放口类型</w:t>
                  </w:r>
                </w:p>
              </w:tc>
            </w:tr>
            <w:tr>
              <w:tblPrEx>
                <w:tblCellMar>
                  <w:top w:w="0" w:type="dxa"/>
                  <w:left w:w="0" w:type="dxa"/>
                  <w:bottom w:w="0" w:type="dxa"/>
                  <w:right w:w="0" w:type="dxa"/>
                </w:tblCellMar>
              </w:tblPrEx>
              <w:trPr>
                <w:trHeight w:val="1011" w:hRule="atLeast"/>
              </w:trPr>
              <w:tc>
                <w:tcPr>
                  <w:tcW w:w="110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ind w:firstLine="0" w:firstLineChars="0"/>
                    <w:jc w:val="center"/>
                    <w:rPr>
                      <w:color w:val="auto"/>
                    </w:rPr>
                  </w:pPr>
                  <w:r>
                    <w:rPr>
                      <w:color w:val="auto"/>
                    </w:rPr>
                    <w:t>废气排放口</w:t>
                  </w:r>
                </w:p>
              </w:tc>
              <w:tc>
                <w:tcPr>
                  <w:tcW w:w="110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ind w:firstLine="0" w:firstLineChars="0"/>
                    <w:jc w:val="center"/>
                    <w:rPr>
                      <w:color w:val="auto"/>
                    </w:rPr>
                  </w:pPr>
                  <w:r>
                    <w:rPr>
                      <w:color w:val="auto"/>
                    </w:rPr>
                    <w:t>天然气蒸汽锅炉废气排放口</w:t>
                  </w:r>
                </w:p>
              </w:tc>
              <w:tc>
                <w:tcPr>
                  <w:tcW w:w="110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ind w:firstLine="0" w:firstLineChars="0"/>
                    <w:jc w:val="center"/>
                    <w:rPr>
                      <w:color w:val="auto"/>
                    </w:rPr>
                  </w:pPr>
                  <w:r>
                    <w:rPr>
                      <w:color w:val="auto"/>
                    </w:rPr>
                    <w:t>DA001</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ind w:firstLine="0" w:firstLineChars="0"/>
                    <w:jc w:val="center"/>
                    <w:rPr>
                      <w:color w:val="auto"/>
                    </w:rPr>
                  </w:pPr>
                  <w:r>
                    <w:rPr>
                      <w:color w:val="auto"/>
                    </w:rPr>
                    <w:t>二氧化硫、氮氧化物、颗粒物</w:t>
                  </w:r>
                </w:p>
              </w:tc>
              <w:tc>
                <w:tcPr>
                  <w:tcW w:w="1536" w:type="dxa"/>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spacing w:line="240" w:lineRule="auto"/>
                    <w:ind w:firstLine="0" w:firstLineChars="0"/>
                    <w:jc w:val="center"/>
                    <w:rPr>
                      <w:color w:val="auto"/>
                    </w:rPr>
                  </w:pPr>
                  <w:r>
                    <w:rPr>
                      <w:color w:val="auto"/>
                    </w:rPr>
                    <w:t>E109.9150°，N39.1987°</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ind w:firstLine="0" w:firstLineChars="0"/>
                    <w:jc w:val="center"/>
                    <w:rPr>
                      <w:color w:val="auto"/>
                    </w:rPr>
                  </w:pPr>
                  <w:r>
                    <w:rPr>
                      <w:color w:val="auto"/>
                    </w:rPr>
                    <w:t>1</w:t>
                  </w:r>
                  <w:r>
                    <w:rPr>
                      <w:rFonts w:hint="eastAsia"/>
                      <w:color w:val="auto"/>
                    </w:rPr>
                    <w:t>3</w:t>
                  </w:r>
                  <w:r>
                    <w:rPr>
                      <w:color w:val="auto"/>
                    </w:rPr>
                    <w:t>m</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ind w:firstLine="0" w:firstLineChars="0"/>
                    <w:jc w:val="center"/>
                    <w:rPr>
                      <w:color w:val="auto"/>
                    </w:rPr>
                  </w:pPr>
                  <w:r>
                    <w:rPr>
                      <w:rFonts w:hint="eastAsia"/>
                      <w:color w:val="auto"/>
                    </w:rPr>
                    <w:t>一般排放口</w:t>
                  </w:r>
                </w:p>
              </w:tc>
            </w:tr>
            <w:tr>
              <w:tblPrEx>
                <w:tblCellMar>
                  <w:top w:w="0" w:type="dxa"/>
                  <w:left w:w="0" w:type="dxa"/>
                  <w:bottom w:w="0" w:type="dxa"/>
                  <w:right w:w="0" w:type="dxa"/>
                </w:tblCellMar>
              </w:tblPrEx>
              <w:trPr>
                <w:trHeight w:val="1012" w:hRule="atLeast"/>
              </w:trPr>
              <w:tc>
                <w:tcPr>
                  <w:tcW w:w="110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ind w:firstLine="0" w:firstLineChars="0"/>
                    <w:jc w:val="center"/>
                    <w:rPr>
                      <w:color w:val="auto"/>
                    </w:rPr>
                  </w:pPr>
                  <w:r>
                    <w:rPr>
                      <w:color w:val="auto"/>
                    </w:rPr>
                    <w:t>废气排放口</w:t>
                  </w:r>
                </w:p>
              </w:tc>
              <w:tc>
                <w:tcPr>
                  <w:tcW w:w="110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ind w:firstLine="0" w:firstLineChars="0"/>
                    <w:jc w:val="center"/>
                    <w:rPr>
                      <w:color w:val="auto"/>
                    </w:rPr>
                  </w:pPr>
                  <w:r>
                    <w:rPr>
                      <w:rFonts w:hint="eastAsia"/>
                      <w:color w:val="auto"/>
                    </w:rPr>
                    <w:t>蒸汽压力釜烘干废气排放口</w:t>
                  </w:r>
                </w:p>
              </w:tc>
              <w:tc>
                <w:tcPr>
                  <w:tcW w:w="110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ind w:firstLine="0" w:firstLineChars="0"/>
                    <w:jc w:val="center"/>
                    <w:rPr>
                      <w:color w:val="auto"/>
                    </w:rPr>
                  </w:pPr>
                  <w:r>
                    <w:rPr>
                      <w:color w:val="auto"/>
                    </w:rPr>
                    <w:t>DA002</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ind w:firstLine="0" w:firstLineChars="0"/>
                    <w:jc w:val="center"/>
                    <w:rPr>
                      <w:color w:val="auto"/>
                    </w:rPr>
                  </w:pPr>
                  <w:r>
                    <w:rPr>
                      <w:rFonts w:hint="eastAsia"/>
                      <w:color w:val="auto"/>
                    </w:rPr>
                    <w:t>颗粒物</w:t>
                  </w:r>
                </w:p>
              </w:tc>
              <w:tc>
                <w:tcPr>
                  <w:tcW w:w="1536" w:type="dxa"/>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spacing w:line="240" w:lineRule="auto"/>
                    <w:ind w:firstLine="0" w:firstLineChars="0"/>
                    <w:jc w:val="center"/>
                    <w:rPr>
                      <w:color w:val="auto"/>
                    </w:rPr>
                  </w:pPr>
                  <w:r>
                    <w:rPr>
                      <w:color w:val="auto"/>
                    </w:rPr>
                    <w:t>E109.9152°，N39.1984°</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ind w:firstLine="0" w:firstLineChars="0"/>
                    <w:jc w:val="center"/>
                    <w:rPr>
                      <w:color w:val="auto"/>
                    </w:rPr>
                  </w:pPr>
                  <w:r>
                    <w:rPr>
                      <w:color w:val="auto"/>
                    </w:rPr>
                    <w:t>15m</w:t>
                  </w:r>
                </w:p>
              </w:tc>
              <w:tc>
                <w:tcPr>
                  <w:tcW w:w="8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ind w:firstLine="0" w:firstLineChars="0"/>
                    <w:jc w:val="center"/>
                    <w:rPr>
                      <w:color w:val="auto"/>
                    </w:rPr>
                  </w:pPr>
                  <w:r>
                    <w:rPr>
                      <w:rFonts w:hint="eastAsia"/>
                      <w:color w:val="auto"/>
                    </w:rPr>
                    <w:t>一般排放口</w:t>
                  </w:r>
                </w:p>
              </w:tc>
            </w:tr>
          </w:tbl>
          <w:p>
            <w:pPr>
              <w:ind w:firstLine="482"/>
              <w:rPr>
                <w:b/>
                <w:bCs/>
                <w:color w:val="auto"/>
              </w:rPr>
            </w:pPr>
            <w:r>
              <w:rPr>
                <w:b/>
                <w:bCs/>
                <w:color w:val="auto"/>
              </w:rPr>
              <w:t>二、废水环境影响和保护措施</w:t>
            </w:r>
          </w:p>
          <w:p>
            <w:pPr>
              <w:ind w:firstLine="480"/>
              <w:rPr>
                <w:color w:val="auto"/>
              </w:rPr>
            </w:pPr>
            <w:r>
              <w:rPr>
                <w:rFonts w:hint="eastAsia"/>
                <w:color w:val="auto"/>
                <w:lang w:eastAsia="zh-CN"/>
              </w:rPr>
              <w:t>1.</w:t>
            </w:r>
            <w:r>
              <w:rPr>
                <w:rFonts w:hint="eastAsia"/>
                <w:color w:val="auto"/>
              </w:rPr>
              <w:t>废水产生情况</w:t>
            </w:r>
          </w:p>
          <w:p>
            <w:pPr>
              <w:ind w:firstLine="480"/>
              <w:rPr>
                <w:color w:val="auto"/>
              </w:rPr>
            </w:pPr>
            <w:r>
              <w:rPr>
                <w:rFonts w:hint="eastAsia"/>
                <w:color w:val="auto"/>
              </w:rPr>
              <w:t>本项目成品堆场喷淋降尘用水全部蒸发散失；天然气蒸汽锅炉排污水量为21.6t/d，软化设备排放废水量为113.4t/d，烘干过程中的蒸发水量为610.83m³/d，通过冷凝回收系统进行冷凝回收，回收率为80%，20%蒸发散失，自然蒸发量为122.17m³/d，散失于大气环境中，回收的冷凝液量为488.66m³/d，蒸汽压力釜中排出的水蒸气经喷淋冷却管道回收的蒸发冷凝液、锅炉排污废水、软化设备排污废水一起收集至自建污水处理站处理，出水可满足《城市污水再生利用工业用水水质》（GB19923-2024）中的间冷开式循环冷却水补充水、锅炉给水、工艺用水、产品用水、洒水抑尘标准后，部分返回天然气蒸汽锅炉用于蒸汽再生产，部分返回喷淋冷凝管道用于水蒸气冷凝，剩余部分用于厂区、煤棚洒水降尘、反冲洗用水及选煤厂洗煤工艺补充用水。多介质过滤器、反渗透装置、超滤装置产生的反冲洗浓水共计为10.8m³/d，产生的浓水经浓水收集池收集后，定期交由浓水处置单位进行处置。</w:t>
            </w:r>
          </w:p>
          <w:p>
            <w:pPr>
              <w:ind w:firstLine="480"/>
              <w:rPr>
                <w:color w:val="auto"/>
              </w:rPr>
            </w:pPr>
            <w:r>
              <w:rPr>
                <w:color w:val="auto"/>
              </w:rPr>
              <w:t>自建废水处理站</w:t>
            </w:r>
            <w:r>
              <w:rPr>
                <w:rFonts w:hint="eastAsia"/>
                <w:color w:val="auto"/>
                <w:lang w:eastAsia="zh-CN"/>
              </w:rPr>
              <w:t>处理</w:t>
            </w:r>
            <w:r>
              <w:rPr>
                <w:rFonts w:hint="eastAsia"/>
                <w:color w:val="auto"/>
              </w:rPr>
              <w:t>工艺采用“絮凝沉降→多介质过滤→超滤→多介质过滤→反渗透”，絮凝沉降去除90%以上的悬浮物（SS），出水浊度降至20-50NTU，多介质过滤</w:t>
            </w:r>
            <w:r>
              <w:rPr>
                <w:color w:val="auto"/>
              </w:rPr>
              <w:t>逐级截留残留的细小颗粒（5-50μm）和胶体物质，使浊度进一步降至≤5NTU</w:t>
            </w:r>
            <w:r>
              <w:rPr>
                <w:rFonts w:hint="eastAsia"/>
                <w:color w:val="auto"/>
              </w:rPr>
              <w:t>，废水经</w:t>
            </w:r>
            <w:r>
              <w:rPr>
                <w:color w:val="auto"/>
              </w:rPr>
              <w:t>UF膜的物理筛分作用，彻底去除0.01-0.1μm的微细颗粒、胶体及大分子有机物，产水浊度＜0.1</w:t>
            </w:r>
            <w:r>
              <w:rPr>
                <w:rFonts w:hint="eastAsia"/>
                <w:color w:val="auto"/>
              </w:rPr>
              <w:t>COD</w:t>
            </w:r>
            <w:r>
              <w:rPr>
                <w:color w:val="auto"/>
              </w:rPr>
              <w:t>＜50mg/L</w:t>
            </w:r>
            <w:r>
              <w:rPr>
                <w:rFonts w:hint="eastAsia"/>
                <w:color w:val="auto"/>
              </w:rPr>
              <w:t>，</w:t>
            </w:r>
            <w:r>
              <w:rPr>
                <w:color w:val="auto"/>
              </w:rPr>
              <w:t>NTU且SDI≤3，可直接回用或进入反渗透脱盐。反渗透</w:t>
            </w:r>
            <w:r>
              <w:rPr>
                <w:rFonts w:hint="eastAsia"/>
                <w:color w:val="auto"/>
              </w:rPr>
              <w:t>可</w:t>
            </w:r>
            <w:r>
              <w:rPr>
                <w:color w:val="auto"/>
              </w:rPr>
              <w:t>去除水中99%以上的溶解性盐类</w:t>
            </w:r>
            <w:r>
              <w:rPr>
                <w:rFonts w:hint="eastAsia"/>
                <w:color w:val="auto"/>
              </w:rPr>
              <w:t>、</w:t>
            </w:r>
            <w:r>
              <w:rPr>
                <w:color w:val="auto"/>
              </w:rPr>
              <w:t>有机物及硅化合物，将产水电导率降至＜10μS/cm，有效防止锅炉结垢、腐蚀和汽</w:t>
            </w:r>
            <w:r>
              <w:rPr>
                <w:rFonts w:hint="eastAsia"/>
                <w:color w:val="auto"/>
                <w:lang w:eastAsia="zh-CN"/>
              </w:rPr>
              <w:t>水沸</w:t>
            </w:r>
            <w:r>
              <w:rPr>
                <w:color w:val="auto"/>
              </w:rPr>
              <w:t>腾问题。</w:t>
            </w:r>
          </w:p>
          <w:p>
            <w:pPr>
              <w:ind w:firstLine="480"/>
              <w:rPr>
                <w:b/>
                <w:bCs/>
                <w:color w:val="auto"/>
              </w:rPr>
            </w:pPr>
            <w:r>
              <w:rPr>
                <w:rFonts w:hint="eastAsia"/>
                <w:color w:val="auto"/>
              </w:rPr>
              <w:t>参照《排污许可证申请与核发技术规范 水处理通用工序》（HJ1120-2020）中表A.1污水处理可行技术参照表“采矿类排污单位废水”采用“沉淀、混凝、过滤”为可行技术，本项目废水与采矿类排污废水类似，本项目沉淀、沉淀、过滤后增加反渗透及超滤反应，出水水质较好，故本项目废水处理工艺“絮凝沉降→多介质过滤→超滤→多介质过滤→反渗透”为可行技术。</w:t>
            </w:r>
          </w:p>
          <w:p>
            <w:pPr>
              <w:ind w:firstLine="482"/>
              <w:rPr>
                <w:b/>
                <w:bCs/>
                <w:color w:val="auto"/>
              </w:rPr>
            </w:pPr>
            <w:r>
              <w:rPr>
                <w:rFonts w:hint="eastAsia"/>
                <w:b/>
                <w:bCs/>
                <w:color w:val="auto"/>
                <w:lang w:eastAsia="zh-CN"/>
              </w:rPr>
              <w:t>2.</w:t>
            </w:r>
            <w:r>
              <w:rPr>
                <w:rFonts w:hint="eastAsia"/>
                <w:b/>
                <w:bCs/>
                <w:color w:val="auto"/>
              </w:rPr>
              <w:t>环境监测计划</w:t>
            </w:r>
          </w:p>
          <w:p>
            <w:pPr>
              <w:ind w:firstLine="480"/>
              <w:rPr>
                <w:color w:val="auto"/>
              </w:rPr>
            </w:pPr>
            <w:r>
              <w:rPr>
                <w:rFonts w:hint="eastAsia"/>
                <w:color w:val="auto"/>
              </w:rPr>
              <w:t>本项目自建废水处理站处理后的出水满足《城市污水再生利用工业用水水质》（GB19923-2024）中的间冷开式循环冷却水补充水、锅炉给水、工艺用水、产品用水标准后部分返回天然气蒸汽锅炉用于蒸汽再生产，部分返回喷淋冷凝管道用于水蒸气冷凝，剩余部分用于厂区、煤棚洒水降尘、反冲洗用水及选煤厂洗煤工艺补充用水。根据《排污许可证申请与核发技术规范水处理通用工序》（HJ1120-2020），制定本项目的废水环境监测计划。</w:t>
            </w:r>
          </w:p>
          <w:p>
            <w:pPr>
              <w:ind w:firstLine="482"/>
              <w:jc w:val="center"/>
              <w:rPr>
                <w:b/>
                <w:bCs/>
                <w:color w:val="auto"/>
              </w:rPr>
            </w:pPr>
            <w:r>
              <w:rPr>
                <w:rFonts w:hint="eastAsia"/>
                <w:b/>
                <w:bCs/>
                <w:color w:val="auto"/>
              </w:rPr>
              <w:t>表4-7废水监测计划</w:t>
            </w:r>
          </w:p>
          <w:tbl>
            <w:tblPr>
              <w:tblStyle w:val="22"/>
              <w:tblW w:w="7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0"/>
              <w:gridCol w:w="3237"/>
              <w:gridCol w:w="975"/>
              <w:gridCol w:w="29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0" w:type="dxa"/>
                  <w:vAlign w:val="center"/>
                </w:tcPr>
                <w:p>
                  <w:pPr>
                    <w:spacing w:line="240" w:lineRule="auto"/>
                    <w:ind w:firstLine="0" w:firstLineChars="0"/>
                    <w:jc w:val="center"/>
                    <w:rPr>
                      <w:color w:val="auto"/>
                    </w:rPr>
                  </w:pPr>
                  <w:r>
                    <w:rPr>
                      <w:rFonts w:hint="eastAsia"/>
                      <w:color w:val="auto"/>
                    </w:rPr>
                    <w:t>监测点位</w:t>
                  </w:r>
                </w:p>
              </w:tc>
              <w:tc>
                <w:tcPr>
                  <w:tcW w:w="3237" w:type="dxa"/>
                  <w:vAlign w:val="center"/>
                </w:tcPr>
                <w:p>
                  <w:pPr>
                    <w:spacing w:line="240" w:lineRule="auto"/>
                    <w:ind w:firstLine="0" w:firstLineChars="0"/>
                    <w:jc w:val="center"/>
                    <w:rPr>
                      <w:color w:val="auto"/>
                    </w:rPr>
                  </w:pPr>
                  <w:r>
                    <w:rPr>
                      <w:rFonts w:hint="eastAsia"/>
                      <w:color w:val="auto"/>
                    </w:rPr>
                    <w:t>监测指标</w:t>
                  </w:r>
                </w:p>
              </w:tc>
              <w:tc>
                <w:tcPr>
                  <w:tcW w:w="975" w:type="dxa"/>
                  <w:vAlign w:val="center"/>
                </w:tcPr>
                <w:p>
                  <w:pPr>
                    <w:spacing w:line="240" w:lineRule="auto"/>
                    <w:ind w:firstLine="0" w:firstLineChars="0"/>
                    <w:jc w:val="center"/>
                    <w:rPr>
                      <w:color w:val="auto"/>
                    </w:rPr>
                  </w:pPr>
                  <w:r>
                    <w:rPr>
                      <w:rFonts w:hint="eastAsia"/>
                      <w:color w:val="auto"/>
                    </w:rPr>
                    <w:t>最低监测频次</w:t>
                  </w:r>
                </w:p>
              </w:tc>
              <w:tc>
                <w:tcPr>
                  <w:tcW w:w="2974" w:type="dxa"/>
                  <w:vAlign w:val="center"/>
                </w:tcPr>
                <w:p>
                  <w:pPr>
                    <w:spacing w:line="240" w:lineRule="auto"/>
                    <w:ind w:firstLine="0" w:firstLineChars="0"/>
                    <w:jc w:val="center"/>
                    <w:rPr>
                      <w:color w:val="auto"/>
                    </w:rPr>
                  </w:pPr>
                  <w:r>
                    <w:rPr>
                      <w:rFonts w:hint="eastAsia"/>
                      <w:color w:val="auto"/>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0" w:type="dxa"/>
                  <w:vAlign w:val="center"/>
                </w:tcPr>
                <w:p>
                  <w:pPr>
                    <w:spacing w:line="240" w:lineRule="auto"/>
                    <w:ind w:firstLine="0" w:firstLineChars="0"/>
                    <w:jc w:val="center"/>
                    <w:rPr>
                      <w:color w:val="auto"/>
                    </w:rPr>
                  </w:pPr>
                  <w:r>
                    <w:rPr>
                      <w:rFonts w:ascii="Times New Roman" w:hAnsi="Times New Roman" w:eastAsia="宋体" w:cs="Times New Roman"/>
                      <w:color w:val="auto"/>
                    </w:rPr>
                    <w:t>DW001</w:t>
                  </w:r>
                </w:p>
              </w:tc>
              <w:tc>
                <w:tcPr>
                  <w:tcW w:w="3237" w:type="dxa"/>
                  <w:vAlign w:val="center"/>
                </w:tcPr>
                <w:p>
                  <w:pPr>
                    <w:spacing w:line="240" w:lineRule="auto"/>
                    <w:ind w:firstLine="0" w:firstLineChars="0"/>
                    <w:jc w:val="center"/>
                    <w:rPr>
                      <w:color w:val="auto"/>
                    </w:rPr>
                  </w:pPr>
                  <w:r>
                    <w:rPr>
                      <w:color w:val="auto"/>
                    </w:rPr>
                    <w:t>pH</w:t>
                  </w:r>
                  <w:r>
                    <w:rPr>
                      <w:rFonts w:hint="eastAsia"/>
                      <w:color w:val="auto"/>
                    </w:rPr>
                    <w:t>、</w:t>
                  </w:r>
                  <w:r>
                    <w:rPr>
                      <w:color w:val="auto"/>
                    </w:rPr>
                    <w:t>色度</w:t>
                  </w:r>
                  <w:r>
                    <w:rPr>
                      <w:rFonts w:hint="eastAsia"/>
                      <w:color w:val="auto"/>
                    </w:rPr>
                    <w:t>、</w:t>
                  </w:r>
                  <w:r>
                    <w:rPr>
                      <w:color w:val="auto"/>
                    </w:rPr>
                    <w:t>浊度</w:t>
                  </w:r>
                  <w:r>
                    <w:rPr>
                      <w:rFonts w:hint="eastAsia"/>
                      <w:color w:val="auto"/>
                    </w:rPr>
                    <w:t>、</w:t>
                  </w:r>
                  <w:r>
                    <w:rPr>
                      <w:color w:val="auto"/>
                    </w:rPr>
                    <w:t>BOD</w:t>
                  </w:r>
                  <w:r>
                    <w:rPr>
                      <w:color w:val="auto"/>
                      <w:vertAlign w:val="subscript"/>
                    </w:rPr>
                    <w:t>5</w:t>
                  </w:r>
                  <w:r>
                    <w:rPr>
                      <w:rFonts w:hint="eastAsia"/>
                      <w:color w:val="auto"/>
                    </w:rPr>
                    <w:t>、</w:t>
                  </w:r>
                  <w:r>
                    <w:rPr>
                      <w:color w:val="auto"/>
                    </w:rPr>
                    <w:t>COD</w:t>
                  </w:r>
                  <w:r>
                    <w:rPr>
                      <w:rFonts w:hint="eastAsia"/>
                      <w:color w:val="auto"/>
                    </w:rPr>
                    <w:t>、</w:t>
                  </w:r>
                  <w:r>
                    <w:rPr>
                      <w:color w:val="auto"/>
                    </w:rPr>
                    <w:t>氨氮</w:t>
                  </w:r>
                  <w:r>
                    <w:rPr>
                      <w:rFonts w:hint="eastAsia"/>
                      <w:color w:val="auto"/>
                    </w:rPr>
                    <w:t>、</w:t>
                  </w:r>
                  <w:r>
                    <w:rPr>
                      <w:color w:val="auto"/>
                    </w:rPr>
                    <w:t>总氮</w:t>
                  </w:r>
                  <w:r>
                    <w:rPr>
                      <w:rFonts w:hint="eastAsia"/>
                      <w:color w:val="auto"/>
                    </w:rPr>
                    <w:t>、</w:t>
                  </w:r>
                  <w:r>
                    <w:rPr>
                      <w:color w:val="auto"/>
                    </w:rPr>
                    <w:t>总磷</w:t>
                  </w:r>
                  <w:r>
                    <w:rPr>
                      <w:rFonts w:hint="eastAsia"/>
                      <w:color w:val="auto"/>
                    </w:rPr>
                    <w:t>、</w:t>
                  </w:r>
                  <w:r>
                    <w:rPr>
                      <w:color w:val="auto"/>
                    </w:rPr>
                    <w:t>阴离子表面活性剂</w:t>
                  </w:r>
                  <w:r>
                    <w:rPr>
                      <w:rFonts w:hint="eastAsia"/>
                      <w:color w:val="auto"/>
                    </w:rPr>
                    <w:t>、</w:t>
                  </w:r>
                  <w:r>
                    <w:rPr>
                      <w:color w:val="auto"/>
                    </w:rPr>
                    <w:t>石油类</w:t>
                  </w:r>
                  <w:r>
                    <w:rPr>
                      <w:rFonts w:hint="eastAsia"/>
                      <w:color w:val="auto"/>
                    </w:rPr>
                    <w:t>、</w:t>
                  </w:r>
                  <w:r>
                    <w:rPr>
                      <w:color w:val="auto"/>
                    </w:rPr>
                    <w:t>总碱度</w:t>
                  </w:r>
                  <w:r>
                    <w:rPr>
                      <w:rFonts w:hint="eastAsia"/>
                      <w:color w:val="auto"/>
                    </w:rPr>
                    <w:t>、</w:t>
                  </w:r>
                  <w:r>
                    <w:rPr>
                      <w:color w:val="auto"/>
                    </w:rPr>
                    <w:t>总硬度</w:t>
                  </w:r>
                  <w:r>
                    <w:rPr>
                      <w:rFonts w:hint="eastAsia"/>
                      <w:color w:val="auto"/>
                    </w:rPr>
                    <w:t>、</w:t>
                  </w:r>
                  <w:r>
                    <w:rPr>
                      <w:color w:val="auto"/>
                    </w:rPr>
                    <w:t>溶解性总固体</w:t>
                  </w:r>
                  <w:r>
                    <w:rPr>
                      <w:rFonts w:hint="eastAsia"/>
                      <w:color w:val="auto"/>
                    </w:rPr>
                    <w:t>、</w:t>
                  </w:r>
                  <w:r>
                    <w:rPr>
                      <w:color w:val="auto"/>
                    </w:rPr>
                    <w:t>氯化物</w:t>
                  </w:r>
                  <w:r>
                    <w:rPr>
                      <w:rFonts w:hint="eastAsia"/>
                      <w:color w:val="auto"/>
                    </w:rPr>
                    <w:t>、</w:t>
                  </w:r>
                  <w:r>
                    <w:rPr>
                      <w:color w:val="auto"/>
                    </w:rPr>
                    <w:t>硫酸盐</w:t>
                  </w:r>
                  <w:r>
                    <w:rPr>
                      <w:rFonts w:hint="eastAsia"/>
                      <w:color w:val="auto"/>
                    </w:rPr>
                    <w:t>、</w:t>
                  </w:r>
                  <w:r>
                    <w:rPr>
                      <w:color w:val="auto"/>
                    </w:rPr>
                    <w:t>铁</w:t>
                  </w:r>
                  <w:r>
                    <w:rPr>
                      <w:rFonts w:hint="eastAsia"/>
                      <w:color w:val="auto"/>
                    </w:rPr>
                    <w:t>、</w:t>
                  </w:r>
                  <w:r>
                    <w:rPr>
                      <w:color w:val="auto"/>
                    </w:rPr>
                    <w:t>锰</w:t>
                  </w:r>
                  <w:r>
                    <w:rPr>
                      <w:rFonts w:hint="eastAsia"/>
                      <w:color w:val="auto"/>
                    </w:rPr>
                    <w:t>、</w:t>
                  </w:r>
                  <w:r>
                    <w:rPr>
                      <w:color w:val="auto"/>
                    </w:rPr>
                    <w:t>二氧化硅</w:t>
                  </w:r>
                  <w:r>
                    <w:rPr>
                      <w:rFonts w:hint="eastAsia"/>
                      <w:color w:val="auto"/>
                    </w:rPr>
                    <w:t>、</w:t>
                  </w:r>
                  <w:r>
                    <w:rPr>
                      <w:color w:val="auto"/>
                    </w:rPr>
                    <w:t>粪大肠菌群</w:t>
                  </w:r>
                  <w:r>
                    <w:rPr>
                      <w:rFonts w:hint="eastAsia"/>
                      <w:color w:val="auto"/>
                    </w:rPr>
                    <w:t>、</w:t>
                  </w:r>
                  <w:r>
                    <w:rPr>
                      <w:color w:val="auto"/>
                    </w:rPr>
                    <w:t>总余氯</w:t>
                  </w:r>
                </w:p>
              </w:tc>
              <w:tc>
                <w:tcPr>
                  <w:tcW w:w="975" w:type="dxa"/>
                  <w:vAlign w:val="center"/>
                </w:tcPr>
                <w:p>
                  <w:pPr>
                    <w:spacing w:line="240" w:lineRule="auto"/>
                    <w:ind w:firstLine="0" w:firstLineChars="0"/>
                    <w:jc w:val="center"/>
                    <w:rPr>
                      <w:color w:val="auto"/>
                    </w:rPr>
                  </w:pPr>
                  <w:r>
                    <w:rPr>
                      <w:rFonts w:hint="eastAsia"/>
                      <w:color w:val="auto"/>
                    </w:rPr>
                    <w:t>1次/季度</w:t>
                  </w:r>
                </w:p>
              </w:tc>
              <w:tc>
                <w:tcPr>
                  <w:tcW w:w="2974" w:type="dxa"/>
                  <w:vAlign w:val="center"/>
                </w:tcPr>
                <w:p>
                  <w:pPr>
                    <w:spacing w:line="240" w:lineRule="auto"/>
                    <w:ind w:firstLine="0" w:firstLineChars="0"/>
                    <w:jc w:val="center"/>
                    <w:rPr>
                      <w:color w:val="auto"/>
                    </w:rPr>
                  </w:pPr>
                  <w:r>
                    <w:rPr>
                      <w:color w:val="auto"/>
                    </w:rPr>
                    <w:t>《城市污水再生利用工业用水水质》（GB19923-2024）中的间冷开式循环冷却水补充水、锅炉给水、工艺用水、产品用水标准</w:t>
                  </w:r>
                </w:p>
              </w:tc>
            </w:tr>
          </w:tbl>
          <w:p>
            <w:pPr>
              <w:ind w:firstLine="482"/>
              <w:rPr>
                <w:b/>
                <w:bCs/>
                <w:color w:val="auto"/>
              </w:rPr>
            </w:pPr>
            <w:r>
              <w:rPr>
                <w:b/>
                <w:bCs/>
                <w:color w:val="auto"/>
              </w:rPr>
              <w:t>三、噪声环境影响和保护措施</w:t>
            </w:r>
          </w:p>
          <w:p>
            <w:pPr>
              <w:ind w:firstLine="480"/>
              <w:rPr>
                <w:color w:val="auto"/>
              </w:rPr>
            </w:pPr>
            <w:r>
              <w:rPr>
                <w:color w:val="auto"/>
              </w:rPr>
              <w:t>本项目运营期噪声源主要为燃气锅炉泵、废水处理站、风机、各种泵类运行产生的噪声，噪声源强在</w:t>
            </w:r>
            <w:r>
              <w:rPr>
                <w:rFonts w:hint="eastAsia"/>
                <w:color w:val="auto"/>
              </w:rPr>
              <w:t>6</w:t>
            </w:r>
            <w:r>
              <w:rPr>
                <w:color w:val="auto"/>
              </w:rPr>
              <w:t>5～</w:t>
            </w:r>
            <w:r>
              <w:rPr>
                <w:rFonts w:hint="eastAsia"/>
                <w:color w:val="auto"/>
              </w:rPr>
              <w:t>90</w:t>
            </w:r>
            <w:r>
              <w:rPr>
                <w:color w:val="auto"/>
              </w:rPr>
              <w:t>dB</w:t>
            </w:r>
            <w:r>
              <w:rPr>
                <w:rFonts w:hint="eastAsia"/>
                <w:color w:val="auto"/>
              </w:rPr>
              <w:t>（</w:t>
            </w:r>
            <w:r>
              <w:rPr>
                <w:color w:val="auto"/>
              </w:rPr>
              <w:t>A</w:t>
            </w:r>
            <w:r>
              <w:rPr>
                <w:rFonts w:hint="eastAsia"/>
                <w:color w:val="auto"/>
              </w:rPr>
              <w:t>）</w:t>
            </w:r>
            <w:r>
              <w:rPr>
                <w:color w:val="auto"/>
              </w:rPr>
              <w:t>之间，项目噪声污染源源强核算结果及相关参数见表4-</w:t>
            </w:r>
            <w:r>
              <w:rPr>
                <w:rFonts w:hint="eastAsia"/>
                <w:color w:val="auto"/>
              </w:rPr>
              <w:t>8</w:t>
            </w:r>
            <w:r>
              <w:rPr>
                <w:color w:val="auto"/>
              </w:rPr>
              <w:t>。</w:t>
            </w:r>
          </w:p>
          <w:p>
            <w:pPr>
              <w:ind w:firstLine="0" w:firstLineChars="0"/>
              <w:jc w:val="center"/>
              <w:rPr>
                <w:b/>
                <w:bCs/>
                <w:color w:val="auto"/>
              </w:rPr>
            </w:pPr>
            <w:r>
              <w:rPr>
                <w:b/>
                <w:bCs/>
                <w:color w:val="auto"/>
              </w:rPr>
              <w:t>表4-</w:t>
            </w:r>
            <w:r>
              <w:rPr>
                <w:rFonts w:hint="eastAsia"/>
                <w:b/>
                <w:bCs/>
                <w:color w:val="auto"/>
              </w:rPr>
              <w:t>8</w:t>
            </w:r>
            <w:r>
              <w:rPr>
                <w:b/>
                <w:bCs/>
                <w:color w:val="auto"/>
              </w:rPr>
              <w:t>主要生产机械噪声源强表</w:t>
            </w:r>
          </w:p>
          <w:tbl>
            <w:tblPr>
              <w:tblStyle w:val="21"/>
              <w:tblW w:w="7859"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462"/>
              <w:gridCol w:w="2427"/>
              <w:gridCol w:w="297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14" w:hRule="atLeast"/>
              </w:trPr>
              <w:tc>
                <w:tcPr>
                  <w:tcW w:w="2462" w:type="dxa"/>
                  <w:tcBorders>
                    <w:tl2br w:val="nil"/>
                    <w:tr2bl w:val="nil"/>
                  </w:tcBorders>
                  <w:vAlign w:val="center"/>
                </w:tcPr>
                <w:p>
                  <w:pPr>
                    <w:spacing w:line="240" w:lineRule="auto"/>
                    <w:ind w:firstLine="0" w:firstLineChars="0"/>
                    <w:jc w:val="center"/>
                    <w:rPr>
                      <w:color w:val="auto"/>
                    </w:rPr>
                  </w:pPr>
                  <w:r>
                    <w:rPr>
                      <w:color w:val="auto"/>
                    </w:rPr>
                    <w:t>设备名称</w:t>
                  </w:r>
                </w:p>
              </w:tc>
              <w:tc>
                <w:tcPr>
                  <w:tcW w:w="2427" w:type="dxa"/>
                  <w:tcBorders>
                    <w:tl2br w:val="nil"/>
                    <w:tr2bl w:val="nil"/>
                  </w:tcBorders>
                  <w:vAlign w:val="center"/>
                </w:tcPr>
                <w:p>
                  <w:pPr>
                    <w:spacing w:line="240" w:lineRule="auto"/>
                    <w:ind w:firstLine="0" w:firstLineChars="0"/>
                    <w:jc w:val="center"/>
                    <w:rPr>
                      <w:color w:val="auto"/>
                    </w:rPr>
                  </w:pPr>
                  <w:r>
                    <w:rPr>
                      <w:color w:val="auto"/>
                    </w:rPr>
                    <w:t>LAeq（dB（A））</w:t>
                  </w:r>
                </w:p>
              </w:tc>
              <w:tc>
                <w:tcPr>
                  <w:tcW w:w="2970" w:type="dxa"/>
                  <w:tcBorders>
                    <w:tl2br w:val="nil"/>
                    <w:tr2bl w:val="nil"/>
                  </w:tcBorders>
                  <w:vAlign w:val="center"/>
                </w:tcPr>
                <w:p>
                  <w:pPr>
                    <w:spacing w:line="240" w:lineRule="auto"/>
                    <w:ind w:firstLine="0" w:firstLineChars="0"/>
                    <w:jc w:val="center"/>
                    <w:rPr>
                      <w:color w:val="auto"/>
                    </w:rPr>
                  </w:pPr>
                  <w:r>
                    <w:rPr>
                      <w:color w:val="auto"/>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462" w:type="dxa"/>
                  <w:tcBorders>
                    <w:tl2br w:val="nil"/>
                    <w:tr2bl w:val="nil"/>
                  </w:tcBorders>
                  <w:vAlign w:val="center"/>
                </w:tcPr>
                <w:p>
                  <w:pPr>
                    <w:spacing w:line="240" w:lineRule="auto"/>
                    <w:ind w:firstLine="0" w:firstLineChars="0"/>
                    <w:jc w:val="center"/>
                    <w:rPr>
                      <w:color w:val="auto"/>
                    </w:rPr>
                  </w:pPr>
                  <w:r>
                    <w:rPr>
                      <w:color w:val="auto"/>
                    </w:rPr>
                    <w:t>风机</w:t>
                  </w:r>
                </w:p>
              </w:tc>
              <w:tc>
                <w:tcPr>
                  <w:tcW w:w="2427" w:type="dxa"/>
                  <w:tcBorders>
                    <w:tl2br w:val="nil"/>
                    <w:tr2bl w:val="nil"/>
                  </w:tcBorders>
                  <w:vAlign w:val="center"/>
                </w:tcPr>
                <w:p>
                  <w:pPr>
                    <w:spacing w:line="240" w:lineRule="auto"/>
                    <w:ind w:firstLine="0" w:firstLineChars="0"/>
                    <w:jc w:val="center"/>
                    <w:rPr>
                      <w:color w:val="auto"/>
                    </w:rPr>
                  </w:pPr>
                  <w:r>
                    <w:rPr>
                      <w:color w:val="auto"/>
                    </w:rPr>
                    <w:t>75~90</w:t>
                  </w:r>
                </w:p>
              </w:tc>
              <w:tc>
                <w:tcPr>
                  <w:tcW w:w="2970" w:type="dxa"/>
                  <w:tcBorders>
                    <w:tl2br w:val="nil"/>
                    <w:tr2bl w:val="nil"/>
                  </w:tcBorders>
                  <w:vAlign w:val="center"/>
                </w:tcPr>
                <w:p>
                  <w:pPr>
                    <w:spacing w:line="240" w:lineRule="auto"/>
                    <w:ind w:firstLine="0" w:firstLineChars="0"/>
                    <w:jc w:val="center"/>
                    <w:rPr>
                      <w:color w:val="auto"/>
                    </w:rPr>
                  </w:pPr>
                  <w:r>
                    <w:rPr>
                      <w:color w:val="auto"/>
                    </w:rPr>
                    <w:t>2台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462" w:type="dxa"/>
                  <w:tcBorders>
                    <w:tl2br w:val="nil"/>
                    <w:tr2bl w:val="nil"/>
                  </w:tcBorders>
                  <w:vAlign w:val="center"/>
                </w:tcPr>
                <w:p>
                  <w:pPr>
                    <w:spacing w:line="240" w:lineRule="auto"/>
                    <w:ind w:firstLine="0" w:firstLineChars="0"/>
                    <w:jc w:val="center"/>
                    <w:rPr>
                      <w:color w:val="auto"/>
                    </w:rPr>
                  </w:pPr>
                  <w:r>
                    <w:rPr>
                      <w:color w:val="auto"/>
                    </w:rPr>
                    <w:t>泵</w:t>
                  </w:r>
                </w:p>
              </w:tc>
              <w:tc>
                <w:tcPr>
                  <w:tcW w:w="2427" w:type="dxa"/>
                  <w:tcBorders>
                    <w:tl2br w:val="nil"/>
                    <w:tr2bl w:val="nil"/>
                  </w:tcBorders>
                  <w:vAlign w:val="center"/>
                </w:tcPr>
                <w:p>
                  <w:pPr>
                    <w:spacing w:line="240" w:lineRule="auto"/>
                    <w:ind w:firstLine="0" w:firstLineChars="0"/>
                    <w:jc w:val="center"/>
                    <w:rPr>
                      <w:color w:val="auto"/>
                    </w:rPr>
                  </w:pPr>
                  <w:r>
                    <w:rPr>
                      <w:color w:val="auto"/>
                    </w:rPr>
                    <w:t>65~70</w:t>
                  </w:r>
                </w:p>
              </w:tc>
              <w:tc>
                <w:tcPr>
                  <w:tcW w:w="2970" w:type="dxa"/>
                  <w:tcBorders>
                    <w:tl2br w:val="nil"/>
                    <w:tr2bl w:val="nil"/>
                  </w:tcBorders>
                  <w:vAlign w:val="center"/>
                </w:tcPr>
                <w:p>
                  <w:pPr>
                    <w:spacing w:line="240" w:lineRule="auto"/>
                    <w:ind w:firstLine="0" w:firstLineChars="0"/>
                    <w:jc w:val="center"/>
                    <w:rPr>
                      <w:color w:val="auto"/>
                    </w:rPr>
                  </w:pPr>
                  <w:r>
                    <w:rPr>
                      <w:color w:val="auto"/>
                    </w:rPr>
                    <w:t>3台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462" w:type="dxa"/>
                  <w:tcBorders>
                    <w:tl2br w:val="nil"/>
                    <w:tr2bl w:val="nil"/>
                  </w:tcBorders>
                  <w:vAlign w:val="center"/>
                </w:tcPr>
                <w:p>
                  <w:pPr>
                    <w:spacing w:line="240" w:lineRule="auto"/>
                    <w:ind w:firstLine="0" w:firstLineChars="0"/>
                    <w:jc w:val="center"/>
                    <w:rPr>
                      <w:color w:val="auto"/>
                    </w:rPr>
                  </w:pPr>
                  <w:r>
                    <w:rPr>
                      <w:color w:val="auto"/>
                    </w:rPr>
                    <w:t>天然气蒸汽锅炉</w:t>
                  </w:r>
                </w:p>
              </w:tc>
              <w:tc>
                <w:tcPr>
                  <w:tcW w:w="2427" w:type="dxa"/>
                  <w:tcBorders>
                    <w:tl2br w:val="nil"/>
                    <w:tr2bl w:val="nil"/>
                  </w:tcBorders>
                  <w:vAlign w:val="center"/>
                </w:tcPr>
                <w:p>
                  <w:pPr>
                    <w:spacing w:line="240" w:lineRule="auto"/>
                    <w:ind w:firstLine="0" w:firstLineChars="0"/>
                    <w:jc w:val="center"/>
                    <w:rPr>
                      <w:color w:val="auto"/>
                    </w:rPr>
                  </w:pPr>
                  <w:r>
                    <w:rPr>
                      <w:color w:val="auto"/>
                    </w:rPr>
                    <w:t>75~90</w:t>
                  </w:r>
                </w:p>
              </w:tc>
              <w:tc>
                <w:tcPr>
                  <w:tcW w:w="2970" w:type="dxa"/>
                  <w:tcBorders>
                    <w:tl2br w:val="nil"/>
                    <w:tr2bl w:val="nil"/>
                  </w:tcBorders>
                  <w:vAlign w:val="center"/>
                </w:tcPr>
                <w:p>
                  <w:pPr>
                    <w:spacing w:line="240" w:lineRule="auto"/>
                    <w:ind w:firstLine="0" w:firstLineChars="0"/>
                    <w:jc w:val="center"/>
                    <w:rPr>
                      <w:color w:val="auto"/>
                    </w:rPr>
                  </w:pPr>
                  <w:r>
                    <w:rPr>
                      <w:color w:val="auto"/>
                    </w:rPr>
                    <w:t>1台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462" w:type="dxa"/>
                  <w:tcBorders>
                    <w:tl2br w:val="nil"/>
                    <w:tr2bl w:val="nil"/>
                  </w:tcBorders>
                  <w:vAlign w:val="center"/>
                </w:tcPr>
                <w:p>
                  <w:pPr>
                    <w:spacing w:line="240" w:lineRule="auto"/>
                    <w:ind w:firstLine="0" w:firstLineChars="0"/>
                    <w:jc w:val="center"/>
                    <w:rPr>
                      <w:color w:val="auto"/>
                    </w:rPr>
                  </w:pPr>
                  <w:r>
                    <w:rPr>
                      <w:color w:val="auto"/>
                    </w:rPr>
                    <w:t>煤炭</w:t>
                  </w:r>
                  <w:r>
                    <w:rPr>
                      <w:rFonts w:hint="eastAsia"/>
                      <w:color w:val="auto"/>
                    </w:rPr>
                    <w:t>蒸汽压力釜</w:t>
                  </w:r>
                </w:p>
              </w:tc>
              <w:tc>
                <w:tcPr>
                  <w:tcW w:w="2427" w:type="dxa"/>
                  <w:tcBorders>
                    <w:tl2br w:val="nil"/>
                    <w:tr2bl w:val="nil"/>
                  </w:tcBorders>
                  <w:vAlign w:val="center"/>
                </w:tcPr>
                <w:p>
                  <w:pPr>
                    <w:spacing w:line="240" w:lineRule="auto"/>
                    <w:ind w:firstLine="0" w:firstLineChars="0"/>
                    <w:jc w:val="center"/>
                    <w:rPr>
                      <w:color w:val="auto"/>
                    </w:rPr>
                  </w:pPr>
                  <w:r>
                    <w:rPr>
                      <w:color w:val="auto"/>
                    </w:rPr>
                    <w:t>75~90</w:t>
                  </w:r>
                </w:p>
              </w:tc>
              <w:tc>
                <w:tcPr>
                  <w:tcW w:w="2970" w:type="dxa"/>
                  <w:tcBorders>
                    <w:tl2br w:val="nil"/>
                    <w:tr2bl w:val="nil"/>
                  </w:tcBorders>
                  <w:vAlign w:val="center"/>
                </w:tcPr>
                <w:p>
                  <w:pPr>
                    <w:spacing w:line="240" w:lineRule="auto"/>
                    <w:ind w:firstLine="0" w:firstLineChars="0"/>
                    <w:jc w:val="center"/>
                    <w:rPr>
                      <w:color w:val="auto"/>
                    </w:rPr>
                  </w:pPr>
                  <w:r>
                    <w:rPr>
                      <w:color w:val="auto"/>
                    </w:rPr>
                    <w:t>3台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462" w:type="dxa"/>
                  <w:tcBorders>
                    <w:tl2br w:val="nil"/>
                    <w:tr2bl w:val="nil"/>
                  </w:tcBorders>
                  <w:vAlign w:val="center"/>
                </w:tcPr>
                <w:p>
                  <w:pPr>
                    <w:spacing w:line="240" w:lineRule="auto"/>
                    <w:ind w:firstLine="0" w:firstLineChars="0"/>
                    <w:jc w:val="center"/>
                    <w:rPr>
                      <w:color w:val="auto"/>
                    </w:rPr>
                  </w:pPr>
                  <w:r>
                    <w:rPr>
                      <w:color w:val="auto"/>
                    </w:rPr>
                    <w:t>给料机</w:t>
                  </w:r>
                </w:p>
              </w:tc>
              <w:tc>
                <w:tcPr>
                  <w:tcW w:w="2427" w:type="dxa"/>
                  <w:tcBorders>
                    <w:tl2br w:val="nil"/>
                    <w:tr2bl w:val="nil"/>
                  </w:tcBorders>
                  <w:vAlign w:val="center"/>
                </w:tcPr>
                <w:p>
                  <w:pPr>
                    <w:spacing w:line="240" w:lineRule="auto"/>
                    <w:ind w:firstLine="0" w:firstLineChars="0"/>
                    <w:jc w:val="center"/>
                    <w:rPr>
                      <w:color w:val="auto"/>
                    </w:rPr>
                  </w:pPr>
                  <w:r>
                    <w:rPr>
                      <w:color w:val="auto"/>
                    </w:rPr>
                    <w:t>75~90</w:t>
                  </w:r>
                </w:p>
              </w:tc>
              <w:tc>
                <w:tcPr>
                  <w:tcW w:w="2970" w:type="dxa"/>
                  <w:tcBorders>
                    <w:tl2br w:val="nil"/>
                    <w:tr2bl w:val="nil"/>
                  </w:tcBorders>
                  <w:vAlign w:val="center"/>
                </w:tcPr>
                <w:p>
                  <w:pPr>
                    <w:spacing w:line="240" w:lineRule="auto"/>
                    <w:ind w:firstLine="0" w:firstLineChars="0"/>
                    <w:jc w:val="center"/>
                    <w:rPr>
                      <w:color w:val="auto"/>
                    </w:rPr>
                  </w:pPr>
                  <w:r>
                    <w:rPr>
                      <w:color w:val="auto"/>
                    </w:rPr>
                    <w:t>3台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462" w:type="dxa"/>
                  <w:tcBorders>
                    <w:tl2br w:val="nil"/>
                    <w:tr2bl w:val="nil"/>
                  </w:tcBorders>
                  <w:vAlign w:val="center"/>
                </w:tcPr>
                <w:p>
                  <w:pPr>
                    <w:spacing w:line="240" w:lineRule="auto"/>
                    <w:ind w:firstLine="0" w:firstLineChars="0"/>
                    <w:jc w:val="center"/>
                    <w:rPr>
                      <w:color w:val="auto"/>
                    </w:rPr>
                  </w:pPr>
                  <w:r>
                    <w:rPr>
                      <w:color w:val="auto"/>
                    </w:rPr>
                    <w:t>运输车辆</w:t>
                  </w:r>
                </w:p>
              </w:tc>
              <w:tc>
                <w:tcPr>
                  <w:tcW w:w="2427" w:type="dxa"/>
                  <w:tcBorders>
                    <w:tl2br w:val="nil"/>
                    <w:tr2bl w:val="nil"/>
                  </w:tcBorders>
                  <w:vAlign w:val="center"/>
                </w:tcPr>
                <w:p>
                  <w:pPr>
                    <w:spacing w:line="240" w:lineRule="auto"/>
                    <w:ind w:firstLine="0" w:firstLineChars="0"/>
                    <w:jc w:val="center"/>
                    <w:rPr>
                      <w:color w:val="auto"/>
                    </w:rPr>
                  </w:pPr>
                  <w:r>
                    <w:rPr>
                      <w:color w:val="auto"/>
                    </w:rPr>
                    <w:t>75~90</w:t>
                  </w:r>
                </w:p>
              </w:tc>
              <w:tc>
                <w:tcPr>
                  <w:tcW w:w="2970" w:type="dxa"/>
                  <w:tcBorders>
                    <w:tl2br w:val="nil"/>
                    <w:tr2bl w:val="nil"/>
                  </w:tcBorders>
                  <w:vAlign w:val="center"/>
                </w:tcPr>
                <w:p>
                  <w:pPr>
                    <w:spacing w:line="240" w:lineRule="auto"/>
                    <w:ind w:firstLine="0" w:firstLineChars="0"/>
                    <w:jc w:val="center"/>
                    <w:rPr>
                      <w:color w:val="auto"/>
                    </w:rPr>
                  </w:pPr>
                  <w:r>
                    <w:rPr>
                      <w:color w:val="auto"/>
                    </w:rPr>
                    <w:t>3辆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462" w:type="dxa"/>
                  <w:tcBorders>
                    <w:tl2br w:val="nil"/>
                    <w:tr2bl w:val="nil"/>
                  </w:tcBorders>
                  <w:vAlign w:val="center"/>
                </w:tcPr>
                <w:p>
                  <w:pPr>
                    <w:spacing w:line="240" w:lineRule="auto"/>
                    <w:ind w:firstLine="0" w:firstLineChars="0"/>
                    <w:jc w:val="center"/>
                    <w:rPr>
                      <w:color w:val="auto"/>
                    </w:rPr>
                  </w:pPr>
                  <w:r>
                    <w:rPr>
                      <w:color w:val="auto"/>
                    </w:rPr>
                    <w:t>皮带输送机</w:t>
                  </w:r>
                </w:p>
              </w:tc>
              <w:tc>
                <w:tcPr>
                  <w:tcW w:w="2427" w:type="dxa"/>
                  <w:tcBorders>
                    <w:tl2br w:val="nil"/>
                    <w:tr2bl w:val="nil"/>
                  </w:tcBorders>
                  <w:vAlign w:val="center"/>
                </w:tcPr>
                <w:p>
                  <w:pPr>
                    <w:spacing w:line="240" w:lineRule="auto"/>
                    <w:ind w:firstLine="0" w:firstLineChars="0"/>
                    <w:jc w:val="center"/>
                    <w:rPr>
                      <w:color w:val="auto"/>
                    </w:rPr>
                  </w:pPr>
                  <w:r>
                    <w:rPr>
                      <w:color w:val="auto"/>
                    </w:rPr>
                    <w:t>75~90</w:t>
                  </w:r>
                </w:p>
              </w:tc>
              <w:tc>
                <w:tcPr>
                  <w:tcW w:w="2970" w:type="dxa"/>
                  <w:tcBorders>
                    <w:tl2br w:val="nil"/>
                    <w:tr2bl w:val="nil"/>
                  </w:tcBorders>
                  <w:vAlign w:val="center"/>
                </w:tcPr>
                <w:p>
                  <w:pPr>
                    <w:spacing w:line="240" w:lineRule="auto"/>
                    <w:ind w:firstLine="0" w:firstLineChars="0"/>
                    <w:jc w:val="center"/>
                    <w:rPr>
                      <w:color w:val="auto"/>
                    </w:rPr>
                  </w:pPr>
                  <w:r>
                    <w:rPr>
                      <w:color w:val="auto"/>
                    </w:rPr>
                    <w:t>4条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462" w:type="dxa"/>
                  <w:tcBorders>
                    <w:tl2br w:val="nil"/>
                    <w:tr2bl w:val="nil"/>
                  </w:tcBorders>
                  <w:vAlign w:val="center"/>
                </w:tcPr>
                <w:p>
                  <w:pPr>
                    <w:spacing w:line="240" w:lineRule="auto"/>
                    <w:ind w:firstLine="0" w:firstLineChars="0"/>
                    <w:jc w:val="center"/>
                    <w:rPr>
                      <w:color w:val="auto"/>
                    </w:rPr>
                  </w:pPr>
                  <w:r>
                    <w:rPr>
                      <w:color w:val="auto"/>
                    </w:rPr>
                    <w:t>废水处理站</w:t>
                  </w:r>
                </w:p>
              </w:tc>
              <w:tc>
                <w:tcPr>
                  <w:tcW w:w="2427" w:type="dxa"/>
                  <w:tcBorders>
                    <w:tl2br w:val="nil"/>
                    <w:tr2bl w:val="nil"/>
                  </w:tcBorders>
                  <w:vAlign w:val="center"/>
                </w:tcPr>
                <w:p>
                  <w:pPr>
                    <w:spacing w:line="240" w:lineRule="auto"/>
                    <w:ind w:firstLine="0" w:firstLineChars="0"/>
                    <w:jc w:val="center"/>
                    <w:rPr>
                      <w:color w:val="auto"/>
                    </w:rPr>
                  </w:pPr>
                  <w:r>
                    <w:rPr>
                      <w:color w:val="auto"/>
                    </w:rPr>
                    <w:t>75~90</w:t>
                  </w:r>
                </w:p>
              </w:tc>
              <w:tc>
                <w:tcPr>
                  <w:tcW w:w="2970" w:type="dxa"/>
                  <w:tcBorders>
                    <w:tl2br w:val="nil"/>
                    <w:tr2bl w:val="nil"/>
                  </w:tcBorders>
                  <w:vAlign w:val="center"/>
                </w:tcPr>
                <w:p>
                  <w:pPr>
                    <w:spacing w:line="240" w:lineRule="auto"/>
                    <w:ind w:firstLine="0" w:firstLineChars="0"/>
                    <w:jc w:val="center"/>
                    <w:rPr>
                      <w:color w:val="auto"/>
                    </w:rPr>
                  </w:pPr>
                  <w:r>
                    <w:rPr>
                      <w:color w:val="auto"/>
                    </w:rPr>
                    <w:t>1座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462" w:type="dxa"/>
                  <w:tcBorders>
                    <w:tl2br w:val="nil"/>
                    <w:tr2bl w:val="nil"/>
                  </w:tcBorders>
                  <w:vAlign w:val="center"/>
                </w:tcPr>
                <w:p>
                  <w:pPr>
                    <w:spacing w:line="240" w:lineRule="auto"/>
                    <w:ind w:firstLine="0" w:firstLineChars="0"/>
                    <w:jc w:val="center"/>
                    <w:rPr>
                      <w:color w:val="auto"/>
                    </w:rPr>
                  </w:pPr>
                  <w:r>
                    <w:rPr>
                      <w:color w:val="auto"/>
                    </w:rPr>
                    <w:t>加药泵</w:t>
                  </w:r>
                </w:p>
              </w:tc>
              <w:tc>
                <w:tcPr>
                  <w:tcW w:w="2427" w:type="dxa"/>
                  <w:tcBorders>
                    <w:tl2br w:val="nil"/>
                    <w:tr2bl w:val="nil"/>
                  </w:tcBorders>
                  <w:vAlign w:val="center"/>
                </w:tcPr>
                <w:p>
                  <w:pPr>
                    <w:spacing w:line="240" w:lineRule="auto"/>
                    <w:ind w:firstLine="0" w:firstLineChars="0"/>
                    <w:jc w:val="center"/>
                    <w:rPr>
                      <w:color w:val="auto"/>
                    </w:rPr>
                  </w:pPr>
                  <w:r>
                    <w:rPr>
                      <w:color w:val="auto"/>
                    </w:rPr>
                    <w:t>75~90</w:t>
                  </w:r>
                </w:p>
              </w:tc>
              <w:tc>
                <w:tcPr>
                  <w:tcW w:w="2970" w:type="dxa"/>
                  <w:tcBorders>
                    <w:tl2br w:val="nil"/>
                    <w:tr2bl w:val="nil"/>
                  </w:tcBorders>
                  <w:vAlign w:val="center"/>
                </w:tcPr>
                <w:p>
                  <w:pPr>
                    <w:spacing w:line="240" w:lineRule="auto"/>
                    <w:ind w:firstLine="0" w:firstLineChars="0"/>
                    <w:jc w:val="center"/>
                    <w:rPr>
                      <w:color w:val="auto"/>
                    </w:rPr>
                  </w:pPr>
                  <w:r>
                    <w:rPr>
                      <w:color w:val="auto"/>
                    </w:rPr>
                    <w:t>5台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462" w:type="dxa"/>
                  <w:tcBorders>
                    <w:tl2br w:val="nil"/>
                    <w:tr2bl w:val="nil"/>
                  </w:tcBorders>
                  <w:vAlign w:val="center"/>
                </w:tcPr>
                <w:p>
                  <w:pPr>
                    <w:spacing w:line="240" w:lineRule="auto"/>
                    <w:ind w:firstLine="0" w:firstLineChars="0"/>
                    <w:jc w:val="center"/>
                    <w:rPr>
                      <w:color w:val="auto"/>
                    </w:rPr>
                  </w:pPr>
                  <w:r>
                    <w:rPr>
                      <w:color w:val="auto"/>
                    </w:rPr>
                    <w:t>板框压滤机</w:t>
                  </w:r>
                </w:p>
              </w:tc>
              <w:tc>
                <w:tcPr>
                  <w:tcW w:w="2427" w:type="dxa"/>
                  <w:tcBorders>
                    <w:tl2br w:val="nil"/>
                    <w:tr2bl w:val="nil"/>
                  </w:tcBorders>
                  <w:vAlign w:val="center"/>
                </w:tcPr>
                <w:p>
                  <w:pPr>
                    <w:spacing w:line="240" w:lineRule="auto"/>
                    <w:ind w:firstLine="0" w:firstLineChars="0"/>
                    <w:jc w:val="center"/>
                    <w:rPr>
                      <w:color w:val="auto"/>
                    </w:rPr>
                  </w:pPr>
                  <w:r>
                    <w:rPr>
                      <w:color w:val="auto"/>
                    </w:rPr>
                    <w:t>75~90</w:t>
                  </w:r>
                </w:p>
              </w:tc>
              <w:tc>
                <w:tcPr>
                  <w:tcW w:w="2970" w:type="dxa"/>
                  <w:tcBorders>
                    <w:tl2br w:val="nil"/>
                    <w:tr2bl w:val="nil"/>
                  </w:tcBorders>
                  <w:vAlign w:val="center"/>
                </w:tcPr>
                <w:p>
                  <w:pPr>
                    <w:spacing w:line="240" w:lineRule="auto"/>
                    <w:ind w:firstLine="0" w:firstLineChars="0"/>
                    <w:jc w:val="center"/>
                    <w:rPr>
                      <w:color w:val="auto"/>
                    </w:rPr>
                  </w:pPr>
                  <w:r>
                    <w:rPr>
                      <w:color w:val="auto"/>
                    </w:rPr>
                    <w:t>1台</w:t>
                  </w:r>
                </w:p>
              </w:tc>
            </w:tr>
          </w:tbl>
          <w:p>
            <w:pPr>
              <w:ind w:firstLine="482"/>
              <w:rPr>
                <w:b/>
                <w:bCs/>
                <w:color w:val="auto"/>
              </w:rPr>
            </w:pPr>
            <w:r>
              <w:rPr>
                <w:rFonts w:hint="eastAsia"/>
                <w:b/>
                <w:bCs/>
                <w:color w:val="auto"/>
                <w:lang w:eastAsia="zh-CN"/>
              </w:rPr>
              <w:t>1.</w:t>
            </w:r>
            <w:r>
              <w:rPr>
                <w:b/>
                <w:bCs/>
                <w:color w:val="auto"/>
              </w:rPr>
              <w:t>预测模式及预测内容</w:t>
            </w:r>
          </w:p>
          <w:p>
            <w:pPr>
              <w:ind w:firstLine="480"/>
              <w:rPr>
                <w:color w:val="auto"/>
              </w:rPr>
            </w:pPr>
            <w:r>
              <w:rPr>
                <w:color w:val="auto"/>
              </w:rPr>
              <w:t>①预测模式</w:t>
            </w:r>
          </w:p>
          <w:p>
            <w:pPr>
              <w:ind w:firstLine="480"/>
              <w:rPr>
                <w:color w:val="auto"/>
              </w:rPr>
            </w:pPr>
            <w:r>
              <w:rPr>
                <w:color w:val="auto"/>
              </w:rPr>
              <w:t>本次评价中噪声影响预测模式按《环境影响预测评价技术导则声环境》（HJ2.4-2021）中推荐的噪声传播声级衰减模式选择。厂区噪声源以机械、设备噪声为主。由于预测点距声源的距离远远大于声源本身的尺寸，各噪声源设备辐射的噪声在户外传播可视为点声源。根据声源噪声衰减模式，可估算出离噪声源不同距离处的噪声值，其预测模式如下：</w:t>
            </w:r>
          </w:p>
          <w:p>
            <w:pPr>
              <w:widowControl/>
              <w:ind w:firstLine="482"/>
              <w:jc w:val="left"/>
              <w:rPr>
                <w:color w:val="auto"/>
              </w:rPr>
            </w:pPr>
            <w:r>
              <w:rPr>
                <w:b/>
                <w:bCs/>
                <w:color w:val="auto"/>
                <w:kern w:val="0"/>
                <w:lang w:bidi="ar"/>
              </w:rPr>
              <w:t>室内声源</w:t>
            </w:r>
          </w:p>
          <w:p>
            <w:pPr>
              <w:widowControl/>
              <w:ind w:firstLine="480"/>
              <w:jc w:val="left"/>
              <w:rPr>
                <w:color w:val="auto"/>
              </w:rPr>
            </w:pPr>
            <w:r>
              <w:rPr>
                <w:color w:val="auto"/>
                <w:kern w:val="0"/>
                <w:lang w:bidi="ar"/>
              </w:rPr>
              <w:t>室内声源等效为室外声源的图例见图4-1。</w:t>
            </w:r>
          </w:p>
          <w:p>
            <w:pPr>
              <w:ind w:firstLine="0" w:firstLineChars="0"/>
              <w:rPr>
                <w:color w:val="auto"/>
              </w:rPr>
            </w:pPr>
            <w:r>
              <w:rPr>
                <w:color w:val="auto"/>
              </w:rPr>
              <w:drawing>
                <wp:inline distT="0" distB="0" distL="114300" distR="114300">
                  <wp:extent cx="5043805" cy="1935480"/>
                  <wp:effectExtent l="0" t="0" r="4445" b="7620"/>
                  <wp:docPr id="84"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4" name="图片 17"/>
                          <pic:cNvPicPr>
                            <a:picLocks noChangeAspect="true"/>
                          </pic:cNvPicPr>
                        </pic:nvPicPr>
                        <pic:blipFill>
                          <a:blip r:embed="rId30"/>
                          <a:stretch>
                            <a:fillRect/>
                          </a:stretch>
                        </pic:blipFill>
                        <pic:spPr>
                          <a:xfrm>
                            <a:off x="0" y="0"/>
                            <a:ext cx="5043805" cy="1935480"/>
                          </a:xfrm>
                          <a:prstGeom prst="rect">
                            <a:avLst/>
                          </a:prstGeom>
                          <a:noFill/>
                          <a:ln>
                            <a:noFill/>
                          </a:ln>
                        </pic:spPr>
                      </pic:pic>
                    </a:graphicData>
                  </a:graphic>
                </wp:inline>
              </w:drawing>
            </w:r>
          </w:p>
          <w:p>
            <w:pPr>
              <w:ind w:firstLine="482"/>
              <w:jc w:val="center"/>
              <w:rPr>
                <w:color w:val="auto"/>
              </w:rPr>
            </w:pPr>
            <w:r>
              <w:rPr>
                <w:b/>
                <w:bCs/>
                <w:color w:val="auto"/>
              </w:rPr>
              <w:t>图4-1室内声源等效为室外声源的图例</w:t>
            </w:r>
          </w:p>
          <w:p>
            <w:pPr>
              <w:ind w:firstLine="480"/>
              <w:rPr>
                <w:color w:val="auto"/>
              </w:rPr>
            </w:pPr>
            <w:r>
              <w:rPr>
                <w:color w:val="auto"/>
              </w:rPr>
              <w:t>①已知声源的声压级L（r0），且声源位于地面上，则点声源产生的倍频带声功率级：</w:t>
            </w:r>
          </w:p>
          <w:p>
            <w:pPr>
              <w:ind w:firstLine="480"/>
              <w:jc w:val="center"/>
              <w:rPr>
                <w:color w:val="auto"/>
              </w:rPr>
            </w:pPr>
            <w:r>
              <w:rPr>
                <w:color w:val="auto"/>
              </w:rPr>
              <w:drawing>
                <wp:inline distT="0" distB="0" distL="114300" distR="114300">
                  <wp:extent cx="3800475" cy="580390"/>
                  <wp:effectExtent l="0" t="0" r="9525" b="10160"/>
                  <wp:docPr id="85"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5" name="图片 18"/>
                          <pic:cNvPicPr>
                            <a:picLocks noChangeAspect="true"/>
                          </pic:cNvPicPr>
                        </pic:nvPicPr>
                        <pic:blipFill>
                          <a:blip r:embed="rId31"/>
                          <a:stretch>
                            <a:fillRect/>
                          </a:stretch>
                        </pic:blipFill>
                        <pic:spPr>
                          <a:xfrm>
                            <a:off x="0" y="0"/>
                            <a:ext cx="3800475" cy="580390"/>
                          </a:xfrm>
                          <a:prstGeom prst="rect">
                            <a:avLst/>
                          </a:prstGeom>
                          <a:noFill/>
                          <a:ln>
                            <a:noFill/>
                          </a:ln>
                        </pic:spPr>
                      </pic:pic>
                    </a:graphicData>
                  </a:graphic>
                </wp:inline>
              </w:drawing>
            </w:r>
          </w:p>
          <w:p>
            <w:pPr>
              <w:ind w:firstLine="480"/>
              <w:rPr>
                <w:color w:val="auto"/>
              </w:rPr>
            </w:pPr>
            <w:r>
              <w:rPr>
                <w:color w:val="auto"/>
              </w:rPr>
              <w:t>②室内声源靠近围护结构处的声压级</w:t>
            </w:r>
          </w:p>
          <w:p>
            <w:pPr>
              <w:ind w:firstLine="0" w:firstLineChars="0"/>
              <w:jc w:val="center"/>
              <w:rPr>
                <w:color w:val="auto"/>
              </w:rPr>
            </w:pPr>
            <w:r>
              <w:rPr>
                <w:color w:val="auto"/>
              </w:rPr>
              <w:drawing>
                <wp:inline distT="0" distB="0" distL="114300" distR="114300">
                  <wp:extent cx="3197225" cy="554990"/>
                  <wp:effectExtent l="0" t="0" r="3175" b="16510"/>
                  <wp:docPr id="86"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6" name="图片 19"/>
                          <pic:cNvPicPr>
                            <a:picLocks noChangeAspect="true"/>
                          </pic:cNvPicPr>
                        </pic:nvPicPr>
                        <pic:blipFill>
                          <a:blip r:embed="rId32"/>
                          <a:stretch>
                            <a:fillRect/>
                          </a:stretch>
                        </pic:blipFill>
                        <pic:spPr>
                          <a:xfrm>
                            <a:off x="0" y="0"/>
                            <a:ext cx="3197225" cy="554990"/>
                          </a:xfrm>
                          <a:prstGeom prst="rect">
                            <a:avLst/>
                          </a:prstGeom>
                          <a:noFill/>
                          <a:ln>
                            <a:noFill/>
                          </a:ln>
                        </pic:spPr>
                      </pic:pic>
                    </a:graphicData>
                  </a:graphic>
                </wp:inline>
              </w:drawing>
            </w:r>
          </w:p>
          <w:p>
            <w:pPr>
              <w:ind w:firstLine="480"/>
              <w:rPr>
                <w:color w:val="auto"/>
              </w:rPr>
            </w:pPr>
            <w:r>
              <w:rPr>
                <w:color w:val="auto"/>
              </w:rPr>
              <w:t>式中：LP1：某个室内声源靠近围护结构处的声压级；</w:t>
            </w:r>
          </w:p>
          <w:p>
            <w:pPr>
              <w:ind w:firstLine="480"/>
              <w:rPr>
                <w:color w:val="auto"/>
              </w:rPr>
            </w:pPr>
            <w:r>
              <w:rPr>
                <w:color w:val="auto"/>
              </w:rPr>
              <w:t>LW：某个室内声源靠近围护结构处的声功率级；</w:t>
            </w:r>
          </w:p>
          <w:p>
            <w:pPr>
              <w:ind w:firstLine="480"/>
              <w:rPr>
                <w:color w:val="auto"/>
              </w:rPr>
            </w:pPr>
            <w:r>
              <w:rPr>
                <w:color w:val="auto"/>
              </w:rPr>
              <w:t>Q：指向性因数；通常指无指向性声源，当声源放在房间中间时，Q=1；</w:t>
            </w:r>
          </w:p>
          <w:p>
            <w:pPr>
              <w:ind w:firstLine="480"/>
              <w:rPr>
                <w:color w:val="auto"/>
              </w:rPr>
            </w:pPr>
            <w:r>
              <w:rPr>
                <w:color w:val="auto"/>
              </w:rPr>
              <w:t>当放在一面墙的中心时，Q=2；当放在两面墙夹角处时，Q=4；当放在三面墙夹角处时，Q=8；</w:t>
            </w:r>
          </w:p>
          <w:p>
            <w:pPr>
              <w:ind w:firstLine="480"/>
              <w:rPr>
                <w:color w:val="auto"/>
              </w:rPr>
            </w:pPr>
            <w:r>
              <w:rPr>
                <w:color w:val="auto"/>
              </w:rPr>
              <w:t>R：房间常数；R=Sa/（1-a），S为房间内表面面积，㎡；a为平均吸声系数，本次评价取0.15；</w:t>
            </w:r>
          </w:p>
          <w:p>
            <w:pPr>
              <w:ind w:firstLine="480"/>
              <w:rPr>
                <w:color w:val="auto"/>
              </w:rPr>
            </w:pPr>
            <w:r>
              <w:rPr>
                <w:color w:val="auto"/>
              </w:rPr>
              <w:t>r：声源到靠近围护结构某点处的距离，m。</w:t>
            </w:r>
          </w:p>
          <w:p>
            <w:pPr>
              <w:ind w:firstLine="480"/>
              <w:rPr>
                <w:color w:val="auto"/>
              </w:rPr>
            </w:pPr>
            <w:r>
              <w:rPr>
                <w:color w:val="auto"/>
              </w:rPr>
              <w:t>③计算出所有室内声源在围护结构处的总声压级：</w:t>
            </w:r>
          </w:p>
          <w:p>
            <w:pPr>
              <w:ind w:firstLine="0" w:firstLineChars="0"/>
              <w:jc w:val="center"/>
              <w:rPr>
                <w:color w:val="auto"/>
              </w:rPr>
            </w:pPr>
            <w:r>
              <w:rPr>
                <w:color w:val="auto"/>
              </w:rPr>
              <w:drawing>
                <wp:inline distT="0" distB="0" distL="114300" distR="114300">
                  <wp:extent cx="3432175" cy="786765"/>
                  <wp:effectExtent l="0" t="0" r="15875" b="13335"/>
                  <wp:docPr id="87" name="图片 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7" name="图片 20"/>
                          <pic:cNvPicPr>
                            <a:picLocks noChangeAspect="true"/>
                          </pic:cNvPicPr>
                        </pic:nvPicPr>
                        <pic:blipFill>
                          <a:blip r:embed="rId33"/>
                          <a:stretch>
                            <a:fillRect/>
                          </a:stretch>
                        </pic:blipFill>
                        <pic:spPr>
                          <a:xfrm>
                            <a:off x="0" y="0"/>
                            <a:ext cx="3432175" cy="786765"/>
                          </a:xfrm>
                          <a:prstGeom prst="rect">
                            <a:avLst/>
                          </a:prstGeom>
                          <a:noFill/>
                          <a:ln>
                            <a:noFill/>
                          </a:ln>
                        </pic:spPr>
                      </pic:pic>
                    </a:graphicData>
                  </a:graphic>
                </wp:inline>
              </w:drawing>
            </w:r>
          </w:p>
          <w:p>
            <w:pPr>
              <w:ind w:firstLine="480"/>
              <w:rPr>
                <w:color w:val="auto"/>
              </w:rPr>
            </w:pPr>
            <w:r>
              <w:rPr>
                <w:color w:val="auto"/>
              </w:rPr>
              <w:t>式中：Lpli</w:t>
            </w:r>
            <w:r>
              <w:rPr>
                <w:rFonts w:hint="eastAsia"/>
                <w:color w:val="auto"/>
              </w:rPr>
              <w:t>（</w:t>
            </w:r>
            <w:r>
              <w:rPr>
                <w:color w:val="auto"/>
              </w:rPr>
              <w:t>T</w:t>
            </w:r>
            <w:r>
              <w:rPr>
                <w:rFonts w:hint="eastAsia"/>
                <w:color w:val="auto"/>
              </w:rPr>
              <w:t>）</w:t>
            </w:r>
            <w:r>
              <w:rPr>
                <w:color w:val="auto"/>
              </w:rPr>
              <w:t>：靠近围护结构处室内N个声源的叠加声压级，dB（A）；</w:t>
            </w:r>
          </w:p>
          <w:p>
            <w:pPr>
              <w:ind w:firstLine="480"/>
              <w:rPr>
                <w:color w:val="auto"/>
              </w:rPr>
            </w:pPr>
            <w:r>
              <w:rPr>
                <w:color w:val="auto"/>
              </w:rPr>
              <w:t>Lplij：室内j声源i倍频带的声压级，dB（A）；</w:t>
            </w:r>
          </w:p>
          <w:p>
            <w:pPr>
              <w:ind w:firstLine="480"/>
              <w:rPr>
                <w:color w:val="auto"/>
              </w:rPr>
            </w:pPr>
            <w:r>
              <w:rPr>
                <w:color w:val="auto"/>
              </w:rPr>
              <w:t>N：室内声源总数。</w:t>
            </w:r>
          </w:p>
          <w:p>
            <w:pPr>
              <w:ind w:firstLine="480"/>
              <w:rPr>
                <w:color w:val="auto"/>
              </w:rPr>
            </w:pPr>
            <w:r>
              <w:rPr>
                <w:color w:val="auto"/>
              </w:rPr>
              <w:t>④计算出室外靠近围护结构处的声压级：</w:t>
            </w:r>
          </w:p>
          <w:p>
            <w:pPr>
              <w:ind w:firstLine="480"/>
              <w:jc w:val="center"/>
              <w:rPr>
                <w:color w:val="auto"/>
              </w:rPr>
            </w:pPr>
            <w:r>
              <w:rPr>
                <w:color w:val="auto"/>
              </w:rPr>
              <w:drawing>
                <wp:inline distT="0" distB="0" distL="114300" distR="114300">
                  <wp:extent cx="2914650" cy="628650"/>
                  <wp:effectExtent l="0" t="0" r="0" b="0"/>
                  <wp:docPr id="88" name="图片 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8" name="图片 21"/>
                          <pic:cNvPicPr>
                            <a:picLocks noChangeAspect="true"/>
                          </pic:cNvPicPr>
                        </pic:nvPicPr>
                        <pic:blipFill>
                          <a:blip r:embed="rId34"/>
                          <a:stretch>
                            <a:fillRect/>
                          </a:stretch>
                        </pic:blipFill>
                        <pic:spPr>
                          <a:xfrm>
                            <a:off x="0" y="0"/>
                            <a:ext cx="2914650" cy="628650"/>
                          </a:xfrm>
                          <a:prstGeom prst="rect">
                            <a:avLst/>
                          </a:prstGeom>
                          <a:noFill/>
                          <a:ln>
                            <a:noFill/>
                          </a:ln>
                        </pic:spPr>
                      </pic:pic>
                    </a:graphicData>
                  </a:graphic>
                </wp:inline>
              </w:drawing>
            </w:r>
          </w:p>
          <w:p>
            <w:pPr>
              <w:ind w:firstLine="480"/>
              <w:rPr>
                <w:color w:val="auto"/>
              </w:rPr>
            </w:pPr>
            <w:r>
              <w:rPr>
                <w:color w:val="auto"/>
              </w:rPr>
              <w:t>式中：Lp1：靠近开口处（或窗户）室内某倍频带的声压级或A声级，dB（A）；</w:t>
            </w:r>
          </w:p>
          <w:p>
            <w:pPr>
              <w:ind w:firstLine="480"/>
              <w:rPr>
                <w:color w:val="auto"/>
              </w:rPr>
            </w:pPr>
            <w:r>
              <w:rPr>
                <w:color w:val="auto"/>
              </w:rPr>
              <w:t>Lp2：靠近开口处（或窗户）室外某倍频带的声压级或A声级，dB（A）；</w:t>
            </w:r>
          </w:p>
          <w:p>
            <w:pPr>
              <w:ind w:firstLine="480"/>
              <w:rPr>
                <w:color w:val="auto"/>
              </w:rPr>
            </w:pPr>
            <w:r>
              <w:rPr>
                <w:color w:val="auto"/>
              </w:rPr>
              <w:t>TL：隔墙（或窗户）倍频带的声压级或A声级的隔声量。</w:t>
            </w:r>
          </w:p>
          <w:p>
            <w:pPr>
              <w:ind w:firstLine="480"/>
              <w:rPr>
                <w:color w:val="auto"/>
              </w:rPr>
            </w:pPr>
            <w:r>
              <w:rPr>
                <w:color w:val="auto"/>
              </w:rPr>
              <w:t>⑤将室外声源的声压级和透声面积换算成等效的室外声源，计算出中心位置位于透声面积（S）处的等效声源的倍频带声功率级，dB（A）。</w:t>
            </w:r>
          </w:p>
          <w:p>
            <w:pPr>
              <w:ind w:firstLine="480"/>
              <w:jc w:val="center"/>
              <w:rPr>
                <w:color w:val="auto"/>
              </w:rPr>
            </w:pPr>
            <w:r>
              <w:rPr>
                <w:color w:val="auto"/>
              </w:rPr>
              <w:drawing>
                <wp:inline distT="0" distB="0" distL="114300" distR="114300">
                  <wp:extent cx="2933700" cy="476250"/>
                  <wp:effectExtent l="0" t="0" r="0" b="0"/>
                  <wp:docPr id="89" name="图片 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9" name="图片 22"/>
                          <pic:cNvPicPr>
                            <a:picLocks noChangeAspect="true"/>
                          </pic:cNvPicPr>
                        </pic:nvPicPr>
                        <pic:blipFill>
                          <a:blip r:embed="rId35"/>
                          <a:stretch>
                            <a:fillRect/>
                          </a:stretch>
                        </pic:blipFill>
                        <pic:spPr>
                          <a:xfrm>
                            <a:off x="0" y="0"/>
                            <a:ext cx="2933700" cy="476250"/>
                          </a:xfrm>
                          <a:prstGeom prst="rect">
                            <a:avLst/>
                          </a:prstGeom>
                          <a:noFill/>
                          <a:ln>
                            <a:noFill/>
                          </a:ln>
                        </pic:spPr>
                      </pic:pic>
                    </a:graphicData>
                  </a:graphic>
                </wp:inline>
              </w:drawing>
            </w:r>
          </w:p>
          <w:p>
            <w:pPr>
              <w:ind w:firstLine="480"/>
              <w:rPr>
                <w:color w:val="auto"/>
              </w:rPr>
            </w:pPr>
            <w:r>
              <w:rPr>
                <w:color w:val="auto"/>
              </w:rPr>
              <w:t>式中：S为透声面积，㎡；</w:t>
            </w:r>
          </w:p>
          <w:p>
            <w:pPr>
              <w:ind w:firstLine="480"/>
              <w:rPr>
                <w:color w:val="auto"/>
              </w:rPr>
            </w:pPr>
            <w:r>
              <w:rPr>
                <w:color w:val="auto"/>
              </w:rPr>
              <w:t>Lw：中心位置位于透声面积（S）处的等效声源的倍频带声功率级，dB（A）；</w:t>
            </w:r>
          </w:p>
          <w:p>
            <w:pPr>
              <w:ind w:firstLine="480"/>
              <w:rPr>
                <w:color w:val="auto"/>
              </w:rPr>
            </w:pPr>
            <w:r>
              <w:rPr>
                <w:color w:val="auto"/>
              </w:rPr>
              <w:t>Lp2（T）：靠近围护结构处室外声源的声压级，dB（A）；</w:t>
            </w:r>
          </w:p>
          <w:p>
            <w:pPr>
              <w:ind w:firstLine="480"/>
              <w:rPr>
                <w:color w:val="auto"/>
              </w:rPr>
            </w:pPr>
            <w:r>
              <w:rPr>
                <w:color w:val="auto"/>
              </w:rPr>
              <w:t>⑥等效室外声源的位置为围护结构的位置，其声功率级为Lw，由此按照室外声源方法计算等效室外声源在预测点产生的A声级。</w:t>
            </w:r>
          </w:p>
          <w:p>
            <w:pPr>
              <w:ind w:firstLine="480"/>
              <w:rPr>
                <w:color w:val="auto"/>
              </w:rPr>
            </w:pPr>
            <w:r>
              <w:rPr>
                <w:color w:val="auto"/>
              </w:rPr>
              <w:t>C</w:t>
            </w:r>
            <w:r>
              <w:rPr>
                <w:rFonts w:hint="eastAsia"/>
                <w:color w:val="auto"/>
                <w:lang w:eastAsia="zh-CN"/>
              </w:rPr>
              <w:t>.</w:t>
            </w:r>
            <w:r>
              <w:rPr>
                <w:color w:val="auto"/>
              </w:rPr>
              <w:t>室外声源</w:t>
            </w:r>
          </w:p>
          <w:p>
            <w:pPr>
              <w:ind w:firstLine="480"/>
              <w:rPr>
                <w:color w:val="auto"/>
              </w:rPr>
            </w:pPr>
            <w:r>
              <w:rPr>
                <w:color w:val="auto"/>
              </w:rPr>
              <w:t>室外声源在预测点的声压级：</w:t>
            </w:r>
          </w:p>
          <w:p>
            <w:pPr>
              <w:ind w:firstLine="480"/>
              <w:rPr>
                <w:color w:val="auto"/>
              </w:rPr>
            </w:pPr>
            <w:r>
              <w:rPr>
                <w:color w:val="auto"/>
              </w:rPr>
              <w:drawing>
                <wp:inline distT="0" distB="0" distL="114300" distR="114300">
                  <wp:extent cx="2981325" cy="495300"/>
                  <wp:effectExtent l="0" t="0" r="9525" b="0"/>
                  <wp:docPr id="90" name="图片 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0" name="图片 23"/>
                          <pic:cNvPicPr>
                            <a:picLocks noChangeAspect="true"/>
                          </pic:cNvPicPr>
                        </pic:nvPicPr>
                        <pic:blipFill>
                          <a:blip r:embed="rId36"/>
                          <a:stretch>
                            <a:fillRect/>
                          </a:stretch>
                        </pic:blipFill>
                        <pic:spPr>
                          <a:xfrm>
                            <a:off x="0" y="0"/>
                            <a:ext cx="2981325" cy="495300"/>
                          </a:xfrm>
                          <a:prstGeom prst="rect">
                            <a:avLst/>
                          </a:prstGeom>
                          <a:noFill/>
                          <a:ln>
                            <a:noFill/>
                          </a:ln>
                        </pic:spPr>
                      </pic:pic>
                    </a:graphicData>
                  </a:graphic>
                </wp:inline>
              </w:drawing>
            </w:r>
          </w:p>
          <w:p>
            <w:pPr>
              <w:ind w:firstLine="480"/>
              <w:rPr>
                <w:color w:val="auto"/>
              </w:rPr>
            </w:pPr>
            <w:r>
              <w:rPr>
                <w:color w:val="auto"/>
              </w:rPr>
              <w:t>式中：LA</w:t>
            </w:r>
            <w:r>
              <w:rPr>
                <w:rFonts w:hint="eastAsia"/>
                <w:color w:val="auto"/>
              </w:rPr>
              <w:t>（</w:t>
            </w:r>
            <w:r>
              <w:rPr>
                <w:color w:val="auto"/>
              </w:rPr>
              <w:t>r</w:t>
            </w:r>
            <w:r>
              <w:rPr>
                <w:rFonts w:hint="eastAsia"/>
                <w:color w:val="auto"/>
              </w:rPr>
              <w:t>）</w:t>
            </w:r>
            <w:r>
              <w:rPr>
                <w:color w:val="auto"/>
              </w:rPr>
              <w:t>：点声源在预测点产生的声压级，dB（A）；</w:t>
            </w:r>
          </w:p>
          <w:p>
            <w:pPr>
              <w:ind w:firstLine="480"/>
              <w:rPr>
                <w:color w:val="auto"/>
              </w:rPr>
            </w:pPr>
            <w:r>
              <w:rPr>
                <w:color w:val="auto"/>
              </w:rPr>
              <w:t>LA</w:t>
            </w:r>
            <w:r>
              <w:rPr>
                <w:rFonts w:hint="eastAsia"/>
                <w:color w:val="auto"/>
              </w:rPr>
              <w:t>（</w:t>
            </w:r>
            <w:r>
              <w:rPr>
                <w:color w:val="auto"/>
              </w:rPr>
              <w:t>r0</w:t>
            </w:r>
            <w:r>
              <w:rPr>
                <w:rFonts w:hint="eastAsia"/>
                <w:color w:val="auto"/>
              </w:rPr>
              <w:t>）</w:t>
            </w:r>
            <w:r>
              <w:rPr>
                <w:color w:val="auto"/>
              </w:rPr>
              <w:t>：参考位置r0处的声压级；</w:t>
            </w:r>
          </w:p>
          <w:p>
            <w:pPr>
              <w:ind w:firstLine="480"/>
              <w:rPr>
                <w:color w:val="auto"/>
              </w:rPr>
            </w:pPr>
            <w:r>
              <w:rPr>
                <w:color w:val="auto"/>
              </w:rPr>
              <w:t>r：预测点距声源的距离，m；</w:t>
            </w:r>
          </w:p>
          <w:p>
            <w:pPr>
              <w:ind w:firstLine="480"/>
              <w:rPr>
                <w:color w:val="auto"/>
              </w:rPr>
            </w:pPr>
            <w:r>
              <w:rPr>
                <w:color w:val="auto"/>
              </w:rPr>
              <w:t>r0：参考位置距声源的距离，m；</w:t>
            </w:r>
          </w:p>
          <w:p>
            <w:pPr>
              <w:ind w:firstLine="480"/>
              <w:rPr>
                <w:color w:val="auto"/>
              </w:rPr>
            </w:pPr>
            <w:r>
              <w:rPr>
                <w:color w:val="auto"/>
              </w:rPr>
              <w:t>Adiv：几何发散引起的衰减，dB（A）</w:t>
            </w:r>
          </w:p>
          <w:p>
            <w:pPr>
              <w:ind w:firstLine="480"/>
              <w:rPr>
                <w:color w:val="auto"/>
              </w:rPr>
            </w:pPr>
            <w:r>
              <w:rPr>
                <w:color w:val="auto"/>
              </w:rPr>
              <w:t>D</w:t>
            </w:r>
            <w:r>
              <w:rPr>
                <w:rFonts w:hint="eastAsia"/>
                <w:color w:val="auto"/>
                <w:lang w:eastAsia="zh-CN"/>
              </w:rPr>
              <w:t>.</w:t>
            </w:r>
            <w:r>
              <w:rPr>
                <w:color w:val="auto"/>
              </w:rPr>
              <w:t>计算总声压级</w:t>
            </w:r>
          </w:p>
          <w:p>
            <w:pPr>
              <w:ind w:firstLine="480"/>
              <w:rPr>
                <w:color w:val="auto"/>
              </w:rPr>
            </w:pPr>
            <w:r>
              <w:rPr>
                <w:color w:val="auto"/>
              </w:rPr>
              <w:t>设第i个室外声源在预测点产生的A声级为LAi，在T时间内该声源工作时间为ti；第j个等效室外声源在预测点产生的A声级为LAj，在T时间内该声源工作时间为tj，则拟建工程声源对预测点产生的贡献值（Leqg）为：</w:t>
            </w:r>
          </w:p>
          <w:p>
            <w:pPr>
              <w:ind w:firstLine="0" w:firstLineChars="0"/>
              <w:rPr>
                <w:color w:val="auto"/>
              </w:rPr>
            </w:pPr>
            <w:r>
              <w:rPr>
                <w:color w:val="auto"/>
              </w:rPr>
              <w:drawing>
                <wp:inline distT="0" distB="0" distL="114300" distR="114300">
                  <wp:extent cx="5040630" cy="835025"/>
                  <wp:effectExtent l="0" t="0" r="7620" b="3175"/>
                  <wp:docPr id="91" name="图片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1" name="图片 24"/>
                          <pic:cNvPicPr>
                            <a:picLocks noChangeAspect="true"/>
                          </pic:cNvPicPr>
                        </pic:nvPicPr>
                        <pic:blipFill>
                          <a:blip r:embed="rId37"/>
                          <a:stretch>
                            <a:fillRect/>
                          </a:stretch>
                        </pic:blipFill>
                        <pic:spPr>
                          <a:xfrm>
                            <a:off x="0" y="0"/>
                            <a:ext cx="5040630" cy="835025"/>
                          </a:xfrm>
                          <a:prstGeom prst="rect">
                            <a:avLst/>
                          </a:prstGeom>
                          <a:noFill/>
                          <a:ln>
                            <a:noFill/>
                          </a:ln>
                        </pic:spPr>
                      </pic:pic>
                    </a:graphicData>
                  </a:graphic>
                </wp:inline>
              </w:drawing>
            </w:r>
          </w:p>
          <w:p>
            <w:pPr>
              <w:ind w:firstLine="480"/>
              <w:rPr>
                <w:color w:val="auto"/>
              </w:rPr>
            </w:pPr>
            <w:r>
              <w:rPr>
                <w:color w:val="auto"/>
              </w:rPr>
              <w:t>式中：Leqg：建设项目声源在预测点产生的噪声贡献值，dB（A）；</w:t>
            </w:r>
          </w:p>
          <w:p>
            <w:pPr>
              <w:ind w:firstLine="480"/>
              <w:rPr>
                <w:color w:val="auto"/>
              </w:rPr>
            </w:pPr>
            <w:r>
              <w:rPr>
                <w:color w:val="auto"/>
              </w:rPr>
              <w:t>T：用于计算等效声级的时间，s；8h；</w:t>
            </w:r>
          </w:p>
          <w:p>
            <w:pPr>
              <w:ind w:firstLine="480"/>
              <w:rPr>
                <w:color w:val="auto"/>
              </w:rPr>
            </w:pPr>
            <w:r>
              <w:rPr>
                <w:color w:val="auto"/>
              </w:rPr>
              <w:t>N：室外声源个数；</w:t>
            </w:r>
          </w:p>
          <w:p>
            <w:pPr>
              <w:ind w:firstLine="480"/>
              <w:rPr>
                <w:color w:val="auto"/>
              </w:rPr>
            </w:pPr>
            <w:r>
              <w:rPr>
                <w:color w:val="auto"/>
              </w:rPr>
              <w:t>ti：在T时间内i声源工作时间，s；4h；</w:t>
            </w:r>
          </w:p>
          <w:p>
            <w:pPr>
              <w:ind w:firstLine="480"/>
              <w:rPr>
                <w:color w:val="auto"/>
              </w:rPr>
            </w:pPr>
            <w:r>
              <w:rPr>
                <w:color w:val="auto"/>
              </w:rPr>
              <w:t>M：等效室外声源个数；</w:t>
            </w:r>
          </w:p>
          <w:p>
            <w:pPr>
              <w:ind w:firstLine="480"/>
              <w:rPr>
                <w:color w:val="auto"/>
              </w:rPr>
            </w:pPr>
            <w:r>
              <w:rPr>
                <w:color w:val="auto"/>
              </w:rPr>
              <w:t>tj：在T时间内j声源工作时间，s。</w:t>
            </w:r>
          </w:p>
          <w:p>
            <w:pPr>
              <w:ind w:firstLine="482"/>
              <w:rPr>
                <w:b/>
                <w:bCs/>
                <w:color w:val="auto"/>
              </w:rPr>
            </w:pPr>
            <w:r>
              <w:rPr>
                <w:b/>
                <w:bCs/>
                <w:color w:val="auto"/>
              </w:rPr>
              <w:t>E</w:t>
            </w:r>
            <w:r>
              <w:rPr>
                <w:rFonts w:hint="eastAsia"/>
                <w:b/>
                <w:bCs/>
                <w:color w:val="auto"/>
                <w:lang w:eastAsia="zh-CN"/>
              </w:rPr>
              <w:t>.</w:t>
            </w:r>
            <w:r>
              <w:rPr>
                <w:b/>
                <w:bCs/>
                <w:color w:val="auto"/>
              </w:rPr>
              <w:t>噪声预测计算</w:t>
            </w:r>
          </w:p>
          <w:p>
            <w:pPr>
              <w:ind w:firstLine="480"/>
              <w:rPr>
                <w:color w:val="auto"/>
              </w:rPr>
            </w:pPr>
            <w:r>
              <w:rPr>
                <w:color w:val="auto"/>
              </w:rPr>
              <w:drawing>
                <wp:inline distT="0" distB="0" distL="114300" distR="114300">
                  <wp:extent cx="3874135" cy="515620"/>
                  <wp:effectExtent l="0" t="0" r="12065" b="17780"/>
                  <wp:docPr id="92" name="图片 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2" name="图片 25"/>
                          <pic:cNvPicPr>
                            <a:picLocks noChangeAspect="true"/>
                          </pic:cNvPicPr>
                        </pic:nvPicPr>
                        <pic:blipFill>
                          <a:blip r:embed="rId38"/>
                          <a:stretch>
                            <a:fillRect/>
                          </a:stretch>
                        </pic:blipFill>
                        <pic:spPr>
                          <a:xfrm>
                            <a:off x="0" y="0"/>
                            <a:ext cx="3874135" cy="515620"/>
                          </a:xfrm>
                          <a:prstGeom prst="rect">
                            <a:avLst/>
                          </a:prstGeom>
                          <a:noFill/>
                          <a:ln>
                            <a:noFill/>
                          </a:ln>
                        </pic:spPr>
                      </pic:pic>
                    </a:graphicData>
                  </a:graphic>
                </wp:inline>
              </w:drawing>
            </w:r>
          </w:p>
          <w:p>
            <w:pPr>
              <w:ind w:firstLine="480"/>
              <w:rPr>
                <w:color w:val="auto"/>
              </w:rPr>
            </w:pPr>
            <w:r>
              <w:rPr>
                <w:color w:val="auto"/>
              </w:rPr>
              <w:t>式中：Leqg：项目声源在预测点的等效声级贡献值，dB（A）；</w:t>
            </w:r>
          </w:p>
          <w:p>
            <w:pPr>
              <w:ind w:firstLine="480"/>
              <w:rPr>
                <w:color w:val="auto"/>
              </w:rPr>
            </w:pPr>
            <w:r>
              <w:rPr>
                <w:color w:val="auto"/>
              </w:rPr>
              <w:t>Leqb：预测点的背景值，dB（A）。</w:t>
            </w:r>
          </w:p>
          <w:p>
            <w:pPr>
              <w:ind w:firstLine="480"/>
              <w:rPr>
                <w:color w:val="auto"/>
              </w:rPr>
            </w:pPr>
            <w:r>
              <w:rPr>
                <w:color w:val="auto"/>
              </w:rPr>
              <w:t>项目噪声源主要为生产过程中各设备工作时产生的机械噪声，采取选用低噪声设备，安装基础减振、厂房隔声等降噪措施后，运营期厂界预测结果见表4-</w:t>
            </w:r>
            <w:r>
              <w:rPr>
                <w:rFonts w:hint="eastAsia"/>
                <w:color w:val="auto"/>
              </w:rPr>
              <w:t>9</w:t>
            </w:r>
            <w:r>
              <w:rPr>
                <w:color w:val="auto"/>
              </w:rPr>
              <w:t>。</w:t>
            </w:r>
          </w:p>
          <w:p>
            <w:pPr>
              <w:ind w:firstLine="0" w:firstLineChars="0"/>
              <w:jc w:val="center"/>
              <w:rPr>
                <w:b/>
                <w:bCs/>
                <w:color w:val="auto"/>
              </w:rPr>
            </w:pPr>
            <w:r>
              <w:rPr>
                <w:b/>
                <w:bCs/>
                <w:color w:val="auto"/>
              </w:rPr>
              <w:t>表4-</w:t>
            </w:r>
            <w:r>
              <w:rPr>
                <w:rFonts w:hint="eastAsia"/>
                <w:b/>
                <w:bCs/>
                <w:color w:val="auto"/>
              </w:rPr>
              <w:t>9</w:t>
            </w:r>
            <w:r>
              <w:rPr>
                <w:b/>
                <w:bCs/>
                <w:color w:val="auto"/>
              </w:rPr>
              <w:t>厂界噪声预测结果</w:t>
            </w:r>
            <w:r>
              <w:rPr>
                <w:rFonts w:hint="eastAsia"/>
                <w:b/>
                <w:bCs/>
                <w:color w:val="auto"/>
              </w:rPr>
              <w:t>（</w:t>
            </w:r>
            <w:r>
              <w:rPr>
                <w:b/>
                <w:bCs/>
                <w:color w:val="auto"/>
              </w:rPr>
              <w:t>单位：dB（A）</w:t>
            </w:r>
            <w:r>
              <w:rPr>
                <w:rFonts w:hint="eastAsia"/>
                <w:b/>
                <w:bCs/>
                <w:color w:val="auto"/>
              </w:rPr>
              <w:t>）</w:t>
            </w:r>
          </w:p>
          <w:tbl>
            <w:tblPr>
              <w:tblStyle w:val="21"/>
              <w:tblW w:w="8017"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45"/>
              <w:gridCol w:w="751"/>
              <w:gridCol w:w="793"/>
              <w:gridCol w:w="798"/>
              <w:gridCol w:w="756"/>
              <w:gridCol w:w="834"/>
              <w:gridCol w:w="890"/>
              <w:gridCol w:w="891"/>
              <w:gridCol w:w="890"/>
              <w:gridCol w:w="869"/>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2" w:hRule="atLeast"/>
                <w:jc w:val="center"/>
              </w:trPr>
              <w:tc>
                <w:tcPr>
                  <w:tcW w:w="339" w:type="pct"/>
                  <w:vMerge w:val="restart"/>
                  <w:vAlign w:val="center"/>
                </w:tcPr>
                <w:p>
                  <w:pPr>
                    <w:spacing w:line="240" w:lineRule="auto"/>
                    <w:ind w:firstLine="0" w:firstLineChars="0"/>
                    <w:jc w:val="center"/>
                    <w:rPr>
                      <w:color w:val="auto"/>
                    </w:rPr>
                  </w:pPr>
                  <w:r>
                    <w:rPr>
                      <w:color w:val="auto"/>
                    </w:rPr>
                    <w:t>编号</w:t>
                  </w:r>
                </w:p>
              </w:tc>
              <w:tc>
                <w:tcPr>
                  <w:tcW w:w="468" w:type="pct"/>
                  <w:vMerge w:val="restart"/>
                  <w:vAlign w:val="center"/>
                </w:tcPr>
                <w:p>
                  <w:pPr>
                    <w:spacing w:line="240" w:lineRule="auto"/>
                    <w:ind w:firstLine="0" w:firstLineChars="0"/>
                    <w:jc w:val="center"/>
                    <w:rPr>
                      <w:color w:val="auto"/>
                    </w:rPr>
                  </w:pPr>
                  <w:r>
                    <w:rPr>
                      <w:color w:val="auto"/>
                    </w:rPr>
                    <w:t>测点名称</w:t>
                  </w:r>
                </w:p>
              </w:tc>
              <w:tc>
                <w:tcPr>
                  <w:tcW w:w="991" w:type="pct"/>
                  <w:gridSpan w:val="2"/>
                  <w:vAlign w:val="center"/>
                </w:tcPr>
                <w:p>
                  <w:pPr>
                    <w:spacing w:line="240" w:lineRule="auto"/>
                    <w:ind w:firstLine="0" w:firstLineChars="0"/>
                    <w:jc w:val="center"/>
                    <w:rPr>
                      <w:color w:val="auto"/>
                    </w:rPr>
                  </w:pPr>
                  <w:r>
                    <w:rPr>
                      <w:color w:val="auto"/>
                    </w:rPr>
                    <w:t>厂界噪声</w:t>
                  </w:r>
                </w:p>
              </w:tc>
              <w:tc>
                <w:tcPr>
                  <w:tcW w:w="991" w:type="pct"/>
                  <w:gridSpan w:val="2"/>
                  <w:vAlign w:val="center"/>
                </w:tcPr>
                <w:p>
                  <w:pPr>
                    <w:spacing w:line="240" w:lineRule="auto"/>
                    <w:ind w:firstLine="0" w:firstLineChars="0"/>
                    <w:jc w:val="center"/>
                    <w:rPr>
                      <w:color w:val="auto"/>
                    </w:rPr>
                  </w:pPr>
                  <w:r>
                    <w:rPr>
                      <w:color w:val="auto"/>
                    </w:rPr>
                    <w:t>贡献值</w:t>
                  </w:r>
                </w:p>
              </w:tc>
              <w:tc>
                <w:tcPr>
                  <w:tcW w:w="1111" w:type="pct"/>
                  <w:gridSpan w:val="2"/>
                  <w:tcBorders>
                    <w:left w:val="single" w:color="auto" w:sz="4" w:space="0"/>
                  </w:tcBorders>
                  <w:vAlign w:val="center"/>
                </w:tcPr>
                <w:p>
                  <w:pPr>
                    <w:spacing w:line="240" w:lineRule="auto"/>
                    <w:ind w:firstLine="0" w:firstLineChars="0"/>
                    <w:jc w:val="center"/>
                    <w:rPr>
                      <w:color w:val="auto"/>
                    </w:rPr>
                  </w:pPr>
                  <w:r>
                    <w:rPr>
                      <w:rFonts w:hint="eastAsia"/>
                      <w:color w:val="auto"/>
                    </w:rPr>
                    <w:t>叠加</w:t>
                  </w:r>
                  <w:r>
                    <w:rPr>
                      <w:color w:val="auto"/>
                    </w:rPr>
                    <w:t>值</w:t>
                  </w:r>
                </w:p>
              </w:tc>
              <w:tc>
                <w:tcPr>
                  <w:tcW w:w="555" w:type="pct"/>
                  <w:vMerge w:val="restart"/>
                  <w:tcBorders>
                    <w:left w:val="single" w:color="auto" w:sz="4" w:space="0"/>
                  </w:tcBorders>
                  <w:vAlign w:val="center"/>
                </w:tcPr>
                <w:p>
                  <w:pPr>
                    <w:spacing w:line="240" w:lineRule="auto"/>
                    <w:ind w:firstLine="0" w:firstLineChars="0"/>
                    <w:jc w:val="center"/>
                    <w:rPr>
                      <w:color w:val="auto"/>
                    </w:rPr>
                  </w:pPr>
                  <w:r>
                    <w:rPr>
                      <w:color w:val="auto"/>
                    </w:rPr>
                    <w:t>标准值</w:t>
                  </w:r>
                </w:p>
              </w:tc>
              <w:tc>
                <w:tcPr>
                  <w:tcW w:w="542" w:type="pct"/>
                  <w:vMerge w:val="restart"/>
                  <w:vAlign w:val="center"/>
                </w:tcPr>
                <w:p>
                  <w:pPr>
                    <w:spacing w:line="240" w:lineRule="auto"/>
                    <w:ind w:firstLine="0" w:firstLineChars="0"/>
                    <w:jc w:val="center"/>
                    <w:rPr>
                      <w:color w:val="auto"/>
                    </w:rPr>
                  </w:pPr>
                  <w:r>
                    <w:rPr>
                      <w:color w:val="auto"/>
                    </w:rPr>
                    <w:t>达标情况</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2" w:hRule="atLeast"/>
                <w:jc w:val="center"/>
              </w:trPr>
              <w:tc>
                <w:tcPr>
                  <w:tcW w:w="339" w:type="pct"/>
                  <w:vMerge w:val="continue"/>
                  <w:vAlign w:val="center"/>
                </w:tcPr>
                <w:p>
                  <w:pPr>
                    <w:spacing w:line="240" w:lineRule="auto"/>
                    <w:ind w:firstLine="0" w:firstLineChars="0"/>
                    <w:jc w:val="center"/>
                    <w:rPr>
                      <w:color w:val="auto"/>
                    </w:rPr>
                  </w:pPr>
                </w:p>
              </w:tc>
              <w:tc>
                <w:tcPr>
                  <w:tcW w:w="468" w:type="pct"/>
                  <w:vMerge w:val="continue"/>
                  <w:vAlign w:val="center"/>
                </w:tcPr>
                <w:p>
                  <w:pPr>
                    <w:spacing w:line="240" w:lineRule="auto"/>
                    <w:ind w:firstLine="0" w:firstLineChars="0"/>
                    <w:jc w:val="center"/>
                    <w:rPr>
                      <w:color w:val="auto"/>
                    </w:rPr>
                  </w:pPr>
                </w:p>
              </w:tc>
              <w:tc>
                <w:tcPr>
                  <w:tcW w:w="494" w:type="pct"/>
                  <w:tcBorders>
                    <w:right w:val="single" w:color="auto" w:sz="4" w:space="0"/>
                  </w:tcBorders>
                  <w:vAlign w:val="center"/>
                </w:tcPr>
                <w:p>
                  <w:pPr>
                    <w:spacing w:line="240" w:lineRule="auto"/>
                    <w:ind w:firstLine="0" w:firstLineChars="0"/>
                    <w:jc w:val="center"/>
                    <w:rPr>
                      <w:color w:val="auto"/>
                    </w:rPr>
                  </w:pPr>
                  <w:r>
                    <w:rPr>
                      <w:color w:val="auto"/>
                    </w:rPr>
                    <w:t>昼间</w:t>
                  </w:r>
                </w:p>
              </w:tc>
              <w:tc>
                <w:tcPr>
                  <w:tcW w:w="497" w:type="pct"/>
                  <w:tcBorders>
                    <w:right w:val="single" w:color="auto" w:sz="4" w:space="0"/>
                  </w:tcBorders>
                  <w:vAlign w:val="center"/>
                </w:tcPr>
                <w:p>
                  <w:pPr>
                    <w:spacing w:line="240" w:lineRule="auto"/>
                    <w:ind w:firstLine="0" w:firstLineChars="0"/>
                    <w:jc w:val="center"/>
                    <w:rPr>
                      <w:color w:val="auto"/>
                    </w:rPr>
                  </w:pPr>
                  <w:r>
                    <w:rPr>
                      <w:color w:val="auto"/>
                    </w:rPr>
                    <w:t>夜间</w:t>
                  </w:r>
                </w:p>
              </w:tc>
              <w:tc>
                <w:tcPr>
                  <w:tcW w:w="471" w:type="pct"/>
                  <w:tcBorders>
                    <w:right w:val="single" w:color="auto" w:sz="4" w:space="0"/>
                  </w:tcBorders>
                  <w:vAlign w:val="center"/>
                </w:tcPr>
                <w:p>
                  <w:pPr>
                    <w:spacing w:line="240" w:lineRule="auto"/>
                    <w:ind w:firstLine="0" w:firstLineChars="0"/>
                    <w:jc w:val="center"/>
                    <w:rPr>
                      <w:color w:val="auto"/>
                    </w:rPr>
                  </w:pPr>
                  <w:r>
                    <w:rPr>
                      <w:color w:val="auto"/>
                    </w:rPr>
                    <w:t>昼间</w:t>
                  </w:r>
                </w:p>
              </w:tc>
              <w:tc>
                <w:tcPr>
                  <w:tcW w:w="520" w:type="pct"/>
                  <w:tcBorders>
                    <w:left w:val="single" w:color="auto" w:sz="4" w:space="0"/>
                  </w:tcBorders>
                  <w:vAlign w:val="center"/>
                </w:tcPr>
                <w:p>
                  <w:pPr>
                    <w:spacing w:line="240" w:lineRule="auto"/>
                    <w:ind w:firstLine="0" w:firstLineChars="0"/>
                    <w:jc w:val="center"/>
                    <w:rPr>
                      <w:color w:val="auto"/>
                    </w:rPr>
                  </w:pPr>
                  <w:r>
                    <w:rPr>
                      <w:color w:val="auto"/>
                    </w:rPr>
                    <w:t>夜间</w:t>
                  </w:r>
                </w:p>
              </w:tc>
              <w:tc>
                <w:tcPr>
                  <w:tcW w:w="555" w:type="pct"/>
                  <w:tcBorders>
                    <w:left w:val="single" w:color="auto" w:sz="4" w:space="0"/>
                  </w:tcBorders>
                  <w:vAlign w:val="center"/>
                </w:tcPr>
                <w:p>
                  <w:pPr>
                    <w:spacing w:line="240" w:lineRule="auto"/>
                    <w:ind w:firstLine="0" w:firstLineChars="0"/>
                    <w:jc w:val="center"/>
                    <w:rPr>
                      <w:color w:val="auto"/>
                    </w:rPr>
                  </w:pPr>
                  <w:r>
                    <w:rPr>
                      <w:color w:val="auto"/>
                    </w:rPr>
                    <w:t>昼间</w:t>
                  </w:r>
                </w:p>
              </w:tc>
              <w:tc>
                <w:tcPr>
                  <w:tcW w:w="556" w:type="pct"/>
                  <w:tcBorders>
                    <w:left w:val="single" w:color="auto" w:sz="4" w:space="0"/>
                  </w:tcBorders>
                  <w:vAlign w:val="center"/>
                </w:tcPr>
                <w:p>
                  <w:pPr>
                    <w:spacing w:line="240" w:lineRule="auto"/>
                    <w:ind w:firstLine="0" w:firstLineChars="0"/>
                    <w:jc w:val="center"/>
                    <w:rPr>
                      <w:color w:val="auto"/>
                    </w:rPr>
                  </w:pPr>
                  <w:r>
                    <w:rPr>
                      <w:rFonts w:hint="eastAsia"/>
                      <w:color w:val="auto"/>
                    </w:rPr>
                    <w:t>夜间</w:t>
                  </w:r>
                </w:p>
              </w:tc>
              <w:tc>
                <w:tcPr>
                  <w:tcW w:w="555" w:type="pct"/>
                  <w:vMerge w:val="continue"/>
                  <w:tcBorders>
                    <w:left w:val="single" w:color="auto" w:sz="4" w:space="0"/>
                  </w:tcBorders>
                  <w:vAlign w:val="center"/>
                </w:tcPr>
                <w:p>
                  <w:pPr>
                    <w:spacing w:line="240" w:lineRule="auto"/>
                    <w:ind w:firstLine="0" w:firstLineChars="0"/>
                    <w:jc w:val="center"/>
                    <w:rPr>
                      <w:color w:val="auto"/>
                    </w:rPr>
                  </w:pPr>
                </w:p>
              </w:tc>
              <w:tc>
                <w:tcPr>
                  <w:tcW w:w="542" w:type="pct"/>
                  <w:vMerge w:val="continue"/>
                  <w:vAlign w:val="center"/>
                </w:tcPr>
                <w:p>
                  <w:pPr>
                    <w:spacing w:line="240" w:lineRule="auto"/>
                    <w:ind w:firstLine="0" w:firstLineChars="0"/>
                    <w:jc w:val="center"/>
                    <w:rPr>
                      <w:color w:val="auto"/>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37" w:hRule="atLeast"/>
                <w:jc w:val="center"/>
              </w:trPr>
              <w:tc>
                <w:tcPr>
                  <w:tcW w:w="339" w:type="pct"/>
                  <w:vAlign w:val="center"/>
                </w:tcPr>
                <w:p>
                  <w:pPr>
                    <w:spacing w:line="240" w:lineRule="auto"/>
                    <w:ind w:firstLine="0" w:firstLineChars="0"/>
                    <w:jc w:val="center"/>
                    <w:rPr>
                      <w:color w:val="auto"/>
                    </w:rPr>
                  </w:pPr>
                  <w:r>
                    <w:rPr>
                      <w:color w:val="auto"/>
                    </w:rPr>
                    <w:t>1</w:t>
                  </w:r>
                </w:p>
              </w:tc>
              <w:tc>
                <w:tcPr>
                  <w:tcW w:w="468" w:type="pct"/>
                  <w:vAlign w:val="center"/>
                </w:tcPr>
                <w:p>
                  <w:pPr>
                    <w:spacing w:line="240" w:lineRule="auto"/>
                    <w:ind w:firstLine="0" w:firstLineChars="0"/>
                    <w:jc w:val="center"/>
                    <w:rPr>
                      <w:color w:val="auto"/>
                    </w:rPr>
                  </w:pPr>
                  <w:r>
                    <w:rPr>
                      <w:color w:val="auto"/>
                    </w:rPr>
                    <w:t>东厂界</w:t>
                  </w:r>
                </w:p>
              </w:tc>
              <w:tc>
                <w:tcPr>
                  <w:tcW w:w="494" w:type="pct"/>
                  <w:tcBorders>
                    <w:right w:val="single" w:color="auto" w:sz="4" w:space="0"/>
                  </w:tcBorders>
                  <w:vAlign w:val="center"/>
                </w:tcPr>
                <w:p>
                  <w:pPr>
                    <w:spacing w:line="240" w:lineRule="auto"/>
                    <w:ind w:firstLine="0" w:firstLineChars="0"/>
                    <w:jc w:val="center"/>
                    <w:rPr>
                      <w:color w:val="auto"/>
                    </w:rPr>
                  </w:pPr>
                  <w:r>
                    <w:rPr>
                      <w:color w:val="auto"/>
                    </w:rPr>
                    <w:t>52.9</w:t>
                  </w:r>
                </w:p>
              </w:tc>
              <w:tc>
                <w:tcPr>
                  <w:tcW w:w="497" w:type="pct"/>
                  <w:tcBorders>
                    <w:right w:val="single" w:color="auto" w:sz="4" w:space="0"/>
                  </w:tcBorders>
                  <w:vAlign w:val="center"/>
                </w:tcPr>
                <w:p>
                  <w:pPr>
                    <w:spacing w:line="240" w:lineRule="auto"/>
                    <w:ind w:firstLine="0" w:firstLineChars="0"/>
                    <w:jc w:val="center"/>
                    <w:rPr>
                      <w:color w:val="auto"/>
                    </w:rPr>
                  </w:pPr>
                  <w:r>
                    <w:rPr>
                      <w:color w:val="auto"/>
                    </w:rPr>
                    <w:t>42.4</w:t>
                  </w:r>
                </w:p>
              </w:tc>
              <w:tc>
                <w:tcPr>
                  <w:tcW w:w="471" w:type="pct"/>
                  <w:tcBorders>
                    <w:right w:val="single" w:color="auto" w:sz="4" w:space="0"/>
                  </w:tcBorders>
                  <w:vAlign w:val="center"/>
                </w:tcPr>
                <w:p>
                  <w:pPr>
                    <w:spacing w:line="240" w:lineRule="auto"/>
                    <w:ind w:firstLine="0" w:firstLineChars="0"/>
                    <w:jc w:val="center"/>
                    <w:rPr>
                      <w:color w:val="auto"/>
                    </w:rPr>
                  </w:pPr>
                  <w:r>
                    <w:rPr>
                      <w:color w:val="auto"/>
                    </w:rPr>
                    <w:t>42</w:t>
                  </w:r>
                </w:p>
              </w:tc>
              <w:tc>
                <w:tcPr>
                  <w:tcW w:w="520" w:type="pct"/>
                  <w:tcBorders>
                    <w:left w:val="single" w:color="auto" w:sz="4" w:space="0"/>
                    <w:bottom w:val="single" w:color="auto" w:sz="4" w:space="0"/>
                  </w:tcBorders>
                  <w:vAlign w:val="center"/>
                </w:tcPr>
                <w:p>
                  <w:pPr>
                    <w:spacing w:line="240" w:lineRule="auto"/>
                    <w:ind w:firstLine="0" w:firstLineChars="0"/>
                    <w:jc w:val="center"/>
                    <w:rPr>
                      <w:color w:val="auto"/>
                    </w:rPr>
                  </w:pPr>
                  <w:r>
                    <w:rPr>
                      <w:color w:val="auto"/>
                    </w:rPr>
                    <w:t>42</w:t>
                  </w:r>
                </w:p>
              </w:tc>
              <w:tc>
                <w:tcPr>
                  <w:tcW w:w="555" w:type="pct"/>
                  <w:tcBorders>
                    <w:left w:val="single" w:color="auto" w:sz="4" w:space="0"/>
                  </w:tcBorders>
                  <w:vAlign w:val="center"/>
                </w:tcPr>
                <w:p>
                  <w:pPr>
                    <w:spacing w:line="240" w:lineRule="auto"/>
                    <w:ind w:firstLine="0" w:firstLineChars="0"/>
                    <w:jc w:val="center"/>
                    <w:rPr>
                      <w:color w:val="auto"/>
                    </w:rPr>
                  </w:pPr>
                  <w:r>
                    <w:rPr>
                      <w:rFonts w:hint="eastAsia"/>
                      <w:color w:val="auto"/>
                    </w:rPr>
                    <w:t>53.3</w:t>
                  </w:r>
                </w:p>
              </w:tc>
              <w:tc>
                <w:tcPr>
                  <w:tcW w:w="892" w:type="dxa"/>
                  <w:tcBorders>
                    <w:left w:val="single" w:color="auto" w:sz="4" w:space="0"/>
                  </w:tcBorders>
                  <w:vAlign w:val="center"/>
                </w:tcPr>
                <w:p>
                  <w:pPr>
                    <w:spacing w:line="240" w:lineRule="auto"/>
                    <w:ind w:firstLine="0" w:firstLineChars="0"/>
                    <w:jc w:val="center"/>
                    <w:rPr>
                      <w:color w:val="auto"/>
                    </w:rPr>
                  </w:pPr>
                  <w:r>
                    <w:rPr>
                      <w:rFonts w:hint="eastAsia"/>
                      <w:color w:val="auto"/>
                    </w:rPr>
                    <w:t>45.2</w:t>
                  </w:r>
                </w:p>
              </w:tc>
              <w:tc>
                <w:tcPr>
                  <w:tcW w:w="555" w:type="pct"/>
                  <w:vMerge w:val="restart"/>
                  <w:tcBorders>
                    <w:left w:val="single" w:color="auto" w:sz="4" w:space="0"/>
                  </w:tcBorders>
                  <w:vAlign w:val="center"/>
                </w:tcPr>
                <w:p>
                  <w:pPr>
                    <w:spacing w:line="240" w:lineRule="auto"/>
                    <w:ind w:firstLine="0" w:firstLineChars="0"/>
                    <w:jc w:val="center"/>
                    <w:rPr>
                      <w:color w:val="auto"/>
                    </w:rPr>
                  </w:pPr>
                  <w:r>
                    <w:rPr>
                      <w:color w:val="auto"/>
                    </w:rPr>
                    <w:t>昼间60dB（A）</w:t>
                  </w:r>
                </w:p>
                <w:p>
                  <w:pPr>
                    <w:spacing w:line="240" w:lineRule="auto"/>
                    <w:ind w:firstLine="0" w:firstLineChars="0"/>
                    <w:jc w:val="center"/>
                    <w:rPr>
                      <w:color w:val="auto"/>
                    </w:rPr>
                  </w:pPr>
                  <w:r>
                    <w:rPr>
                      <w:color w:val="auto"/>
                    </w:rPr>
                    <w:t>夜间50dB（A）</w:t>
                  </w:r>
                </w:p>
              </w:tc>
              <w:tc>
                <w:tcPr>
                  <w:tcW w:w="542" w:type="pct"/>
                  <w:vAlign w:val="center"/>
                </w:tcPr>
                <w:p>
                  <w:pPr>
                    <w:spacing w:line="240" w:lineRule="auto"/>
                    <w:ind w:firstLine="0" w:firstLineChars="0"/>
                    <w:jc w:val="center"/>
                    <w:rPr>
                      <w:color w:val="auto"/>
                    </w:rPr>
                  </w:pPr>
                  <w:r>
                    <w:rPr>
                      <w:color w:val="auto"/>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61" w:hRule="atLeast"/>
                <w:jc w:val="center"/>
              </w:trPr>
              <w:tc>
                <w:tcPr>
                  <w:tcW w:w="339" w:type="pct"/>
                  <w:vAlign w:val="center"/>
                </w:tcPr>
                <w:p>
                  <w:pPr>
                    <w:spacing w:line="240" w:lineRule="auto"/>
                    <w:ind w:firstLine="0" w:firstLineChars="0"/>
                    <w:jc w:val="center"/>
                    <w:rPr>
                      <w:color w:val="auto"/>
                    </w:rPr>
                  </w:pPr>
                  <w:r>
                    <w:rPr>
                      <w:color w:val="auto"/>
                    </w:rPr>
                    <w:t>2</w:t>
                  </w:r>
                </w:p>
              </w:tc>
              <w:tc>
                <w:tcPr>
                  <w:tcW w:w="468" w:type="pct"/>
                  <w:vAlign w:val="center"/>
                </w:tcPr>
                <w:p>
                  <w:pPr>
                    <w:spacing w:line="240" w:lineRule="auto"/>
                    <w:ind w:firstLine="0" w:firstLineChars="0"/>
                    <w:jc w:val="center"/>
                    <w:rPr>
                      <w:color w:val="auto"/>
                    </w:rPr>
                  </w:pPr>
                  <w:r>
                    <w:rPr>
                      <w:color w:val="auto"/>
                    </w:rPr>
                    <w:t>南厂界</w:t>
                  </w:r>
                </w:p>
              </w:tc>
              <w:tc>
                <w:tcPr>
                  <w:tcW w:w="494" w:type="pct"/>
                  <w:tcBorders>
                    <w:bottom w:val="single" w:color="auto" w:sz="4" w:space="0"/>
                    <w:right w:val="single" w:color="auto" w:sz="4" w:space="0"/>
                  </w:tcBorders>
                  <w:vAlign w:val="center"/>
                </w:tcPr>
                <w:p>
                  <w:pPr>
                    <w:spacing w:line="240" w:lineRule="auto"/>
                    <w:ind w:firstLine="0" w:firstLineChars="0"/>
                    <w:jc w:val="center"/>
                    <w:rPr>
                      <w:color w:val="auto"/>
                    </w:rPr>
                  </w:pPr>
                  <w:r>
                    <w:rPr>
                      <w:color w:val="auto"/>
                    </w:rPr>
                    <w:t>52.6</w:t>
                  </w:r>
                </w:p>
              </w:tc>
              <w:tc>
                <w:tcPr>
                  <w:tcW w:w="497" w:type="pct"/>
                  <w:tcBorders>
                    <w:bottom w:val="single" w:color="auto" w:sz="4" w:space="0"/>
                    <w:right w:val="single" w:color="auto" w:sz="4" w:space="0"/>
                  </w:tcBorders>
                  <w:vAlign w:val="center"/>
                </w:tcPr>
                <w:p>
                  <w:pPr>
                    <w:spacing w:line="240" w:lineRule="auto"/>
                    <w:ind w:firstLine="0" w:firstLineChars="0"/>
                    <w:jc w:val="center"/>
                    <w:rPr>
                      <w:color w:val="auto"/>
                    </w:rPr>
                  </w:pPr>
                  <w:r>
                    <w:rPr>
                      <w:color w:val="auto"/>
                    </w:rPr>
                    <w:t>42.6</w:t>
                  </w:r>
                </w:p>
              </w:tc>
              <w:tc>
                <w:tcPr>
                  <w:tcW w:w="471" w:type="pct"/>
                  <w:tcBorders>
                    <w:bottom w:val="single" w:color="auto" w:sz="4" w:space="0"/>
                    <w:right w:val="single" w:color="auto" w:sz="4" w:space="0"/>
                  </w:tcBorders>
                  <w:vAlign w:val="center"/>
                </w:tcPr>
                <w:p>
                  <w:pPr>
                    <w:spacing w:line="240" w:lineRule="auto"/>
                    <w:ind w:firstLine="0" w:firstLineChars="0"/>
                    <w:jc w:val="center"/>
                    <w:rPr>
                      <w:color w:val="auto"/>
                    </w:rPr>
                  </w:pPr>
                  <w:r>
                    <w:rPr>
                      <w:color w:val="auto"/>
                    </w:rPr>
                    <w:t>45</w:t>
                  </w:r>
                </w:p>
              </w:tc>
              <w:tc>
                <w:tcPr>
                  <w:tcW w:w="520" w:type="pct"/>
                  <w:tcBorders>
                    <w:top w:val="single" w:color="auto" w:sz="4" w:space="0"/>
                    <w:left w:val="single" w:color="auto" w:sz="4" w:space="0"/>
                    <w:bottom w:val="single" w:color="auto" w:sz="4" w:space="0"/>
                  </w:tcBorders>
                  <w:vAlign w:val="center"/>
                </w:tcPr>
                <w:p>
                  <w:pPr>
                    <w:spacing w:line="240" w:lineRule="auto"/>
                    <w:ind w:firstLine="0" w:firstLineChars="0"/>
                    <w:jc w:val="center"/>
                    <w:rPr>
                      <w:color w:val="auto"/>
                    </w:rPr>
                  </w:pPr>
                  <w:r>
                    <w:rPr>
                      <w:color w:val="auto"/>
                    </w:rPr>
                    <w:t>45</w:t>
                  </w:r>
                </w:p>
              </w:tc>
              <w:tc>
                <w:tcPr>
                  <w:tcW w:w="555" w:type="pct"/>
                  <w:tcBorders>
                    <w:left w:val="single" w:color="auto" w:sz="4" w:space="0"/>
                  </w:tcBorders>
                  <w:vAlign w:val="center"/>
                </w:tcPr>
                <w:p>
                  <w:pPr>
                    <w:spacing w:line="240" w:lineRule="auto"/>
                    <w:ind w:firstLine="0" w:firstLineChars="0"/>
                    <w:jc w:val="center"/>
                    <w:rPr>
                      <w:color w:val="auto"/>
                    </w:rPr>
                  </w:pPr>
                  <w:r>
                    <w:rPr>
                      <w:rFonts w:hint="eastAsia"/>
                      <w:color w:val="auto"/>
                    </w:rPr>
                    <w:t>53</w:t>
                  </w:r>
                </w:p>
              </w:tc>
              <w:tc>
                <w:tcPr>
                  <w:tcW w:w="892" w:type="dxa"/>
                  <w:tcBorders>
                    <w:left w:val="single" w:color="auto" w:sz="4" w:space="0"/>
                  </w:tcBorders>
                  <w:vAlign w:val="center"/>
                </w:tcPr>
                <w:p>
                  <w:pPr>
                    <w:spacing w:line="240" w:lineRule="auto"/>
                    <w:ind w:firstLine="0" w:firstLineChars="0"/>
                    <w:jc w:val="center"/>
                    <w:rPr>
                      <w:color w:val="auto"/>
                    </w:rPr>
                  </w:pPr>
                  <w:r>
                    <w:rPr>
                      <w:rFonts w:hint="eastAsia"/>
                      <w:color w:val="auto"/>
                    </w:rPr>
                    <w:t>47</w:t>
                  </w:r>
                </w:p>
              </w:tc>
              <w:tc>
                <w:tcPr>
                  <w:tcW w:w="555" w:type="pct"/>
                  <w:vMerge w:val="continue"/>
                  <w:tcBorders>
                    <w:left w:val="single" w:color="auto" w:sz="4" w:space="0"/>
                  </w:tcBorders>
                  <w:vAlign w:val="center"/>
                </w:tcPr>
                <w:p>
                  <w:pPr>
                    <w:spacing w:line="240" w:lineRule="auto"/>
                    <w:ind w:firstLine="0" w:firstLineChars="0"/>
                    <w:jc w:val="center"/>
                    <w:rPr>
                      <w:color w:val="auto"/>
                    </w:rPr>
                  </w:pPr>
                </w:p>
              </w:tc>
              <w:tc>
                <w:tcPr>
                  <w:tcW w:w="542" w:type="pct"/>
                  <w:vAlign w:val="center"/>
                </w:tcPr>
                <w:p>
                  <w:pPr>
                    <w:spacing w:line="240" w:lineRule="auto"/>
                    <w:ind w:firstLine="0" w:firstLineChars="0"/>
                    <w:jc w:val="center"/>
                    <w:rPr>
                      <w:color w:val="auto"/>
                    </w:rPr>
                  </w:pPr>
                  <w:r>
                    <w:rPr>
                      <w:color w:val="auto"/>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61" w:hRule="atLeast"/>
                <w:jc w:val="center"/>
              </w:trPr>
              <w:tc>
                <w:tcPr>
                  <w:tcW w:w="339" w:type="pct"/>
                  <w:vAlign w:val="center"/>
                </w:tcPr>
                <w:p>
                  <w:pPr>
                    <w:spacing w:line="240" w:lineRule="auto"/>
                    <w:ind w:firstLine="0" w:firstLineChars="0"/>
                    <w:jc w:val="center"/>
                    <w:rPr>
                      <w:color w:val="auto"/>
                    </w:rPr>
                  </w:pPr>
                  <w:r>
                    <w:rPr>
                      <w:color w:val="auto"/>
                    </w:rPr>
                    <w:t>3</w:t>
                  </w:r>
                </w:p>
              </w:tc>
              <w:tc>
                <w:tcPr>
                  <w:tcW w:w="468" w:type="pct"/>
                  <w:vAlign w:val="center"/>
                </w:tcPr>
                <w:p>
                  <w:pPr>
                    <w:spacing w:line="240" w:lineRule="auto"/>
                    <w:ind w:firstLine="0" w:firstLineChars="0"/>
                    <w:jc w:val="center"/>
                    <w:rPr>
                      <w:color w:val="auto"/>
                    </w:rPr>
                  </w:pPr>
                  <w:r>
                    <w:rPr>
                      <w:color w:val="auto"/>
                    </w:rPr>
                    <w:t>西厂界</w:t>
                  </w:r>
                </w:p>
              </w:tc>
              <w:tc>
                <w:tcPr>
                  <w:tcW w:w="494" w:type="pct"/>
                  <w:tcBorders>
                    <w:top w:val="single" w:color="auto" w:sz="4" w:space="0"/>
                    <w:right w:val="single" w:color="auto" w:sz="4" w:space="0"/>
                  </w:tcBorders>
                  <w:vAlign w:val="center"/>
                </w:tcPr>
                <w:p>
                  <w:pPr>
                    <w:spacing w:line="240" w:lineRule="auto"/>
                    <w:ind w:firstLine="0" w:firstLineChars="0"/>
                    <w:jc w:val="center"/>
                    <w:rPr>
                      <w:color w:val="auto"/>
                    </w:rPr>
                  </w:pPr>
                  <w:r>
                    <w:rPr>
                      <w:color w:val="auto"/>
                    </w:rPr>
                    <w:t>53.7</w:t>
                  </w:r>
                </w:p>
              </w:tc>
              <w:tc>
                <w:tcPr>
                  <w:tcW w:w="497" w:type="pct"/>
                  <w:tcBorders>
                    <w:top w:val="single" w:color="auto" w:sz="4" w:space="0"/>
                    <w:right w:val="single" w:color="auto" w:sz="4" w:space="0"/>
                  </w:tcBorders>
                  <w:vAlign w:val="center"/>
                </w:tcPr>
                <w:p>
                  <w:pPr>
                    <w:spacing w:line="240" w:lineRule="auto"/>
                    <w:ind w:firstLine="0" w:firstLineChars="0"/>
                    <w:jc w:val="center"/>
                    <w:rPr>
                      <w:color w:val="auto"/>
                    </w:rPr>
                  </w:pPr>
                  <w:r>
                    <w:rPr>
                      <w:color w:val="auto"/>
                    </w:rPr>
                    <w:t>42.3</w:t>
                  </w:r>
                </w:p>
              </w:tc>
              <w:tc>
                <w:tcPr>
                  <w:tcW w:w="471" w:type="pct"/>
                  <w:tcBorders>
                    <w:top w:val="single" w:color="auto" w:sz="4" w:space="0"/>
                    <w:right w:val="single" w:color="auto" w:sz="4" w:space="0"/>
                  </w:tcBorders>
                  <w:vAlign w:val="center"/>
                </w:tcPr>
                <w:p>
                  <w:pPr>
                    <w:spacing w:line="240" w:lineRule="auto"/>
                    <w:ind w:firstLine="0" w:firstLineChars="0"/>
                    <w:jc w:val="center"/>
                    <w:rPr>
                      <w:color w:val="auto"/>
                    </w:rPr>
                  </w:pPr>
                  <w:r>
                    <w:rPr>
                      <w:color w:val="auto"/>
                    </w:rPr>
                    <w:t>40</w:t>
                  </w:r>
                </w:p>
              </w:tc>
              <w:tc>
                <w:tcPr>
                  <w:tcW w:w="520" w:type="pct"/>
                  <w:tcBorders>
                    <w:top w:val="single" w:color="auto" w:sz="4" w:space="0"/>
                    <w:left w:val="single" w:color="auto" w:sz="4" w:space="0"/>
                    <w:bottom w:val="single" w:color="auto" w:sz="4" w:space="0"/>
                  </w:tcBorders>
                  <w:vAlign w:val="center"/>
                </w:tcPr>
                <w:p>
                  <w:pPr>
                    <w:spacing w:line="240" w:lineRule="auto"/>
                    <w:ind w:firstLine="0" w:firstLineChars="0"/>
                    <w:jc w:val="center"/>
                    <w:rPr>
                      <w:color w:val="auto"/>
                    </w:rPr>
                  </w:pPr>
                  <w:r>
                    <w:rPr>
                      <w:color w:val="auto"/>
                    </w:rPr>
                    <w:t>40</w:t>
                  </w:r>
                </w:p>
              </w:tc>
              <w:tc>
                <w:tcPr>
                  <w:tcW w:w="555" w:type="pct"/>
                  <w:tcBorders>
                    <w:left w:val="single" w:color="auto" w:sz="4" w:space="0"/>
                  </w:tcBorders>
                  <w:vAlign w:val="center"/>
                </w:tcPr>
                <w:p>
                  <w:pPr>
                    <w:spacing w:line="240" w:lineRule="auto"/>
                    <w:ind w:firstLine="0" w:firstLineChars="0"/>
                    <w:jc w:val="center"/>
                    <w:rPr>
                      <w:color w:val="auto"/>
                    </w:rPr>
                  </w:pPr>
                  <w:r>
                    <w:rPr>
                      <w:color w:val="auto"/>
                    </w:rPr>
                    <w:t>5</w:t>
                  </w:r>
                  <w:r>
                    <w:rPr>
                      <w:rFonts w:hint="eastAsia"/>
                      <w:color w:val="auto"/>
                    </w:rPr>
                    <w:t>3</w:t>
                  </w:r>
                  <w:r>
                    <w:rPr>
                      <w:color w:val="auto"/>
                    </w:rPr>
                    <w:t>.</w:t>
                  </w:r>
                  <w:r>
                    <w:rPr>
                      <w:rFonts w:hint="eastAsia"/>
                      <w:color w:val="auto"/>
                    </w:rPr>
                    <w:t>9</w:t>
                  </w:r>
                </w:p>
              </w:tc>
              <w:tc>
                <w:tcPr>
                  <w:tcW w:w="892" w:type="dxa"/>
                  <w:tcBorders>
                    <w:left w:val="single" w:color="auto" w:sz="4" w:space="0"/>
                  </w:tcBorders>
                  <w:vAlign w:val="center"/>
                </w:tcPr>
                <w:p>
                  <w:pPr>
                    <w:spacing w:line="240" w:lineRule="auto"/>
                    <w:ind w:firstLine="0" w:firstLineChars="0"/>
                    <w:jc w:val="center"/>
                    <w:rPr>
                      <w:color w:val="auto"/>
                    </w:rPr>
                  </w:pPr>
                  <w:r>
                    <w:rPr>
                      <w:color w:val="auto"/>
                    </w:rPr>
                    <w:t>4</w:t>
                  </w:r>
                  <w:r>
                    <w:rPr>
                      <w:rFonts w:hint="eastAsia"/>
                      <w:color w:val="auto"/>
                    </w:rPr>
                    <w:t>4</w:t>
                  </w:r>
                  <w:r>
                    <w:rPr>
                      <w:color w:val="auto"/>
                    </w:rPr>
                    <w:t>.</w:t>
                  </w:r>
                  <w:r>
                    <w:rPr>
                      <w:rFonts w:hint="eastAsia"/>
                      <w:color w:val="auto"/>
                    </w:rPr>
                    <w:t>4</w:t>
                  </w:r>
                </w:p>
              </w:tc>
              <w:tc>
                <w:tcPr>
                  <w:tcW w:w="555" w:type="pct"/>
                  <w:vMerge w:val="continue"/>
                  <w:tcBorders>
                    <w:left w:val="single" w:color="auto" w:sz="4" w:space="0"/>
                  </w:tcBorders>
                  <w:vAlign w:val="center"/>
                </w:tcPr>
                <w:p>
                  <w:pPr>
                    <w:spacing w:line="240" w:lineRule="auto"/>
                    <w:ind w:firstLine="0" w:firstLineChars="0"/>
                    <w:jc w:val="center"/>
                    <w:rPr>
                      <w:color w:val="auto"/>
                    </w:rPr>
                  </w:pPr>
                </w:p>
              </w:tc>
              <w:tc>
                <w:tcPr>
                  <w:tcW w:w="542" w:type="pct"/>
                  <w:vAlign w:val="center"/>
                </w:tcPr>
                <w:p>
                  <w:pPr>
                    <w:spacing w:line="240" w:lineRule="auto"/>
                    <w:ind w:firstLine="0" w:firstLineChars="0"/>
                    <w:jc w:val="center"/>
                    <w:rPr>
                      <w:color w:val="auto"/>
                    </w:rPr>
                  </w:pPr>
                  <w:r>
                    <w:rPr>
                      <w:color w:val="auto"/>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86" w:hRule="atLeast"/>
                <w:jc w:val="center"/>
              </w:trPr>
              <w:tc>
                <w:tcPr>
                  <w:tcW w:w="339" w:type="pct"/>
                  <w:vAlign w:val="center"/>
                </w:tcPr>
                <w:p>
                  <w:pPr>
                    <w:spacing w:line="240" w:lineRule="auto"/>
                    <w:ind w:firstLine="0" w:firstLineChars="0"/>
                    <w:jc w:val="center"/>
                    <w:rPr>
                      <w:color w:val="auto"/>
                    </w:rPr>
                  </w:pPr>
                  <w:r>
                    <w:rPr>
                      <w:color w:val="auto"/>
                    </w:rPr>
                    <w:t>4</w:t>
                  </w:r>
                </w:p>
              </w:tc>
              <w:tc>
                <w:tcPr>
                  <w:tcW w:w="468" w:type="pct"/>
                  <w:vAlign w:val="center"/>
                </w:tcPr>
                <w:p>
                  <w:pPr>
                    <w:spacing w:line="240" w:lineRule="auto"/>
                    <w:ind w:firstLine="0" w:firstLineChars="0"/>
                    <w:jc w:val="center"/>
                    <w:rPr>
                      <w:color w:val="auto"/>
                    </w:rPr>
                  </w:pPr>
                  <w:r>
                    <w:rPr>
                      <w:color w:val="auto"/>
                    </w:rPr>
                    <w:t>北厂界</w:t>
                  </w:r>
                </w:p>
              </w:tc>
              <w:tc>
                <w:tcPr>
                  <w:tcW w:w="494" w:type="pct"/>
                  <w:tcBorders>
                    <w:right w:val="single" w:color="auto" w:sz="4" w:space="0"/>
                  </w:tcBorders>
                  <w:vAlign w:val="center"/>
                </w:tcPr>
                <w:p>
                  <w:pPr>
                    <w:spacing w:line="240" w:lineRule="auto"/>
                    <w:ind w:firstLine="0" w:firstLineChars="0"/>
                    <w:jc w:val="center"/>
                    <w:rPr>
                      <w:color w:val="auto"/>
                    </w:rPr>
                  </w:pPr>
                  <w:r>
                    <w:rPr>
                      <w:color w:val="auto"/>
                    </w:rPr>
                    <w:t>54.1</w:t>
                  </w:r>
                </w:p>
              </w:tc>
              <w:tc>
                <w:tcPr>
                  <w:tcW w:w="497" w:type="pct"/>
                  <w:tcBorders>
                    <w:right w:val="single" w:color="auto" w:sz="4" w:space="0"/>
                  </w:tcBorders>
                  <w:vAlign w:val="center"/>
                </w:tcPr>
                <w:p>
                  <w:pPr>
                    <w:spacing w:line="240" w:lineRule="auto"/>
                    <w:ind w:firstLine="0" w:firstLineChars="0"/>
                    <w:jc w:val="center"/>
                    <w:rPr>
                      <w:color w:val="auto"/>
                    </w:rPr>
                  </w:pPr>
                  <w:r>
                    <w:rPr>
                      <w:color w:val="auto"/>
                    </w:rPr>
                    <w:t>42.1</w:t>
                  </w:r>
                </w:p>
              </w:tc>
              <w:tc>
                <w:tcPr>
                  <w:tcW w:w="471" w:type="pct"/>
                  <w:tcBorders>
                    <w:right w:val="single" w:color="auto" w:sz="4" w:space="0"/>
                  </w:tcBorders>
                  <w:vAlign w:val="center"/>
                </w:tcPr>
                <w:p>
                  <w:pPr>
                    <w:spacing w:line="240" w:lineRule="auto"/>
                    <w:ind w:firstLine="0" w:firstLineChars="0"/>
                    <w:jc w:val="center"/>
                    <w:rPr>
                      <w:color w:val="auto"/>
                    </w:rPr>
                  </w:pPr>
                  <w:r>
                    <w:rPr>
                      <w:color w:val="auto"/>
                    </w:rPr>
                    <w:t>34</w:t>
                  </w:r>
                </w:p>
              </w:tc>
              <w:tc>
                <w:tcPr>
                  <w:tcW w:w="520" w:type="pct"/>
                  <w:tcBorders>
                    <w:top w:val="single" w:color="auto" w:sz="4" w:space="0"/>
                    <w:left w:val="single" w:color="auto" w:sz="4" w:space="0"/>
                  </w:tcBorders>
                  <w:vAlign w:val="center"/>
                </w:tcPr>
                <w:p>
                  <w:pPr>
                    <w:spacing w:line="240" w:lineRule="auto"/>
                    <w:ind w:firstLine="0" w:firstLineChars="0"/>
                    <w:jc w:val="center"/>
                    <w:rPr>
                      <w:color w:val="auto"/>
                    </w:rPr>
                  </w:pPr>
                  <w:r>
                    <w:rPr>
                      <w:color w:val="auto"/>
                    </w:rPr>
                    <w:t>34</w:t>
                  </w:r>
                </w:p>
              </w:tc>
              <w:tc>
                <w:tcPr>
                  <w:tcW w:w="555" w:type="pct"/>
                  <w:tcBorders>
                    <w:left w:val="single" w:color="auto" w:sz="4" w:space="0"/>
                  </w:tcBorders>
                  <w:vAlign w:val="center"/>
                </w:tcPr>
                <w:p>
                  <w:pPr>
                    <w:spacing w:line="240" w:lineRule="auto"/>
                    <w:ind w:firstLine="0" w:firstLineChars="0"/>
                    <w:jc w:val="center"/>
                    <w:rPr>
                      <w:color w:val="auto"/>
                    </w:rPr>
                  </w:pPr>
                  <w:r>
                    <w:rPr>
                      <w:rFonts w:hint="eastAsia"/>
                      <w:color w:val="auto"/>
                    </w:rPr>
                    <w:t>44.5</w:t>
                  </w:r>
                </w:p>
              </w:tc>
              <w:tc>
                <w:tcPr>
                  <w:tcW w:w="892" w:type="dxa"/>
                  <w:tcBorders>
                    <w:left w:val="single" w:color="auto" w:sz="4" w:space="0"/>
                  </w:tcBorders>
                  <w:vAlign w:val="center"/>
                </w:tcPr>
                <w:p>
                  <w:pPr>
                    <w:spacing w:line="240" w:lineRule="auto"/>
                    <w:ind w:firstLine="0" w:firstLineChars="0"/>
                    <w:jc w:val="center"/>
                    <w:rPr>
                      <w:color w:val="auto"/>
                    </w:rPr>
                  </w:pPr>
                  <w:r>
                    <w:rPr>
                      <w:rFonts w:hint="eastAsia"/>
                      <w:color w:val="auto"/>
                    </w:rPr>
                    <w:t>46.2</w:t>
                  </w:r>
                </w:p>
              </w:tc>
              <w:tc>
                <w:tcPr>
                  <w:tcW w:w="555" w:type="pct"/>
                  <w:vMerge w:val="continue"/>
                  <w:tcBorders>
                    <w:left w:val="single" w:color="auto" w:sz="4" w:space="0"/>
                  </w:tcBorders>
                  <w:vAlign w:val="center"/>
                </w:tcPr>
                <w:p>
                  <w:pPr>
                    <w:spacing w:line="240" w:lineRule="auto"/>
                    <w:ind w:firstLine="0" w:firstLineChars="0"/>
                    <w:jc w:val="center"/>
                    <w:rPr>
                      <w:color w:val="auto"/>
                    </w:rPr>
                  </w:pPr>
                </w:p>
              </w:tc>
              <w:tc>
                <w:tcPr>
                  <w:tcW w:w="542" w:type="pct"/>
                  <w:vAlign w:val="center"/>
                </w:tcPr>
                <w:p>
                  <w:pPr>
                    <w:spacing w:line="240" w:lineRule="auto"/>
                    <w:ind w:firstLine="0" w:firstLineChars="0"/>
                    <w:jc w:val="center"/>
                    <w:rPr>
                      <w:color w:val="auto"/>
                    </w:rPr>
                  </w:pPr>
                  <w:r>
                    <w:rPr>
                      <w:color w:val="auto"/>
                    </w:rPr>
                    <w:t>达标</w:t>
                  </w:r>
                </w:p>
              </w:tc>
            </w:tr>
          </w:tbl>
          <w:p>
            <w:pPr>
              <w:ind w:firstLine="480"/>
              <w:rPr>
                <w:color w:val="auto"/>
              </w:rPr>
            </w:pPr>
            <w:bookmarkStart w:id="2" w:name="_Hlk47373657"/>
            <w:r>
              <w:rPr>
                <w:color w:val="auto"/>
              </w:rPr>
              <w:t>由表可知，本项目各厂界夜间的噪声能满足《工业企业厂界环境噪声排放标准》（GB12348-2008）2类区标准限值。综上所述，本项目运营后对周围环境噪声影响较小。</w:t>
            </w:r>
          </w:p>
          <w:bookmarkEnd w:id="2"/>
          <w:p>
            <w:pPr>
              <w:ind w:firstLine="482"/>
              <w:rPr>
                <w:b/>
                <w:bCs/>
                <w:color w:val="auto"/>
              </w:rPr>
            </w:pPr>
            <w:r>
              <w:rPr>
                <w:rFonts w:hint="eastAsia"/>
                <w:b/>
                <w:bCs/>
                <w:color w:val="auto"/>
                <w:lang w:eastAsia="zh-CN"/>
              </w:rPr>
              <w:t>3.</w:t>
            </w:r>
            <w:r>
              <w:rPr>
                <w:b/>
                <w:bCs/>
                <w:color w:val="auto"/>
              </w:rPr>
              <w:t>监测计划</w:t>
            </w:r>
          </w:p>
          <w:p>
            <w:pPr>
              <w:pStyle w:val="67"/>
              <w:ind w:firstLine="480"/>
              <w:rPr>
                <w:color w:val="auto"/>
                <w:szCs w:val="24"/>
              </w:rPr>
            </w:pPr>
            <w:r>
              <w:rPr>
                <w:color w:val="auto"/>
                <w:szCs w:val="24"/>
              </w:rPr>
              <w:t>根据《排污许可证申请与核发技术规范工业噪声》（HJ1301-2023），本项目噪声监测计划及记录信息表见下表。</w:t>
            </w:r>
          </w:p>
          <w:p>
            <w:pPr>
              <w:ind w:firstLine="0" w:firstLineChars="0"/>
              <w:jc w:val="center"/>
              <w:rPr>
                <w:b/>
                <w:bCs/>
                <w:color w:val="auto"/>
              </w:rPr>
            </w:pPr>
            <w:r>
              <w:rPr>
                <w:b/>
                <w:bCs/>
                <w:color w:val="auto"/>
              </w:rPr>
              <w:t>表4-</w:t>
            </w:r>
            <w:r>
              <w:rPr>
                <w:rFonts w:hint="eastAsia"/>
                <w:b/>
                <w:bCs/>
                <w:color w:val="auto"/>
              </w:rPr>
              <w:t>10</w:t>
            </w:r>
            <w:r>
              <w:rPr>
                <w:b/>
                <w:bCs/>
                <w:color w:val="auto"/>
              </w:rPr>
              <w:t>噪声监测计划表</w:t>
            </w:r>
          </w:p>
          <w:tbl>
            <w:tblPr>
              <w:tblStyle w:val="7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0"/>
              <w:gridCol w:w="1359"/>
              <w:gridCol w:w="1856"/>
              <w:gridCol w:w="39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1" w:type="pct"/>
                  <w:vAlign w:val="center"/>
                </w:tcPr>
                <w:p>
                  <w:pPr>
                    <w:spacing w:line="240" w:lineRule="auto"/>
                    <w:ind w:firstLine="0" w:firstLineChars="0"/>
                    <w:jc w:val="center"/>
                    <w:rPr>
                      <w:b/>
                      <w:color w:val="auto"/>
                    </w:rPr>
                  </w:pPr>
                  <w:r>
                    <w:rPr>
                      <w:b/>
                      <w:color w:val="auto"/>
                    </w:rPr>
                    <w:t>序号</w:t>
                  </w:r>
                </w:p>
              </w:tc>
              <w:tc>
                <w:tcPr>
                  <w:tcW w:w="857" w:type="pct"/>
                  <w:vAlign w:val="center"/>
                </w:tcPr>
                <w:p>
                  <w:pPr>
                    <w:spacing w:line="240" w:lineRule="auto"/>
                    <w:ind w:firstLine="0" w:firstLineChars="0"/>
                    <w:jc w:val="center"/>
                    <w:rPr>
                      <w:b/>
                      <w:color w:val="auto"/>
                    </w:rPr>
                  </w:pPr>
                  <w:r>
                    <w:rPr>
                      <w:b/>
                      <w:color w:val="auto"/>
                    </w:rPr>
                    <w:t>监测点位</w:t>
                  </w:r>
                </w:p>
              </w:tc>
              <w:tc>
                <w:tcPr>
                  <w:tcW w:w="1170" w:type="pct"/>
                  <w:vAlign w:val="center"/>
                </w:tcPr>
                <w:p>
                  <w:pPr>
                    <w:spacing w:line="240" w:lineRule="auto"/>
                    <w:ind w:firstLine="0" w:firstLineChars="0"/>
                    <w:jc w:val="center"/>
                    <w:rPr>
                      <w:b/>
                      <w:color w:val="auto"/>
                    </w:rPr>
                  </w:pPr>
                  <w:r>
                    <w:rPr>
                      <w:b/>
                      <w:color w:val="auto"/>
                    </w:rPr>
                    <w:t>监测频次</w:t>
                  </w:r>
                </w:p>
              </w:tc>
              <w:tc>
                <w:tcPr>
                  <w:tcW w:w="2480" w:type="pct"/>
                  <w:vAlign w:val="center"/>
                </w:tcPr>
                <w:p>
                  <w:pPr>
                    <w:spacing w:line="240" w:lineRule="auto"/>
                    <w:ind w:firstLine="0" w:firstLineChars="0"/>
                    <w:jc w:val="center"/>
                    <w:rPr>
                      <w:b/>
                      <w:color w:val="auto"/>
                    </w:rPr>
                  </w:pPr>
                  <w:r>
                    <w:rPr>
                      <w:b/>
                      <w:color w:val="auto"/>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1" w:type="pct"/>
                  <w:vAlign w:val="center"/>
                </w:tcPr>
                <w:p>
                  <w:pPr>
                    <w:spacing w:line="240" w:lineRule="auto"/>
                    <w:ind w:firstLine="0" w:firstLineChars="0"/>
                    <w:jc w:val="center"/>
                    <w:rPr>
                      <w:color w:val="auto"/>
                    </w:rPr>
                  </w:pPr>
                  <w:r>
                    <w:rPr>
                      <w:color w:val="auto"/>
                    </w:rPr>
                    <w:t>1</w:t>
                  </w:r>
                </w:p>
              </w:tc>
              <w:tc>
                <w:tcPr>
                  <w:tcW w:w="857" w:type="pct"/>
                  <w:vAlign w:val="center"/>
                </w:tcPr>
                <w:p>
                  <w:pPr>
                    <w:spacing w:line="240" w:lineRule="auto"/>
                    <w:ind w:firstLine="0" w:firstLineChars="0"/>
                    <w:jc w:val="center"/>
                    <w:rPr>
                      <w:color w:val="auto"/>
                    </w:rPr>
                  </w:pPr>
                  <w:r>
                    <w:rPr>
                      <w:color w:val="auto"/>
                    </w:rPr>
                    <w:t>厂界四周1m处</w:t>
                  </w:r>
                </w:p>
              </w:tc>
              <w:tc>
                <w:tcPr>
                  <w:tcW w:w="1170" w:type="pct"/>
                  <w:vAlign w:val="center"/>
                </w:tcPr>
                <w:p>
                  <w:pPr>
                    <w:spacing w:line="240" w:lineRule="auto"/>
                    <w:ind w:firstLine="0" w:firstLineChars="0"/>
                    <w:jc w:val="center"/>
                    <w:rPr>
                      <w:color w:val="auto"/>
                    </w:rPr>
                  </w:pPr>
                  <w:r>
                    <w:rPr>
                      <w:color w:val="auto"/>
                    </w:rPr>
                    <w:t>1次/季度，昼夜各一次</w:t>
                  </w:r>
                </w:p>
              </w:tc>
              <w:tc>
                <w:tcPr>
                  <w:tcW w:w="2480" w:type="pct"/>
                  <w:vAlign w:val="center"/>
                </w:tcPr>
                <w:p>
                  <w:pPr>
                    <w:spacing w:line="240" w:lineRule="auto"/>
                    <w:ind w:firstLine="0" w:firstLineChars="0"/>
                    <w:jc w:val="center"/>
                    <w:rPr>
                      <w:color w:val="auto"/>
                    </w:rPr>
                  </w:pPr>
                  <w:r>
                    <w:rPr>
                      <w:color w:val="auto"/>
                    </w:rPr>
                    <w:t>《工业企业厂界环境噪声排放标准》（GB12348-2008）2类标准限值</w:t>
                  </w:r>
                </w:p>
              </w:tc>
            </w:tr>
          </w:tbl>
          <w:p>
            <w:pPr>
              <w:ind w:firstLine="482"/>
              <w:rPr>
                <w:b/>
                <w:bCs/>
                <w:color w:val="auto"/>
              </w:rPr>
            </w:pPr>
            <w:r>
              <w:rPr>
                <w:b/>
                <w:bCs/>
                <w:color w:val="auto"/>
              </w:rPr>
              <w:t>四、固体废弃物环境影响和保护措施</w:t>
            </w:r>
          </w:p>
          <w:p>
            <w:pPr>
              <w:ind w:firstLine="482"/>
              <w:rPr>
                <w:b/>
                <w:bCs/>
                <w:color w:val="auto"/>
              </w:rPr>
            </w:pPr>
            <w:r>
              <w:rPr>
                <w:rFonts w:hint="eastAsia"/>
                <w:b/>
                <w:bCs/>
                <w:color w:val="auto"/>
                <w:lang w:eastAsia="zh-CN"/>
              </w:rPr>
              <w:t>1.</w:t>
            </w:r>
            <w:r>
              <w:rPr>
                <w:rFonts w:hint="eastAsia"/>
                <w:b/>
                <w:bCs/>
                <w:color w:val="auto"/>
              </w:rPr>
              <w:t>固废产生情况及处置措施</w:t>
            </w:r>
          </w:p>
          <w:p>
            <w:pPr>
              <w:ind w:firstLine="480"/>
              <w:rPr>
                <w:color w:val="auto"/>
              </w:rPr>
            </w:pPr>
            <w:r>
              <w:rPr>
                <w:color w:val="auto"/>
              </w:rPr>
              <w:t>本项目产生的固体废弃物主要包括</w:t>
            </w:r>
            <w:r>
              <w:rPr>
                <w:rFonts w:hint="eastAsia"/>
                <w:color w:val="auto"/>
              </w:rPr>
              <w:t>：</w:t>
            </w:r>
            <w:r>
              <w:rPr>
                <w:color w:val="auto"/>
              </w:rPr>
              <w:t>天然气蒸汽锅炉软水制备系统产生废离子交换树脂</w:t>
            </w:r>
            <w:r>
              <w:rPr>
                <w:rFonts w:hint="eastAsia"/>
                <w:color w:val="auto"/>
              </w:rPr>
              <w:t>，废水处理站产生的污泥、废水处理站更换下的废滤料、废反渗透膜，本项目无新增劳动定员，</w:t>
            </w:r>
            <w:r>
              <w:rPr>
                <w:color w:val="auto"/>
              </w:rPr>
              <w:t>无新增生活垃圾产生</w:t>
            </w:r>
            <w:r>
              <w:rPr>
                <w:rFonts w:hint="eastAsia"/>
                <w:color w:val="auto"/>
              </w:rPr>
              <w:t>，日常设备维修过程中产生的废矿物油及废油桶。</w:t>
            </w:r>
          </w:p>
          <w:p>
            <w:pPr>
              <w:ind w:firstLine="480"/>
              <w:rPr>
                <w:color w:val="auto"/>
              </w:rPr>
            </w:pPr>
            <w:r>
              <w:rPr>
                <w:rFonts w:hint="eastAsia"/>
                <w:color w:val="auto"/>
              </w:rPr>
              <w:t>①一般固废</w:t>
            </w:r>
          </w:p>
          <w:p>
            <w:pPr>
              <w:ind w:firstLine="480"/>
              <w:rPr>
                <w:color w:val="auto"/>
              </w:rPr>
            </w:pPr>
            <w:r>
              <w:rPr>
                <w:color w:val="auto"/>
              </w:rPr>
              <w:t>项目锅炉软水系统采用离子交换工艺，离子交换树脂需定期更换，离子交换树脂每年更换1次，</w:t>
            </w:r>
            <w:r>
              <w:rPr>
                <w:rFonts w:hint="eastAsia"/>
                <w:color w:val="auto"/>
              </w:rPr>
              <w:t>属于一般固废，</w:t>
            </w:r>
            <w:r>
              <w:rPr>
                <w:color w:val="auto"/>
              </w:rPr>
              <w:t>废离子交换树脂产生量约0.1t/a，</w:t>
            </w:r>
            <w:r>
              <w:rPr>
                <w:rFonts w:hint="eastAsia"/>
                <w:color w:val="auto"/>
              </w:rPr>
              <w:t>产后不落地，由厂家回收处置</w:t>
            </w:r>
            <w:r>
              <w:rPr>
                <w:color w:val="auto"/>
              </w:rPr>
              <w:t>。</w:t>
            </w:r>
          </w:p>
          <w:p>
            <w:pPr>
              <w:ind w:firstLine="480"/>
              <w:rPr>
                <w:color w:val="auto"/>
              </w:rPr>
            </w:pPr>
            <w:r>
              <w:rPr>
                <w:rFonts w:hint="eastAsia"/>
                <w:color w:val="auto"/>
              </w:rPr>
              <w:t>废水处理站更换下的废滤料：年滤料用量为3.5t/a，1年更换一次，用于过滤的石英砂，其废弃时的湿重通常在干重的1.1-1.3倍之间，该次工程取1.3，则更换下的废石英砂为4.55t/a，</w:t>
            </w:r>
            <w:r>
              <w:rPr>
                <w:color w:val="auto"/>
              </w:rPr>
              <w:t>产后不落地，交由厂家回收处置</w:t>
            </w:r>
            <w:r>
              <w:rPr>
                <w:rFonts w:hint="eastAsia"/>
                <w:color w:val="auto"/>
              </w:rPr>
              <w:t>。</w:t>
            </w:r>
          </w:p>
          <w:p>
            <w:pPr>
              <w:ind w:firstLine="480"/>
              <w:rPr>
                <w:color w:val="auto"/>
              </w:rPr>
            </w:pPr>
            <w:r>
              <w:rPr>
                <w:rFonts w:hint="eastAsia"/>
                <w:color w:val="auto"/>
              </w:rPr>
              <w:t>废水处理站产生的污泥：年产生量为0.1t/a，产生的污泥掺入洗煤厂产品煤中进行外售。</w:t>
            </w:r>
          </w:p>
          <w:p>
            <w:pPr>
              <w:ind w:firstLine="480"/>
              <w:rPr>
                <w:color w:val="auto"/>
              </w:rPr>
            </w:pPr>
            <w:r>
              <w:rPr>
                <w:rFonts w:hint="eastAsia"/>
                <w:color w:val="auto"/>
              </w:rPr>
              <w:t>废反渗透膜：1套反渗透装置，每套产生10支废反渗透膜，单支重12kg，3年更换一次，则废反渗透膜产生量为0.12t/3a，由厂家进行更换后回收集中处置。</w:t>
            </w:r>
          </w:p>
          <w:p>
            <w:pPr>
              <w:ind w:firstLine="480"/>
              <w:rPr>
                <w:color w:val="auto"/>
              </w:rPr>
            </w:pPr>
            <w:r>
              <w:rPr>
                <w:rFonts w:hint="eastAsia"/>
                <w:color w:val="auto"/>
              </w:rPr>
              <w:t>废超滤膜：每套产生15支废超滤膜，单支重70kg，3年更换一次，则废超滤膜产生量为1.05t/3a，由厂家进行更换后回收集中处置。</w:t>
            </w:r>
          </w:p>
          <w:p>
            <w:pPr>
              <w:ind w:firstLine="480"/>
              <w:rPr>
                <w:color w:val="auto"/>
              </w:rPr>
            </w:pPr>
            <w:r>
              <w:rPr>
                <w:rFonts w:hint="eastAsia"/>
                <w:color w:val="auto"/>
              </w:rPr>
              <w:t>②危险废物</w:t>
            </w:r>
          </w:p>
          <w:p>
            <w:pPr>
              <w:ind w:firstLine="480"/>
              <w:rPr>
                <w:color w:val="auto"/>
              </w:rPr>
            </w:pPr>
            <w:r>
              <w:rPr>
                <w:rFonts w:hint="eastAsia"/>
                <w:color w:val="auto"/>
              </w:rPr>
              <w:t>本项目对设备进行保养、维修过程中，废矿物油产生量约0.1t/a，根据《国家危险废物名录》（2025年），废矿物油属于“HW08废矿物油与含矿物油废物”，废物代码900-214-08，危险特性为T，I，暂存于新建的6㎡危废库内，定期交由有资质单位进行处置。</w:t>
            </w:r>
          </w:p>
          <w:p>
            <w:pPr>
              <w:ind w:firstLine="480"/>
              <w:rPr>
                <w:color w:val="auto"/>
              </w:rPr>
            </w:pPr>
            <w:r>
              <w:rPr>
                <w:rFonts w:hint="eastAsia"/>
                <w:color w:val="auto"/>
              </w:rPr>
              <w:t>本项目设备进行保养、维修过程中使用的润滑油使用过后会产生废矿物油桶，产生量约为0.1t/a，根据《国家危险废物名录》（2025年），废矿物油桶属于“HW08废矿物油与含矿物油废物”，废物代码900-249-08，危险特性为T，I，暂存于新建的6㎡危废库内，定期交由有资质单位进行处置。</w:t>
            </w:r>
          </w:p>
          <w:p>
            <w:pPr>
              <w:ind w:firstLine="480"/>
              <w:rPr>
                <w:color w:val="auto"/>
              </w:rPr>
            </w:pPr>
            <w:r>
              <w:rPr>
                <w:rFonts w:hint="eastAsia"/>
                <w:color w:val="auto"/>
              </w:rPr>
              <w:t>综上所述，本项目各类固体废弃物均得到妥善处置，对周围环境影响较小。</w:t>
            </w:r>
          </w:p>
          <w:p>
            <w:pPr>
              <w:spacing w:line="240" w:lineRule="auto"/>
              <w:ind w:firstLine="0" w:firstLineChars="0"/>
              <w:jc w:val="center"/>
              <w:rPr>
                <w:b/>
                <w:bCs/>
                <w:color w:val="auto"/>
              </w:rPr>
            </w:pPr>
            <w:r>
              <w:rPr>
                <w:rFonts w:hint="eastAsia"/>
                <w:b/>
                <w:bCs/>
                <w:color w:val="auto"/>
              </w:rPr>
              <w:t>表4-11固体废物治理措施一览表（单位：t/a）</w:t>
            </w:r>
          </w:p>
          <w:tbl>
            <w:tblPr>
              <w:tblStyle w:val="65"/>
              <w:tblW w:w="79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64"/>
              <w:gridCol w:w="1732"/>
              <w:gridCol w:w="1235"/>
              <w:gridCol w:w="991"/>
              <w:gridCol w:w="32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atLeast"/>
                <w:jc w:val="center"/>
              </w:trPr>
              <w:tc>
                <w:tcPr>
                  <w:tcW w:w="479"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rPr>
                  </w:pPr>
                  <w:r>
                    <w:rPr>
                      <w:rFonts w:ascii="Times New Roman" w:hAnsi="Times New Roman" w:cs="Times New Roman"/>
                      <w:color w:val="auto"/>
                      <w:spacing w:val="-2"/>
                      <w:sz w:val="21"/>
                      <w:szCs w:val="21"/>
                    </w:rPr>
                    <w:t>序号</w:t>
                  </w:r>
                </w:p>
              </w:tc>
              <w:tc>
                <w:tcPr>
                  <w:tcW w:w="1085"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rPr>
                  </w:pPr>
                  <w:r>
                    <w:rPr>
                      <w:rFonts w:ascii="Times New Roman" w:hAnsi="Times New Roman" w:cs="Times New Roman"/>
                      <w:color w:val="auto"/>
                      <w:spacing w:val="-5"/>
                      <w:sz w:val="21"/>
                      <w:szCs w:val="21"/>
                    </w:rPr>
                    <w:t>固废名称</w:t>
                  </w:r>
                </w:p>
              </w:tc>
              <w:tc>
                <w:tcPr>
                  <w:tcW w:w="775"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rPr>
                  </w:pPr>
                  <w:r>
                    <w:rPr>
                      <w:rFonts w:hint="eastAsia" w:ascii="Times New Roman" w:hAnsi="Times New Roman" w:cs="Times New Roman"/>
                      <w:color w:val="auto"/>
                      <w:spacing w:val="-2"/>
                      <w:sz w:val="21"/>
                      <w:szCs w:val="21"/>
                      <w:lang w:eastAsia="zh-CN"/>
                    </w:rPr>
                    <w:t>固废</w:t>
                  </w:r>
                  <w:r>
                    <w:rPr>
                      <w:rFonts w:ascii="Times New Roman" w:hAnsi="Times New Roman" w:cs="Times New Roman"/>
                      <w:color w:val="auto"/>
                      <w:spacing w:val="-2"/>
                      <w:sz w:val="21"/>
                      <w:szCs w:val="21"/>
                    </w:rPr>
                    <w:t>性质</w:t>
                  </w:r>
                </w:p>
              </w:tc>
              <w:tc>
                <w:tcPr>
                  <w:tcW w:w="622"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rPr>
                  </w:pPr>
                  <w:r>
                    <w:rPr>
                      <w:rFonts w:ascii="Times New Roman" w:hAnsi="Times New Roman" w:cs="Times New Roman"/>
                      <w:color w:val="auto"/>
                      <w:spacing w:val="-2"/>
                      <w:sz w:val="21"/>
                      <w:szCs w:val="21"/>
                    </w:rPr>
                    <w:t>产生量</w:t>
                  </w:r>
                </w:p>
              </w:tc>
              <w:tc>
                <w:tcPr>
                  <w:tcW w:w="2036"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rPr>
                  </w:pPr>
                  <w:r>
                    <w:rPr>
                      <w:rFonts w:ascii="Times New Roman" w:hAnsi="Times New Roman" w:cs="Times New Roman"/>
                      <w:color w:val="auto"/>
                      <w:spacing w:val="-3"/>
                      <w:sz w:val="21"/>
                      <w:szCs w:val="21"/>
                    </w:rPr>
                    <w:t>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8" w:hRule="atLeast"/>
                <w:jc w:val="center"/>
              </w:trPr>
              <w:tc>
                <w:tcPr>
                  <w:tcW w:w="479" w:type="pct"/>
                  <w:vAlign w:val="center"/>
                </w:tcPr>
                <w:p>
                  <w:pPr>
                    <w:widowControl/>
                    <w:kinsoku w:val="0"/>
                    <w:autoSpaceDE w:val="0"/>
                    <w:autoSpaceDN w:val="0"/>
                    <w:adjustRightInd w:val="0"/>
                    <w:snapToGrid w:val="0"/>
                    <w:spacing w:line="240" w:lineRule="auto"/>
                    <w:ind w:firstLine="0" w:firstLineChars="0"/>
                    <w:jc w:val="center"/>
                    <w:textAlignment w:val="baseline"/>
                    <w:rPr>
                      <w:rFonts w:eastAsia="Times New Roman"/>
                      <w:color w:val="auto"/>
                      <w:sz w:val="21"/>
                      <w:szCs w:val="21"/>
                    </w:rPr>
                  </w:pPr>
                  <w:r>
                    <w:rPr>
                      <w:rFonts w:eastAsia="Times New Roman"/>
                      <w:color w:val="auto"/>
                      <w:sz w:val="21"/>
                      <w:szCs w:val="21"/>
                    </w:rPr>
                    <w:t>1</w:t>
                  </w:r>
                </w:p>
              </w:tc>
              <w:tc>
                <w:tcPr>
                  <w:tcW w:w="1085"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废离子交换树脂</w:t>
                  </w:r>
                </w:p>
              </w:tc>
              <w:tc>
                <w:tcPr>
                  <w:tcW w:w="775"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一般固废</w:t>
                  </w:r>
                </w:p>
              </w:tc>
              <w:tc>
                <w:tcPr>
                  <w:tcW w:w="622" w:type="pct"/>
                  <w:vAlign w:val="center"/>
                </w:tcPr>
                <w:p>
                  <w:pPr>
                    <w:widowControl/>
                    <w:kinsoku w:val="0"/>
                    <w:autoSpaceDE w:val="0"/>
                    <w:autoSpaceDN w:val="0"/>
                    <w:adjustRightInd w:val="0"/>
                    <w:snapToGrid w:val="0"/>
                    <w:spacing w:line="240" w:lineRule="auto"/>
                    <w:ind w:firstLine="0" w:firstLineChars="0"/>
                    <w:jc w:val="center"/>
                    <w:textAlignment w:val="baseline"/>
                    <w:rPr>
                      <w:color w:val="auto"/>
                      <w:sz w:val="21"/>
                      <w:szCs w:val="21"/>
                    </w:rPr>
                  </w:pPr>
                  <w:r>
                    <w:rPr>
                      <w:rFonts w:hint="eastAsia"/>
                      <w:color w:val="auto"/>
                      <w:sz w:val="21"/>
                      <w:szCs w:val="21"/>
                    </w:rPr>
                    <w:t>0.1t/a</w:t>
                  </w:r>
                </w:p>
              </w:tc>
              <w:tc>
                <w:tcPr>
                  <w:tcW w:w="2036"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产后不落地，交由厂家回收处置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6" w:hRule="atLeast"/>
                <w:jc w:val="center"/>
              </w:trPr>
              <w:tc>
                <w:tcPr>
                  <w:tcW w:w="479" w:type="pct"/>
                  <w:vAlign w:val="center"/>
                </w:tcPr>
                <w:p>
                  <w:pPr>
                    <w:widowControl/>
                    <w:kinsoku w:val="0"/>
                    <w:autoSpaceDE w:val="0"/>
                    <w:autoSpaceDN w:val="0"/>
                    <w:adjustRightInd w:val="0"/>
                    <w:snapToGrid w:val="0"/>
                    <w:spacing w:line="240" w:lineRule="auto"/>
                    <w:ind w:firstLine="0" w:firstLineChars="0"/>
                    <w:jc w:val="center"/>
                    <w:textAlignment w:val="baseline"/>
                    <w:rPr>
                      <w:color w:val="auto"/>
                      <w:sz w:val="21"/>
                      <w:szCs w:val="21"/>
                    </w:rPr>
                  </w:pPr>
                  <w:r>
                    <w:rPr>
                      <w:rFonts w:hint="eastAsia"/>
                      <w:color w:val="auto"/>
                      <w:sz w:val="21"/>
                      <w:szCs w:val="21"/>
                    </w:rPr>
                    <w:t>2</w:t>
                  </w:r>
                </w:p>
              </w:tc>
              <w:tc>
                <w:tcPr>
                  <w:tcW w:w="1085"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废水处理站产生的污泥</w:t>
                  </w:r>
                </w:p>
              </w:tc>
              <w:tc>
                <w:tcPr>
                  <w:tcW w:w="775"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rPr>
                  </w:pPr>
                  <w:r>
                    <w:rPr>
                      <w:rFonts w:hint="eastAsia" w:ascii="Times New Roman" w:hAnsi="Times New Roman" w:cs="Times New Roman"/>
                      <w:color w:val="auto"/>
                      <w:sz w:val="21"/>
                      <w:szCs w:val="21"/>
                      <w:lang w:eastAsia="zh-CN"/>
                    </w:rPr>
                    <w:t>一般固废</w:t>
                  </w:r>
                </w:p>
              </w:tc>
              <w:tc>
                <w:tcPr>
                  <w:tcW w:w="622" w:type="pct"/>
                  <w:vAlign w:val="center"/>
                </w:tcPr>
                <w:p>
                  <w:pPr>
                    <w:widowControl/>
                    <w:kinsoku w:val="0"/>
                    <w:autoSpaceDE w:val="0"/>
                    <w:autoSpaceDN w:val="0"/>
                    <w:adjustRightInd w:val="0"/>
                    <w:snapToGrid w:val="0"/>
                    <w:spacing w:line="240" w:lineRule="auto"/>
                    <w:ind w:firstLine="0" w:firstLineChars="0"/>
                    <w:jc w:val="center"/>
                    <w:textAlignment w:val="baseline"/>
                    <w:rPr>
                      <w:color w:val="auto"/>
                      <w:sz w:val="21"/>
                      <w:szCs w:val="21"/>
                    </w:rPr>
                  </w:pPr>
                  <w:r>
                    <w:rPr>
                      <w:rFonts w:hint="eastAsia"/>
                      <w:color w:val="auto"/>
                      <w:sz w:val="21"/>
                      <w:szCs w:val="21"/>
                    </w:rPr>
                    <w:t>0.1t/a</w:t>
                  </w:r>
                </w:p>
              </w:tc>
              <w:tc>
                <w:tcPr>
                  <w:tcW w:w="2036"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产生的污泥掺入洗煤厂产品煤中进行外售。</w:t>
                  </w:r>
                  <w:commentRangeStart w:id="23"/>
                  <w:commentRangeStart w:id="24"/>
                  <w:r>
                    <w:rPr>
                      <w:rFonts w:hint="eastAsia" w:ascii="Times New Roman" w:hAnsi="Times New Roman" w:cs="Times New Roman"/>
                      <w:color w:val="auto"/>
                      <w:sz w:val="21"/>
                      <w:szCs w:val="21"/>
                      <w:lang w:eastAsia="zh-CN"/>
                    </w:rPr>
                    <w:commentReference w:id="23"/>
                  </w:r>
                  <w:commentRangeEnd w:id="23"/>
                  <w:commentRangeEnd w:id="24"/>
                  <w:r>
                    <w:rPr>
                      <w:color w:val="auto"/>
                    </w:rPr>
                    <w:commentReference w:id="24"/>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8" w:hRule="atLeast"/>
                <w:jc w:val="center"/>
              </w:trPr>
              <w:tc>
                <w:tcPr>
                  <w:tcW w:w="479" w:type="pct"/>
                  <w:vAlign w:val="center"/>
                </w:tcPr>
                <w:p>
                  <w:pPr>
                    <w:widowControl/>
                    <w:kinsoku w:val="0"/>
                    <w:autoSpaceDE w:val="0"/>
                    <w:autoSpaceDN w:val="0"/>
                    <w:adjustRightInd w:val="0"/>
                    <w:snapToGrid w:val="0"/>
                    <w:spacing w:line="240" w:lineRule="auto"/>
                    <w:ind w:firstLine="0" w:firstLineChars="0"/>
                    <w:jc w:val="center"/>
                    <w:textAlignment w:val="baseline"/>
                    <w:rPr>
                      <w:color w:val="auto"/>
                      <w:sz w:val="21"/>
                      <w:szCs w:val="21"/>
                    </w:rPr>
                  </w:pPr>
                  <w:r>
                    <w:rPr>
                      <w:rFonts w:hint="eastAsia"/>
                      <w:color w:val="auto"/>
                      <w:sz w:val="21"/>
                      <w:szCs w:val="21"/>
                    </w:rPr>
                    <w:t>3</w:t>
                  </w:r>
                </w:p>
              </w:tc>
              <w:tc>
                <w:tcPr>
                  <w:tcW w:w="1085"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废水处理站产生的废滤料</w:t>
                  </w:r>
                </w:p>
              </w:tc>
              <w:tc>
                <w:tcPr>
                  <w:tcW w:w="775"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rPr>
                  </w:pPr>
                  <w:r>
                    <w:rPr>
                      <w:rFonts w:hint="eastAsia" w:ascii="Times New Roman" w:hAnsi="Times New Roman" w:cs="Times New Roman"/>
                      <w:color w:val="auto"/>
                      <w:sz w:val="21"/>
                      <w:szCs w:val="21"/>
                      <w:lang w:eastAsia="zh-CN"/>
                    </w:rPr>
                    <w:t>一般固废</w:t>
                  </w:r>
                </w:p>
              </w:tc>
              <w:tc>
                <w:tcPr>
                  <w:tcW w:w="622" w:type="pct"/>
                  <w:vAlign w:val="center"/>
                </w:tcPr>
                <w:p>
                  <w:pPr>
                    <w:widowControl/>
                    <w:kinsoku w:val="0"/>
                    <w:autoSpaceDE w:val="0"/>
                    <w:autoSpaceDN w:val="0"/>
                    <w:adjustRightInd w:val="0"/>
                    <w:snapToGrid w:val="0"/>
                    <w:spacing w:line="240" w:lineRule="auto"/>
                    <w:ind w:firstLine="0" w:firstLineChars="0"/>
                    <w:jc w:val="center"/>
                    <w:textAlignment w:val="baseline"/>
                    <w:rPr>
                      <w:color w:val="auto"/>
                      <w:sz w:val="21"/>
                      <w:szCs w:val="21"/>
                    </w:rPr>
                  </w:pPr>
                  <w:r>
                    <w:rPr>
                      <w:rFonts w:hint="eastAsia"/>
                      <w:color w:val="auto"/>
                      <w:sz w:val="21"/>
                      <w:szCs w:val="21"/>
                    </w:rPr>
                    <w:t>4.55t/a</w:t>
                  </w:r>
                </w:p>
              </w:tc>
              <w:tc>
                <w:tcPr>
                  <w:tcW w:w="2036" w:type="pct"/>
                  <w:vMerge w:val="restar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产后不落地，交由厂家回收处置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6" w:hRule="atLeast"/>
                <w:jc w:val="center"/>
              </w:trPr>
              <w:tc>
                <w:tcPr>
                  <w:tcW w:w="479" w:type="pct"/>
                  <w:vAlign w:val="center"/>
                </w:tcPr>
                <w:p>
                  <w:pPr>
                    <w:widowControl/>
                    <w:kinsoku w:val="0"/>
                    <w:autoSpaceDE w:val="0"/>
                    <w:autoSpaceDN w:val="0"/>
                    <w:adjustRightInd w:val="0"/>
                    <w:snapToGrid w:val="0"/>
                    <w:spacing w:line="240" w:lineRule="auto"/>
                    <w:ind w:firstLine="0" w:firstLineChars="0"/>
                    <w:jc w:val="center"/>
                    <w:textAlignment w:val="baseline"/>
                    <w:rPr>
                      <w:rFonts w:eastAsia="Times New Roman"/>
                      <w:snapToGrid w:val="0"/>
                      <w:color w:val="auto"/>
                      <w:kern w:val="0"/>
                      <w:sz w:val="21"/>
                      <w:szCs w:val="21"/>
                    </w:rPr>
                  </w:pPr>
                  <w:r>
                    <w:rPr>
                      <w:rFonts w:eastAsia="Times New Roman"/>
                      <w:color w:val="auto"/>
                      <w:sz w:val="21"/>
                      <w:szCs w:val="21"/>
                    </w:rPr>
                    <w:t>4</w:t>
                  </w:r>
                </w:p>
              </w:tc>
              <w:tc>
                <w:tcPr>
                  <w:tcW w:w="1085"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废反渗透膜</w:t>
                  </w:r>
                </w:p>
              </w:tc>
              <w:tc>
                <w:tcPr>
                  <w:tcW w:w="775"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一般固废</w:t>
                  </w:r>
                </w:p>
              </w:tc>
              <w:tc>
                <w:tcPr>
                  <w:tcW w:w="622" w:type="pct"/>
                  <w:vAlign w:val="center"/>
                </w:tcPr>
                <w:p>
                  <w:pPr>
                    <w:widowControl/>
                    <w:kinsoku w:val="0"/>
                    <w:autoSpaceDE w:val="0"/>
                    <w:autoSpaceDN w:val="0"/>
                    <w:adjustRightInd w:val="0"/>
                    <w:snapToGrid w:val="0"/>
                    <w:spacing w:line="240" w:lineRule="auto"/>
                    <w:ind w:firstLine="0" w:firstLineChars="0"/>
                    <w:jc w:val="center"/>
                    <w:textAlignment w:val="baseline"/>
                    <w:rPr>
                      <w:color w:val="auto"/>
                      <w:sz w:val="21"/>
                      <w:szCs w:val="21"/>
                    </w:rPr>
                  </w:pPr>
                  <w:r>
                    <w:rPr>
                      <w:color w:val="auto"/>
                      <w:sz w:val="21"/>
                      <w:szCs w:val="21"/>
                    </w:rPr>
                    <w:t>0.12t/3a</w:t>
                  </w:r>
                </w:p>
              </w:tc>
              <w:tc>
                <w:tcPr>
                  <w:tcW w:w="2036" w:type="pct"/>
                  <w:vMerge w:val="continue"/>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6" w:hRule="atLeast"/>
                <w:jc w:val="center"/>
              </w:trPr>
              <w:tc>
                <w:tcPr>
                  <w:tcW w:w="479" w:type="pct"/>
                  <w:vAlign w:val="center"/>
                </w:tcPr>
                <w:p>
                  <w:pPr>
                    <w:widowControl/>
                    <w:kinsoku w:val="0"/>
                    <w:autoSpaceDE w:val="0"/>
                    <w:autoSpaceDN w:val="0"/>
                    <w:adjustRightInd w:val="0"/>
                    <w:snapToGrid w:val="0"/>
                    <w:spacing w:line="240" w:lineRule="auto"/>
                    <w:ind w:firstLine="0" w:firstLineChars="0"/>
                    <w:jc w:val="center"/>
                    <w:textAlignment w:val="baseline"/>
                    <w:rPr>
                      <w:color w:val="auto"/>
                      <w:sz w:val="21"/>
                      <w:szCs w:val="21"/>
                    </w:rPr>
                  </w:pPr>
                  <w:r>
                    <w:rPr>
                      <w:rFonts w:hint="eastAsia"/>
                      <w:color w:val="auto"/>
                      <w:sz w:val="21"/>
                      <w:szCs w:val="21"/>
                    </w:rPr>
                    <w:t>5</w:t>
                  </w:r>
                </w:p>
              </w:tc>
              <w:tc>
                <w:tcPr>
                  <w:tcW w:w="1085"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废超滤膜</w:t>
                  </w:r>
                </w:p>
              </w:tc>
              <w:tc>
                <w:tcPr>
                  <w:tcW w:w="775"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一般固废</w:t>
                  </w:r>
                </w:p>
              </w:tc>
              <w:tc>
                <w:tcPr>
                  <w:tcW w:w="622" w:type="pct"/>
                  <w:vAlign w:val="center"/>
                </w:tcPr>
                <w:p>
                  <w:pPr>
                    <w:widowControl/>
                    <w:kinsoku w:val="0"/>
                    <w:autoSpaceDE w:val="0"/>
                    <w:autoSpaceDN w:val="0"/>
                    <w:adjustRightInd w:val="0"/>
                    <w:snapToGrid w:val="0"/>
                    <w:spacing w:line="240" w:lineRule="auto"/>
                    <w:ind w:firstLine="0" w:firstLineChars="0"/>
                    <w:jc w:val="center"/>
                    <w:textAlignment w:val="baseline"/>
                    <w:rPr>
                      <w:color w:val="auto"/>
                      <w:sz w:val="21"/>
                      <w:szCs w:val="21"/>
                    </w:rPr>
                  </w:pPr>
                  <w:r>
                    <w:rPr>
                      <w:rFonts w:hint="eastAsia"/>
                      <w:color w:val="auto"/>
                      <w:sz w:val="21"/>
                      <w:szCs w:val="21"/>
                    </w:rPr>
                    <w:t>1.05t/3a</w:t>
                  </w:r>
                </w:p>
              </w:tc>
              <w:tc>
                <w:tcPr>
                  <w:tcW w:w="2036" w:type="pct"/>
                  <w:vMerge w:val="continue"/>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07" w:hRule="atLeast"/>
                <w:jc w:val="center"/>
              </w:trPr>
              <w:tc>
                <w:tcPr>
                  <w:tcW w:w="479" w:type="pct"/>
                  <w:vAlign w:val="center"/>
                </w:tcPr>
                <w:p>
                  <w:pPr>
                    <w:widowControl/>
                    <w:kinsoku w:val="0"/>
                    <w:autoSpaceDE w:val="0"/>
                    <w:autoSpaceDN w:val="0"/>
                    <w:adjustRightInd w:val="0"/>
                    <w:snapToGrid w:val="0"/>
                    <w:spacing w:line="240" w:lineRule="auto"/>
                    <w:ind w:firstLine="0" w:firstLineChars="0"/>
                    <w:jc w:val="center"/>
                    <w:textAlignment w:val="baseline"/>
                    <w:rPr>
                      <w:snapToGrid w:val="0"/>
                      <w:color w:val="auto"/>
                      <w:kern w:val="0"/>
                      <w:sz w:val="21"/>
                      <w:szCs w:val="21"/>
                    </w:rPr>
                  </w:pPr>
                  <w:r>
                    <w:rPr>
                      <w:rFonts w:hint="eastAsia"/>
                      <w:snapToGrid w:val="0"/>
                      <w:color w:val="auto"/>
                      <w:kern w:val="0"/>
                      <w:sz w:val="21"/>
                      <w:szCs w:val="21"/>
                    </w:rPr>
                    <w:t>6</w:t>
                  </w:r>
                </w:p>
              </w:tc>
              <w:tc>
                <w:tcPr>
                  <w:tcW w:w="1085"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lang w:eastAsia="zh-CN"/>
                    </w:rPr>
                  </w:pPr>
                  <w:r>
                    <w:rPr>
                      <w:rFonts w:hint="eastAsia" w:ascii="Times New Roman" w:hAnsi="Times New Roman" w:cs="Times New Roman"/>
                      <w:color w:val="auto"/>
                      <w:spacing w:val="-2"/>
                      <w:sz w:val="21"/>
                      <w:szCs w:val="21"/>
                      <w:lang w:eastAsia="zh-CN"/>
                    </w:rPr>
                    <w:t>废矿物油</w:t>
                  </w:r>
                </w:p>
              </w:tc>
              <w:tc>
                <w:tcPr>
                  <w:tcW w:w="775"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lang w:eastAsia="zh-CN"/>
                    </w:rPr>
                  </w:pPr>
                  <w:r>
                    <w:rPr>
                      <w:rFonts w:ascii="Times New Roman" w:hAnsi="Times New Roman" w:cs="Times New Roman"/>
                      <w:color w:val="auto"/>
                      <w:spacing w:val="-3"/>
                      <w:sz w:val="21"/>
                      <w:szCs w:val="21"/>
                      <w:lang w:eastAsia="zh-CN"/>
                    </w:rPr>
                    <w:t>危险废物</w:t>
                  </w:r>
                </w:p>
              </w:tc>
              <w:tc>
                <w:tcPr>
                  <w:tcW w:w="622" w:type="pct"/>
                  <w:vAlign w:val="center"/>
                </w:tcPr>
                <w:p>
                  <w:pPr>
                    <w:widowControl/>
                    <w:kinsoku w:val="0"/>
                    <w:autoSpaceDE w:val="0"/>
                    <w:autoSpaceDN w:val="0"/>
                    <w:adjustRightInd w:val="0"/>
                    <w:snapToGrid w:val="0"/>
                    <w:spacing w:line="240" w:lineRule="auto"/>
                    <w:ind w:firstLine="0" w:firstLineChars="0"/>
                    <w:jc w:val="center"/>
                    <w:textAlignment w:val="baseline"/>
                    <w:rPr>
                      <w:color w:val="auto"/>
                      <w:sz w:val="21"/>
                      <w:szCs w:val="21"/>
                    </w:rPr>
                  </w:pPr>
                  <w:r>
                    <w:rPr>
                      <w:rFonts w:hint="eastAsia"/>
                      <w:color w:val="auto"/>
                      <w:spacing w:val="-3"/>
                      <w:sz w:val="21"/>
                      <w:szCs w:val="21"/>
                    </w:rPr>
                    <w:t>0.36</w:t>
                  </w:r>
                </w:p>
              </w:tc>
              <w:tc>
                <w:tcPr>
                  <w:tcW w:w="2036" w:type="pct"/>
                  <w:vMerge w:val="restar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lang w:eastAsia="zh-CN"/>
                    </w:rPr>
                  </w:pPr>
                  <w:r>
                    <w:rPr>
                      <w:rFonts w:hint="eastAsia" w:ascii="Times New Roman" w:hAnsi="Times New Roman" w:cs="Times New Roman"/>
                      <w:color w:val="auto"/>
                      <w:spacing w:val="-2"/>
                      <w:sz w:val="21"/>
                      <w:szCs w:val="21"/>
                      <w:lang w:eastAsia="zh-CN"/>
                    </w:rPr>
                    <w:t>交由</w:t>
                  </w:r>
                  <w:r>
                    <w:rPr>
                      <w:rFonts w:ascii="Times New Roman" w:hAnsi="Times New Roman" w:cs="Times New Roman"/>
                      <w:color w:val="auto"/>
                      <w:spacing w:val="-2"/>
                      <w:sz w:val="21"/>
                      <w:szCs w:val="21"/>
                      <w:lang w:eastAsia="zh-CN"/>
                    </w:rPr>
                    <w:t>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6" w:hRule="atLeast"/>
                <w:jc w:val="center"/>
              </w:trPr>
              <w:tc>
                <w:tcPr>
                  <w:tcW w:w="479" w:type="pct"/>
                  <w:vAlign w:val="center"/>
                </w:tcPr>
                <w:p>
                  <w:pPr>
                    <w:widowControl/>
                    <w:kinsoku w:val="0"/>
                    <w:autoSpaceDE w:val="0"/>
                    <w:autoSpaceDN w:val="0"/>
                    <w:adjustRightInd w:val="0"/>
                    <w:snapToGrid w:val="0"/>
                    <w:spacing w:line="240" w:lineRule="auto"/>
                    <w:ind w:firstLine="0" w:firstLineChars="0"/>
                    <w:jc w:val="center"/>
                    <w:textAlignment w:val="baseline"/>
                    <w:rPr>
                      <w:snapToGrid w:val="0"/>
                      <w:color w:val="auto"/>
                      <w:kern w:val="0"/>
                      <w:sz w:val="21"/>
                      <w:szCs w:val="21"/>
                    </w:rPr>
                  </w:pPr>
                  <w:r>
                    <w:rPr>
                      <w:rFonts w:hint="eastAsia"/>
                      <w:color w:val="auto"/>
                      <w:sz w:val="21"/>
                      <w:szCs w:val="21"/>
                    </w:rPr>
                    <w:t>7</w:t>
                  </w:r>
                </w:p>
              </w:tc>
              <w:tc>
                <w:tcPr>
                  <w:tcW w:w="1085"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lang w:eastAsia="zh-CN"/>
                    </w:rPr>
                  </w:pPr>
                  <w:r>
                    <w:rPr>
                      <w:rFonts w:ascii="Times New Roman" w:hAnsi="Times New Roman" w:cs="Times New Roman"/>
                      <w:color w:val="auto"/>
                      <w:spacing w:val="-2"/>
                      <w:sz w:val="21"/>
                      <w:szCs w:val="21"/>
                      <w:lang w:eastAsia="zh-CN"/>
                    </w:rPr>
                    <w:t>废油桶</w:t>
                  </w:r>
                </w:p>
              </w:tc>
              <w:tc>
                <w:tcPr>
                  <w:tcW w:w="775"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z w:val="21"/>
                      <w:szCs w:val="21"/>
                      <w:lang w:eastAsia="zh-CN"/>
                    </w:rPr>
                  </w:pPr>
                  <w:r>
                    <w:rPr>
                      <w:rFonts w:ascii="Times New Roman" w:hAnsi="Times New Roman" w:cs="Times New Roman"/>
                      <w:color w:val="auto"/>
                      <w:spacing w:val="-3"/>
                      <w:sz w:val="21"/>
                      <w:szCs w:val="21"/>
                      <w:lang w:eastAsia="zh-CN"/>
                    </w:rPr>
                    <w:t>危险废物</w:t>
                  </w:r>
                </w:p>
              </w:tc>
              <w:tc>
                <w:tcPr>
                  <w:tcW w:w="622" w:type="pct"/>
                  <w:vAlign w:val="center"/>
                </w:tcPr>
                <w:p>
                  <w:pPr>
                    <w:widowControl/>
                    <w:kinsoku w:val="0"/>
                    <w:autoSpaceDE w:val="0"/>
                    <w:autoSpaceDN w:val="0"/>
                    <w:adjustRightInd w:val="0"/>
                    <w:snapToGrid w:val="0"/>
                    <w:spacing w:line="240" w:lineRule="auto"/>
                    <w:ind w:firstLine="0" w:firstLineChars="0"/>
                    <w:jc w:val="center"/>
                    <w:textAlignment w:val="baseline"/>
                    <w:rPr>
                      <w:color w:val="auto"/>
                      <w:sz w:val="21"/>
                      <w:szCs w:val="21"/>
                    </w:rPr>
                  </w:pPr>
                  <w:r>
                    <w:rPr>
                      <w:rFonts w:hint="eastAsia"/>
                      <w:color w:val="auto"/>
                      <w:spacing w:val="-2"/>
                      <w:sz w:val="21"/>
                      <w:szCs w:val="21"/>
                    </w:rPr>
                    <w:t>0.36</w:t>
                  </w:r>
                </w:p>
              </w:tc>
              <w:tc>
                <w:tcPr>
                  <w:tcW w:w="2036" w:type="pct"/>
                  <w:vMerge w:val="continue"/>
                  <w:vAlign w:val="center"/>
                </w:tcPr>
                <w:p>
                  <w:pPr>
                    <w:widowControl/>
                    <w:kinsoku w:val="0"/>
                    <w:autoSpaceDE w:val="0"/>
                    <w:autoSpaceDN w:val="0"/>
                    <w:adjustRightInd w:val="0"/>
                    <w:snapToGrid w:val="0"/>
                    <w:spacing w:line="240" w:lineRule="auto"/>
                    <w:ind w:firstLine="0" w:firstLineChars="0"/>
                    <w:jc w:val="center"/>
                    <w:textAlignment w:val="baseline"/>
                    <w:rPr>
                      <w:color w:val="auto"/>
                      <w:sz w:val="21"/>
                      <w:szCs w:val="21"/>
                    </w:rPr>
                  </w:pPr>
                </w:p>
              </w:tc>
            </w:tr>
          </w:tbl>
          <w:p>
            <w:pPr>
              <w:ind w:firstLine="480"/>
              <w:rPr>
                <w:color w:val="auto"/>
              </w:rPr>
            </w:pPr>
            <w:r>
              <w:rPr>
                <w:rFonts w:hint="eastAsia"/>
                <w:color w:val="auto"/>
              </w:rPr>
              <w:t>项目危险废物产生情况如下：</w:t>
            </w:r>
          </w:p>
          <w:p>
            <w:pPr>
              <w:ind w:firstLine="482"/>
              <w:jc w:val="center"/>
              <w:rPr>
                <w:b/>
                <w:bCs/>
                <w:color w:val="auto"/>
              </w:rPr>
            </w:pPr>
            <w:r>
              <w:rPr>
                <w:rFonts w:hint="eastAsia"/>
                <w:b/>
                <w:bCs/>
                <w:color w:val="auto"/>
              </w:rPr>
              <w:t>表4-12危险废物汇总情况表（单位：t/a）</w:t>
            </w:r>
          </w:p>
          <w:tbl>
            <w:tblPr>
              <w:tblStyle w:val="6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91"/>
              <w:gridCol w:w="843"/>
              <w:gridCol w:w="964"/>
              <w:gridCol w:w="843"/>
              <w:gridCol w:w="964"/>
              <w:gridCol w:w="844"/>
              <w:gridCol w:w="723"/>
              <w:gridCol w:w="15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7" w:hRule="atLeast"/>
              </w:trPr>
              <w:tc>
                <w:tcPr>
                  <w:tcW w:w="749"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pacing w:val="-3"/>
                      <w:sz w:val="21"/>
                      <w:szCs w:val="21"/>
                      <w:lang w:eastAsia="zh-CN"/>
                    </w:rPr>
                  </w:pPr>
                  <w:r>
                    <w:rPr>
                      <w:rFonts w:ascii="Times New Roman" w:hAnsi="Times New Roman" w:cs="Times New Roman"/>
                      <w:color w:val="auto"/>
                      <w:spacing w:val="-3"/>
                      <w:sz w:val="21"/>
                      <w:szCs w:val="21"/>
                      <w:lang w:eastAsia="zh-CN"/>
                    </w:rPr>
                    <w:t>危险废物名称</w:t>
                  </w:r>
                </w:p>
              </w:tc>
              <w:tc>
                <w:tcPr>
                  <w:tcW w:w="531"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pacing w:val="-3"/>
                      <w:sz w:val="21"/>
                      <w:szCs w:val="21"/>
                      <w:lang w:eastAsia="zh-CN"/>
                    </w:rPr>
                  </w:pPr>
                  <w:r>
                    <w:rPr>
                      <w:rFonts w:ascii="Times New Roman" w:hAnsi="Times New Roman" w:cs="Times New Roman"/>
                      <w:color w:val="auto"/>
                      <w:spacing w:val="-3"/>
                      <w:sz w:val="21"/>
                      <w:szCs w:val="21"/>
                      <w:lang w:eastAsia="zh-CN"/>
                    </w:rPr>
                    <w:t>危废种类</w:t>
                  </w:r>
                </w:p>
              </w:tc>
              <w:tc>
                <w:tcPr>
                  <w:tcW w:w="607"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pacing w:val="-3"/>
                      <w:sz w:val="21"/>
                      <w:szCs w:val="21"/>
                      <w:lang w:eastAsia="zh-CN"/>
                    </w:rPr>
                  </w:pPr>
                  <w:r>
                    <w:rPr>
                      <w:rFonts w:ascii="Times New Roman" w:hAnsi="Times New Roman" w:cs="Times New Roman"/>
                      <w:color w:val="auto"/>
                      <w:spacing w:val="-3"/>
                      <w:sz w:val="21"/>
                      <w:szCs w:val="21"/>
                      <w:lang w:eastAsia="zh-CN"/>
                    </w:rPr>
                    <w:t>危废代码</w:t>
                  </w:r>
                </w:p>
              </w:tc>
              <w:tc>
                <w:tcPr>
                  <w:tcW w:w="531"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pacing w:val="-3"/>
                      <w:sz w:val="21"/>
                      <w:szCs w:val="21"/>
                      <w:lang w:eastAsia="zh-CN"/>
                    </w:rPr>
                  </w:pPr>
                  <w:r>
                    <w:rPr>
                      <w:rFonts w:ascii="Times New Roman" w:hAnsi="Times New Roman" w:cs="Times New Roman"/>
                      <w:color w:val="auto"/>
                      <w:spacing w:val="-3"/>
                      <w:sz w:val="21"/>
                      <w:szCs w:val="21"/>
                      <w:lang w:eastAsia="zh-CN"/>
                    </w:rPr>
                    <w:t>产生量</w:t>
                  </w:r>
                </w:p>
              </w:tc>
              <w:tc>
                <w:tcPr>
                  <w:tcW w:w="607"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pacing w:val="-3"/>
                      <w:sz w:val="21"/>
                      <w:szCs w:val="21"/>
                      <w:lang w:eastAsia="zh-CN"/>
                    </w:rPr>
                  </w:pPr>
                  <w:r>
                    <w:rPr>
                      <w:rFonts w:ascii="Times New Roman" w:hAnsi="Times New Roman" w:cs="Times New Roman"/>
                      <w:color w:val="auto"/>
                      <w:spacing w:val="-3"/>
                      <w:sz w:val="21"/>
                      <w:szCs w:val="21"/>
                      <w:lang w:eastAsia="zh-CN"/>
                    </w:rPr>
                    <w:t>产生工序及装置</w:t>
                  </w:r>
                </w:p>
              </w:tc>
              <w:tc>
                <w:tcPr>
                  <w:tcW w:w="532"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pacing w:val="-3"/>
                      <w:sz w:val="21"/>
                      <w:szCs w:val="21"/>
                      <w:lang w:eastAsia="zh-CN"/>
                    </w:rPr>
                  </w:pPr>
                  <w:r>
                    <w:rPr>
                      <w:rFonts w:ascii="Times New Roman" w:hAnsi="Times New Roman" w:cs="Times New Roman"/>
                      <w:color w:val="auto"/>
                      <w:spacing w:val="-3"/>
                      <w:sz w:val="21"/>
                      <w:szCs w:val="21"/>
                      <w:lang w:eastAsia="zh-CN"/>
                    </w:rPr>
                    <w:t>形态及主要成分</w:t>
                  </w:r>
                </w:p>
              </w:tc>
              <w:tc>
                <w:tcPr>
                  <w:tcW w:w="456"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pacing w:val="-3"/>
                      <w:sz w:val="21"/>
                      <w:szCs w:val="21"/>
                      <w:lang w:eastAsia="zh-CN"/>
                    </w:rPr>
                  </w:pPr>
                  <w:r>
                    <w:rPr>
                      <w:rFonts w:ascii="Times New Roman" w:hAnsi="Times New Roman" w:cs="Times New Roman"/>
                      <w:color w:val="auto"/>
                      <w:spacing w:val="-3"/>
                      <w:sz w:val="21"/>
                      <w:szCs w:val="21"/>
                      <w:lang w:eastAsia="zh-CN"/>
                    </w:rPr>
                    <w:t>危险特性</w:t>
                  </w:r>
                </w:p>
              </w:tc>
              <w:tc>
                <w:tcPr>
                  <w:tcW w:w="983"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pacing w:val="-3"/>
                      <w:sz w:val="21"/>
                      <w:szCs w:val="21"/>
                      <w:lang w:eastAsia="zh-CN"/>
                    </w:rPr>
                  </w:pPr>
                  <w:r>
                    <w:rPr>
                      <w:rFonts w:ascii="Times New Roman" w:hAnsi="Times New Roman" w:cs="Times New Roman"/>
                      <w:color w:val="auto"/>
                      <w:spacing w:val="-3"/>
                      <w:sz w:val="21"/>
                      <w:szCs w:val="21"/>
                      <w:lang w:eastAsia="zh-CN"/>
                    </w:rPr>
                    <w:t>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6" w:hRule="atLeast"/>
              </w:trPr>
              <w:tc>
                <w:tcPr>
                  <w:tcW w:w="749"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pacing w:val="-3"/>
                      <w:sz w:val="21"/>
                      <w:szCs w:val="21"/>
                      <w:lang w:eastAsia="zh-CN"/>
                    </w:rPr>
                  </w:pPr>
                  <w:r>
                    <w:rPr>
                      <w:rFonts w:hint="eastAsia" w:ascii="Times New Roman" w:hAnsi="Times New Roman" w:cs="Times New Roman"/>
                      <w:color w:val="auto"/>
                      <w:spacing w:val="-2"/>
                      <w:sz w:val="21"/>
                      <w:szCs w:val="21"/>
                      <w:lang w:eastAsia="zh-CN"/>
                    </w:rPr>
                    <w:t>废矿物油</w:t>
                  </w:r>
                </w:p>
              </w:tc>
              <w:tc>
                <w:tcPr>
                  <w:tcW w:w="531"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pacing w:val="-3"/>
                      <w:sz w:val="21"/>
                      <w:szCs w:val="21"/>
                      <w:lang w:eastAsia="zh-CN"/>
                    </w:rPr>
                  </w:pPr>
                  <w:r>
                    <w:rPr>
                      <w:rFonts w:ascii="Times New Roman" w:hAnsi="Times New Roman" w:cs="Times New Roman"/>
                      <w:color w:val="auto"/>
                      <w:spacing w:val="-3"/>
                      <w:sz w:val="21"/>
                      <w:szCs w:val="21"/>
                      <w:lang w:eastAsia="zh-CN"/>
                    </w:rPr>
                    <w:t>HW08</w:t>
                  </w:r>
                </w:p>
              </w:tc>
              <w:tc>
                <w:tcPr>
                  <w:tcW w:w="607"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pacing w:val="-3"/>
                      <w:sz w:val="21"/>
                      <w:szCs w:val="21"/>
                      <w:lang w:eastAsia="zh-CN"/>
                    </w:rPr>
                  </w:pPr>
                  <w:r>
                    <w:rPr>
                      <w:rFonts w:ascii="Times New Roman" w:hAnsi="Times New Roman" w:cs="Times New Roman"/>
                      <w:color w:val="auto"/>
                      <w:spacing w:val="-3"/>
                      <w:sz w:val="21"/>
                      <w:szCs w:val="21"/>
                      <w:lang w:eastAsia="zh-CN"/>
                    </w:rPr>
                    <w:t>900-21</w:t>
                  </w:r>
                  <w:r>
                    <w:rPr>
                      <w:rFonts w:hint="eastAsia" w:ascii="Times New Roman" w:hAnsi="Times New Roman" w:cs="Times New Roman"/>
                      <w:color w:val="auto"/>
                      <w:spacing w:val="-3"/>
                      <w:sz w:val="21"/>
                      <w:szCs w:val="21"/>
                      <w:lang w:eastAsia="zh-CN"/>
                    </w:rPr>
                    <w:t>4</w:t>
                  </w:r>
                  <w:r>
                    <w:rPr>
                      <w:rFonts w:ascii="Times New Roman" w:hAnsi="Times New Roman" w:cs="Times New Roman"/>
                      <w:color w:val="auto"/>
                      <w:spacing w:val="-3"/>
                      <w:sz w:val="21"/>
                      <w:szCs w:val="21"/>
                      <w:lang w:eastAsia="zh-CN"/>
                    </w:rPr>
                    <w:t>-08</w:t>
                  </w:r>
                </w:p>
              </w:tc>
              <w:tc>
                <w:tcPr>
                  <w:tcW w:w="531" w:type="pct"/>
                  <w:vAlign w:val="center"/>
                </w:tcPr>
                <w:p>
                  <w:pPr>
                    <w:widowControl/>
                    <w:kinsoku w:val="0"/>
                    <w:autoSpaceDE w:val="0"/>
                    <w:autoSpaceDN w:val="0"/>
                    <w:adjustRightInd w:val="0"/>
                    <w:snapToGrid w:val="0"/>
                    <w:spacing w:line="240" w:lineRule="auto"/>
                    <w:ind w:firstLine="0" w:firstLineChars="0"/>
                    <w:jc w:val="center"/>
                    <w:textAlignment w:val="baseline"/>
                    <w:rPr>
                      <w:color w:val="auto"/>
                      <w:spacing w:val="-3"/>
                      <w:sz w:val="21"/>
                      <w:szCs w:val="21"/>
                    </w:rPr>
                  </w:pPr>
                  <w:r>
                    <w:rPr>
                      <w:rFonts w:hint="eastAsia"/>
                      <w:color w:val="auto"/>
                      <w:spacing w:val="-3"/>
                      <w:sz w:val="21"/>
                      <w:szCs w:val="21"/>
                    </w:rPr>
                    <w:t>0.36</w:t>
                  </w:r>
                </w:p>
              </w:tc>
              <w:tc>
                <w:tcPr>
                  <w:tcW w:w="607"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pacing w:val="-3"/>
                      <w:sz w:val="21"/>
                      <w:szCs w:val="21"/>
                      <w:lang w:eastAsia="zh-CN"/>
                    </w:rPr>
                  </w:pPr>
                  <w:r>
                    <w:rPr>
                      <w:rFonts w:ascii="Times New Roman" w:hAnsi="Times New Roman" w:cs="Times New Roman"/>
                      <w:color w:val="auto"/>
                      <w:spacing w:val="-3"/>
                      <w:sz w:val="21"/>
                      <w:szCs w:val="21"/>
                      <w:lang w:eastAsia="zh-CN"/>
                    </w:rPr>
                    <w:t>设备维保</w:t>
                  </w:r>
                </w:p>
              </w:tc>
              <w:tc>
                <w:tcPr>
                  <w:tcW w:w="532"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pacing w:val="-3"/>
                      <w:sz w:val="21"/>
                      <w:szCs w:val="21"/>
                      <w:lang w:eastAsia="zh-CN"/>
                    </w:rPr>
                  </w:pPr>
                  <w:r>
                    <w:rPr>
                      <w:rFonts w:ascii="Times New Roman" w:hAnsi="Times New Roman" w:cs="Times New Roman"/>
                      <w:color w:val="auto"/>
                      <w:spacing w:val="-3"/>
                      <w:sz w:val="21"/>
                      <w:szCs w:val="21"/>
                      <w:lang w:eastAsia="zh-CN"/>
                    </w:rPr>
                    <w:t>液态</w:t>
                  </w:r>
                </w:p>
              </w:tc>
              <w:tc>
                <w:tcPr>
                  <w:tcW w:w="456"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pacing w:val="-3"/>
                      <w:sz w:val="21"/>
                      <w:szCs w:val="21"/>
                      <w:lang w:eastAsia="zh-CN"/>
                    </w:rPr>
                  </w:pPr>
                  <w:r>
                    <w:rPr>
                      <w:rFonts w:ascii="Times New Roman" w:hAnsi="Times New Roman" w:cs="Times New Roman"/>
                      <w:color w:val="auto"/>
                      <w:spacing w:val="-3"/>
                      <w:sz w:val="21"/>
                      <w:szCs w:val="21"/>
                      <w:lang w:eastAsia="zh-CN"/>
                    </w:rPr>
                    <w:t>T，I</w:t>
                  </w:r>
                </w:p>
              </w:tc>
              <w:tc>
                <w:tcPr>
                  <w:tcW w:w="983" w:type="pct"/>
                  <w:vMerge w:val="restart"/>
                  <w:vAlign w:val="center"/>
                </w:tcPr>
                <w:p>
                  <w:pPr>
                    <w:ind w:firstLine="420"/>
                    <w:jc w:val="center"/>
                    <w:rPr>
                      <w:rFonts w:ascii="Arial"/>
                      <w:color w:val="auto"/>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749"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pacing w:val="-3"/>
                      <w:sz w:val="21"/>
                      <w:szCs w:val="21"/>
                      <w:lang w:eastAsia="zh-CN"/>
                    </w:rPr>
                  </w:pPr>
                  <w:r>
                    <w:rPr>
                      <w:rFonts w:ascii="Times New Roman" w:hAnsi="Times New Roman" w:cs="Times New Roman"/>
                      <w:color w:val="auto"/>
                      <w:spacing w:val="-3"/>
                      <w:sz w:val="21"/>
                      <w:szCs w:val="21"/>
                      <w:lang w:eastAsia="zh-CN"/>
                    </w:rPr>
                    <w:t>废油桶</w:t>
                  </w:r>
                </w:p>
              </w:tc>
              <w:tc>
                <w:tcPr>
                  <w:tcW w:w="531"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pacing w:val="-3"/>
                      <w:sz w:val="21"/>
                      <w:szCs w:val="21"/>
                      <w:lang w:eastAsia="zh-CN"/>
                    </w:rPr>
                  </w:pPr>
                  <w:r>
                    <w:rPr>
                      <w:rFonts w:ascii="Times New Roman" w:hAnsi="Times New Roman" w:cs="Times New Roman"/>
                      <w:color w:val="auto"/>
                      <w:spacing w:val="-3"/>
                      <w:sz w:val="21"/>
                      <w:szCs w:val="21"/>
                      <w:lang w:eastAsia="zh-CN"/>
                    </w:rPr>
                    <w:t>HW08</w:t>
                  </w:r>
                </w:p>
              </w:tc>
              <w:tc>
                <w:tcPr>
                  <w:tcW w:w="607"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pacing w:val="-3"/>
                      <w:sz w:val="21"/>
                      <w:szCs w:val="21"/>
                      <w:lang w:eastAsia="zh-CN"/>
                    </w:rPr>
                  </w:pPr>
                  <w:r>
                    <w:rPr>
                      <w:rFonts w:ascii="Times New Roman" w:hAnsi="Times New Roman" w:cs="Times New Roman"/>
                      <w:color w:val="auto"/>
                      <w:spacing w:val="-3"/>
                      <w:sz w:val="21"/>
                      <w:szCs w:val="21"/>
                      <w:lang w:eastAsia="zh-CN"/>
                    </w:rPr>
                    <w:t>900-249-08</w:t>
                  </w:r>
                </w:p>
              </w:tc>
              <w:tc>
                <w:tcPr>
                  <w:tcW w:w="531" w:type="pct"/>
                  <w:vAlign w:val="center"/>
                </w:tcPr>
                <w:p>
                  <w:pPr>
                    <w:widowControl/>
                    <w:kinsoku w:val="0"/>
                    <w:autoSpaceDE w:val="0"/>
                    <w:autoSpaceDN w:val="0"/>
                    <w:adjustRightInd w:val="0"/>
                    <w:snapToGrid w:val="0"/>
                    <w:spacing w:line="240" w:lineRule="auto"/>
                    <w:ind w:firstLine="0" w:firstLineChars="0"/>
                    <w:jc w:val="center"/>
                    <w:textAlignment w:val="baseline"/>
                    <w:rPr>
                      <w:color w:val="auto"/>
                      <w:spacing w:val="-3"/>
                      <w:sz w:val="21"/>
                      <w:szCs w:val="21"/>
                    </w:rPr>
                  </w:pPr>
                  <w:r>
                    <w:rPr>
                      <w:rFonts w:hint="eastAsia"/>
                      <w:color w:val="auto"/>
                      <w:spacing w:val="-2"/>
                      <w:sz w:val="21"/>
                      <w:szCs w:val="21"/>
                    </w:rPr>
                    <w:t>0.36</w:t>
                  </w:r>
                </w:p>
              </w:tc>
              <w:tc>
                <w:tcPr>
                  <w:tcW w:w="607"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pacing w:val="-3"/>
                      <w:sz w:val="21"/>
                      <w:szCs w:val="21"/>
                      <w:lang w:eastAsia="zh-CN"/>
                    </w:rPr>
                  </w:pPr>
                  <w:r>
                    <w:rPr>
                      <w:rFonts w:ascii="Times New Roman" w:hAnsi="Times New Roman" w:cs="Times New Roman"/>
                      <w:color w:val="auto"/>
                      <w:spacing w:val="-3"/>
                      <w:sz w:val="21"/>
                      <w:szCs w:val="21"/>
                      <w:lang w:eastAsia="zh-CN"/>
                    </w:rPr>
                    <w:t>设备维保</w:t>
                  </w:r>
                </w:p>
              </w:tc>
              <w:tc>
                <w:tcPr>
                  <w:tcW w:w="532"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pacing w:val="-3"/>
                      <w:sz w:val="21"/>
                      <w:szCs w:val="21"/>
                      <w:lang w:eastAsia="zh-CN"/>
                    </w:rPr>
                  </w:pPr>
                  <w:r>
                    <w:rPr>
                      <w:rFonts w:ascii="Times New Roman" w:hAnsi="Times New Roman" w:cs="Times New Roman"/>
                      <w:color w:val="auto"/>
                      <w:spacing w:val="-3"/>
                      <w:sz w:val="21"/>
                      <w:szCs w:val="21"/>
                      <w:lang w:eastAsia="zh-CN"/>
                    </w:rPr>
                    <w:t>固态</w:t>
                  </w:r>
                </w:p>
              </w:tc>
              <w:tc>
                <w:tcPr>
                  <w:tcW w:w="456"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rFonts w:ascii="Times New Roman" w:hAnsi="Times New Roman" w:cs="Times New Roman"/>
                      <w:color w:val="auto"/>
                      <w:spacing w:val="-3"/>
                      <w:sz w:val="21"/>
                      <w:szCs w:val="21"/>
                      <w:lang w:eastAsia="zh-CN"/>
                    </w:rPr>
                  </w:pPr>
                  <w:r>
                    <w:rPr>
                      <w:rFonts w:hint="eastAsia"/>
                      <w:color w:val="auto"/>
                      <w:lang w:eastAsia="zh-CN"/>
                    </w:rPr>
                    <w:t>T，I</w:t>
                  </w:r>
                </w:p>
              </w:tc>
              <w:tc>
                <w:tcPr>
                  <w:tcW w:w="983" w:type="pct"/>
                  <w:vMerge w:val="continue"/>
                  <w:vAlign w:val="center"/>
                </w:tcPr>
                <w:p>
                  <w:pPr>
                    <w:ind w:firstLine="420"/>
                    <w:jc w:val="center"/>
                    <w:rPr>
                      <w:rFonts w:ascii="Arial"/>
                      <w:color w:val="auto"/>
                      <w:sz w:val="21"/>
                    </w:rPr>
                  </w:pPr>
                </w:p>
              </w:tc>
            </w:tr>
          </w:tbl>
          <w:p>
            <w:pPr>
              <w:ind w:firstLine="480"/>
              <w:rPr>
                <w:color w:val="auto"/>
              </w:rPr>
            </w:pPr>
            <w:r>
              <w:rPr>
                <w:rFonts w:hint="eastAsia"/>
                <w:color w:val="auto"/>
              </w:rPr>
              <w:t>本项目危险废物暂存场所基本情况如下表所示：</w:t>
            </w:r>
          </w:p>
          <w:p>
            <w:pPr>
              <w:ind w:firstLine="0" w:firstLineChars="0"/>
              <w:jc w:val="center"/>
              <w:rPr>
                <w:b/>
                <w:bCs/>
                <w:color w:val="auto"/>
              </w:rPr>
            </w:pPr>
            <w:r>
              <w:rPr>
                <w:rFonts w:hint="eastAsia"/>
                <w:b/>
                <w:bCs/>
                <w:color w:val="auto"/>
              </w:rPr>
              <w:t>表4-13危险废物暂存场所基本情况表</w:t>
            </w:r>
          </w:p>
          <w:tbl>
            <w:tblPr>
              <w:tblStyle w:val="6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52"/>
              <w:gridCol w:w="1469"/>
              <w:gridCol w:w="1275"/>
              <w:gridCol w:w="1469"/>
              <w:gridCol w:w="856"/>
              <w:gridCol w:w="611"/>
              <w:gridCol w:w="546"/>
              <w:gridCol w:w="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atLeast"/>
                <w:jc w:val="center"/>
              </w:trPr>
              <w:tc>
                <w:tcPr>
                  <w:tcW w:w="537" w:type="pct"/>
                  <w:vAlign w:val="center"/>
                </w:tcPr>
                <w:p>
                  <w:pPr>
                    <w:spacing w:line="240" w:lineRule="auto"/>
                    <w:ind w:firstLine="0" w:firstLineChars="0"/>
                    <w:jc w:val="center"/>
                    <w:rPr>
                      <w:color w:val="auto"/>
                      <w:sz w:val="21"/>
                      <w:szCs w:val="21"/>
                    </w:rPr>
                  </w:pPr>
                  <w:r>
                    <w:rPr>
                      <w:rFonts w:hint="eastAsia"/>
                      <w:color w:val="auto"/>
                      <w:sz w:val="21"/>
                      <w:szCs w:val="21"/>
                    </w:rPr>
                    <w:t>暂存场所名称</w:t>
                  </w:r>
                </w:p>
              </w:tc>
              <w:tc>
                <w:tcPr>
                  <w:tcW w:w="925" w:type="pct"/>
                  <w:vAlign w:val="center"/>
                </w:tcPr>
                <w:p>
                  <w:pPr>
                    <w:spacing w:line="240" w:lineRule="auto"/>
                    <w:ind w:firstLine="0" w:firstLineChars="0"/>
                    <w:jc w:val="center"/>
                    <w:rPr>
                      <w:color w:val="auto"/>
                      <w:sz w:val="21"/>
                      <w:szCs w:val="21"/>
                    </w:rPr>
                  </w:pPr>
                  <w:r>
                    <w:rPr>
                      <w:rFonts w:hint="eastAsia"/>
                      <w:color w:val="auto"/>
                      <w:sz w:val="21"/>
                      <w:szCs w:val="21"/>
                    </w:rPr>
                    <w:t>危险废物名称</w:t>
                  </w:r>
                </w:p>
              </w:tc>
              <w:tc>
                <w:tcPr>
                  <w:tcW w:w="803" w:type="pct"/>
                  <w:vAlign w:val="center"/>
                </w:tcPr>
                <w:p>
                  <w:pPr>
                    <w:spacing w:line="240" w:lineRule="auto"/>
                    <w:ind w:firstLine="0" w:firstLineChars="0"/>
                    <w:jc w:val="center"/>
                    <w:rPr>
                      <w:color w:val="auto"/>
                      <w:sz w:val="21"/>
                      <w:szCs w:val="21"/>
                    </w:rPr>
                  </w:pPr>
                  <w:r>
                    <w:rPr>
                      <w:rFonts w:hint="eastAsia"/>
                      <w:color w:val="auto"/>
                      <w:sz w:val="21"/>
                      <w:szCs w:val="21"/>
                    </w:rPr>
                    <w:t>危险废物类别</w:t>
                  </w:r>
                </w:p>
              </w:tc>
              <w:tc>
                <w:tcPr>
                  <w:tcW w:w="925" w:type="pct"/>
                  <w:vAlign w:val="center"/>
                </w:tcPr>
                <w:p>
                  <w:pPr>
                    <w:spacing w:line="240" w:lineRule="auto"/>
                    <w:ind w:firstLine="0" w:firstLineChars="0"/>
                    <w:jc w:val="center"/>
                    <w:rPr>
                      <w:color w:val="auto"/>
                      <w:sz w:val="21"/>
                      <w:szCs w:val="21"/>
                    </w:rPr>
                  </w:pPr>
                  <w:r>
                    <w:rPr>
                      <w:rFonts w:hint="eastAsia"/>
                      <w:color w:val="auto"/>
                      <w:sz w:val="21"/>
                      <w:szCs w:val="21"/>
                    </w:rPr>
                    <w:t>危险废物代码</w:t>
                  </w:r>
                </w:p>
              </w:tc>
              <w:tc>
                <w:tcPr>
                  <w:tcW w:w="540" w:type="pct"/>
                  <w:vAlign w:val="center"/>
                </w:tcPr>
                <w:p>
                  <w:pPr>
                    <w:spacing w:line="240" w:lineRule="auto"/>
                    <w:ind w:firstLine="0" w:firstLineChars="0"/>
                    <w:jc w:val="center"/>
                    <w:rPr>
                      <w:color w:val="auto"/>
                      <w:sz w:val="21"/>
                      <w:szCs w:val="21"/>
                    </w:rPr>
                  </w:pPr>
                  <w:r>
                    <w:rPr>
                      <w:rFonts w:hint="eastAsia"/>
                      <w:color w:val="auto"/>
                      <w:sz w:val="21"/>
                      <w:szCs w:val="21"/>
                    </w:rPr>
                    <w:t>位置</w:t>
                  </w:r>
                </w:p>
              </w:tc>
              <w:tc>
                <w:tcPr>
                  <w:tcW w:w="385" w:type="pct"/>
                  <w:vAlign w:val="center"/>
                </w:tcPr>
                <w:p>
                  <w:pPr>
                    <w:spacing w:line="240" w:lineRule="auto"/>
                    <w:ind w:firstLine="0" w:firstLineChars="0"/>
                    <w:jc w:val="center"/>
                    <w:rPr>
                      <w:color w:val="auto"/>
                      <w:sz w:val="21"/>
                      <w:szCs w:val="21"/>
                    </w:rPr>
                  </w:pPr>
                  <w:r>
                    <w:rPr>
                      <w:rFonts w:hint="eastAsia"/>
                      <w:color w:val="auto"/>
                      <w:sz w:val="21"/>
                      <w:szCs w:val="21"/>
                    </w:rPr>
                    <w:t>占地面积</w:t>
                  </w:r>
                </w:p>
              </w:tc>
              <w:tc>
                <w:tcPr>
                  <w:tcW w:w="344" w:type="pct"/>
                  <w:vAlign w:val="center"/>
                </w:tcPr>
                <w:p>
                  <w:pPr>
                    <w:spacing w:line="240" w:lineRule="auto"/>
                    <w:ind w:firstLine="0" w:firstLineChars="0"/>
                    <w:jc w:val="center"/>
                    <w:rPr>
                      <w:color w:val="auto"/>
                      <w:sz w:val="21"/>
                      <w:szCs w:val="21"/>
                    </w:rPr>
                  </w:pPr>
                  <w:r>
                    <w:rPr>
                      <w:rFonts w:hint="eastAsia"/>
                      <w:color w:val="auto"/>
                      <w:sz w:val="21"/>
                      <w:szCs w:val="21"/>
                    </w:rPr>
                    <w:t>暂存方式</w:t>
                  </w:r>
                </w:p>
              </w:tc>
              <w:tc>
                <w:tcPr>
                  <w:tcW w:w="537" w:type="pct"/>
                  <w:vAlign w:val="center"/>
                </w:tcPr>
                <w:p>
                  <w:pPr>
                    <w:spacing w:line="240" w:lineRule="auto"/>
                    <w:ind w:firstLine="0" w:firstLineChars="0"/>
                    <w:jc w:val="center"/>
                    <w:rPr>
                      <w:color w:val="auto"/>
                      <w:sz w:val="21"/>
                      <w:szCs w:val="21"/>
                    </w:rPr>
                  </w:pPr>
                  <w:r>
                    <w:rPr>
                      <w:rFonts w:hint="eastAsia"/>
                      <w:color w:val="auto"/>
                      <w:sz w:val="21"/>
                      <w:szCs w:val="21"/>
                    </w:rPr>
                    <w:t>暂存周期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8" w:hRule="atLeast"/>
                <w:jc w:val="center"/>
              </w:trPr>
              <w:tc>
                <w:tcPr>
                  <w:tcW w:w="537" w:type="pct"/>
                  <w:vMerge w:val="restart"/>
                  <w:vAlign w:val="center"/>
                </w:tcPr>
                <w:p>
                  <w:pPr>
                    <w:spacing w:line="240" w:lineRule="auto"/>
                    <w:ind w:firstLine="0" w:firstLineChars="0"/>
                    <w:jc w:val="center"/>
                    <w:rPr>
                      <w:color w:val="auto"/>
                      <w:sz w:val="21"/>
                      <w:szCs w:val="21"/>
                    </w:rPr>
                  </w:pPr>
                  <w:r>
                    <w:rPr>
                      <w:rFonts w:hint="eastAsia"/>
                      <w:color w:val="auto"/>
                      <w:sz w:val="21"/>
                      <w:szCs w:val="21"/>
                    </w:rPr>
                    <w:t>危废库</w:t>
                  </w:r>
                </w:p>
              </w:tc>
              <w:tc>
                <w:tcPr>
                  <w:tcW w:w="925" w:type="pct"/>
                  <w:vAlign w:val="center"/>
                </w:tcPr>
                <w:p>
                  <w:pPr>
                    <w:spacing w:line="240" w:lineRule="auto"/>
                    <w:ind w:firstLine="0" w:firstLineChars="0"/>
                    <w:jc w:val="center"/>
                    <w:rPr>
                      <w:color w:val="auto"/>
                      <w:sz w:val="21"/>
                      <w:szCs w:val="21"/>
                    </w:rPr>
                  </w:pPr>
                  <w:r>
                    <w:rPr>
                      <w:rFonts w:hint="eastAsia"/>
                      <w:color w:val="auto"/>
                      <w:sz w:val="21"/>
                      <w:szCs w:val="21"/>
                    </w:rPr>
                    <w:t>废润滑油</w:t>
                  </w:r>
                </w:p>
              </w:tc>
              <w:tc>
                <w:tcPr>
                  <w:tcW w:w="803"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color w:val="auto"/>
                      <w:sz w:val="21"/>
                      <w:szCs w:val="21"/>
                      <w:lang w:eastAsia="zh-CN"/>
                    </w:rPr>
                  </w:pPr>
                  <w:r>
                    <w:rPr>
                      <w:rFonts w:ascii="Times New Roman" w:hAnsi="Times New Roman" w:cs="Times New Roman"/>
                      <w:color w:val="auto"/>
                      <w:spacing w:val="-3"/>
                      <w:sz w:val="21"/>
                      <w:szCs w:val="21"/>
                      <w:lang w:eastAsia="zh-CN"/>
                    </w:rPr>
                    <w:t>HW08</w:t>
                  </w:r>
                </w:p>
              </w:tc>
              <w:tc>
                <w:tcPr>
                  <w:tcW w:w="925"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color w:val="auto"/>
                      <w:sz w:val="21"/>
                      <w:szCs w:val="21"/>
                      <w:lang w:eastAsia="zh-CN"/>
                    </w:rPr>
                  </w:pPr>
                  <w:r>
                    <w:rPr>
                      <w:rFonts w:ascii="Times New Roman" w:hAnsi="Times New Roman" w:cs="Times New Roman"/>
                      <w:color w:val="auto"/>
                      <w:spacing w:val="-3"/>
                      <w:sz w:val="21"/>
                      <w:szCs w:val="21"/>
                      <w:lang w:eastAsia="zh-CN"/>
                    </w:rPr>
                    <w:t>900-21</w:t>
                  </w:r>
                  <w:r>
                    <w:rPr>
                      <w:rFonts w:hint="eastAsia" w:ascii="Times New Roman" w:hAnsi="Times New Roman" w:cs="Times New Roman"/>
                      <w:color w:val="auto"/>
                      <w:spacing w:val="-3"/>
                      <w:sz w:val="21"/>
                      <w:szCs w:val="21"/>
                      <w:lang w:eastAsia="zh-CN"/>
                    </w:rPr>
                    <w:t>4</w:t>
                  </w:r>
                  <w:r>
                    <w:rPr>
                      <w:rFonts w:ascii="Times New Roman" w:hAnsi="Times New Roman" w:cs="Times New Roman"/>
                      <w:color w:val="auto"/>
                      <w:spacing w:val="-3"/>
                      <w:sz w:val="21"/>
                      <w:szCs w:val="21"/>
                      <w:lang w:eastAsia="zh-CN"/>
                    </w:rPr>
                    <w:t>-08</w:t>
                  </w:r>
                </w:p>
              </w:tc>
              <w:tc>
                <w:tcPr>
                  <w:tcW w:w="540" w:type="pct"/>
                  <w:vAlign w:val="center"/>
                </w:tcPr>
                <w:p>
                  <w:pPr>
                    <w:spacing w:line="240" w:lineRule="auto"/>
                    <w:ind w:firstLine="0" w:firstLineChars="0"/>
                    <w:jc w:val="center"/>
                    <w:rPr>
                      <w:color w:val="auto"/>
                      <w:sz w:val="21"/>
                      <w:szCs w:val="21"/>
                    </w:rPr>
                  </w:pPr>
                  <w:r>
                    <w:rPr>
                      <w:rFonts w:hint="eastAsia"/>
                      <w:color w:val="auto"/>
                      <w:sz w:val="21"/>
                      <w:szCs w:val="21"/>
                    </w:rPr>
                    <w:t>分区一</w:t>
                  </w:r>
                </w:p>
              </w:tc>
              <w:tc>
                <w:tcPr>
                  <w:tcW w:w="385" w:type="pct"/>
                  <w:vMerge w:val="restart"/>
                  <w:vAlign w:val="center"/>
                </w:tcPr>
                <w:p>
                  <w:pPr>
                    <w:spacing w:line="240" w:lineRule="auto"/>
                    <w:ind w:firstLine="0" w:firstLineChars="0"/>
                    <w:jc w:val="center"/>
                    <w:rPr>
                      <w:color w:val="auto"/>
                      <w:sz w:val="21"/>
                      <w:szCs w:val="21"/>
                    </w:rPr>
                  </w:pPr>
                  <w:r>
                    <w:rPr>
                      <w:rFonts w:hint="eastAsia"/>
                      <w:color w:val="auto"/>
                      <w:sz w:val="21"/>
                      <w:szCs w:val="21"/>
                    </w:rPr>
                    <w:t>6㎡</w:t>
                  </w:r>
                </w:p>
              </w:tc>
              <w:tc>
                <w:tcPr>
                  <w:tcW w:w="344" w:type="pct"/>
                  <w:vAlign w:val="center"/>
                </w:tcPr>
                <w:p>
                  <w:pPr>
                    <w:spacing w:line="240" w:lineRule="auto"/>
                    <w:ind w:firstLine="0" w:firstLineChars="0"/>
                    <w:jc w:val="center"/>
                    <w:rPr>
                      <w:color w:val="auto"/>
                      <w:sz w:val="21"/>
                      <w:szCs w:val="21"/>
                    </w:rPr>
                  </w:pPr>
                  <w:r>
                    <w:rPr>
                      <w:rFonts w:hint="eastAsia"/>
                      <w:color w:val="auto"/>
                      <w:sz w:val="21"/>
                      <w:szCs w:val="21"/>
                    </w:rPr>
                    <w:t>密封</w:t>
                  </w:r>
                </w:p>
              </w:tc>
              <w:tc>
                <w:tcPr>
                  <w:tcW w:w="537" w:type="pct"/>
                  <w:vMerge w:val="restart"/>
                  <w:vAlign w:val="center"/>
                </w:tcPr>
                <w:p>
                  <w:pPr>
                    <w:spacing w:line="240" w:lineRule="auto"/>
                    <w:ind w:firstLine="0" w:firstLineChars="0"/>
                    <w:jc w:val="center"/>
                    <w:rPr>
                      <w:color w:val="auto"/>
                      <w:sz w:val="21"/>
                      <w:szCs w:val="21"/>
                    </w:rPr>
                  </w:pPr>
                  <w:r>
                    <w:rPr>
                      <w:rFonts w:hint="eastAsia"/>
                      <w:color w:val="auto"/>
                      <w:sz w:val="21"/>
                      <w:szCs w:val="21"/>
                    </w:rPr>
                    <w:t>一年以内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537" w:type="pct"/>
                  <w:vMerge w:val="continue"/>
                  <w:vAlign w:val="center"/>
                </w:tcPr>
                <w:p>
                  <w:pPr>
                    <w:spacing w:line="240" w:lineRule="auto"/>
                    <w:ind w:firstLine="0" w:firstLineChars="0"/>
                    <w:jc w:val="center"/>
                    <w:rPr>
                      <w:color w:val="auto"/>
                      <w:sz w:val="21"/>
                      <w:szCs w:val="21"/>
                    </w:rPr>
                  </w:pPr>
                </w:p>
              </w:tc>
              <w:tc>
                <w:tcPr>
                  <w:tcW w:w="925" w:type="pct"/>
                  <w:vAlign w:val="center"/>
                </w:tcPr>
                <w:p>
                  <w:pPr>
                    <w:spacing w:line="240" w:lineRule="auto"/>
                    <w:ind w:firstLine="0" w:firstLineChars="0"/>
                    <w:jc w:val="center"/>
                    <w:rPr>
                      <w:color w:val="auto"/>
                      <w:sz w:val="21"/>
                      <w:szCs w:val="21"/>
                    </w:rPr>
                  </w:pPr>
                  <w:r>
                    <w:rPr>
                      <w:rFonts w:hint="eastAsia"/>
                      <w:color w:val="auto"/>
                      <w:sz w:val="21"/>
                      <w:szCs w:val="21"/>
                    </w:rPr>
                    <w:t>废油桶</w:t>
                  </w:r>
                </w:p>
              </w:tc>
              <w:tc>
                <w:tcPr>
                  <w:tcW w:w="803"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color w:val="auto"/>
                      <w:sz w:val="21"/>
                      <w:szCs w:val="21"/>
                      <w:lang w:eastAsia="zh-CN"/>
                    </w:rPr>
                  </w:pPr>
                  <w:r>
                    <w:rPr>
                      <w:rFonts w:ascii="Times New Roman" w:hAnsi="Times New Roman" w:cs="Times New Roman"/>
                      <w:color w:val="auto"/>
                      <w:spacing w:val="-3"/>
                      <w:sz w:val="21"/>
                      <w:szCs w:val="21"/>
                      <w:lang w:eastAsia="zh-CN"/>
                    </w:rPr>
                    <w:t>HW08</w:t>
                  </w:r>
                </w:p>
              </w:tc>
              <w:tc>
                <w:tcPr>
                  <w:tcW w:w="925" w:type="pct"/>
                  <w:vAlign w:val="center"/>
                </w:tcPr>
                <w:p>
                  <w:pPr>
                    <w:pStyle w:val="73"/>
                    <w:widowControl/>
                    <w:kinsoku w:val="0"/>
                    <w:autoSpaceDE w:val="0"/>
                    <w:autoSpaceDN w:val="0"/>
                    <w:adjustRightInd w:val="0"/>
                    <w:snapToGrid w:val="0"/>
                    <w:spacing w:line="240" w:lineRule="auto"/>
                    <w:ind w:firstLine="0" w:firstLineChars="0"/>
                    <w:jc w:val="center"/>
                    <w:textAlignment w:val="baseline"/>
                    <w:rPr>
                      <w:color w:val="auto"/>
                      <w:sz w:val="21"/>
                      <w:szCs w:val="21"/>
                      <w:lang w:eastAsia="zh-CN"/>
                    </w:rPr>
                  </w:pPr>
                  <w:r>
                    <w:rPr>
                      <w:rFonts w:ascii="Times New Roman" w:hAnsi="Times New Roman" w:cs="Times New Roman"/>
                      <w:color w:val="auto"/>
                      <w:spacing w:val="-3"/>
                      <w:sz w:val="21"/>
                      <w:szCs w:val="21"/>
                      <w:lang w:eastAsia="zh-CN"/>
                    </w:rPr>
                    <w:t>900-249-08</w:t>
                  </w:r>
                </w:p>
              </w:tc>
              <w:tc>
                <w:tcPr>
                  <w:tcW w:w="540" w:type="pct"/>
                  <w:vAlign w:val="center"/>
                </w:tcPr>
                <w:p>
                  <w:pPr>
                    <w:spacing w:line="240" w:lineRule="auto"/>
                    <w:ind w:firstLine="0" w:firstLineChars="0"/>
                    <w:jc w:val="center"/>
                    <w:rPr>
                      <w:color w:val="auto"/>
                      <w:sz w:val="21"/>
                      <w:szCs w:val="21"/>
                    </w:rPr>
                  </w:pPr>
                  <w:r>
                    <w:rPr>
                      <w:rFonts w:hint="eastAsia"/>
                      <w:color w:val="auto"/>
                      <w:sz w:val="21"/>
                      <w:szCs w:val="21"/>
                    </w:rPr>
                    <w:t>分区二</w:t>
                  </w:r>
                </w:p>
              </w:tc>
              <w:tc>
                <w:tcPr>
                  <w:tcW w:w="385" w:type="pct"/>
                  <w:vMerge w:val="continue"/>
                  <w:vAlign w:val="center"/>
                </w:tcPr>
                <w:p>
                  <w:pPr>
                    <w:spacing w:line="240" w:lineRule="auto"/>
                    <w:ind w:firstLine="0" w:firstLineChars="0"/>
                    <w:jc w:val="center"/>
                    <w:rPr>
                      <w:color w:val="auto"/>
                      <w:sz w:val="21"/>
                      <w:szCs w:val="21"/>
                    </w:rPr>
                  </w:pPr>
                </w:p>
              </w:tc>
              <w:tc>
                <w:tcPr>
                  <w:tcW w:w="344" w:type="pct"/>
                  <w:vAlign w:val="center"/>
                </w:tcPr>
                <w:p>
                  <w:pPr>
                    <w:spacing w:line="240" w:lineRule="auto"/>
                    <w:ind w:firstLine="0" w:firstLineChars="0"/>
                    <w:jc w:val="center"/>
                    <w:rPr>
                      <w:color w:val="auto"/>
                      <w:sz w:val="21"/>
                      <w:szCs w:val="21"/>
                    </w:rPr>
                  </w:pPr>
                  <w:r>
                    <w:rPr>
                      <w:rFonts w:hint="eastAsia"/>
                      <w:color w:val="auto"/>
                      <w:sz w:val="21"/>
                      <w:szCs w:val="21"/>
                    </w:rPr>
                    <w:t>密封</w:t>
                  </w:r>
                </w:p>
              </w:tc>
              <w:tc>
                <w:tcPr>
                  <w:tcW w:w="537" w:type="pct"/>
                  <w:vMerge w:val="continue"/>
                  <w:vAlign w:val="center"/>
                </w:tcPr>
                <w:p>
                  <w:pPr>
                    <w:spacing w:line="240" w:lineRule="auto"/>
                    <w:ind w:firstLine="0" w:firstLineChars="0"/>
                    <w:jc w:val="center"/>
                    <w:rPr>
                      <w:color w:val="auto"/>
                      <w:sz w:val="21"/>
                      <w:szCs w:val="21"/>
                    </w:rPr>
                  </w:pPr>
                </w:p>
              </w:tc>
            </w:tr>
          </w:tbl>
          <w:p>
            <w:pPr>
              <w:ind w:firstLine="482"/>
              <w:rPr>
                <w:b/>
                <w:bCs/>
                <w:color w:val="auto"/>
              </w:rPr>
            </w:pPr>
            <w:r>
              <w:rPr>
                <w:rFonts w:hint="eastAsia"/>
                <w:b/>
                <w:bCs/>
                <w:color w:val="auto"/>
                <w:lang w:eastAsia="zh-CN"/>
              </w:rPr>
              <w:t>2.</w:t>
            </w:r>
            <w:r>
              <w:rPr>
                <w:rFonts w:hint="eastAsia"/>
                <w:b/>
                <w:bCs/>
                <w:color w:val="auto"/>
              </w:rPr>
              <w:t>固体废弃物防治措施及环境管理要求</w:t>
            </w:r>
          </w:p>
          <w:p>
            <w:pPr>
              <w:ind w:firstLine="480"/>
              <w:rPr>
                <w:color w:val="auto"/>
              </w:rPr>
            </w:pPr>
            <w:r>
              <w:rPr>
                <w:rFonts w:hint="eastAsia"/>
                <w:color w:val="auto"/>
              </w:rPr>
              <w:t>项目运营期产生的固体废物包括一般固体废物及危险废物。</w:t>
            </w:r>
          </w:p>
          <w:p>
            <w:pPr>
              <w:ind w:firstLine="480"/>
              <w:rPr>
                <w:color w:val="auto"/>
              </w:rPr>
            </w:pPr>
            <w:r>
              <w:rPr>
                <w:rFonts w:hint="eastAsia"/>
                <w:color w:val="auto"/>
              </w:rPr>
              <w:t>（1）一般工业固体废物贮存、利用、处置要求</w:t>
            </w:r>
          </w:p>
          <w:p>
            <w:pPr>
              <w:ind w:firstLine="480"/>
              <w:rPr>
                <w:color w:val="auto"/>
              </w:rPr>
            </w:pPr>
            <w:r>
              <w:rPr>
                <w:rFonts w:hint="eastAsia"/>
                <w:color w:val="auto"/>
              </w:rPr>
              <w:t>一般工业固体废物的贮存应满足《一般工业固体废物贮存和填埋污染控制标准》（GB18599-2020）的相关要求。</w:t>
            </w:r>
          </w:p>
          <w:p>
            <w:pPr>
              <w:ind w:firstLine="480"/>
              <w:rPr>
                <w:color w:val="auto"/>
              </w:rPr>
            </w:pPr>
            <w:r>
              <w:rPr>
                <w:rFonts w:hint="eastAsia"/>
                <w:color w:val="auto"/>
              </w:rPr>
              <w:t>同时，根据《排污许可证申请与核发技术规范工业固体废物》（HJ1200-2021），评价针对一般工业固废贮存/利用/处置环节提出以下要求：</w:t>
            </w:r>
          </w:p>
          <w:p>
            <w:pPr>
              <w:ind w:firstLine="480"/>
              <w:rPr>
                <w:color w:val="auto"/>
              </w:rPr>
            </w:pPr>
            <w:r>
              <w:rPr>
                <w:rFonts w:hint="eastAsia"/>
                <w:color w:val="auto"/>
              </w:rPr>
              <w:t>①委托贮存/利用/处置环节污染防控技术要求</w:t>
            </w:r>
          </w:p>
          <w:p>
            <w:pPr>
              <w:ind w:firstLine="480"/>
              <w:rPr>
                <w:color w:val="auto"/>
              </w:rPr>
            </w:pPr>
            <w:r>
              <w:rPr>
                <w:rFonts w:hint="eastAsia"/>
                <w:color w:val="auto"/>
              </w:rPr>
              <w:t>排污单位委托他人运输、利用、处置一般工业固体废物的，应落实《中华人民共和国固体废物污染环境防治法》等法律法规要求，对受托方的主体资格和技术能力进行核实，依法签订书面合同，在合同中约定污染防治要求等。</w:t>
            </w:r>
          </w:p>
          <w:p>
            <w:pPr>
              <w:ind w:firstLine="480"/>
              <w:rPr>
                <w:color w:val="auto"/>
              </w:rPr>
            </w:pPr>
            <w:r>
              <w:rPr>
                <w:rFonts w:hint="eastAsia"/>
                <w:color w:val="auto"/>
              </w:rPr>
              <w:t>②自行贮存/利用/处置设施污染防控技术要求</w:t>
            </w:r>
          </w:p>
          <w:p>
            <w:pPr>
              <w:ind w:firstLine="480"/>
              <w:rPr>
                <w:color w:val="auto"/>
              </w:rPr>
            </w:pPr>
            <w:r>
              <w:rPr>
                <w:rFonts w:hint="eastAsia"/>
                <w:color w:val="auto"/>
              </w:rPr>
              <w:t>采用库房、包装工具(罐、桶、包装袋等)贮存一般工业固体废物的，贮存过程应满足相应防渗漏、防雨淋、防扬尘等环境保护要求；危险废物和生活垃圾不得进入一般工业固体废物贮存场及填埋场；不相容的一般工业固体废物应设置不同的分区进行贮存和填埋作业；贮存场应设置清晰、完整的一般工业固体废物标志牌等。排污单位生产运营期间一般工业固体废物自行贮存/利用/处置设施的环境管理和相关设施运行维护要求还应符合GB15562.2、GB18599、GB30485和HJ2035等相关标准规范要求。</w:t>
            </w:r>
          </w:p>
          <w:p>
            <w:pPr>
              <w:ind w:firstLine="480"/>
              <w:rPr>
                <w:color w:val="auto"/>
              </w:rPr>
            </w:pPr>
            <w:r>
              <w:rPr>
                <w:rFonts w:hint="eastAsia"/>
                <w:color w:val="auto"/>
              </w:rPr>
              <w:t>（2）危险废物处置及防治措施</w:t>
            </w:r>
          </w:p>
          <w:p>
            <w:pPr>
              <w:ind w:firstLine="480"/>
              <w:rPr>
                <w:color w:val="auto"/>
              </w:rPr>
            </w:pPr>
            <w:r>
              <w:rPr>
                <w:rFonts w:hint="eastAsia"/>
                <w:color w:val="auto"/>
              </w:rPr>
              <w:t>①危险废物包装要求</w:t>
            </w:r>
          </w:p>
          <w:p>
            <w:pPr>
              <w:ind w:firstLine="480"/>
              <w:rPr>
                <w:color w:val="auto"/>
              </w:rPr>
            </w:pPr>
            <w:r>
              <w:rPr>
                <w:rFonts w:hint="eastAsia"/>
                <w:color w:val="auto"/>
              </w:rPr>
              <w:t>危险废物收集时应根据危险废物的种类、数量、危险特性、物理形态、运输要求等因素确定包装形式，具体包装应符合如下要求：</w:t>
            </w:r>
          </w:p>
          <w:p>
            <w:pPr>
              <w:ind w:firstLine="480"/>
              <w:rPr>
                <w:color w:val="auto"/>
              </w:rPr>
            </w:pPr>
            <w:r>
              <w:rPr>
                <w:rFonts w:hint="eastAsia"/>
                <w:color w:val="auto"/>
              </w:rPr>
              <w:t>A</w:t>
            </w:r>
            <w:r>
              <w:rPr>
                <w:rFonts w:hint="eastAsia"/>
                <w:color w:val="auto"/>
                <w:lang w:eastAsia="zh-CN"/>
              </w:rPr>
              <w:t>.</w:t>
            </w:r>
            <w:r>
              <w:rPr>
                <w:rFonts w:hint="eastAsia"/>
                <w:color w:val="auto"/>
              </w:rPr>
              <w:t>包装材质要与危险废物相容，可根据废物特性选择钢、铝、塑料等材质。</w:t>
            </w:r>
          </w:p>
          <w:p>
            <w:pPr>
              <w:ind w:firstLine="480"/>
              <w:rPr>
                <w:color w:val="auto"/>
              </w:rPr>
            </w:pPr>
            <w:r>
              <w:rPr>
                <w:rFonts w:hint="eastAsia"/>
                <w:color w:val="auto"/>
              </w:rPr>
              <w:t>B</w:t>
            </w:r>
            <w:r>
              <w:rPr>
                <w:rFonts w:hint="eastAsia"/>
                <w:color w:val="auto"/>
                <w:lang w:eastAsia="zh-CN"/>
              </w:rPr>
              <w:t>.</w:t>
            </w:r>
            <w:r>
              <w:rPr>
                <w:rFonts w:hint="eastAsia"/>
                <w:color w:val="auto"/>
              </w:rPr>
              <w:t>性质类似的废物可收集到同一容器中，性质不相容的危险废物不应混合包装。</w:t>
            </w:r>
          </w:p>
          <w:p>
            <w:pPr>
              <w:ind w:firstLine="480"/>
              <w:rPr>
                <w:color w:val="auto"/>
              </w:rPr>
            </w:pPr>
            <w:r>
              <w:rPr>
                <w:rFonts w:hint="eastAsia"/>
                <w:color w:val="auto"/>
              </w:rPr>
              <w:t>C</w:t>
            </w:r>
            <w:r>
              <w:rPr>
                <w:rFonts w:hint="eastAsia"/>
                <w:color w:val="auto"/>
                <w:lang w:eastAsia="zh-CN"/>
              </w:rPr>
              <w:t>.</w:t>
            </w:r>
            <w:r>
              <w:rPr>
                <w:rFonts w:hint="eastAsia"/>
                <w:color w:val="auto"/>
              </w:rPr>
              <w:t>危险废物包装应能有效隔断危险废物迁移扩散途径，并达到防渗、防漏要求。</w:t>
            </w:r>
          </w:p>
          <w:p>
            <w:pPr>
              <w:ind w:firstLine="480"/>
              <w:rPr>
                <w:color w:val="auto"/>
              </w:rPr>
            </w:pPr>
            <w:r>
              <w:rPr>
                <w:rFonts w:hint="eastAsia"/>
                <w:color w:val="auto"/>
              </w:rPr>
              <w:t>D</w:t>
            </w:r>
            <w:r>
              <w:rPr>
                <w:rFonts w:hint="eastAsia"/>
                <w:color w:val="auto"/>
                <w:lang w:eastAsia="zh-CN"/>
              </w:rPr>
              <w:t>.</w:t>
            </w:r>
            <w:r>
              <w:rPr>
                <w:rFonts w:hint="eastAsia"/>
                <w:color w:val="auto"/>
              </w:rPr>
              <w:t>包装好的危险废物应设置相应的标签，标签信息应填写完整</w:t>
            </w:r>
            <w:r>
              <w:rPr>
                <w:rFonts w:hint="eastAsia"/>
                <w:color w:val="auto"/>
                <w:lang w:eastAsia="zh-CN"/>
              </w:rPr>
              <w:t>详实</w:t>
            </w:r>
            <w:r>
              <w:rPr>
                <w:rFonts w:hint="eastAsia"/>
                <w:color w:val="auto"/>
              </w:rPr>
              <w:t>。</w:t>
            </w:r>
          </w:p>
          <w:p>
            <w:pPr>
              <w:ind w:firstLine="480"/>
              <w:rPr>
                <w:color w:val="auto"/>
              </w:rPr>
            </w:pPr>
            <w:r>
              <w:rPr>
                <w:rFonts w:hint="eastAsia"/>
                <w:color w:val="auto"/>
              </w:rPr>
              <w:t>E</w:t>
            </w:r>
            <w:r>
              <w:rPr>
                <w:rFonts w:hint="eastAsia"/>
                <w:color w:val="auto"/>
                <w:lang w:eastAsia="zh-CN"/>
              </w:rPr>
              <w:t>.</w:t>
            </w:r>
            <w:r>
              <w:rPr>
                <w:rFonts w:hint="eastAsia"/>
                <w:color w:val="auto"/>
              </w:rPr>
              <w:t>盛装过危险废物的包装袋或包装容器破损后应按危险废物进行管理和处置。</w:t>
            </w:r>
          </w:p>
          <w:p>
            <w:pPr>
              <w:ind w:firstLine="480"/>
              <w:rPr>
                <w:color w:val="auto"/>
              </w:rPr>
            </w:pPr>
            <w:r>
              <w:rPr>
                <w:rFonts w:hint="eastAsia"/>
                <w:color w:val="auto"/>
              </w:rPr>
              <w:t>F</w:t>
            </w:r>
            <w:r>
              <w:rPr>
                <w:rFonts w:hint="eastAsia"/>
                <w:color w:val="auto"/>
                <w:lang w:eastAsia="zh-CN"/>
              </w:rPr>
              <w:t>.</w:t>
            </w:r>
            <w:r>
              <w:rPr>
                <w:rFonts w:hint="eastAsia"/>
                <w:color w:val="auto"/>
              </w:rPr>
              <w:t>危险废物还应根据GB12463的有关要求进行运输包装。</w:t>
            </w:r>
          </w:p>
          <w:p>
            <w:pPr>
              <w:ind w:firstLine="480"/>
              <w:rPr>
                <w:color w:val="auto"/>
              </w:rPr>
            </w:pPr>
            <w:r>
              <w:rPr>
                <w:rFonts w:hint="eastAsia"/>
                <w:color w:val="auto"/>
              </w:rPr>
              <w:t>根据本项目危废产生情况及特点，环评要求废矿物油等的收集应使用符合国家标准的专用容器，容器壁应贴有标签，详细标明危险废物的名称、成分、特性、重量及发生泄漏、扩散污染事故时的应急措施和补救方法。</w:t>
            </w:r>
          </w:p>
          <w:p>
            <w:pPr>
              <w:ind w:firstLine="480"/>
              <w:rPr>
                <w:color w:val="auto"/>
              </w:rPr>
            </w:pPr>
            <w:r>
              <w:rPr>
                <w:rFonts w:hint="eastAsia"/>
                <w:color w:val="auto"/>
              </w:rPr>
              <w:t>②危险废物收集、运输过程环境保护要求</w:t>
            </w:r>
          </w:p>
          <w:p>
            <w:pPr>
              <w:ind w:firstLine="480"/>
              <w:rPr>
                <w:color w:val="auto"/>
              </w:rPr>
            </w:pPr>
            <w:r>
              <w:rPr>
                <w:rFonts w:hint="eastAsia"/>
                <w:color w:val="auto"/>
              </w:rPr>
              <w:t>危险废物内部转运作业应满足如下要求：</w:t>
            </w:r>
          </w:p>
          <w:p>
            <w:pPr>
              <w:ind w:firstLine="480"/>
              <w:rPr>
                <w:color w:val="auto"/>
              </w:rPr>
            </w:pPr>
            <w:r>
              <w:rPr>
                <w:rFonts w:hint="eastAsia"/>
                <w:color w:val="auto"/>
              </w:rPr>
              <w:t>A</w:t>
            </w:r>
            <w:r>
              <w:rPr>
                <w:rFonts w:hint="eastAsia"/>
                <w:color w:val="auto"/>
                <w:lang w:eastAsia="zh-CN"/>
              </w:rPr>
              <w:t>.</w:t>
            </w:r>
            <w:r>
              <w:rPr>
                <w:rFonts w:hint="eastAsia"/>
                <w:color w:val="auto"/>
              </w:rPr>
              <w:t>危险废物必须妥善分类，并采用专用包装袋和周转箱、专用运输车运送到处置中心，装卸完成后对运输车辆进行消毒。</w:t>
            </w:r>
          </w:p>
          <w:p>
            <w:pPr>
              <w:ind w:firstLine="480"/>
              <w:rPr>
                <w:color w:val="auto"/>
              </w:rPr>
            </w:pPr>
            <w:r>
              <w:rPr>
                <w:rFonts w:hint="eastAsia"/>
                <w:color w:val="auto"/>
              </w:rPr>
              <w:t>B</w:t>
            </w:r>
            <w:r>
              <w:rPr>
                <w:rFonts w:hint="eastAsia"/>
                <w:color w:val="auto"/>
                <w:lang w:eastAsia="zh-CN"/>
              </w:rPr>
              <w:t>.</w:t>
            </w:r>
            <w:r>
              <w:rPr>
                <w:rFonts w:hint="eastAsia"/>
                <w:color w:val="auto"/>
              </w:rPr>
              <w:t>运输车上配置橡胶手套、工作手套、口罩、消毒水、急救药箱、灭火器和紧急应变手册。</w:t>
            </w:r>
          </w:p>
          <w:p>
            <w:pPr>
              <w:ind w:firstLine="480"/>
              <w:rPr>
                <w:color w:val="auto"/>
              </w:rPr>
            </w:pPr>
            <w:r>
              <w:rPr>
                <w:rFonts w:hint="eastAsia"/>
                <w:color w:val="auto"/>
              </w:rPr>
              <w:t>C</w:t>
            </w:r>
            <w:r>
              <w:rPr>
                <w:rFonts w:hint="eastAsia"/>
                <w:color w:val="auto"/>
                <w:lang w:eastAsia="zh-CN"/>
              </w:rPr>
              <w:t>.</w:t>
            </w:r>
            <w:r>
              <w:rPr>
                <w:rFonts w:hint="eastAsia"/>
                <w:color w:val="auto"/>
              </w:rPr>
              <w:t>在运输过程中，采取专车专用的方式，禁止将危险废物与旅客及其它货物同车运输。</w:t>
            </w:r>
          </w:p>
          <w:p>
            <w:pPr>
              <w:ind w:firstLine="480"/>
              <w:rPr>
                <w:color w:val="auto"/>
              </w:rPr>
            </w:pPr>
            <w:r>
              <w:rPr>
                <w:rFonts w:hint="eastAsia"/>
                <w:color w:val="auto"/>
              </w:rPr>
              <w:t>D</w:t>
            </w:r>
            <w:r>
              <w:rPr>
                <w:rFonts w:hint="eastAsia"/>
                <w:color w:val="auto"/>
                <w:lang w:eastAsia="zh-CN"/>
              </w:rPr>
              <w:t>.</w:t>
            </w:r>
            <w:r>
              <w:rPr>
                <w:rFonts w:hint="eastAsia"/>
                <w:color w:val="auto"/>
              </w:rPr>
              <w:t>危险废物运输车辆通过饮用水源保护区或水库的水源地时，应减速行驶，尽量避免各类交通事故的发生。如有必要应尽量避免雨天运输。</w:t>
            </w:r>
          </w:p>
          <w:p>
            <w:pPr>
              <w:ind w:firstLine="480"/>
              <w:rPr>
                <w:color w:val="auto"/>
              </w:rPr>
            </w:pPr>
            <w:r>
              <w:rPr>
                <w:rFonts w:hint="eastAsia"/>
                <w:color w:val="auto"/>
              </w:rPr>
              <w:t>E</w:t>
            </w:r>
            <w:r>
              <w:rPr>
                <w:rFonts w:hint="eastAsia"/>
                <w:color w:val="auto"/>
                <w:lang w:eastAsia="zh-CN"/>
              </w:rPr>
              <w:t>.</w:t>
            </w:r>
            <w:r>
              <w:rPr>
                <w:rFonts w:hint="eastAsia"/>
                <w:color w:val="auto"/>
              </w:rPr>
              <w:t>危险废物运输途经城市时，应尽量绕城行驶，不得穿越城区。</w:t>
            </w:r>
          </w:p>
          <w:p>
            <w:pPr>
              <w:ind w:firstLine="480"/>
              <w:rPr>
                <w:color w:val="auto"/>
              </w:rPr>
            </w:pPr>
            <w:r>
              <w:rPr>
                <w:rFonts w:hint="eastAsia"/>
                <w:color w:val="auto"/>
              </w:rPr>
              <w:t>F</w:t>
            </w:r>
            <w:r>
              <w:rPr>
                <w:rFonts w:hint="eastAsia"/>
                <w:color w:val="auto"/>
                <w:lang w:eastAsia="zh-CN"/>
              </w:rPr>
              <w:t>.</w:t>
            </w:r>
            <w:r>
              <w:rPr>
                <w:rFonts w:hint="eastAsia"/>
                <w:color w:val="auto"/>
              </w:rPr>
              <w:t>严格按照规划路线运输，但尽量避免上下班高峰时运输。</w:t>
            </w:r>
          </w:p>
          <w:p>
            <w:pPr>
              <w:ind w:firstLine="480"/>
              <w:rPr>
                <w:color w:val="auto"/>
              </w:rPr>
            </w:pPr>
            <w:r>
              <w:rPr>
                <w:rFonts w:hint="eastAsia"/>
                <w:color w:val="auto"/>
              </w:rPr>
              <w:t>G</w:t>
            </w:r>
            <w:r>
              <w:rPr>
                <w:rFonts w:hint="eastAsia"/>
                <w:color w:val="auto"/>
                <w:lang w:eastAsia="zh-CN"/>
              </w:rPr>
              <w:t>.</w:t>
            </w:r>
            <w:r>
              <w:rPr>
                <w:rFonts w:hint="eastAsia"/>
                <w:color w:val="auto"/>
              </w:rPr>
              <w:t>对运输</w:t>
            </w:r>
            <w:r>
              <w:rPr>
                <w:rFonts w:hint="eastAsia"/>
                <w:color w:val="auto"/>
                <w:lang w:eastAsia="zh-CN"/>
              </w:rPr>
              <w:t>车辆</w:t>
            </w:r>
            <w:r>
              <w:rPr>
                <w:rFonts w:hint="eastAsia"/>
                <w:color w:val="auto"/>
              </w:rPr>
              <w:t>进行严格管理，须备有车辆里程登记表并做好每日登记，做好车辆日常的维护。</w:t>
            </w:r>
          </w:p>
          <w:p>
            <w:pPr>
              <w:ind w:firstLine="480"/>
              <w:rPr>
                <w:color w:val="auto"/>
              </w:rPr>
            </w:pPr>
            <w:r>
              <w:rPr>
                <w:rFonts w:hint="eastAsia"/>
                <w:color w:val="auto"/>
              </w:rPr>
              <w:t>H</w:t>
            </w:r>
            <w:r>
              <w:rPr>
                <w:rFonts w:hint="eastAsia"/>
                <w:color w:val="auto"/>
                <w:lang w:eastAsia="zh-CN"/>
              </w:rPr>
              <w:t>.</w:t>
            </w:r>
            <w:r>
              <w:rPr>
                <w:rFonts w:hint="eastAsia"/>
                <w:color w:val="auto"/>
              </w:rPr>
              <w:t>从事危险废物运输的人员（包括司机），应当接受专业培训，经考核合格，方可从事该项工作；运输车辆须有特殊标志，以引起关注；危险废物运输车辆需持危险废物运输通行证。</w:t>
            </w:r>
          </w:p>
          <w:p>
            <w:pPr>
              <w:ind w:firstLine="480"/>
              <w:rPr>
                <w:color w:val="auto"/>
              </w:rPr>
            </w:pPr>
            <w:r>
              <w:rPr>
                <w:rFonts w:hint="eastAsia"/>
                <w:color w:val="auto"/>
              </w:rPr>
              <w:t>I</w:t>
            </w:r>
            <w:r>
              <w:rPr>
                <w:rFonts w:hint="eastAsia"/>
                <w:color w:val="auto"/>
                <w:lang w:eastAsia="zh-CN"/>
              </w:rPr>
              <w:t>.</w:t>
            </w:r>
            <w:r>
              <w:rPr>
                <w:rFonts w:hint="eastAsia"/>
                <w:color w:val="auto"/>
              </w:rPr>
              <w:t>为了保证危险废物运输的安全无误，必须遵守国家和地方制定的危险废物转移联单管理办法中的有关规定。</w:t>
            </w:r>
          </w:p>
          <w:p>
            <w:pPr>
              <w:ind w:firstLine="480"/>
              <w:rPr>
                <w:color w:val="auto"/>
              </w:rPr>
            </w:pPr>
            <w:r>
              <w:rPr>
                <w:rFonts w:hint="eastAsia"/>
                <w:color w:val="auto"/>
              </w:rPr>
              <w:t>③危险固体废物暂存库的管理要求</w:t>
            </w:r>
          </w:p>
          <w:p>
            <w:pPr>
              <w:ind w:firstLine="480"/>
              <w:rPr>
                <w:color w:val="auto"/>
              </w:rPr>
            </w:pPr>
            <w:r>
              <w:rPr>
                <w:rFonts w:hint="eastAsia"/>
                <w:color w:val="auto"/>
              </w:rPr>
              <w:t>对于危险废物暂存库，按照《危险废物贮存污染控制标准》（GB18597-2023）进行污染控制和管理。</w:t>
            </w:r>
          </w:p>
          <w:p>
            <w:pPr>
              <w:ind w:firstLine="480"/>
              <w:rPr>
                <w:color w:val="auto"/>
              </w:rPr>
            </w:pPr>
            <w:r>
              <w:rPr>
                <w:rFonts w:hint="eastAsia"/>
                <w:color w:val="auto"/>
              </w:rPr>
              <w:t>A</w:t>
            </w:r>
            <w:r>
              <w:rPr>
                <w:rFonts w:hint="eastAsia"/>
                <w:color w:val="auto"/>
                <w:lang w:eastAsia="zh-CN"/>
              </w:rPr>
              <w:t>.</w:t>
            </w:r>
            <w:r>
              <w:rPr>
                <w:rFonts w:hint="eastAsia"/>
                <w:color w:val="auto"/>
              </w:rPr>
              <w:t>危险废物暂存间应满足“防风、防晒、防雨、防漏、防渗、防腐”的“六防”要求，地面采用铺设了2mm厚高密度聚乙烯材料或至少2mm厚的其他人工材料，渗透系数≤10</w:t>
            </w:r>
            <w:r>
              <w:rPr>
                <w:rFonts w:hint="eastAsia"/>
                <w:color w:val="auto"/>
                <w:vertAlign w:val="superscript"/>
              </w:rPr>
              <w:t>-10</w:t>
            </w:r>
            <w:r>
              <w:rPr>
                <w:rFonts w:hint="eastAsia"/>
                <w:color w:val="auto"/>
              </w:rPr>
              <w:t>cm/s；并设置经环氧树脂防渗处理的导流渠，发生泄漏时通过导流渠收集泄漏液，建筑材料必须与危险废物相容。</w:t>
            </w:r>
          </w:p>
          <w:p>
            <w:pPr>
              <w:ind w:firstLine="480"/>
              <w:rPr>
                <w:color w:val="auto"/>
              </w:rPr>
            </w:pPr>
            <w:r>
              <w:rPr>
                <w:rFonts w:hint="eastAsia"/>
                <w:color w:val="auto"/>
              </w:rPr>
              <w:t>B</w:t>
            </w:r>
            <w:r>
              <w:rPr>
                <w:rFonts w:hint="eastAsia"/>
                <w:color w:val="auto"/>
                <w:lang w:eastAsia="zh-CN"/>
              </w:rPr>
              <w:t>.</w:t>
            </w:r>
            <w:r>
              <w:rPr>
                <w:rFonts w:hint="eastAsia"/>
                <w:color w:val="auto"/>
              </w:rPr>
              <w:t>暂存库内的危险废物采取分类堆放，并设有隔离间隔。每个部分都应有防漏裙脚，防漏裙脚的材料与危险废物相容。每个堆间应留有搬运通道。</w:t>
            </w:r>
          </w:p>
          <w:p>
            <w:pPr>
              <w:ind w:firstLine="480"/>
              <w:rPr>
                <w:color w:val="auto"/>
              </w:rPr>
            </w:pPr>
            <w:r>
              <w:rPr>
                <w:rFonts w:hint="eastAsia"/>
                <w:color w:val="auto"/>
              </w:rPr>
              <w:t>C</w:t>
            </w:r>
            <w:r>
              <w:rPr>
                <w:rFonts w:hint="eastAsia"/>
                <w:color w:val="auto"/>
                <w:lang w:eastAsia="zh-CN"/>
              </w:rPr>
              <w:t>.</w:t>
            </w:r>
            <w:r>
              <w:rPr>
                <w:rFonts w:hint="eastAsia"/>
                <w:color w:val="auto"/>
              </w:rPr>
              <w:t>危险废物分类装入容器，容器及材质要满足相应的强度要求，装载危险废物的容器必须完好无损；对于各类废液，可注入开孔直径不超过70mm并有放气孔的桶中，容器顶部与液体表面之间保留100mm以上的空间，容器材质和衬里要与危险废物相互不反应；盛装危险废物的容器上必须粘贴清晰</w:t>
            </w:r>
            <w:r>
              <w:rPr>
                <w:rFonts w:hint="eastAsia"/>
                <w:color w:val="auto"/>
                <w:lang w:eastAsia="zh-CN"/>
              </w:rPr>
              <w:t>标明</w:t>
            </w:r>
            <w:r>
              <w:rPr>
                <w:rFonts w:hint="eastAsia"/>
                <w:color w:val="auto"/>
              </w:rPr>
              <w:t>危险废物名称、种类、数量等的标签。对于在常温常压下不水解、不挥发的固体危险废物可在暂贮库分别堆放，无法装入常用容器的危险废物可用防漏胶袋等盛装。</w:t>
            </w:r>
          </w:p>
          <w:p>
            <w:pPr>
              <w:ind w:firstLine="480"/>
              <w:rPr>
                <w:color w:val="auto"/>
              </w:rPr>
            </w:pPr>
            <w:r>
              <w:rPr>
                <w:rFonts w:hint="eastAsia"/>
                <w:color w:val="auto"/>
              </w:rPr>
              <w:t>依据《危险废物贮存污染控制标准》中对危险废物贮存容器的规定，采用专用塑料桶存放液态危废（如废油），保证盛装废液的容器满足相应的强度要求，并且与废液不互相反应。</w:t>
            </w:r>
          </w:p>
          <w:p>
            <w:pPr>
              <w:ind w:firstLine="480"/>
              <w:rPr>
                <w:color w:val="auto"/>
              </w:rPr>
            </w:pPr>
            <w:r>
              <w:rPr>
                <w:rFonts w:hint="eastAsia"/>
                <w:color w:val="auto"/>
              </w:rPr>
              <w:t>D</w:t>
            </w:r>
            <w:r>
              <w:rPr>
                <w:rFonts w:hint="eastAsia"/>
                <w:color w:val="auto"/>
                <w:lang w:eastAsia="zh-CN"/>
              </w:rPr>
              <w:t>.</w:t>
            </w:r>
            <w:r>
              <w:rPr>
                <w:rFonts w:hint="eastAsia"/>
                <w:color w:val="auto"/>
              </w:rPr>
              <w:t>禁止将不兼容（相互反应）的危险废物在同一容器内混装。危险废物暂存库内清理出来的泄漏物，一律按危险废物处理。在危废库设置导流渠，一旦发生泄漏，废液将进入导流渠，并设置专用工具，把废液收集后暂存于完好的容器内作为危险废物处置。</w:t>
            </w:r>
          </w:p>
          <w:p>
            <w:pPr>
              <w:ind w:firstLine="480"/>
              <w:rPr>
                <w:color w:val="auto"/>
              </w:rPr>
            </w:pPr>
            <w:r>
              <w:rPr>
                <w:rFonts w:hint="eastAsia"/>
                <w:color w:val="auto"/>
              </w:rPr>
              <w:t>E</w:t>
            </w:r>
            <w:r>
              <w:rPr>
                <w:rFonts w:hint="eastAsia"/>
                <w:color w:val="auto"/>
                <w:lang w:eastAsia="zh-CN"/>
              </w:rPr>
              <w:t>.</w:t>
            </w:r>
            <w:r>
              <w:rPr>
                <w:rFonts w:hint="eastAsia"/>
                <w:color w:val="auto"/>
              </w:rPr>
              <w:t>危险废物暂存库管理员须</w:t>
            </w:r>
            <w:r>
              <w:rPr>
                <w:rFonts w:hint="eastAsia"/>
                <w:color w:val="auto"/>
                <w:lang w:eastAsia="zh-CN"/>
              </w:rPr>
              <w:t>做好</w:t>
            </w:r>
            <w:r>
              <w:rPr>
                <w:rFonts w:hint="eastAsia"/>
                <w:color w:val="auto"/>
              </w:rPr>
              <w:t>危险废物情况的记录，记录上须注明危险废物的名称、来源、数量、特性和包装容器的类别、入库日期、存放库位、废物出库日期及委托处置接收单位名称。</w:t>
            </w:r>
          </w:p>
          <w:p>
            <w:pPr>
              <w:ind w:firstLine="480"/>
              <w:rPr>
                <w:color w:val="auto"/>
              </w:rPr>
            </w:pPr>
            <w:r>
              <w:rPr>
                <w:rFonts w:hint="eastAsia"/>
                <w:color w:val="auto"/>
              </w:rPr>
              <w:t>危险废物的记录和货单在危险废物回取后应继续保留十年。</w:t>
            </w:r>
          </w:p>
          <w:p>
            <w:pPr>
              <w:ind w:firstLine="480"/>
              <w:rPr>
                <w:color w:val="auto"/>
              </w:rPr>
            </w:pPr>
            <w:r>
              <w:rPr>
                <w:rFonts w:hint="eastAsia"/>
                <w:color w:val="auto"/>
                <w:lang w:eastAsia="zh-CN"/>
              </w:rPr>
              <w:t>2.</w:t>
            </w:r>
            <w:r>
              <w:rPr>
                <w:rFonts w:hint="eastAsia"/>
                <w:color w:val="auto"/>
              </w:rPr>
              <w:t>固体废物影响分析</w:t>
            </w:r>
          </w:p>
          <w:p>
            <w:pPr>
              <w:ind w:firstLine="480"/>
              <w:rPr>
                <w:color w:val="auto"/>
              </w:rPr>
            </w:pPr>
            <w:r>
              <w:rPr>
                <w:rFonts w:hint="eastAsia"/>
                <w:color w:val="auto"/>
              </w:rPr>
              <w:t>本项目产生的天然气蒸汽锅炉软水制备系统产生废离子交换树脂、废水处理站更换下的废石英砂、废水处理站更换下的废活性炭定期更换，更换后不落地，直接由厂家回收处置；废矿物油、废油桶暂存于厂区内的危废库内，定期交由有资质单位进行处置。建设单位在生产过程中必须做好固废的暂存工作，要有合适的暂存场所，暂存场所必须做好防渗、防漏、防晒、防淋等工作。在运输过</w:t>
            </w:r>
            <w:r>
              <w:rPr>
                <w:rFonts w:hint="eastAsia"/>
                <w:color w:val="auto"/>
                <w:lang w:eastAsia="zh-CN"/>
              </w:rPr>
              <w:t>程中</w:t>
            </w:r>
            <w:r>
              <w:rPr>
                <w:rFonts w:hint="eastAsia"/>
                <w:color w:val="auto"/>
              </w:rPr>
              <w:t>注意运输安全，途中不得沿路抛洒，并在堆放场所树立明显的标志牌。</w:t>
            </w:r>
          </w:p>
          <w:p>
            <w:pPr>
              <w:ind w:firstLine="480"/>
              <w:rPr>
                <w:color w:val="auto"/>
              </w:rPr>
            </w:pPr>
            <w:r>
              <w:rPr>
                <w:rFonts w:hint="eastAsia"/>
                <w:color w:val="auto"/>
              </w:rPr>
              <w:t>综上，本项目产生的固废经妥善处理、处置后，对周围环境及人体不会造成影响，亦不会对环境产生二次污染，所采取的治理措施是可行的。</w:t>
            </w:r>
          </w:p>
          <w:p>
            <w:pPr>
              <w:ind w:firstLine="482"/>
              <w:rPr>
                <w:b/>
                <w:bCs/>
                <w:color w:val="auto"/>
              </w:rPr>
            </w:pPr>
            <w:r>
              <w:rPr>
                <w:rFonts w:hint="eastAsia"/>
                <w:b/>
                <w:bCs/>
                <w:color w:val="auto"/>
              </w:rPr>
              <w:t>五、地下水、土壤环境影响及保护措施</w:t>
            </w:r>
          </w:p>
          <w:p>
            <w:pPr>
              <w:ind w:firstLine="480"/>
              <w:rPr>
                <w:color w:val="auto"/>
              </w:rPr>
            </w:pPr>
            <w:r>
              <w:rPr>
                <w:color w:val="auto"/>
              </w:rPr>
              <w:t>纯水制备排污废水、锅炉排污废水、回收的蒸发冷凝液排入自建废水处理站处理后，出水满足《城市污水再生利用工业用水水质》（GB19923-2024）中的间冷开式循环冷却水补充水、锅炉给水、工艺用水、产品用水标准后</w:t>
            </w:r>
            <w:r>
              <w:rPr>
                <w:rFonts w:hint="eastAsia"/>
                <w:color w:val="auto"/>
              </w:rPr>
              <w:t>部分返回天然气蒸汽锅炉用于蒸汽再生产，部分返回喷淋冷凝管道用于水蒸气冷凝、剩余部分用于厂区、煤棚洒水降尘及反冲洗用水。，项目无生产废水外排，无新增生活用水，本项目危废库为重点防渗区，按照《危险废物贮存污染控制标准》（GB18597-2023）、《危险废物贮存污染控制标准》（GB18597-2023）相关内容进行防渗，防渗层为至少1m厚黏土层（渗透系数≤1.0×10</w:t>
            </w:r>
            <w:r>
              <w:rPr>
                <w:rFonts w:hint="eastAsia"/>
                <w:color w:val="auto"/>
                <w:vertAlign w:val="superscript"/>
              </w:rPr>
              <w:t>-7</w:t>
            </w:r>
            <w:r>
              <w:rPr>
                <w:rFonts w:hint="eastAsia"/>
                <w:color w:val="auto"/>
              </w:rPr>
              <w:t>cm/s）或2mm厚高密度聚乙烯或至少2mm厚的其他人工材料，总体渗透系数≤1.0×10</w:t>
            </w:r>
            <w:r>
              <w:rPr>
                <w:rFonts w:hint="eastAsia"/>
                <w:color w:val="auto"/>
                <w:vertAlign w:val="superscript"/>
              </w:rPr>
              <w:t>-10</w:t>
            </w:r>
            <w:r>
              <w:rPr>
                <w:rFonts w:hint="eastAsia"/>
                <w:color w:val="auto"/>
              </w:rPr>
              <w:t>cm/s。</w:t>
            </w:r>
            <w:r>
              <w:rPr>
                <w:rFonts w:hint="eastAsia"/>
                <w:color w:val="auto"/>
                <w:kern w:val="0"/>
              </w:rPr>
              <w:t>锅炉房、废水处理站</w:t>
            </w:r>
            <w:r>
              <w:rPr>
                <w:color w:val="auto"/>
              </w:rPr>
              <w:t>防渗水平应达到一般防渗区防渗要求（等效黏土防渗层Mb</w:t>
            </w:r>
            <w:r>
              <w:rPr>
                <w:rFonts w:hint="eastAsia"/>
                <w:color w:val="auto"/>
              </w:rPr>
              <w:t>≥</w:t>
            </w:r>
            <w:r>
              <w:rPr>
                <w:color w:val="auto"/>
              </w:rPr>
              <w:t>1.5，渗透系数K</w:t>
            </w:r>
            <w:r>
              <w:rPr>
                <w:rFonts w:hint="eastAsia"/>
                <w:color w:val="auto"/>
              </w:rPr>
              <w:t>≤</w:t>
            </w:r>
            <w:r>
              <w:rPr>
                <w:color w:val="auto"/>
              </w:rPr>
              <w:t>1.0×10</w:t>
            </w:r>
            <w:r>
              <w:rPr>
                <w:color w:val="auto"/>
                <w:vertAlign w:val="superscript"/>
              </w:rPr>
              <w:t>-7</w:t>
            </w:r>
            <w:r>
              <w:rPr>
                <w:color w:val="auto"/>
              </w:rPr>
              <w:t>cm/s）</w:t>
            </w:r>
            <w:r>
              <w:rPr>
                <w:rFonts w:hint="eastAsia"/>
                <w:color w:val="auto"/>
                <w:kern w:val="0"/>
              </w:rPr>
              <w:t>。</w:t>
            </w:r>
            <w:r>
              <w:rPr>
                <w:rFonts w:hint="eastAsia"/>
                <w:color w:val="auto"/>
              </w:rPr>
              <w:t>办公室、控制室及厂区地面做简单防渗要求，采用10cm-15cm的普通水泥硬化处理。取上述严格防渗措施后，本项目对项目周边土壤、地下水环境影响较小。</w:t>
            </w:r>
          </w:p>
          <w:p>
            <w:pPr>
              <w:ind w:firstLine="482"/>
              <w:rPr>
                <w:b/>
                <w:bCs/>
                <w:color w:val="auto"/>
                <w:kern w:val="0"/>
              </w:rPr>
            </w:pPr>
            <w:r>
              <w:rPr>
                <w:rFonts w:hint="eastAsia"/>
                <w:b/>
                <w:bCs/>
                <w:color w:val="auto"/>
                <w:kern w:val="0"/>
              </w:rPr>
              <w:t>六</w:t>
            </w:r>
            <w:r>
              <w:rPr>
                <w:b/>
                <w:bCs/>
                <w:color w:val="auto"/>
                <w:kern w:val="0"/>
              </w:rPr>
              <w:t>、环境风险影响及分析防范措施</w:t>
            </w:r>
          </w:p>
          <w:p>
            <w:pPr>
              <w:ind w:firstLine="480"/>
              <w:rPr>
                <w:color w:val="auto"/>
              </w:rPr>
            </w:pPr>
            <w:r>
              <w:rPr>
                <w:color w:val="auto"/>
              </w:rPr>
              <w:t>根据原国家环保部《关于进一步加强环境影响评价管理防范环境风险的通知》（国家环保部环发〔2012〕77号）及生态环境部发布的《建设项目环境风险评价技术导则》（HJ169-2018）要求，对于涉及有毒有害和易燃易爆物质的生产、使用、储存（包括使用管线</w:t>
            </w:r>
            <w:r>
              <w:rPr>
                <w:rFonts w:hint="eastAsia"/>
                <w:color w:val="auto"/>
                <w:lang w:eastAsia="zh-CN"/>
              </w:rPr>
              <w:t>运输</w:t>
            </w:r>
            <w:r>
              <w:rPr>
                <w:color w:val="auto"/>
              </w:rPr>
              <w:t>）的建设项目进行风险评价。本次环境风险评价的目的在于识别物料生产、贮存、转运过程中的风险因素及可能诱发的环境问题，以突发性事故导致的危险物质环境急性损害防控为目标，对建设项目的环境风险进行分析、预测和评估，提出环境风险预防、控制、减缓措施，明确环境风险监控及应急建议要求，为建设项目环境风险防控提供科学依据，力求将建设项目的环境风险降至可防控水平。</w:t>
            </w:r>
          </w:p>
          <w:p>
            <w:pPr>
              <w:ind w:firstLine="482"/>
              <w:rPr>
                <w:b/>
                <w:bCs/>
                <w:color w:val="auto"/>
              </w:rPr>
            </w:pPr>
            <w:r>
              <w:rPr>
                <w:rFonts w:hint="eastAsia"/>
                <w:b/>
                <w:bCs/>
                <w:color w:val="auto"/>
                <w:lang w:eastAsia="zh-CN"/>
              </w:rPr>
              <w:t>1.</w:t>
            </w:r>
            <w:r>
              <w:rPr>
                <w:rFonts w:hint="eastAsia"/>
                <w:b/>
                <w:bCs/>
                <w:color w:val="auto"/>
              </w:rPr>
              <w:t>评价等级判定</w:t>
            </w:r>
          </w:p>
          <w:p>
            <w:pPr>
              <w:ind w:firstLine="480"/>
              <w:rPr>
                <w:color w:val="auto"/>
              </w:rPr>
            </w:pPr>
            <w:r>
              <w:rPr>
                <w:rFonts w:hint="eastAsia"/>
                <w:color w:val="auto"/>
              </w:rPr>
              <w:t>（1）危险物质数量与临界量比值（Q）</w:t>
            </w:r>
          </w:p>
          <w:p>
            <w:pPr>
              <w:ind w:firstLine="480"/>
              <w:rPr>
                <w:color w:val="auto"/>
              </w:rPr>
            </w:pPr>
            <w:r>
              <w:rPr>
                <w:rFonts w:hint="eastAsia"/>
                <w:color w:val="auto"/>
              </w:rPr>
              <w:t>根据《建设项目环境风险评价技术导则》（HJ169-2018）附录B和附录C，项目涉及的危险物质为废矿物油及天然气。废矿物油最大存储量为0.1t，本项目设置2辆25m³的CNG槽车，经过卸气软管、泄气柱、汇流排作用后进入CNG瓶组，槽车更换交替工作，本项目设置1台50m³的压缩天然气储瓶用于天然气</w:t>
            </w:r>
            <w:r>
              <w:rPr>
                <w:rFonts w:hint="eastAsia"/>
                <w:color w:val="auto"/>
                <w:lang w:eastAsia="zh-CN"/>
              </w:rPr>
              <w:t>的</w:t>
            </w:r>
            <w:r>
              <w:rPr>
                <w:rFonts w:hint="eastAsia"/>
                <w:color w:val="auto"/>
              </w:rPr>
              <w:t>缓冲罐。则天然气最大存储量为14.4t。则涉及风险物质的最大存储量与其临界量比值，即为Q。</w:t>
            </w:r>
          </w:p>
          <w:p>
            <w:pPr>
              <w:ind w:firstLine="0" w:firstLineChars="0"/>
              <w:jc w:val="center"/>
              <w:rPr>
                <w:b/>
                <w:bCs/>
                <w:color w:val="auto"/>
              </w:rPr>
            </w:pPr>
            <w:r>
              <w:rPr>
                <w:rFonts w:hint="eastAsia"/>
                <w:b/>
                <w:bCs/>
                <w:color w:val="auto"/>
              </w:rPr>
              <w:t>表4-14本项目涉及风险物质Q值计算</w:t>
            </w:r>
          </w:p>
          <w:tbl>
            <w:tblPr>
              <w:tblStyle w:val="21"/>
              <w:tblW w:w="79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43"/>
              <w:gridCol w:w="1493"/>
              <w:gridCol w:w="1966"/>
              <w:gridCol w:w="23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143" w:type="dxa"/>
                  <w:vMerge w:val="restart"/>
                  <w:vAlign w:val="center"/>
                </w:tcPr>
                <w:p>
                  <w:pPr>
                    <w:spacing w:line="240" w:lineRule="auto"/>
                    <w:ind w:firstLine="0" w:firstLineChars="0"/>
                    <w:jc w:val="center"/>
                    <w:rPr>
                      <w:color w:val="auto"/>
                      <w:kern w:val="0"/>
                    </w:rPr>
                  </w:pPr>
                  <w:r>
                    <w:rPr>
                      <w:rFonts w:hint="eastAsia"/>
                      <w:color w:val="auto"/>
                      <w:kern w:val="0"/>
                    </w:rPr>
                    <w:t>危险物质</w:t>
                  </w:r>
                </w:p>
              </w:tc>
              <w:tc>
                <w:tcPr>
                  <w:tcW w:w="3459" w:type="dxa"/>
                  <w:gridSpan w:val="2"/>
                  <w:vAlign w:val="center"/>
                </w:tcPr>
                <w:p>
                  <w:pPr>
                    <w:spacing w:line="240" w:lineRule="auto"/>
                    <w:ind w:firstLine="0" w:firstLineChars="0"/>
                    <w:jc w:val="center"/>
                    <w:rPr>
                      <w:color w:val="auto"/>
                      <w:kern w:val="0"/>
                    </w:rPr>
                  </w:pPr>
                  <w:r>
                    <w:rPr>
                      <w:rFonts w:hint="eastAsia"/>
                      <w:color w:val="auto"/>
                      <w:kern w:val="0"/>
                    </w:rPr>
                    <w:t>生产场所危险物质量</w:t>
                  </w:r>
                </w:p>
              </w:tc>
              <w:tc>
                <w:tcPr>
                  <w:tcW w:w="2317" w:type="dxa"/>
                  <w:vMerge w:val="restart"/>
                  <w:vAlign w:val="center"/>
                </w:tcPr>
                <w:p>
                  <w:pPr>
                    <w:spacing w:line="240" w:lineRule="auto"/>
                    <w:ind w:firstLine="0" w:firstLineChars="0"/>
                    <w:jc w:val="center"/>
                    <w:rPr>
                      <w:color w:val="auto"/>
                      <w:kern w:val="0"/>
                    </w:rPr>
                  </w:pPr>
                  <w:r>
                    <w:rPr>
                      <w:rFonts w:hint="eastAsia"/>
                      <w:color w:val="auto"/>
                      <w:kern w:val="0"/>
                    </w:rPr>
                    <w:t>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143" w:type="dxa"/>
                  <w:vMerge w:val="continue"/>
                  <w:vAlign w:val="center"/>
                </w:tcPr>
                <w:p>
                  <w:pPr>
                    <w:spacing w:line="240" w:lineRule="auto"/>
                    <w:ind w:firstLine="0" w:firstLineChars="0"/>
                    <w:jc w:val="center"/>
                    <w:rPr>
                      <w:color w:val="auto"/>
                      <w:kern w:val="0"/>
                    </w:rPr>
                  </w:pPr>
                </w:p>
              </w:tc>
              <w:tc>
                <w:tcPr>
                  <w:tcW w:w="1493" w:type="dxa"/>
                  <w:vAlign w:val="center"/>
                </w:tcPr>
                <w:p>
                  <w:pPr>
                    <w:spacing w:line="240" w:lineRule="auto"/>
                    <w:ind w:firstLine="0" w:firstLineChars="0"/>
                    <w:jc w:val="center"/>
                    <w:rPr>
                      <w:color w:val="auto"/>
                      <w:kern w:val="0"/>
                    </w:rPr>
                  </w:pPr>
                  <w:r>
                    <w:rPr>
                      <w:rFonts w:hint="eastAsia"/>
                      <w:color w:val="auto"/>
                      <w:kern w:val="0"/>
                    </w:rPr>
                    <w:t>最大存储量（t）</w:t>
                  </w:r>
                </w:p>
              </w:tc>
              <w:tc>
                <w:tcPr>
                  <w:tcW w:w="1966" w:type="dxa"/>
                  <w:vAlign w:val="center"/>
                </w:tcPr>
                <w:p>
                  <w:pPr>
                    <w:spacing w:line="240" w:lineRule="auto"/>
                    <w:ind w:firstLine="0" w:firstLineChars="0"/>
                    <w:jc w:val="center"/>
                    <w:rPr>
                      <w:color w:val="auto"/>
                      <w:kern w:val="0"/>
                    </w:rPr>
                  </w:pPr>
                  <w:r>
                    <w:rPr>
                      <w:rFonts w:hint="eastAsia"/>
                      <w:color w:val="auto"/>
                      <w:kern w:val="0"/>
                    </w:rPr>
                    <w:t>临界量（t）</w:t>
                  </w:r>
                </w:p>
              </w:tc>
              <w:tc>
                <w:tcPr>
                  <w:tcW w:w="2317" w:type="dxa"/>
                  <w:vMerge w:val="continue"/>
                  <w:vAlign w:val="center"/>
                </w:tcPr>
                <w:p>
                  <w:pPr>
                    <w:spacing w:line="240" w:lineRule="auto"/>
                    <w:ind w:firstLine="0" w:firstLineChars="0"/>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143" w:type="dxa"/>
                  <w:vAlign w:val="center"/>
                </w:tcPr>
                <w:p>
                  <w:pPr>
                    <w:spacing w:line="240" w:lineRule="auto"/>
                    <w:ind w:firstLine="0" w:firstLineChars="0"/>
                    <w:jc w:val="center"/>
                    <w:rPr>
                      <w:color w:val="auto"/>
                      <w:kern w:val="0"/>
                    </w:rPr>
                  </w:pPr>
                  <w:r>
                    <w:rPr>
                      <w:rFonts w:hint="eastAsia"/>
                      <w:color w:val="auto"/>
                      <w:kern w:val="0"/>
                    </w:rPr>
                    <w:t>废矿物油</w:t>
                  </w:r>
                </w:p>
              </w:tc>
              <w:tc>
                <w:tcPr>
                  <w:tcW w:w="1493" w:type="dxa"/>
                  <w:vAlign w:val="center"/>
                </w:tcPr>
                <w:p>
                  <w:pPr>
                    <w:spacing w:line="240" w:lineRule="auto"/>
                    <w:ind w:firstLine="0" w:firstLineChars="0"/>
                    <w:jc w:val="center"/>
                    <w:rPr>
                      <w:color w:val="auto"/>
                      <w:kern w:val="0"/>
                    </w:rPr>
                  </w:pPr>
                  <w:r>
                    <w:rPr>
                      <w:rFonts w:hint="eastAsia"/>
                      <w:color w:val="auto"/>
                      <w:kern w:val="0"/>
                    </w:rPr>
                    <w:t>0.1</w:t>
                  </w:r>
                </w:p>
              </w:tc>
              <w:tc>
                <w:tcPr>
                  <w:tcW w:w="1966" w:type="dxa"/>
                  <w:vAlign w:val="center"/>
                </w:tcPr>
                <w:p>
                  <w:pPr>
                    <w:spacing w:line="240" w:lineRule="auto"/>
                    <w:ind w:firstLine="0" w:firstLineChars="0"/>
                    <w:jc w:val="center"/>
                    <w:rPr>
                      <w:color w:val="auto"/>
                      <w:kern w:val="0"/>
                    </w:rPr>
                  </w:pPr>
                  <w:r>
                    <w:rPr>
                      <w:rFonts w:hint="eastAsia"/>
                      <w:color w:val="auto"/>
                      <w:kern w:val="0"/>
                    </w:rPr>
                    <w:t>2500</w:t>
                  </w:r>
                </w:p>
              </w:tc>
              <w:tc>
                <w:tcPr>
                  <w:tcW w:w="2317" w:type="dxa"/>
                  <w:vAlign w:val="center"/>
                </w:tcPr>
                <w:p>
                  <w:pPr>
                    <w:spacing w:line="240" w:lineRule="auto"/>
                    <w:ind w:firstLine="0" w:firstLineChars="0"/>
                    <w:jc w:val="center"/>
                    <w:rPr>
                      <w:color w:val="auto"/>
                      <w:kern w:val="0"/>
                    </w:rPr>
                  </w:pPr>
                  <w:r>
                    <w:rPr>
                      <w:rFonts w:hint="eastAsia"/>
                      <w:color w:val="auto"/>
                      <w:kern w:val="0"/>
                    </w:rPr>
                    <w:t>0.00004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143" w:type="dxa"/>
                  <w:vAlign w:val="center"/>
                </w:tcPr>
                <w:p>
                  <w:pPr>
                    <w:spacing w:line="240" w:lineRule="auto"/>
                    <w:ind w:firstLine="0" w:firstLineChars="0"/>
                    <w:jc w:val="center"/>
                    <w:rPr>
                      <w:color w:val="auto"/>
                      <w:kern w:val="0"/>
                    </w:rPr>
                  </w:pPr>
                  <w:r>
                    <w:rPr>
                      <w:rFonts w:hint="eastAsia"/>
                      <w:color w:val="auto"/>
                      <w:kern w:val="0"/>
                    </w:rPr>
                    <w:t>天然气</w:t>
                  </w:r>
                </w:p>
              </w:tc>
              <w:tc>
                <w:tcPr>
                  <w:tcW w:w="1493" w:type="dxa"/>
                  <w:vAlign w:val="center"/>
                </w:tcPr>
                <w:p>
                  <w:pPr>
                    <w:spacing w:line="240" w:lineRule="auto"/>
                    <w:ind w:firstLine="0" w:firstLineChars="0"/>
                    <w:jc w:val="center"/>
                    <w:rPr>
                      <w:color w:val="auto"/>
                      <w:kern w:val="0"/>
                    </w:rPr>
                  </w:pPr>
                  <w:r>
                    <w:rPr>
                      <w:rFonts w:hint="eastAsia"/>
                      <w:color w:val="auto"/>
                      <w:kern w:val="0"/>
                    </w:rPr>
                    <w:t>14.4</w:t>
                  </w:r>
                </w:p>
              </w:tc>
              <w:tc>
                <w:tcPr>
                  <w:tcW w:w="1966" w:type="dxa"/>
                  <w:vAlign w:val="center"/>
                </w:tcPr>
                <w:p>
                  <w:pPr>
                    <w:spacing w:line="240" w:lineRule="auto"/>
                    <w:ind w:firstLine="0" w:firstLineChars="0"/>
                    <w:jc w:val="center"/>
                    <w:rPr>
                      <w:color w:val="auto"/>
                      <w:kern w:val="0"/>
                    </w:rPr>
                  </w:pPr>
                  <w:r>
                    <w:rPr>
                      <w:rFonts w:hint="eastAsia"/>
                      <w:color w:val="auto"/>
                      <w:kern w:val="0"/>
                    </w:rPr>
                    <w:t>10</w:t>
                  </w:r>
                </w:p>
              </w:tc>
              <w:tc>
                <w:tcPr>
                  <w:tcW w:w="2317" w:type="dxa"/>
                  <w:vAlign w:val="center"/>
                </w:tcPr>
                <w:p>
                  <w:pPr>
                    <w:spacing w:line="240" w:lineRule="auto"/>
                    <w:ind w:firstLine="0" w:firstLineChars="0"/>
                    <w:jc w:val="center"/>
                    <w:rPr>
                      <w:color w:val="auto"/>
                      <w:kern w:val="0"/>
                    </w:rPr>
                  </w:pPr>
                  <w:r>
                    <w:rPr>
                      <w:rFonts w:hint="eastAsia"/>
                      <w:color w:val="auto"/>
                      <w:kern w:val="0"/>
                    </w:rPr>
                    <w:t>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5602" w:type="dxa"/>
                  <w:gridSpan w:val="3"/>
                  <w:vAlign w:val="center"/>
                </w:tcPr>
                <w:p>
                  <w:pPr>
                    <w:spacing w:line="240" w:lineRule="auto"/>
                    <w:ind w:firstLine="0" w:firstLineChars="0"/>
                    <w:jc w:val="center"/>
                    <w:rPr>
                      <w:color w:val="auto"/>
                      <w:kern w:val="0"/>
                    </w:rPr>
                  </w:pPr>
                  <w:r>
                    <w:rPr>
                      <w:rFonts w:hint="eastAsia"/>
                      <w:color w:val="auto"/>
                      <w:kern w:val="0"/>
                    </w:rPr>
                    <w:t>总计</w:t>
                  </w:r>
                </w:p>
              </w:tc>
              <w:tc>
                <w:tcPr>
                  <w:tcW w:w="2317" w:type="dxa"/>
                  <w:vAlign w:val="center"/>
                </w:tcPr>
                <w:p>
                  <w:pPr>
                    <w:spacing w:line="240" w:lineRule="auto"/>
                    <w:ind w:firstLine="0" w:firstLineChars="0"/>
                    <w:jc w:val="center"/>
                    <w:rPr>
                      <w:color w:val="auto"/>
                      <w:kern w:val="0"/>
                    </w:rPr>
                  </w:pPr>
                  <w:r>
                    <w:rPr>
                      <w:rFonts w:hint="eastAsia"/>
                      <w:color w:val="auto"/>
                      <w:kern w:val="0"/>
                    </w:rPr>
                    <w:t>1.44004</w:t>
                  </w:r>
                </w:p>
              </w:tc>
            </w:tr>
          </w:tbl>
          <w:p>
            <w:pPr>
              <w:ind w:firstLine="480"/>
              <w:rPr>
                <w:color w:val="auto"/>
              </w:rPr>
            </w:pPr>
            <w:r>
              <w:rPr>
                <w:rFonts w:hint="eastAsia"/>
                <w:color w:val="auto"/>
              </w:rPr>
              <w:t>根据《建设项目环境风险评价技术导则》（HJ169-2018）附录B中C.1.1，项目风险物质总计1≤Q=1.44004＜10。</w:t>
            </w:r>
          </w:p>
          <w:p>
            <w:pPr>
              <w:ind w:firstLine="480"/>
              <w:rPr>
                <w:color w:val="auto"/>
              </w:rPr>
            </w:pPr>
            <w:r>
              <w:rPr>
                <w:rFonts w:hint="eastAsia"/>
                <w:color w:val="auto"/>
              </w:rPr>
              <w:t>（2）</w:t>
            </w:r>
            <w:r>
              <w:rPr>
                <w:color w:val="auto"/>
              </w:rPr>
              <w:t>危险物质及工艺系统危险性（P）分级</w:t>
            </w:r>
          </w:p>
          <w:p>
            <w:pPr>
              <w:ind w:firstLine="480"/>
              <w:rPr>
                <w:color w:val="auto"/>
              </w:rPr>
            </w:pPr>
            <w:r>
              <w:rPr>
                <w:color w:val="auto"/>
              </w:rPr>
              <w:t>根据危险物质数量与临界量比值（Q）和行业及生产工艺（M），按照表</w:t>
            </w:r>
            <w:r>
              <w:rPr>
                <w:rFonts w:hint="eastAsia"/>
                <w:color w:val="auto"/>
              </w:rPr>
              <w:t>4-15</w:t>
            </w:r>
            <w:r>
              <w:rPr>
                <w:color w:val="auto"/>
              </w:rPr>
              <w:t>确定危险物质及工艺系统危险性等级（P）。</w:t>
            </w:r>
          </w:p>
          <w:p>
            <w:pPr>
              <w:ind w:firstLine="0" w:firstLineChars="0"/>
              <w:jc w:val="center"/>
              <w:rPr>
                <w:b/>
                <w:bCs/>
                <w:color w:val="auto"/>
              </w:rPr>
            </w:pPr>
            <w:r>
              <w:rPr>
                <w:b/>
                <w:bCs/>
                <w:color w:val="auto"/>
              </w:rPr>
              <w:t>表</w:t>
            </w:r>
            <w:r>
              <w:rPr>
                <w:rFonts w:hint="eastAsia"/>
                <w:b/>
                <w:bCs/>
                <w:color w:val="auto"/>
              </w:rPr>
              <w:t>4-15</w:t>
            </w:r>
            <w:r>
              <w:rPr>
                <w:b/>
                <w:bCs/>
                <w:color w:val="auto"/>
              </w:rPr>
              <w:t>危险物质及工艺系统危险性等级判断（P）</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9"/>
              <w:gridCol w:w="1559"/>
              <w:gridCol w:w="1559"/>
              <w:gridCol w:w="1560"/>
              <w:gridCol w:w="15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559" w:type="dxa"/>
                  <w:vMerge w:val="restart"/>
                  <w:tcBorders>
                    <w:tl2br w:val="nil"/>
                    <w:tr2bl w:val="nil"/>
                  </w:tcBorders>
                  <w:vAlign w:val="center"/>
                </w:tcPr>
                <w:p>
                  <w:pPr>
                    <w:spacing w:line="240" w:lineRule="auto"/>
                    <w:ind w:firstLine="0" w:firstLineChars="0"/>
                    <w:jc w:val="center"/>
                    <w:rPr>
                      <w:color w:val="auto"/>
                    </w:rPr>
                  </w:pPr>
                  <w:r>
                    <w:rPr>
                      <w:color w:val="auto"/>
                    </w:rPr>
                    <w:t>危险物质数量与临界量比值（Q）</w:t>
                  </w:r>
                </w:p>
              </w:tc>
              <w:tc>
                <w:tcPr>
                  <w:tcW w:w="6240" w:type="dxa"/>
                  <w:gridSpan w:val="4"/>
                  <w:tcBorders>
                    <w:tl2br w:val="nil"/>
                    <w:tr2bl w:val="nil"/>
                  </w:tcBorders>
                  <w:vAlign w:val="center"/>
                </w:tcPr>
                <w:p>
                  <w:pPr>
                    <w:spacing w:line="240" w:lineRule="auto"/>
                    <w:ind w:firstLine="0" w:firstLineChars="0"/>
                    <w:jc w:val="center"/>
                    <w:rPr>
                      <w:color w:val="auto"/>
                    </w:rPr>
                  </w:pPr>
                  <w:r>
                    <w:rPr>
                      <w:color w:val="auto"/>
                    </w:rPr>
                    <w:t>行业及生产工艺（M）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trPr>
              <w:tc>
                <w:tcPr>
                  <w:tcW w:w="1559" w:type="dxa"/>
                  <w:vMerge w:val="continue"/>
                  <w:tcBorders>
                    <w:tl2br w:val="nil"/>
                    <w:tr2bl w:val="nil"/>
                  </w:tcBorders>
                  <w:vAlign w:val="center"/>
                </w:tcPr>
                <w:p>
                  <w:pPr>
                    <w:spacing w:line="240" w:lineRule="auto"/>
                    <w:ind w:firstLine="0" w:firstLineChars="0"/>
                    <w:jc w:val="center"/>
                    <w:rPr>
                      <w:color w:val="auto"/>
                    </w:rPr>
                  </w:pPr>
                </w:p>
              </w:tc>
              <w:tc>
                <w:tcPr>
                  <w:tcW w:w="1559" w:type="dxa"/>
                  <w:tcBorders>
                    <w:tl2br w:val="nil"/>
                    <w:tr2bl w:val="nil"/>
                  </w:tcBorders>
                  <w:vAlign w:val="center"/>
                </w:tcPr>
                <w:p>
                  <w:pPr>
                    <w:spacing w:line="240" w:lineRule="auto"/>
                    <w:ind w:firstLine="0" w:firstLineChars="0"/>
                    <w:jc w:val="center"/>
                    <w:rPr>
                      <w:color w:val="auto"/>
                    </w:rPr>
                  </w:pPr>
                  <w:r>
                    <w:rPr>
                      <w:color w:val="auto"/>
                    </w:rPr>
                    <w:t>M1</w:t>
                  </w:r>
                </w:p>
              </w:tc>
              <w:tc>
                <w:tcPr>
                  <w:tcW w:w="1559" w:type="dxa"/>
                  <w:tcBorders>
                    <w:tl2br w:val="nil"/>
                    <w:tr2bl w:val="nil"/>
                  </w:tcBorders>
                  <w:vAlign w:val="center"/>
                </w:tcPr>
                <w:p>
                  <w:pPr>
                    <w:spacing w:line="240" w:lineRule="auto"/>
                    <w:ind w:firstLine="0" w:firstLineChars="0"/>
                    <w:jc w:val="center"/>
                    <w:rPr>
                      <w:color w:val="auto"/>
                    </w:rPr>
                  </w:pPr>
                  <w:r>
                    <w:rPr>
                      <w:color w:val="auto"/>
                    </w:rPr>
                    <w:t>M2</w:t>
                  </w:r>
                </w:p>
              </w:tc>
              <w:tc>
                <w:tcPr>
                  <w:tcW w:w="1560" w:type="dxa"/>
                  <w:tcBorders>
                    <w:tl2br w:val="nil"/>
                    <w:tr2bl w:val="nil"/>
                  </w:tcBorders>
                  <w:vAlign w:val="center"/>
                </w:tcPr>
                <w:p>
                  <w:pPr>
                    <w:spacing w:line="240" w:lineRule="auto"/>
                    <w:ind w:firstLine="0" w:firstLineChars="0"/>
                    <w:jc w:val="center"/>
                    <w:rPr>
                      <w:color w:val="auto"/>
                    </w:rPr>
                  </w:pPr>
                  <w:r>
                    <w:rPr>
                      <w:color w:val="auto"/>
                    </w:rPr>
                    <w:t>M</w:t>
                  </w:r>
                  <w:r>
                    <w:rPr>
                      <w:rFonts w:hint="eastAsia"/>
                      <w:color w:val="auto"/>
                    </w:rPr>
                    <w:t>3</w:t>
                  </w:r>
                </w:p>
              </w:tc>
              <w:tc>
                <w:tcPr>
                  <w:tcW w:w="1562" w:type="dxa"/>
                  <w:tcBorders>
                    <w:tl2br w:val="nil"/>
                    <w:tr2bl w:val="nil"/>
                  </w:tcBorders>
                  <w:vAlign w:val="center"/>
                </w:tcPr>
                <w:p>
                  <w:pPr>
                    <w:spacing w:line="240" w:lineRule="auto"/>
                    <w:ind w:firstLine="0" w:firstLineChars="0"/>
                    <w:jc w:val="center"/>
                    <w:rPr>
                      <w:color w:val="auto"/>
                    </w:rPr>
                  </w:pPr>
                  <w:r>
                    <w:rPr>
                      <w:color w:val="auto"/>
                    </w:rPr>
                    <w:t>M4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1559" w:type="dxa"/>
                  <w:tcBorders>
                    <w:tl2br w:val="nil"/>
                    <w:tr2bl w:val="nil"/>
                  </w:tcBorders>
                  <w:vAlign w:val="center"/>
                </w:tcPr>
                <w:p>
                  <w:pPr>
                    <w:spacing w:line="240" w:lineRule="auto"/>
                    <w:ind w:firstLine="0" w:firstLineChars="0"/>
                    <w:jc w:val="center"/>
                    <w:rPr>
                      <w:color w:val="auto"/>
                    </w:rPr>
                  </w:pPr>
                  <w:r>
                    <w:rPr>
                      <w:color w:val="auto"/>
                    </w:rPr>
                    <w:t>Q≥100</w:t>
                  </w:r>
                </w:p>
              </w:tc>
              <w:tc>
                <w:tcPr>
                  <w:tcW w:w="1559" w:type="dxa"/>
                  <w:tcBorders>
                    <w:tl2br w:val="nil"/>
                    <w:tr2bl w:val="nil"/>
                  </w:tcBorders>
                  <w:vAlign w:val="center"/>
                </w:tcPr>
                <w:p>
                  <w:pPr>
                    <w:spacing w:line="240" w:lineRule="auto"/>
                    <w:ind w:firstLine="0" w:firstLineChars="0"/>
                    <w:jc w:val="center"/>
                    <w:rPr>
                      <w:color w:val="auto"/>
                    </w:rPr>
                  </w:pPr>
                  <w:r>
                    <w:rPr>
                      <w:color w:val="auto"/>
                    </w:rPr>
                    <w:t>P1</w:t>
                  </w:r>
                </w:p>
              </w:tc>
              <w:tc>
                <w:tcPr>
                  <w:tcW w:w="1559" w:type="dxa"/>
                  <w:tcBorders>
                    <w:tl2br w:val="nil"/>
                    <w:tr2bl w:val="nil"/>
                  </w:tcBorders>
                  <w:vAlign w:val="center"/>
                </w:tcPr>
                <w:p>
                  <w:pPr>
                    <w:spacing w:line="240" w:lineRule="auto"/>
                    <w:ind w:firstLine="0" w:firstLineChars="0"/>
                    <w:jc w:val="center"/>
                    <w:rPr>
                      <w:color w:val="auto"/>
                    </w:rPr>
                  </w:pPr>
                  <w:r>
                    <w:rPr>
                      <w:color w:val="auto"/>
                    </w:rPr>
                    <w:t>P1</w:t>
                  </w:r>
                </w:p>
              </w:tc>
              <w:tc>
                <w:tcPr>
                  <w:tcW w:w="1560" w:type="dxa"/>
                  <w:tcBorders>
                    <w:tl2br w:val="nil"/>
                    <w:tr2bl w:val="nil"/>
                  </w:tcBorders>
                  <w:vAlign w:val="center"/>
                </w:tcPr>
                <w:p>
                  <w:pPr>
                    <w:spacing w:line="240" w:lineRule="auto"/>
                    <w:ind w:firstLine="0" w:firstLineChars="0"/>
                    <w:jc w:val="center"/>
                    <w:rPr>
                      <w:color w:val="auto"/>
                    </w:rPr>
                  </w:pPr>
                  <w:r>
                    <w:rPr>
                      <w:color w:val="auto"/>
                    </w:rPr>
                    <w:t>P2</w:t>
                  </w:r>
                </w:p>
              </w:tc>
              <w:tc>
                <w:tcPr>
                  <w:tcW w:w="1562" w:type="dxa"/>
                  <w:tcBorders>
                    <w:tl2br w:val="nil"/>
                    <w:tr2bl w:val="nil"/>
                  </w:tcBorders>
                  <w:vAlign w:val="center"/>
                </w:tcPr>
                <w:p>
                  <w:pPr>
                    <w:spacing w:line="240" w:lineRule="auto"/>
                    <w:ind w:firstLine="0" w:firstLineChars="0"/>
                    <w:jc w:val="center"/>
                    <w:rPr>
                      <w:color w:val="auto"/>
                    </w:rPr>
                  </w:pPr>
                  <w:r>
                    <w:rPr>
                      <w:color w:val="auto"/>
                    </w:rPr>
                    <w:t>P3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559" w:type="dxa"/>
                  <w:tcBorders>
                    <w:tl2br w:val="nil"/>
                    <w:tr2bl w:val="nil"/>
                  </w:tcBorders>
                  <w:vAlign w:val="center"/>
                </w:tcPr>
                <w:p>
                  <w:pPr>
                    <w:spacing w:line="240" w:lineRule="auto"/>
                    <w:ind w:firstLine="0" w:firstLineChars="0"/>
                    <w:jc w:val="center"/>
                    <w:rPr>
                      <w:color w:val="auto"/>
                    </w:rPr>
                  </w:pPr>
                  <w:r>
                    <w:rPr>
                      <w:color w:val="auto"/>
                    </w:rPr>
                    <w:t>10≤Q＜100</w:t>
                  </w:r>
                </w:p>
              </w:tc>
              <w:tc>
                <w:tcPr>
                  <w:tcW w:w="1559" w:type="dxa"/>
                  <w:tcBorders>
                    <w:tl2br w:val="nil"/>
                    <w:tr2bl w:val="nil"/>
                  </w:tcBorders>
                  <w:vAlign w:val="center"/>
                </w:tcPr>
                <w:p>
                  <w:pPr>
                    <w:spacing w:line="240" w:lineRule="auto"/>
                    <w:ind w:firstLine="0" w:firstLineChars="0"/>
                    <w:jc w:val="center"/>
                    <w:rPr>
                      <w:color w:val="auto"/>
                    </w:rPr>
                  </w:pPr>
                  <w:r>
                    <w:rPr>
                      <w:color w:val="auto"/>
                    </w:rPr>
                    <w:t>P1</w:t>
                  </w:r>
                </w:p>
              </w:tc>
              <w:tc>
                <w:tcPr>
                  <w:tcW w:w="1559" w:type="dxa"/>
                  <w:tcBorders>
                    <w:tl2br w:val="nil"/>
                    <w:tr2bl w:val="nil"/>
                  </w:tcBorders>
                  <w:vAlign w:val="center"/>
                </w:tcPr>
                <w:p>
                  <w:pPr>
                    <w:spacing w:line="240" w:lineRule="auto"/>
                    <w:ind w:firstLine="0" w:firstLineChars="0"/>
                    <w:jc w:val="center"/>
                    <w:rPr>
                      <w:color w:val="auto"/>
                    </w:rPr>
                  </w:pPr>
                  <w:r>
                    <w:rPr>
                      <w:color w:val="auto"/>
                    </w:rPr>
                    <w:t>P2</w:t>
                  </w:r>
                </w:p>
              </w:tc>
              <w:tc>
                <w:tcPr>
                  <w:tcW w:w="1560" w:type="dxa"/>
                  <w:tcBorders>
                    <w:tl2br w:val="nil"/>
                    <w:tr2bl w:val="nil"/>
                  </w:tcBorders>
                  <w:vAlign w:val="center"/>
                </w:tcPr>
                <w:p>
                  <w:pPr>
                    <w:spacing w:line="240" w:lineRule="auto"/>
                    <w:ind w:firstLine="0" w:firstLineChars="0"/>
                    <w:jc w:val="center"/>
                    <w:rPr>
                      <w:color w:val="auto"/>
                    </w:rPr>
                  </w:pPr>
                  <w:r>
                    <w:rPr>
                      <w:color w:val="auto"/>
                    </w:rPr>
                    <w:t>P3</w:t>
                  </w:r>
                </w:p>
              </w:tc>
              <w:tc>
                <w:tcPr>
                  <w:tcW w:w="1562" w:type="dxa"/>
                  <w:tcBorders>
                    <w:tl2br w:val="nil"/>
                    <w:tr2bl w:val="nil"/>
                  </w:tcBorders>
                  <w:vAlign w:val="center"/>
                </w:tcPr>
                <w:p>
                  <w:pPr>
                    <w:spacing w:line="240" w:lineRule="auto"/>
                    <w:ind w:firstLine="0" w:firstLineChars="0"/>
                    <w:jc w:val="center"/>
                    <w:rPr>
                      <w:color w:val="auto"/>
                    </w:rPr>
                  </w:pPr>
                  <w:r>
                    <w:rPr>
                      <w:color w:val="auto"/>
                    </w:rPr>
                    <w:t>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1559" w:type="dxa"/>
                  <w:tcBorders>
                    <w:tl2br w:val="nil"/>
                    <w:tr2bl w:val="nil"/>
                  </w:tcBorders>
                  <w:vAlign w:val="center"/>
                </w:tcPr>
                <w:p>
                  <w:pPr>
                    <w:spacing w:line="240" w:lineRule="auto"/>
                    <w:ind w:firstLine="0" w:firstLineChars="0"/>
                    <w:jc w:val="center"/>
                    <w:rPr>
                      <w:color w:val="auto"/>
                    </w:rPr>
                  </w:pPr>
                  <w:r>
                    <w:rPr>
                      <w:color w:val="auto"/>
                    </w:rPr>
                    <w:t>1≤Q＜10</w:t>
                  </w:r>
                </w:p>
              </w:tc>
              <w:tc>
                <w:tcPr>
                  <w:tcW w:w="1559" w:type="dxa"/>
                  <w:tcBorders>
                    <w:tl2br w:val="nil"/>
                    <w:tr2bl w:val="nil"/>
                  </w:tcBorders>
                  <w:vAlign w:val="center"/>
                </w:tcPr>
                <w:p>
                  <w:pPr>
                    <w:spacing w:line="240" w:lineRule="auto"/>
                    <w:ind w:firstLine="0" w:firstLineChars="0"/>
                    <w:jc w:val="center"/>
                    <w:rPr>
                      <w:color w:val="auto"/>
                    </w:rPr>
                  </w:pPr>
                  <w:r>
                    <w:rPr>
                      <w:color w:val="auto"/>
                    </w:rPr>
                    <w:t>P2</w:t>
                  </w:r>
                </w:p>
              </w:tc>
              <w:tc>
                <w:tcPr>
                  <w:tcW w:w="1559" w:type="dxa"/>
                  <w:tcBorders>
                    <w:tl2br w:val="nil"/>
                    <w:tr2bl w:val="nil"/>
                  </w:tcBorders>
                  <w:vAlign w:val="center"/>
                </w:tcPr>
                <w:p>
                  <w:pPr>
                    <w:spacing w:line="240" w:lineRule="auto"/>
                    <w:ind w:firstLine="0" w:firstLineChars="0"/>
                    <w:jc w:val="center"/>
                    <w:rPr>
                      <w:color w:val="auto"/>
                    </w:rPr>
                  </w:pPr>
                  <w:r>
                    <w:rPr>
                      <w:color w:val="auto"/>
                    </w:rPr>
                    <w:t>P3</w:t>
                  </w:r>
                </w:p>
              </w:tc>
              <w:tc>
                <w:tcPr>
                  <w:tcW w:w="1560" w:type="dxa"/>
                  <w:tcBorders>
                    <w:tl2br w:val="nil"/>
                    <w:tr2bl w:val="nil"/>
                  </w:tcBorders>
                  <w:vAlign w:val="center"/>
                </w:tcPr>
                <w:p>
                  <w:pPr>
                    <w:spacing w:line="240" w:lineRule="auto"/>
                    <w:ind w:firstLine="0" w:firstLineChars="0"/>
                    <w:jc w:val="center"/>
                    <w:rPr>
                      <w:b/>
                      <w:bCs/>
                      <w:color w:val="auto"/>
                    </w:rPr>
                  </w:pPr>
                  <w:r>
                    <w:rPr>
                      <w:b/>
                      <w:bCs/>
                      <w:color w:val="auto"/>
                    </w:rPr>
                    <w:t>P4</w:t>
                  </w:r>
                </w:p>
              </w:tc>
              <w:tc>
                <w:tcPr>
                  <w:tcW w:w="1562" w:type="dxa"/>
                  <w:tcBorders>
                    <w:tl2br w:val="nil"/>
                    <w:tr2bl w:val="nil"/>
                  </w:tcBorders>
                  <w:vAlign w:val="center"/>
                </w:tcPr>
                <w:p>
                  <w:pPr>
                    <w:spacing w:line="240" w:lineRule="auto"/>
                    <w:ind w:firstLine="0" w:firstLineChars="0"/>
                    <w:jc w:val="center"/>
                    <w:rPr>
                      <w:color w:val="auto"/>
                    </w:rPr>
                  </w:pPr>
                  <w:r>
                    <w:rPr>
                      <w:color w:val="auto"/>
                    </w:rPr>
                    <w:t>P4</w:t>
                  </w:r>
                </w:p>
              </w:tc>
            </w:tr>
          </w:tbl>
          <w:p>
            <w:pPr>
              <w:ind w:firstLine="480"/>
              <w:rPr>
                <w:color w:val="auto"/>
              </w:rPr>
            </w:pPr>
            <w:r>
              <w:rPr>
                <w:rFonts w:hint="eastAsia"/>
                <w:color w:val="auto"/>
              </w:rPr>
              <w:t>（3）</w:t>
            </w:r>
            <w:r>
              <w:rPr>
                <w:color w:val="auto"/>
              </w:rPr>
              <w:t>行业及生产工艺</w:t>
            </w:r>
          </w:p>
          <w:p>
            <w:pPr>
              <w:ind w:firstLine="480"/>
              <w:rPr>
                <w:color w:val="auto"/>
              </w:rPr>
            </w:pPr>
            <w:r>
              <w:rPr>
                <w:color w:val="auto"/>
              </w:rPr>
              <w:t>根据项目所属行业及生产工艺特点，按照表3.2-3评估生产工艺情况。具有多套工艺单元的项目，对每套生产工艺分别评分并求和，将M划分为：（1）M＞20；（2）10＜M≤20；（3）5＜M≤10；（4）M=5，分别以M1、M2、M</w:t>
            </w:r>
            <w:r>
              <w:rPr>
                <w:rFonts w:hint="eastAsia"/>
                <w:color w:val="auto"/>
              </w:rPr>
              <w:t>3</w:t>
            </w:r>
            <w:r>
              <w:rPr>
                <w:color w:val="auto"/>
              </w:rPr>
              <w:t>和M4表示。</w:t>
            </w:r>
          </w:p>
          <w:p>
            <w:pPr>
              <w:ind w:firstLine="0" w:firstLineChars="0"/>
              <w:jc w:val="center"/>
              <w:rPr>
                <w:b/>
                <w:bCs/>
                <w:color w:val="auto"/>
              </w:rPr>
            </w:pPr>
            <w:r>
              <w:rPr>
                <w:b/>
                <w:bCs/>
                <w:color w:val="auto"/>
              </w:rPr>
              <w:t>表</w:t>
            </w:r>
            <w:r>
              <w:rPr>
                <w:rFonts w:hint="eastAsia"/>
                <w:b/>
                <w:bCs/>
                <w:color w:val="auto"/>
              </w:rPr>
              <w:t>4-16</w:t>
            </w:r>
            <w:r>
              <w:rPr>
                <w:b/>
                <w:bCs/>
                <w:color w:val="auto"/>
              </w:rPr>
              <w:t>行业及生产工艺（M）</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7"/>
              <w:gridCol w:w="4782"/>
              <w:gridCol w:w="14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pct"/>
                  <w:tcBorders>
                    <w:tl2br w:val="nil"/>
                    <w:tr2bl w:val="nil"/>
                  </w:tcBorders>
                  <w:vAlign w:val="center"/>
                </w:tcPr>
                <w:p>
                  <w:pPr>
                    <w:spacing w:line="240" w:lineRule="auto"/>
                    <w:ind w:firstLine="0" w:firstLineChars="0"/>
                    <w:rPr>
                      <w:color w:val="auto"/>
                    </w:rPr>
                  </w:pPr>
                  <w:r>
                    <w:rPr>
                      <w:color w:val="auto"/>
                    </w:rPr>
                    <w:t>行业</w:t>
                  </w:r>
                </w:p>
              </w:tc>
              <w:tc>
                <w:tcPr>
                  <w:tcW w:w="3014" w:type="pct"/>
                  <w:tcBorders>
                    <w:tl2br w:val="nil"/>
                    <w:tr2bl w:val="nil"/>
                  </w:tcBorders>
                  <w:vAlign w:val="center"/>
                </w:tcPr>
                <w:p>
                  <w:pPr>
                    <w:spacing w:line="240" w:lineRule="auto"/>
                    <w:ind w:firstLine="0" w:firstLineChars="0"/>
                    <w:rPr>
                      <w:color w:val="auto"/>
                    </w:rPr>
                  </w:pPr>
                  <w:r>
                    <w:rPr>
                      <w:color w:val="auto"/>
                    </w:rPr>
                    <w:t>评估依据</w:t>
                  </w:r>
                </w:p>
              </w:tc>
              <w:tc>
                <w:tcPr>
                  <w:tcW w:w="890" w:type="pct"/>
                  <w:tcBorders>
                    <w:tl2br w:val="nil"/>
                    <w:tr2bl w:val="nil"/>
                  </w:tcBorders>
                  <w:vAlign w:val="center"/>
                </w:tcPr>
                <w:p>
                  <w:pPr>
                    <w:spacing w:line="240" w:lineRule="auto"/>
                    <w:ind w:firstLine="0" w:firstLineChars="0"/>
                    <w:rPr>
                      <w:color w:val="auto"/>
                    </w:rPr>
                  </w:pPr>
                  <w:r>
                    <w:rPr>
                      <w:color w:val="auto"/>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pct"/>
                  <w:vMerge w:val="restart"/>
                  <w:tcBorders>
                    <w:tl2br w:val="nil"/>
                    <w:tr2bl w:val="nil"/>
                  </w:tcBorders>
                  <w:vAlign w:val="center"/>
                </w:tcPr>
                <w:p>
                  <w:pPr>
                    <w:spacing w:line="240" w:lineRule="auto"/>
                    <w:ind w:firstLine="0" w:firstLineChars="0"/>
                    <w:rPr>
                      <w:color w:val="auto"/>
                    </w:rPr>
                  </w:pPr>
                  <w:r>
                    <w:rPr>
                      <w:color w:val="auto"/>
                    </w:rPr>
                    <w:t>石化、化工、医药、轻工、化纤、有色冶炼等</w:t>
                  </w:r>
                </w:p>
              </w:tc>
              <w:tc>
                <w:tcPr>
                  <w:tcW w:w="3014" w:type="pct"/>
                  <w:tcBorders>
                    <w:tl2br w:val="nil"/>
                    <w:tr2bl w:val="nil"/>
                  </w:tcBorders>
                  <w:vAlign w:val="center"/>
                </w:tcPr>
                <w:p>
                  <w:pPr>
                    <w:spacing w:line="240" w:lineRule="auto"/>
                    <w:ind w:firstLine="0" w:firstLineChars="0"/>
                    <w:rPr>
                      <w:color w:val="auto"/>
                    </w:rPr>
                  </w:pPr>
                  <w:r>
                    <w:rPr>
                      <w:color w:val="auto"/>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890" w:type="pct"/>
                  <w:tcBorders>
                    <w:tl2br w:val="nil"/>
                    <w:tr2bl w:val="nil"/>
                  </w:tcBorders>
                  <w:vAlign w:val="center"/>
                </w:tcPr>
                <w:p>
                  <w:pPr>
                    <w:spacing w:line="240" w:lineRule="auto"/>
                    <w:ind w:firstLine="0" w:firstLineChars="0"/>
                    <w:rPr>
                      <w:color w:val="auto"/>
                    </w:rPr>
                  </w:pPr>
                  <w:r>
                    <w:rPr>
                      <w:color w:val="auto"/>
                    </w:rPr>
                    <w:t>10/套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pct"/>
                  <w:vMerge w:val="continue"/>
                  <w:tcBorders>
                    <w:tl2br w:val="nil"/>
                    <w:tr2bl w:val="nil"/>
                  </w:tcBorders>
                  <w:vAlign w:val="center"/>
                </w:tcPr>
                <w:p>
                  <w:pPr>
                    <w:spacing w:line="240" w:lineRule="auto"/>
                    <w:ind w:firstLine="0" w:firstLineChars="0"/>
                    <w:rPr>
                      <w:color w:val="auto"/>
                    </w:rPr>
                  </w:pPr>
                </w:p>
              </w:tc>
              <w:tc>
                <w:tcPr>
                  <w:tcW w:w="3014" w:type="pct"/>
                  <w:tcBorders>
                    <w:tl2br w:val="nil"/>
                    <w:tr2bl w:val="nil"/>
                  </w:tcBorders>
                  <w:vAlign w:val="center"/>
                </w:tcPr>
                <w:p>
                  <w:pPr>
                    <w:spacing w:line="240" w:lineRule="auto"/>
                    <w:ind w:firstLine="0" w:firstLineChars="0"/>
                    <w:rPr>
                      <w:color w:val="auto"/>
                    </w:rPr>
                  </w:pPr>
                  <w:r>
                    <w:rPr>
                      <w:color w:val="auto"/>
                    </w:rPr>
                    <w:t>无机酸制酸工艺、焦化工艺</w:t>
                  </w:r>
                </w:p>
              </w:tc>
              <w:tc>
                <w:tcPr>
                  <w:tcW w:w="890" w:type="pct"/>
                  <w:tcBorders>
                    <w:tl2br w:val="nil"/>
                    <w:tr2bl w:val="nil"/>
                  </w:tcBorders>
                  <w:vAlign w:val="center"/>
                </w:tcPr>
                <w:p>
                  <w:pPr>
                    <w:spacing w:line="240" w:lineRule="auto"/>
                    <w:ind w:firstLine="0" w:firstLineChars="0"/>
                    <w:rPr>
                      <w:color w:val="auto"/>
                    </w:rPr>
                  </w:pPr>
                  <w:r>
                    <w:rPr>
                      <w:color w:val="auto"/>
                    </w:rPr>
                    <w:t>5/套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95" w:type="pct"/>
                  <w:vMerge w:val="continue"/>
                  <w:tcBorders>
                    <w:tl2br w:val="nil"/>
                    <w:tr2bl w:val="nil"/>
                  </w:tcBorders>
                  <w:vAlign w:val="center"/>
                </w:tcPr>
                <w:p>
                  <w:pPr>
                    <w:spacing w:line="240" w:lineRule="auto"/>
                    <w:ind w:firstLine="0" w:firstLineChars="0"/>
                    <w:rPr>
                      <w:color w:val="auto"/>
                    </w:rPr>
                  </w:pPr>
                </w:p>
              </w:tc>
              <w:tc>
                <w:tcPr>
                  <w:tcW w:w="3014" w:type="pct"/>
                  <w:tcBorders>
                    <w:tl2br w:val="nil"/>
                    <w:tr2bl w:val="nil"/>
                  </w:tcBorders>
                  <w:vAlign w:val="center"/>
                </w:tcPr>
                <w:p>
                  <w:pPr>
                    <w:spacing w:line="240" w:lineRule="auto"/>
                    <w:ind w:firstLine="0" w:firstLineChars="0"/>
                    <w:rPr>
                      <w:color w:val="auto"/>
                    </w:rPr>
                  </w:pPr>
                  <w:r>
                    <w:rPr>
                      <w:color w:val="auto"/>
                    </w:rPr>
                    <w:t>其他高温或高压，且涉及危险物质的工艺过程a、危险物质贮存罐区</w:t>
                  </w:r>
                </w:p>
              </w:tc>
              <w:tc>
                <w:tcPr>
                  <w:tcW w:w="890" w:type="pct"/>
                  <w:tcBorders>
                    <w:tl2br w:val="nil"/>
                    <w:tr2bl w:val="nil"/>
                  </w:tcBorders>
                  <w:vAlign w:val="center"/>
                </w:tcPr>
                <w:p>
                  <w:pPr>
                    <w:spacing w:line="240" w:lineRule="auto"/>
                    <w:ind w:firstLine="0" w:firstLineChars="0"/>
                    <w:rPr>
                      <w:color w:val="auto"/>
                    </w:rPr>
                  </w:pPr>
                  <w:r>
                    <w:rPr>
                      <w:color w:val="auto"/>
                    </w:rPr>
                    <w:t>5/套（罐区）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pct"/>
                  <w:tcBorders>
                    <w:tl2br w:val="nil"/>
                    <w:tr2bl w:val="nil"/>
                  </w:tcBorders>
                  <w:vAlign w:val="center"/>
                </w:tcPr>
                <w:p>
                  <w:pPr>
                    <w:spacing w:line="240" w:lineRule="auto"/>
                    <w:ind w:firstLine="0" w:firstLineChars="0"/>
                    <w:rPr>
                      <w:color w:val="auto"/>
                    </w:rPr>
                  </w:pPr>
                  <w:r>
                    <w:rPr>
                      <w:color w:val="auto"/>
                    </w:rPr>
                    <w:t>管道、港口/码头等</w:t>
                  </w:r>
                </w:p>
              </w:tc>
              <w:tc>
                <w:tcPr>
                  <w:tcW w:w="3014" w:type="pct"/>
                  <w:tcBorders>
                    <w:tl2br w:val="nil"/>
                    <w:tr2bl w:val="nil"/>
                  </w:tcBorders>
                  <w:vAlign w:val="center"/>
                </w:tcPr>
                <w:p>
                  <w:pPr>
                    <w:spacing w:line="240" w:lineRule="auto"/>
                    <w:ind w:firstLine="0" w:firstLineChars="0"/>
                    <w:rPr>
                      <w:color w:val="auto"/>
                    </w:rPr>
                  </w:pPr>
                  <w:r>
                    <w:rPr>
                      <w:color w:val="auto"/>
                    </w:rPr>
                    <w:t>涉及危险物质管道运输项目、港口/码头等</w:t>
                  </w:r>
                </w:p>
              </w:tc>
              <w:tc>
                <w:tcPr>
                  <w:tcW w:w="890" w:type="pct"/>
                  <w:tcBorders>
                    <w:tl2br w:val="nil"/>
                    <w:tr2bl w:val="nil"/>
                  </w:tcBorders>
                  <w:vAlign w:val="center"/>
                </w:tcPr>
                <w:p>
                  <w:pPr>
                    <w:spacing w:line="240" w:lineRule="auto"/>
                    <w:ind w:firstLine="0" w:firstLineChars="0"/>
                    <w:rPr>
                      <w:color w:val="auto"/>
                    </w:rPr>
                  </w:pPr>
                  <w:r>
                    <w:rPr>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pct"/>
                  <w:tcBorders>
                    <w:tl2br w:val="nil"/>
                    <w:tr2bl w:val="nil"/>
                  </w:tcBorders>
                  <w:vAlign w:val="center"/>
                </w:tcPr>
                <w:p>
                  <w:pPr>
                    <w:spacing w:line="240" w:lineRule="auto"/>
                    <w:ind w:firstLine="0" w:firstLineChars="0"/>
                    <w:rPr>
                      <w:color w:val="auto"/>
                    </w:rPr>
                  </w:pPr>
                  <w:r>
                    <w:rPr>
                      <w:color w:val="auto"/>
                    </w:rPr>
                    <w:t>石油天然气</w:t>
                  </w:r>
                </w:p>
              </w:tc>
              <w:tc>
                <w:tcPr>
                  <w:tcW w:w="3014" w:type="pct"/>
                  <w:tcBorders>
                    <w:tl2br w:val="nil"/>
                    <w:tr2bl w:val="nil"/>
                  </w:tcBorders>
                  <w:vAlign w:val="center"/>
                </w:tcPr>
                <w:p>
                  <w:pPr>
                    <w:spacing w:line="240" w:lineRule="auto"/>
                    <w:ind w:firstLine="0" w:firstLineChars="0"/>
                    <w:rPr>
                      <w:color w:val="auto"/>
                    </w:rPr>
                  </w:pPr>
                  <w:r>
                    <w:rPr>
                      <w:color w:val="auto"/>
                    </w:rPr>
                    <w:t>石油、天然气、页岩气开采（含净化），气库（不含加气站的气库），油库（不含加气站的油库）、油气管线b（不含城镇燃气管线）</w:t>
                  </w:r>
                </w:p>
              </w:tc>
              <w:tc>
                <w:tcPr>
                  <w:tcW w:w="890" w:type="pct"/>
                  <w:tcBorders>
                    <w:tl2br w:val="nil"/>
                    <w:tr2bl w:val="nil"/>
                  </w:tcBorders>
                  <w:vAlign w:val="center"/>
                </w:tcPr>
                <w:p>
                  <w:pPr>
                    <w:spacing w:line="240" w:lineRule="auto"/>
                    <w:ind w:firstLine="0" w:firstLineChars="0"/>
                    <w:rPr>
                      <w:color w:val="auto"/>
                    </w:rPr>
                  </w:pPr>
                  <w:r>
                    <w:rPr>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pct"/>
                  <w:tcBorders>
                    <w:tl2br w:val="nil"/>
                    <w:tr2bl w:val="nil"/>
                  </w:tcBorders>
                  <w:vAlign w:val="center"/>
                </w:tcPr>
                <w:p>
                  <w:pPr>
                    <w:spacing w:line="240" w:lineRule="auto"/>
                    <w:ind w:firstLine="0" w:firstLineChars="0"/>
                    <w:rPr>
                      <w:color w:val="auto"/>
                    </w:rPr>
                  </w:pPr>
                  <w:r>
                    <w:rPr>
                      <w:color w:val="auto"/>
                    </w:rPr>
                    <w:t>其他</w:t>
                  </w:r>
                </w:p>
              </w:tc>
              <w:tc>
                <w:tcPr>
                  <w:tcW w:w="3014" w:type="pct"/>
                  <w:tcBorders>
                    <w:tl2br w:val="nil"/>
                    <w:tr2bl w:val="nil"/>
                  </w:tcBorders>
                  <w:vAlign w:val="center"/>
                </w:tcPr>
                <w:p>
                  <w:pPr>
                    <w:spacing w:line="240" w:lineRule="auto"/>
                    <w:ind w:firstLine="0" w:firstLineChars="0"/>
                    <w:rPr>
                      <w:color w:val="auto"/>
                    </w:rPr>
                  </w:pPr>
                  <w:r>
                    <w:rPr>
                      <w:color w:val="auto"/>
                    </w:rPr>
                    <w:t>涉及危险物质使用、贮存的项目</w:t>
                  </w:r>
                </w:p>
              </w:tc>
              <w:tc>
                <w:tcPr>
                  <w:tcW w:w="890" w:type="pct"/>
                  <w:tcBorders>
                    <w:tl2br w:val="nil"/>
                    <w:tr2bl w:val="nil"/>
                  </w:tcBorders>
                  <w:vAlign w:val="center"/>
                </w:tcPr>
                <w:p>
                  <w:pPr>
                    <w:spacing w:line="240" w:lineRule="auto"/>
                    <w:ind w:firstLine="0" w:firstLineChars="0"/>
                    <w:rPr>
                      <w:color w:val="auto"/>
                    </w:rPr>
                  </w:pPr>
                  <w:r>
                    <w:rPr>
                      <w:color w:va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0" w:type="pct"/>
                  <w:gridSpan w:val="3"/>
                  <w:tcBorders>
                    <w:tl2br w:val="nil"/>
                    <w:tr2bl w:val="nil"/>
                  </w:tcBorders>
                  <w:vAlign w:val="center"/>
                </w:tcPr>
                <w:p>
                  <w:pPr>
                    <w:spacing w:line="240" w:lineRule="auto"/>
                    <w:ind w:firstLine="0" w:firstLineChars="0"/>
                    <w:rPr>
                      <w:color w:val="auto"/>
                    </w:rPr>
                  </w:pPr>
                  <w:r>
                    <w:rPr>
                      <w:color w:val="auto"/>
                    </w:rPr>
                    <w:t>a高温指工艺温度≥300℃，高压指压力容器的设计压力（P）≥10.0MPa；</w:t>
                  </w:r>
                </w:p>
                <w:p>
                  <w:pPr>
                    <w:spacing w:line="240" w:lineRule="auto"/>
                    <w:ind w:firstLine="0" w:firstLineChars="0"/>
                    <w:rPr>
                      <w:color w:val="auto"/>
                    </w:rPr>
                  </w:pPr>
                  <w:r>
                    <w:rPr>
                      <w:color w:val="auto"/>
                    </w:rPr>
                    <w:t>b长输管道运输项目应按站场、管线分段进行评价。</w:t>
                  </w:r>
                </w:p>
              </w:tc>
            </w:tr>
          </w:tbl>
          <w:p>
            <w:pPr>
              <w:ind w:firstLine="480"/>
              <w:rPr>
                <w:color w:val="auto"/>
              </w:rPr>
            </w:pPr>
            <w:r>
              <w:rPr>
                <w:color w:val="auto"/>
              </w:rPr>
              <w:t>本项目</w:t>
            </w:r>
            <w:r>
              <w:rPr>
                <w:rFonts w:hint="eastAsia"/>
                <w:color w:val="auto"/>
              </w:rPr>
              <w:t>涉及输气管线</w:t>
            </w:r>
            <w:r>
              <w:rPr>
                <w:color w:val="auto"/>
              </w:rPr>
              <w:t>，M=</w:t>
            </w:r>
            <w:r>
              <w:rPr>
                <w:rFonts w:hint="eastAsia"/>
                <w:color w:val="auto"/>
              </w:rPr>
              <w:t>10</w:t>
            </w:r>
            <w:r>
              <w:rPr>
                <w:color w:val="auto"/>
              </w:rPr>
              <w:t>。</w:t>
            </w:r>
          </w:p>
          <w:p>
            <w:pPr>
              <w:ind w:firstLine="480"/>
              <w:rPr>
                <w:color w:val="auto"/>
              </w:rPr>
            </w:pPr>
            <w:r>
              <w:rPr>
                <w:color w:val="auto"/>
              </w:rPr>
              <w:t>经计算，本项目危险物质数量与临界量比值（Q）1≤Q＜10，行业及生产工艺（M=</w:t>
            </w:r>
            <w:r>
              <w:rPr>
                <w:rFonts w:hint="eastAsia"/>
                <w:color w:val="auto"/>
              </w:rPr>
              <w:t>10</w:t>
            </w:r>
            <w:r>
              <w:rPr>
                <w:color w:val="auto"/>
              </w:rPr>
              <w:t>）为M</w:t>
            </w:r>
            <w:r>
              <w:rPr>
                <w:rFonts w:hint="eastAsia"/>
                <w:color w:val="auto"/>
              </w:rPr>
              <w:t>3</w:t>
            </w:r>
            <w:r>
              <w:rPr>
                <w:color w:val="auto"/>
              </w:rPr>
              <w:t>。根据表</w:t>
            </w:r>
            <w:r>
              <w:rPr>
                <w:rFonts w:hint="eastAsia"/>
                <w:color w:val="auto"/>
              </w:rPr>
              <w:t>4-15</w:t>
            </w:r>
            <w:r>
              <w:rPr>
                <w:color w:val="auto"/>
              </w:rPr>
              <w:t>分析，项目危险物质及工艺系统危险性等级（P）为P4。</w:t>
            </w:r>
          </w:p>
          <w:p>
            <w:pPr>
              <w:ind w:firstLine="480"/>
              <w:rPr>
                <w:color w:val="auto"/>
              </w:rPr>
            </w:pPr>
            <w:r>
              <w:rPr>
                <w:rFonts w:hint="eastAsia"/>
                <w:color w:val="auto"/>
              </w:rPr>
              <w:t>（4）</w:t>
            </w:r>
            <w:r>
              <w:rPr>
                <w:color w:val="auto"/>
              </w:rPr>
              <w:t>环境敏感程度（E）的分级</w:t>
            </w:r>
          </w:p>
          <w:p>
            <w:pPr>
              <w:ind w:firstLine="480"/>
              <w:rPr>
                <w:color w:val="auto"/>
              </w:rPr>
            </w:pPr>
            <w:r>
              <w:rPr>
                <w:color w:val="auto"/>
              </w:rPr>
              <w:t>本评价按大气环境、地表水环境、地下水环境分别进行环境敏感程度分级判定。</w:t>
            </w:r>
          </w:p>
          <w:p>
            <w:pPr>
              <w:ind w:firstLine="480"/>
              <w:rPr>
                <w:color w:val="auto"/>
              </w:rPr>
            </w:pPr>
            <w:r>
              <w:rPr>
                <w:color w:val="auto"/>
              </w:rPr>
              <w:t>地表水环境</w:t>
            </w:r>
          </w:p>
          <w:p>
            <w:pPr>
              <w:ind w:firstLine="480"/>
              <w:rPr>
                <w:color w:val="auto"/>
              </w:rPr>
            </w:pPr>
            <w:r>
              <w:rPr>
                <w:color w:val="auto"/>
              </w:rPr>
              <w:t>依据事故情况下危险物质泄漏到水体的排放点受纳地表水体功能敏感性，与下游环境敏感目标情况进行地表水环境敏感性分级，共分为三种类型，E1为环境高度敏感区，E2为环境中度敏感区，E3为环境低度敏感区。</w:t>
            </w:r>
          </w:p>
          <w:p>
            <w:pPr>
              <w:ind w:firstLine="480"/>
              <w:rPr>
                <w:color w:val="auto"/>
              </w:rPr>
            </w:pPr>
            <w:r>
              <w:rPr>
                <w:color w:val="auto"/>
              </w:rPr>
              <w:t>本项目评价区域无地表水体，故地表水功能敏感性分区为“低敏感度F3”；正常工况下，本项目生产废水</w:t>
            </w:r>
            <w:r>
              <w:rPr>
                <w:rFonts w:hint="eastAsia"/>
                <w:color w:val="auto"/>
              </w:rPr>
              <w:t>均得到妥善处置</w:t>
            </w:r>
            <w:r>
              <w:rPr>
                <w:color w:val="auto"/>
              </w:rPr>
              <w:t>、不新增生活污水。非正常工况且事故防范措施正常发挥效用时，事故废水经事故水池进行收集暂存，不会产生厂外漫流的现象；贮存区全部泄漏的情况下，不会形成径流且可通过导流槽和废液收集池快速收集</w:t>
            </w:r>
            <w:r>
              <w:rPr>
                <w:rFonts w:hint="eastAsia"/>
                <w:color w:val="auto"/>
              </w:rPr>
              <w:t>及天然气储存区围堰收集</w:t>
            </w:r>
            <w:r>
              <w:rPr>
                <w:color w:val="auto"/>
              </w:rPr>
              <w:t>；未采取相应措施的情况下，污水发生厂外漫流，由于评价区域无地表水体，故不会对地表水造成污染，本项目环境敏感目标分级为“S3”。</w:t>
            </w:r>
          </w:p>
          <w:p>
            <w:pPr>
              <w:ind w:firstLine="0" w:firstLineChars="0"/>
              <w:jc w:val="center"/>
              <w:rPr>
                <w:b/>
                <w:bCs/>
                <w:color w:val="auto"/>
              </w:rPr>
            </w:pPr>
            <w:r>
              <w:rPr>
                <w:b/>
                <w:bCs/>
                <w:color w:val="auto"/>
              </w:rPr>
              <w:t>表</w:t>
            </w:r>
            <w:r>
              <w:rPr>
                <w:rFonts w:hint="eastAsia"/>
                <w:b/>
                <w:bCs/>
                <w:color w:val="auto"/>
              </w:rPr>
              <w:t>4-17</w:t>
            </w:r>
            <w:r>
              <w:rPr>
                <w:b/>
                <w:bCs/>
                <w:color w:val="auto"/>
              </w:rPr>
              <w:t>地表水环境敏感程度分级</w:t>
            </w:r>
          </w:p>
          <w:tbl>
            <w:tblPr>
              <w:tblStyle w:val="21"/>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57" w:type="dxa"/>
                <w:bottom w:w="0" w:type="dxa"/>
                <w:right w:w="57" w:type="dxa"/>
              </w:tblCellMar>
            </w:tblPr>
            <w:tblGrid>
              <w:gridCol w:w="1957"/>
              <w:gridCol w:w="1957"/>
              <w:gridCol w:w="1957"/>
              <w:gridCol w:w="206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40" w:hRule="atLeast"/>
                <w:jc w:val="center"/>
              </w:trPr>
              <w:tc>
                <w:tcPr>
                  <w:tcW w:w="1233" w:type="pct"/>
                  <w:vMerge w:val="restart"/>
                  <w:tcBorders>
                    <w:tl2br w:val="nil"/>
                    <w:tr2bl w:val="nil"/>
                  </w:tcBorders>
                  <w:vAlign w:val="center"/>
                </w:tcPr>
                <w:p>
                  <w:pPr>
                    <w:spacing w:line="240" w:lineRule="auto"/>
                    <w:ind w:firstLine="0" w:firstLineChars="0"/>
                    <w:jc w:val="center"/>
                    <w:rPr>
                      <w:color w:val="auto"/>
                    </w:rPr>
                  </w:pPr>
                  <w:r>
                    <w:rPr>
                      <w:color w:val="auto"/>
                    </w:rPr>
                    <w:t>环境敏感目标</w:t>
                  </w:r>
                </w:p>
              </w:tc>
              <w:tc>
                <w:tcPr>
                  <w:tcW w:w="3767" w:type="pct"/>
                  <w:gridSpan w:val="3"/>
                  <w:tcBorders>
                    <w:tl2br w:val="nil"/>
                    <w:tr2bl w:val="nil"/>
                  </w:tcBorders>
                  <w:vAlign w:val="center"/>
                </w:tcPr>
                <w:p>
                  <w:pPr>
                    <w:spacing w:line="240" w:lineRule="auto"/>
                    <w:ind w:firstLine="0" w:firstLineChars="0"/>
                    <w:jc w:val="center"/>
                    <w:rPr>
                      <w:color w:val="auto"/>
                    </w:rPr>
                  </w:pPr>
                  <w:r>
                    <w:rPr>
                      <w:color w:val="auto"/>
                    </w:rPr>
                    <w:t>地表水功能敏感性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40" w:hRule="atLeast"/>
                <w:jc w:val="center"/>
              </w:trPr>
              <w:tc>
                <w:tcPr>
                  <w:tcW w:w="1233" w:type="pct"/>
                  <w:vMerge w:val="continue"/>
                  <w:tcBorders>
                    <w:tl2br w:val="nil"/>
                    <w:tr2bl w:val="nil"/>
                  </w:tcBorders>
                  <w:vAlign w:val="center"/>
                </w:tcPr>
                <w:p>
                  <w:pPr>
                    <w:spacing w:line="240" w:lineRule="auto"/>
                    <w:ind w:firstLine="0" w:firstLineChars="0"/>
                    <w:jc w:val="center"/>
                    <w:rPr>
                      <w:color w:val="auto"/>
                    </w:rPr>
                  </w:pPr>
                </w:p>
              </w:tc>
              <w:tc>
                <w:tcPr>
                  <w:tcW w:w="1233" w:type="pct"/>
                  <w:tcBorders>
                    <w:tl2br w:val="nil"/>
                    <w:tr2bl w:val="nil"/>
                  </w:tcBorders>
                  <w:vAlign w:val="center"/>
                </w:tcPr>
                <w:p>
                  <w:pPr>
                    <w:spacing w:line="240" w:lineRule="auto"/>
                    <w:ind w:firstLine="0" w:firstLineChars="0"/>
                    <w:jc w:val="center"/>
                    <w:rPr>
                      <w:color w:val="auto"/>
                    </w:rPr>
                  </w:pPr>
                  <w:r>
                    <w:rPr>
                      <w:color w:val="auto"/>
                    </w:rPr>
                    <w:t>F1</w:t>
                  </w:r>
                </w:p>
              </w:tc>
              <w:tc>
                <w:tcPr>
                  <w:tcW w:w="1233" w:type="pct"/>
                  <w:tcBorders>
                    <w:tl2br w:val="nil"/>
                    <w:tr2bl w:val="nil"/>
                  </w:tcBorders>
                  <w:vAlign w:val="center"/>
                </w:tcPr>
                <w:p>
                  <w:pPr>
                    <w:spacing w:line="240" w:lineRule="auto"/>
                    <w:ind w:firstLine="0" w:firstLineChars="0"/>
                    <w:jc w:val="center"/>
                    <w:rPr>
                      <w:color w:val="auto"/>
                    </w:rPr>
                  </w:pPr>
                  <w:r>
                    <w:rPr>
                      <w:color w:val="auto"/>
                    </w:rPr>
                    <w:t>F2</w:t>
                  </w:r>
                </w:p>
              </w:tc>
              <w:tc>
                <w:tcPr>
                  <w:tcW w:w="1301" w:type="pct"/>
                  <w:tcBorders>
                    <w:tl2br w:val="nil"/>
                    <w:tr2bl w:val="nil"/>
                  </w:tcBorders>
                  <w:vAlign w:val="center"/>
                </w:tcPr>
                <w:p>
                  <w:pPr>
                    <w:spacing w:line="240" w:lineRule="auto"/>
                    <w:ind w:firstLine="0" w:firstLineChars="0"/>
                    <w:jc w:val="center"/>
                    <w:rPr>
                      <w:color w:val="auto"/>
                    </w:rPr>
                  </w:pPr>
                  <w:r>
                    <w:rPr>
                      <w:color w:val="auto"/>
                    </w:rPr>
                    <w:t>F3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40" w:hRule="atLeast"/>
                <w:jc w:val="center"/>
              </w:trPr>
              <w:tc>
                <w:tcPr>
                  <w:tcW w:w="1233" w:type="pct"/>
                  <w:tcBorders>
                    <w:tl2br w:val="nil"/>
                    <w:tr2bl w:val="nil"/>
                  </w:tcBorders>
                  <w:vAlign w:val="center"/>
                </w:tcPr>
                <w:p>
                  <w:pPr>
                    <w:spacing w:line="240" w:lineRule="auto"/>
                    <w:ind w:firstLine="0" w:firstLineChars="0"/>
                    <w:jc w:val="center"/>
                    <w:rPr>
                      <w:color w:val="auto"/>
                    </w:rPr>
                  </w:pPr>
                  <w:r>
                    <w:rPr>
                      <w:color w:val="auto"/>
                    </w:rPr>
                    <w:t>S1</w:t>
                  </w:r>
                </w:p>
              </w:tc>
              <w:tc>
                <w:tcPr>
                  <w:tcW w:w="1233" w:type="pct"/>
                  <w:tcBorders>
                    <w:tl2br w:val="nil"/>
                    <w:tr2bl w:val="nil"/>
                  </w:tcBorders>
                  <w:vAlign w:val="center"/>
                </w:tcPr>
                <w:p>
                  <w:pPr>
                    <w:spacing w:line="240" w:lineRule="auto"/>
                    <w:ind w:firstLine="0" w:firstLineChars="0"/>
                    <w:jc w:val="center"/>
                    <w:rPr>
                      <w:color w:val="auto"/>
                    </w:rPr>
                  </w:pPr>
                  <w:r>
                    <w:rPr>
                      <w:color w:val="auto"/>
                    </w:rPr>
                    <w:t>E1</w:t>
                  </w:r>
                </w:p>
              </w:tc>
              <w:tc>
                <w:tcPr>
                  <w:tcW w:w="1233" w:type="pct"/>
                  <w:tcBorders>
                    <w:tl2br w:val="nil"/>
                    <w:tr2bl w:val="nil"/>
                  </w:tcBorders>
                  <w:vAlign w:val="center"/>
                </w:tcPr>
                <w:p>
                  <w:pPr>
                    <w:spacing w:line="240" w:lineRule="auto"/>
                    <w:ind w:firstLine="0" w:firstLineChars="0"/>
                    <w:jc w:val="center"/>
                    <w:rPr>
                      <w:color w:val="auto"/>
                    </w:rPr>
                  </w:pPr>
                  <w:r>
                    <w:rPr>
                      <w:color w:val="auto"/>
                    </w:rPr>
                    <w:t>E1</w:t>
                  </w:r>
                </w:p>
              </w:tc>
              <w:tc>
                <w:tcPr>
                  <w:tcW w:w="1301" w:type="pct"/>
                  <w:tcBorders>
                    <w:tl2br w:val="nil"/>
                    <w:tr2bl w:val="nil"/>
                  </w:tcBorders>
                  <w:vAlign w:val="center"/>
                </w:tcPr>
                <w:p>
                  <w:pPr>
                    <w:spacing w:line="240" w:lineRule="auto"/>
                    <w:ind w:firstLine="0" w:firstLineChars="0"/>
                    <w:jc w:val="center"/>
                    <w:rPr>
                      <w:color w:val="auto"/>
                    </w:rPr>
                  </w:pPr>
                  <w:r>
                    <w:rPr>
                      <w:color w:val="auto"/>
                    </w:rPr>
                    <w:t>E2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40" w:hRule="atLeast"/>
                <w:jc w:val="center"/>
              </w:trPr>
              <w:tc>
                <w:tcPr>
                  <w:tcW w:w="1233" w:type="pct"/>
                  <w:tcBorders>
                    <w:tl2br w:val="nil"/>
                    <w:tr2bl w:val="nil"/>
                  </w:tcBorders>
                  <w:vAlign w:val="center"/>
                </w:tcPr>
                <w:p>
                  <w:pPr>
                    <w:spacing w:line="240" w:lineRule="auto"/>
                    <w:ind w:firstLine="0" w:firstLineChars="0"/>
                    <w:jc w:val="center"/>
                    <w:rPr>
                      <w:color w:val="auto"/>
                    </w:rPr>
                  </w:pPr>
                  <w:r>
                    <w:rPr>
                      <w:color w:val="auto"/>
                    </w:rPr>
                    <w:t>S2</w:t>
                  </w:r>
                </w:p>
              </w:tc>
              <w:tc>
                <w:tcPr>
                  <w:tcW w:w="1233" w:type="pct"/>
                  <w:tcBorders>
                    <w:tl2br w:val="nil"/>
                    <w:tr2bl w:val="nil"/>
                  </w:tcBorders>
                  <w:vAlign w:val="center"/>
                </w:tcPr>
                <w:p>
                  <w:pPr>
                    <w:spacing w:line="240" w:lineRule="auto"/>
                    <w:ind w:firstLine="0" w:firstLineChars="0"/>
                    <w:jc w:val="center"/>
                    <w:rPr>
                      <w:color w:val="auto"/>
                    </w:rPr>
                  </w:pPr>
                  <w:r>
                    <w:rPr>
                      <w:color w:val="auto"/>
                    </w:rPr>
                    <w:t>E1</w:t>
                  </w:r>
                </w:p>
              </w:tc>
              <w:tc>
                <w:tcPr>
                  <w:tcW w:w="1233" w:type="pct"/>
                  <w:tcBorders>
                    <w:tl2br w:val="nil"/>
                    <w:tr2bl w:val="nil"/>
                  </w:tcBorders>
                  <w:vAlign w:val="center"/>
                </w:tcPr>
                <w:p>
                  <w:pPr>
                    <w:spacing w:line="240" w:lineRule="auto"/>
                    <w:ind w:firstLine="0" w:firstLineChars="0"/>
                    <w:jc w:val="center"/>
                    <w:rPr>
                      <w:color w:val="auto"/>
                    </w:rPr>
                  </w:pPr>
                  <w:r>
                    <w:rPr>
                      <w:color w:val="auto"/>
                    </w:rPr>
                    <w:t>E2</w:t>
                  </w:r>
                </w:p>
              </w:tc>
              <w:tc>
                <w:tcPr>
                  <w:tcW w:w="1301" w:type="pct"/>
                  <w:tcBorders>
                    <w:tl2br w:val="nil"/>
                    <w:tr2bl w:val="nil"/>
                  </w:tcBorders>
                  <w:vAlign w:val="center"/>
                </w:tcPr>
                <w:p>
                  <w:pPr>
                    <w:spacing w:line="240" w:lineRule="auto"/>
                    <w:ind w:firstLine="0" w:firstLineChars="0"/>
                    <w:jc w:val="center"/>
                    <w:rPr>
                      <w:color w:val="auto"/>
                    </w:rPr>
                  </w:pPr>
                  <w:r>
                    <w:rPr>
                      <w:color w:val="auto"/>
                    </w:rPr>
                    <w:t>E3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40" w:hRule="atLeast"/>
                <w:jc w:val="center"/>
              </w:trPr>
              <w:tc>
                <w:tcPr>
                  <w:tcW w:w="1233" w:type="pct"/>
                  <w:tcBorders>
                    <w:tl2br w:val="nil"/>
                    <w:tr2bl w:val="nil"/>
                  </w:tcBorders>
                  <w:vAlign w:val="center"/>
                </w:tcPr>
                <w:p>
                  <w:pPr>
                    <w:spacing w:line="240" w:lineRule="auto"/>
                    <w:ind w:firstLine="0" w:firstLineChars="0"/>
                    <w:jc w:val="center"/>
                    <w:rPr>
                      <w:color w:val="auto"/>
                    </w:rPr>
                  </w:pPr>
                  <w:r>
                    <w:rPr>
                      <w:color w:val="auto"/>
                    </w:rPr>
                    <w:t>S3</w:t>
                  </w:r>
                </w:p>
              </w:tc>
              <w:tc>
                <w:tcPr>
                  <w:tcW w:w="1233" w:type="pct"/>
                  <w:tcBorders>
                    <w:tl2br w:val="nil"/>
                    <w:tr2bl w:val="nil"/>
                  </w:tcBorders>
                  <w:vAlign w:val="center"/>
                </w:tcPr>
                <w:p>
                  <w:pPr>
                    <w:spacing w:line="240" w:lineRule="auto"/>
                    <w:ind w:firstLine="0" w:firstLineChars="0"/>
                    <w:jc w:val="center"/>
                    <w:rPr>
                      <w:color w:val="auto"/>
                    </w:rPr>
                  </w:pPr>
                  <w:r>
                    <w:rPr>
                      <w:color w:val="auto"/>
                    </w:rPr>
                    <w:t>E1</w:t>
                  </w:r>
                </w:p>
              </w:tc>
              <w:tc>
                <w:tcPr>
                  <w:tcW w:w="1233" w:type="pct"/>
                  <w:tcBorders>
                    <w:tl2br w:val="nil"/>
                    <w:tr2bl w:val="nil"/>
                  </w:tcBorders>
                  <w:vAlign w:val="center"/>
                </w:tcPr>
                <w:p>
                  <w:pPr>
                    <w:spacing w:line="240" w:lineRule="auto"/>
                    <w:ind w:firstLine="0" w:firstLineChars="0"/>
                    <w:jc w:val="center"/>
                    <w:rPr>
                      <w:color w:val="auto"/>
                    </w:rPr>
                  </w:pPr>
                  <w:r>
                    <w:rPr>
                      <w:color w:val="auto"/>
                    </w:rPr>
                    <w:t>E2</w:t>
                  </w:r>
                </w:p>
              </w:tc>
              <w:tc>
                <w:tcPr>
                  <w:tcW w:w="1301" w:type="pct"/>
                  <w:tcBorders>
                    <w:tl2br w:val="nil"/>
                    <w:tr2bl w:val="nil"/>
                  </w:tcBorders>
                  <w:vAlign w:val="center"/>
                </w:tcPr>
                <w:p>
                  <w:pPr>
                    <w:spacing w:line="240" w:lineRule="auto"/>
                    <w:ind w:firstLine="0" w:firstLineChars="0"/>
                    <w:jc w:val="center"/>
                    <w:rPr>
                      <w:color w:val="auto"/>
                    </w:rPr>
                  </w:pPr>
                  <w:r>
                    <w:rPr>
                      <w:b/>
                      <w:bCs/>
                      <w:color w:val="auto"/>
                    </w:rPr>
                    <w:t>E3</w:t>
                  </w:r>
                </w:p>
              </w:tc>
            </w:tr>
          </w:tbl>
          <w:p>
            <w:pPr>
              <w:ind w:firstLine="480"/>
              <w:rPr>
                <w:color w:val="auto"/>
              </w:rPr>
            </w:pPr>
            <w:r>
              <w:rPr>
                <w:color w:val="auto"/>
              </w:rPr>
              <w:t>根据表</w:t>
            </w:r>
            <w:r>
              <w:rPr>
                <w:rFonts w:hint="eastAsia"/>
                <w:color w:val="auto"/>
              </w:rPr>
              <w:t>4-17</w:t>
            </w:r>
            <w:r>
              <w:rPr>
                <w:color w:val="auto"/>
              </w:rPr>
              <w:t>，判定本期工程地表水环境敏感程度分级为E3，属于环境低度敏感区。</w:t>
            </w:r>
          </w:p>
          <w:p>
            <w:pPr>
              <w:ind w:firstLine="480"/>
              <w:rPr>
                <w:color w:val="auto"/>
              </w:rPr>
            </w:pPr>
            <w:r>
              <w:rPr>
                <w:color w:val="auto"/>
              </w:rPr>
              <w:t>地下水环境</w:t>
            </w:r>
          </w:p>
          <w:p>
            <w:pPr>
              <w:ind w:firstLine="480"/>
              <w:rPr>
                <w:color w:val="auto"/>
              </w:rPr>
            </w:pPr>
            <w:r>
              <w:rPr>
                <w:color w:val="auto"/>
              </w:rPr>
              <w:t>依据地下水功能敏感性分区G和包气带防污性能分级D，地下水环境敏感程度共分为三种类型，分级原则见表</w:t>
            </w:r>
            <w:r>
              <w:rPr>
                <w:rFonts w:hint="eastAsia"/>
                <w:color w:val="auto"/>
              </w:rPr>
              <w:t>4-18</w:t>
            </w:r>
            <w:r>
              <w:rPr>
                <w:color w:val="auto"/>
              </w:rPr>
              <w:t>。</w:t>
            </w:r>
          </w:p>
          <w:p>
            <w:pPr>
              <w:ind w:firstLine="0" w:firstLineChars="0"/>
              <w:jc w:val="center"/>
              <w:rPr>
                <w:b/>
                <w:bCs/>
                <w:color w:val="auto"/>
              </w:rPr>
            </w:pPr>
            <w:r>
              <w:rPr>
                <w:b/>
                <w:bCs/>
                <w:color w:val="auto"/>
              </w:rPr>
              <w:t>表</w:t>
            </w:r>
            <w:r>
              <w:rPr>
                <w:rFonts w:hint="eastAsia"/>
                <w:b/>
                <w:bCs/>
                <w:color w:val="auto"/>
              </w:rPr>
              <w:t>4-18</w:t>
            </w:r>
            <w:r>
              <w:rPr>
                <w:b/>
                <w:bCs/>
                <w:color w:val="auto"/>
              </w:rPr>
              <w:t>地下水环境敏感程度分级</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4"/>
              <w:gridCol w:w="1974"/>
              <w:gridCol w:w="1975"/>
              <w:gridCol w:w="19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974" w:type="dxa"/>
                  <w:vMerge w:val="restart"/>
                  <w:tcBorders>
                    <w:tl2br w:val="nil"/>
                    <w:tr2bl w:val="nil"/>
                  </w:tcBorders>
                  <w:vAlign w:val="center"/>
                </w:tcPr>
                <w:p>
                  <w:pPr>
                    <w:spacing w:line="240" w:lineRule="auto"/>
                    <w:ind w:firstLine="0" w:firstLineChars="0"/>
                    <w:jc w:val="center"/>
                    <w:rPr>
                      <w:color w:val="auto"/>
                    </w:rPr>
                  </w:pPr>
                  <w:r>
                    <w:rPr>
                      <w:color w:val="auto"/>
                    </w:rPr>
                    <w:t>包气带防污性能</w:t>
                  </w:r>
                </w:p>
              </w:tc>
              <w:tc>
                <w:tcPr>
                  <w:tcW w:w="5925" w:type="dxa"/>
                  <w:gridSpan w:val="3"/>
                  <w:tcBorders>
                    <w:tl2br w:val="nil"/>
                    <w:tr2bl w:val="nil"/>
                  </w:tcBorders>
                  <w:vAlign w:val="center"/>
                </w:tcPr>
                <w:p>
                  <w:pPr>
                    <w:spacing w:line="240" w:lineRule="auto"/>
                    <w:ind w:firstLine="0" w:firstLineChars="0"/>
                    <w:jc w:val="center"/>
                    <w:rPr>
                      <w:color w:val="auto"/>
                    </w:rPr>
                  </w:pPr>
                  <w:r>
                    <w:rPr>
                      <w:color w:val="auto"/>
                    </w:rPr>
                    <w:t>地下水功能敏感性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974" w:type="dxa"/>
                  <w:vMerge w:val="continue"/>
                  <w:tcBorders>
                    <w:tl2br w:val="nil"/>
                    <w:tr2bl w:val="nil"/>
                  </w:tcBorders>
                  <w:vAlign w:val="center"/>
                </w:tcPr>
                <w:p>
                  <w:pPr>
                    <w:spacing w:line="240" w:lineRule="auto"/>
                    <w:ind w:firstLine="0" w:firstLineChars="0"/>
                    <w:jc w:val="center"/>
                    <w:rPr>
                      <w:color w:val="auto"/>
                    </w:rPr>
                  </w:pPr>
                </w:p>
              </w:tc>
              <w:tc>
                <w:tcPr>
                  <w:tcW w:w="1974" w:type="dxa"/>
                  <w:tcBorders>
                    <w:tl2br w:val="nil"/>
                    <w:tr2bl w:val="nil"/>
                  </w:tcBorders>
                  <w:vAlign w:val="center"/>
                </w:tcPr>
                <w:p>
                  <w:pPr>
                    <w:spacing w:line="240" w:lineRule="auto"/>
                    <w:ind w:firstLine="0" w:firstLineChars="0"/>
                    <w:jc w:val="center"/>
                    <w:rPr>
                      <w:color w:val="auto"/>
                    </w:rPr>
                  </w:pPr>
                  <w:r>
                    <w:rPr>
                      <w:color w:val="auto"/>
                    </w:rPr>
                    <w:t>G1</w:t>
                  </w:r>
                </w:p>
              </w:tc>
              <w:tc>
                <w:tcPr>
                  <w:tcW w:w="1975" w:type="dxa"/>
                  <w:tcBorders>
                    <w:tl2br w:val="nil"/>
                    <w:tr2bl w:val="nil"/>
                  </w:tcBorders>
                  <w:vAlign w:val="center"/>
                </w:tcPr>
                <w:p>
                  <w:pPr>
                    <w:spacing w:line="240" w:lineRule="auto"/>
                    <w:ind w:firstLine="0" w:firstLineChars="0"/>
                    <w:jc w:val="center"/>
                    <w:rPr>
                      <w:color w:val="auto"/>
                    </w:rPr>
                  </w:pPr>
                  <w:r>
                    <w:rPr>
                      <w:color w:val="auto"/>
                    </w:rPr>
                    <w:t>G2</w:t>
                  </w:r>
                </w:p>
              </w:tc>
              <w:tc>
                <w:tcPr>
                  <w:tcW w:w="1976" w:type="dxa"/>
                  <w:tcBorders>
                    <w:tl2br w:val="nil"/>
                    <w:tr2bl w:val="nil"/>
                  </w:tcBorders>
                  <w:vAlign w:val="center"/>
                </w:tcPr>
                <w:p>
                  <w:pPr>
                    <w:spacing w:line="240" w:lineRule="auto"/>
                    <w:ind w:firstLine="0" w:firstLineChars="0"/>
                    <w:jc w:val="center"/>
                    <w:rPr>
                      <w:color w:val="auto"/>
                    </w:rPr>
                  </w:pPr>
                  <w:r>
                    <w:rPr>
                      <w:color w:val="auto"/>
                    </w:rPr>
                    <w:t>G3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974" w:type="dxa"/>
                  <w:tcBorders>
                    <w:tl2br w:val="nil"/>
                    <w:tr2bl w:val="nil"/>
                  </w:tcBorders>
                  <w:vAlign w:val="center"/>
                </w:tcPr>
                <w:p>
                  <w:pPr>
                    <w:spacing w:line="240" w:lineRule="auto"/>
                    <w:ind w:firstLine="0" w:firstLineChars="0"/>
                    <w:jc w:val="center"/>
                    <w:rPr>
                      <w:color w:val="auto"/>
                    </w:rPr>
                  </w:pPr>
                  <w:r>
                    <w:rPr>
                      <w:color w:val="auto"/>
                    </w:rPr>
                    <w:t>D1</w:t>
                  </w:r>
                </w:p>
              </w:tc>
              <w:tc>
                <w:tcPr>
                  <w:tcW w:w="1974" w:type="dxa"/>
                  <w:tcBorders>
                    <w:tl2br w:val="nil"/>
                    <w:tr2bl w:val="nil"/>
                  </w:tcBorders>
                  <w:vAlign w:val="center"/>
                </w:tcPr>
                <w:p>
                  <w:pPr>
                    <w:spacing w:line="240" w:lineRule="auto"/>
                    <w:ind w:firstLine="0" w:firstLineChars="0"/>
                    <w:jc w:val="center"/>
                    <w:rPr>
                      <w:color w:val="auto"/>
                    </w:rPr>
                  </w:pPr>
                  <w:r>
                    <w:rPr>
                      <w:color w:val="auto"/>
                    </w:rPr>
                    <w:t>E1</w:t>
                  </w:r>
                </w:p>
              </w:tc>
              <w:tc>
                <w:tcPr>
                  <w:tcW w:w="1975" w:type="dxa"/>
                  <w:tcBorders>
                    <w:tl2br w:val="nil"/>
                    <w:tr2bl w:val="nil"/>
                  </w:tcBorders>
                  <w:vAlign w:val="center"/>
                </w:tcPr>
                <w:p>
                  <w:pPr>
                    <w:spacing w:line="240" w:lineRule="auto"/>
                    <w:ind w:firstLine="0" w:firstLineChars="0"/>
                    <w:jc w:val="center"/>
                    <w:rPr>
                      <w:color w:val="auto"/>
                    </w:rPr>
                  </w:pPr>
                  <w:r>
                    <w:rPr>
                      <w:color w:val="auto"/>
                    </w:rPr>
                    <w:t>E1</w:t>
                  </w:r>
                </w:p>
              </w:tc>
              <w:tc>
                <w:tcPr>
                  <w:tcW w:w="1976" w:type="dxa"/>
                  <w:tcBorders>
                    <w:tl2br w:val="nil"/>
                    <w:tr2bl w:val="nil"/>
                  </w:tcBorders>
                  <w:vAlign w:val="center"/>
                </w:tcPr>
                <w:p>
                  <w:pPr>
                    <w:spacing w:line="240" w:lineRule="auto"/>
                    <w:ind w:firstLine="0" w:firstLineChars="0"/>
                    <w:jc w:val="center"/>
                    <w:rPr>
                      <w:color w:val="auto"/>
                    </w:rPr>
                  </w:pPr>
                  <w:r>
                    <w:rPr>
                      <w:color w:val="auto"/>
                    </w:rPr>
                    <w:t>E2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974" w:type="dxa"/>
                  <w:tcBorders>
                    <w:tl2br w:val="nil"/>
                    <w:tr2bl w:val="nil"/>
                  </w:tcBorders>
                  <w:vAlign w:val="center"/>
                </w:tcPr>
                <w:p>
                  <w:pPr>
                    <w:spacing w:line="240" w:lineRule="auto"/>
                    <w:ind w:firstLine="0" w:firstLineChars="0"/>
                    <w:jc w:val="center"/>
                    <w:rPr>
                      <w:color w:val="auto"/>
                    </w:rPr>
                  </w:pPr>
                  <w:r>
                    <w:rPr>
                      <w:color w:val="auto"/>
                    </w:rPr>
                    <w:t>D2</w:t>
                  </w:r>
                </w:p>
              </w:tc>
              <w:tc>
                <w:tcPr>
                  <w:tcW w:w="1974" w:type="dxa"/>
                  <w:tcBorders>
                    <w:tl2br w:val="nil"/>
                    <w:tr2bl w:val="nil"/>
                  </w:tcBorders>
                  <w:vAlign w:val="center"/>
                </w:tcPr>
                <w:p>
                  <w:pPr>
                    <w:spacing w:line="240" w:lineRule="auto"/>
                    <w:ind w:firstLine="0" w:firstLineChars="0"/>
                    <w:jc w:val="center"/>
                    <w:rPr>
                      <w:color w:val="auto"/>
                    </w:rPr>
                  </w:pPr>
                  <w:r>
                    <w:rPr>
                      <w:color w:val="auto"/>
                    </w:rPr>
                    <w:t>E1</w:t>
                  </w:r>
                </w:p>
              </w:tc>
              <w:tc>
                <w:tcPr>
                  <w:tcW w:w="1975" w:type="dxa"/>
                  <w:tcBorders>
                    <w:tl2br w:val="nil"/>
                    <w:tr2bl w:val="nil"/>
                  </w:tcBorders>
                  <w:vAlign w:val="center"/>
                </w:tcPr>
                <w:p>
                  <w:pPr>
                    <w:spacing w:line="240" w:lineRule="auto"/>
                    <w:ind w:firstLine="0" w:firstLineChars="0"/>
                    <w:jc w:val="center"/>
                    <w:rPr>
                      <w:color w:val="auto"/>
                    </w:rPr>
                  </w:pPr>
                  <w:r>
                    <w:rPr>
                      <w:color w:val="auto"/>
                    </w:rPr>
                    <w:t>E2</w:t>
                  </w:r>
                </w:p>
              </w:tc>
              <w:tc>
                <w:tcPr>
                  <w:tcW w:w="1976" w:type="dxa"/>
                  <w:tcBorders>
                    <w:tl2br w:val="nil"/>
                    <w:tr2bl w:val="nil"/>
                  </w:tcBorders>
                  <w:vAlign w:val="center"/>
                </w:tcPr>
                <w:p>
                  <w:pPr>
                    <w:spacing w:line="240" w:lineRule="auto"/>
                    <w:ind w:firstLine="0" w:firstLineChars="0"/>
                    <w:jc w:val="center"/>
                    <w:rPr>
                      <w:color w:val="auto"/>
                    </w:rPr>
                  </w:pPr>
                  <w:r>
                    <w:rPr>
                      <w:color w:val="auto"/>
                    </w:rPr>
                    <w:t>E3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1974" w:type="dxa"/>
                  <w:tcBorders>
                    <w:tl2br w:val="nil"/>
                    <w:tr2bl w:val="nil"/>
                  </w:tcBorders>
                  <w:vAlign w:val="center"/>
                </w:tcPr>
                <w:p>
                  <w:pPr>
                    <w:spacing w:line="240" w:lineRule="auto"/>
                    <w:ind w:firstLine="0" w:firstLineChars="0"/>
                    <w:jc w:val="center"/>
                    <w:rPr>
                      <w:color w:val="auto"/>
                    </w:rPr>
                  </w:pPr>
                  <w:r>
                    <w:rPr>
                      <w:color w:val="auto"/>
                    </w:rPr>
                    <w:t>D3</w:t>
                  </w:r>
                </w:p>
              </w:tc>
              <w:tc>
                <w:tcPr>
                  <w:tcW w:w="1974" w:type="dxa"/>
                  <w:tcBorders>
                    <w:tl2br w:val="nil"/>
                    <w:tr2bl w:val="nil"/>
                  </w:tcBorders>
                  <w:vAlign w:val="center"/>
                </w:tcPr>
                <w:p>
                  <w:pPr>
                    <w:spacing w:line="240" w:lineRule="auto"/>
                    <w:ind w:firstLine="0" w:firstLineChars="0"/>
                    <w:jc w:val="center"/>
                    <w:rPr>
                      <w:color w:val="auto"/>
                    </w:rPr>
                  </w:pPr>
                  <w:r>
                    <w:rPr>
                      <w:color w:val="auto"/>
                    </w:rPr>
                    <w:t>E2</w:t>
                  </w:r>
                </w:p>
              </w:tc>
              <w:tc>
                <w:tcPr>
                  <w:tcW w:w="1975" w:type="dxa"/>
                  <w:tcBorders>
                    <w:tl2br w:val="nil"/>
                    <w:tr2bl w:val="nil"/>
                  </w:tcBorders>
                  <w:vAlign w:val="center"/>
                </w:tcPr>
                <w:p>
                  <w:pPr>
                    <w:spacing w:line="240" w:lineRule="auto"/>
                    <w:ind w:firstLine="0" w:firstLineChars="0"/>
                    <w:jc w:val="center"/>
                    <w:rPr>
                      <w:color w:val="auto"/>
                    </w:rPr>
                  </w:pPr>
                  <w:r>
                    <w:rPr>
                      <w:color w:val="auto"/>
                    </w:rPr>
                    <w:t>E3</w:t>
                  </w:r>
                </w:p>
              </w:tc>
              <w:tc>
                <w:tcPr>
                  <w:tcW w:w="1976" w:type="dxa"/>
                  <w:tcBorders>
                    <w:tl2br w:val="nil"/>
                    <w:tr2bl w:val="nil"/>
                  </w:tcBorders>
                  <w:vAlign w:val="center"/>
                </w:tcPr>
                <w:p>
                  <w:pPr>
                    <w:spacing w:line="240" w:lineRule="auto"/>
                    <w:ind w:firstLine="0" w:firstLineChars="0"/>
                    <w:jc w:val="center"/>
                    <w:rPr>
                      <w:color w:val="auto"/>
                    </w:rPr>
                  </w:pPr>
                  <w:r>
                    <w:rPr>
                      <w:b/>
                      <w:bCs/>
                      <w:color w:val="auto"/>
                    </w:rPr>
                    <w:t>E3</w:t>
                  </w:r>
                </w:p>
              </w:tc>
            </w:tr>
          </w:tbl>
          <w:p>
            <w:pPr>
              <w:ind w:firstLine="480"/>
              <w:rPr>
                <w:color w:val="auto"/>
              </w:rPr>
            </w:pPr>
            <w:r>
              <w:rPr>
                <w:color w:val="auto"/>
              </w:rPr>
              <w:t>本项目所在区域包气带较厚，主要岩性为各种粒级的砂、冲洪积砂砾石层，Mb≥1.0m，K≦1.0×10</w:t>
            </w:r>
            <w:r>
              <w:rPr>
                <w:color w:val="auto"/>
                <w:vertAlign w:val="superscript"/>
              </w:rPr>
              <w:t>-6</w:t>
            </w:r>
            <w:r>
              <w:rPr>
                <w:color w:val="auto"/>
              </w:rPr>
              <w:t>，且分布连续、稳定，故包气带防污性能分级为D3，项目所在区域不涉及《建设项目环境影响评价技术导则总纲》（HJ2.1-2016）表D.6所述地下水敏感目标，地下水功能敏感性分区为G3。综合分析，本项目地下水环境风险敏感性为E3。</w:t>
            </w:r>
          </w:p>
          <w:p>
            <w:pPr>
              <w:ind w:firstLine="480"/>
              <w:rPr>
                <w:color w:val="auto"/>
              </w:rPr>
            </w:pPr>
            <w:r>
              <w:rPr>
                <w:color w:val="auto"/>
              </w:rPr>
              <w:t>大气环境</w:t>
            </w:r>
          </w:p>
          <w:p>
            <w:pPr>
              <w:ind w:firstLine="480"/>
              <w:rPr>
                <w:color w:val="auto"/>
              </w:rPr>
            </w:pPr>
            <w:r>
              <w:rPr>
                <w:color w:val="auto"/>
              </w:rPr>
              <w:t>依据环境敏感目标环境敏感性及人口密度划分环境风险受体的敏感性，共分为三种类型，具体分级原则见表</w:t>
            </w:r>
            <w:r>
              <w:rPr>
                <w:rFonts w:hint="eastAsia"/>
                <w:color w:val="auto"/>
              </w:rPr>
              <w:t>4-19</w:t>
            </w:r>
            <w:r>
              <w:rPr>
                <w:color w:val="auto"/>
              </w:rPr>
              <w:t>。</w:t>
            </w:r>
          </w:p>
          <w:p>
            <w:pPr>
              <w:ind w:firstLine="0" w:firstLineChars="0"/>
              <w:jc w:val="center"/>
              <w:rPr>
                <w:b/>
                <w:bCs/>
                <w:color w:val="auto"/>
              </w:rPr>
            </w:pPr>
            <w:r>
              <w:rPr>
                <w:b/>
                <w:bCs/>
                <w:color w:val="auto"/>
              </w:rPr>
              <w:t>表</w:t>
            </w:r>
            <w:r>
              <w:rPr>
                <w:rFonts w:hint="eastAsia"/>
                <w:b/>
                <w:bCs/>
                <w:color w:val="auto"/>
              </w:rPr>
              <w:t>4-19</w:t>
            </w:r>
            <w:r>
              <w:rPr>
                <w:b/>
                <w:bCs/>
                <w:color w:val="auto"/>
              </w:rPr>
              <w:t>大气环境敏感程度分级</w:t>
            </w:r>
          </w:p>
          <w:tbl>
            <w:tblPr>
              <w:tblStyle w:val="22"/>
              <w:tblW w:w="79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5268"/>
              <w:gridCol w:w="19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735" w:type="dxa"/>
                  <w:tcBorders>
                    <w:tl2br w:val="nil"/>
                    <w:tr2bl w:val="nil"/>
                  </w:tcBorders>
                  <w:vAlign w:val="center"/>
                </w:tcPr>
                <w:p>
                  <w:pPr>
                    <w:spacing w:line="240" w:lineRule="auto"/>
                    <w:ind w:firstLine="0" w:firstLineChars="0"/>
                    <w:rPr>
                      <w:color w:val="auto"/>
                    </w:rPr>
                  </w:pPr>
                  <w:r>
                    <w:rPr>
                      <w:color w:val="auto"/>
                    </w:rPr>
                    <w:t>分级</w:t>
                  </w:r>
                </w:p>
              </w:tc>
              <w:tc>
                <w:tcPr>
                  <w:tcW w:w="5268" w:type="dxa"/>
                  <w:tcBorders>
                    <w:tl2br w:val="nil"/>
                    <w:tr2bl w:val="nil"/>
                  </w:tcBorders>
                  <w:vAlign w:val="center"/>
                </w:tcPr>
                <w:p>
                  <w:pPr>
                    <w:spacing w:line="240" w:lineRule="auto"/>
                    <w:ind w:firstLine="0" w:firstLineChars="0"/>
                    <w:rPr>
                      <w:color w:val="auto"/>
                    </w:rPr>
                  </w:pPr>
                  <w:r>
                    <w:rPr>
                      <w:color w:val="auto"/>
                    </w:rPr>
                    <w:t>大气环境敏感性</w:t>
                  </w:r>
                </w:p>
              </w:tc>
              <w:tc>
                <w:tcPr>
                  <w:tcW w:w="1956" w:type="dxa"/>
                  <w:tcBorders>
                    <w:tl2br w:val="nil"/>
                    <w:tr2bl w:val="nil"/>
                  </w:tcBorders>
                  <w:vAlign w:val="center"/>
                </w:tcPr>
                <w:p>
                  <w:pPr>
                    <w:spacing w:line="240" w:lineRule="auto"/>
                    <w:ind w:firstLine="0" w:firstLineChars="0"/>
                    <w:rPr>
                      <w:color w:val="auto"/>
                    </w:rPr>
                  </w:pPr>
                  <w:r>
                    <w:rPr>
                      <w:color w:val="auto"/>
                    </w:rPr>
                    <w:t>本项目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0" w:hRule="atLeast"/>
              </w:trPr>
              <w:tc>
                <w:tcPr>
                  <w:tcW w:w="735" w:type="dxa"/>
                  <w:tcBorders>
                    <w:tl2br w:val="nil"/>
                    <w:tr2bl w:val="nil"/>
                  </w:tcBorders>
                  <w:vAlign w:val="center"/>
                </w:tcPr>
                <w:p>
                  <w:pPr>
                    <w:spacing w:line="240" w:lineRule="auto"/>
                    <w:ind w:firstLine="0" w:firstLineChars="0"/>
                    <w:rPr>
                      <w:color w:val="auto"/>
                    </w:rPr>
                  </w:pPr>
                  <w:r>
                    <w:rPr>
                      <w:color w:val="auto"/>
                    </w:rPr>
                    <w:t>E1</w:t>
                  </w:r>
                </w:p>
              </w:tc>
              <w:tc>
                <w:tcPr>
                  <w:tcW w:w="5268" w:type="dxa"/>
                  <w:tcBorders>
                    <w:tl2br w:val="nil"/>
                    <w:tr2bl w:val="nil"/>
                  </w:tcBorders>
                  <w:vAlign w:val="center"/>
                </w:tcPr>
                <w:p>
                  <w:pPr>
                    <w:spacing w:line="240" w:lineRule="auto"/>
                    <w:ind w:firstLine="0" w:firstLineChars="0"/>
                    <w:rPr>
                      <w:color w:val="auto"/>
                    </w:rPr>
                  </w:pPr>
                  <w:r>
                    <w:rPr>
                      <w:color w:val="auto"/>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c>
                <w:tcPr>
                  <w:tcW w:w="1956" w:type="dxa"/>
                  <w:vMerge w:val="restart"/>
                  <w:tcBorders>
                    <w:tl2br w:val="nil"/>
                    <w:tr2bl w:val="nil"/>
                  </w:tcBorders>
                  <w:vAlign w:val="center"/>
                </w:tcPr>
                <w:p>
                  <w:pPr>
                    <w:spacing w:line="240" w:lineRule="auto"/>
                    <w:ind w:firstLine="0" w:firstLineChars="0"/>
                    <w:rPr>
                      <w:color w:val="auto"/>
                    </w:rPr>
                  </w:pPr>
                  <w:r>
                    <w:rPr>
                      <w:color w:val="auto"/>
                    </w:rPr>
                    <w:t>周边500m范围内人口总数为97人，均为园区内其他企业的工作人员，不涉及居民区等敏感目标；本项目周边5km范围内居住区、医疗卫生、文化教育、科研、行政办公等机构人口总数大于1万人，小于5万人。综合分析大气环境敏感程度分级为E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05" w:hRule="atLeast"/>
              </w:trPr>
              <w:tc>
                <w:tcPr>
                  <w:tcW w:w="735" w:type="dxa"/>
                  <w:tcBorders>
                    <w:tl2br w:val="nil"/>
                    <w:tr2bl w:val="nil"/>
                  </w:tcBorders>
                  <w:vAlign w:val="center"/>
                </w:tcPr>
                <w:p>
                  <w:pPr>
                    <w:spacing w:line="240" w:lineRule="auto"/>
                    <w:ind w:firstLine="0" w:firstLineChars="0"/>
                    <w:rPr>
                      <w:color w:val="auto"/>
                    </w:rPr>
                  </w:pPr>
                  <w:r>
                    <w:rPr>
                      <w:color w:val="auto"/>
                    </w:rPr>
                    <w:t>E2</w:t>
                  </w:r>
                </w:p>
              </w:tc>
              <w:tc>
                <w:tcPr>
                  <w:tcW w:w="5268" w:type="dxa"/>
                  <w:tcBorders>
                    <w:tl2br w:val="nil"/>
                    <w:tr2bl w:val="nil"/>
                  </w:tcBorders>
                  <w:vAlign w:val="center"/>
                </w:tcPr>
                <w:p>
                  <w:pPr>
                    <w:spacing w:line="240" w:lineRule="auto"/>
                    <w:ind w:firstLine="0" w:firstLineChars="0"/>
                    <w:rPr>
                      <w:color w:val="auto"/>
                    </w:rPr>
                  </w:pPr>
                  <w:r>
                    <w:rPr>
                      <w:color w:val="auto"/>
                    </w:rP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c>
                <w:tcPr>
                  <w:tcW w:w="1956" w:type="dxa"/>
                  <w:vMerge w:val="continue"/>
                  <w:tcBorders>
                    <w:tl2br w:val="nil"/>
                    <w:tr2bl w:val="nil"/>
                  </w:tcBorders>
                  <w:vAlign w:val="center"/>
                </w:tcPr>
                <w:p>
                  <w:pPr>
                    <w:spacing w:line="240" w:lineRule="auto"/>
                    <w:ind w:firstLine="0" w:firstLineChars="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0" w:hRule="atLeast"/>
              </w:trPr>
              <w:tc>
                <w:tcPr>
                  <w:tcW w:w="735" w:type="dxa"/>
                  <w:tcBorders>
                    <w:tl2br w:val="nil"/>
                    <w:tr2bl w:val="nil"/>
                  </w:tcBorders>
                  <w:vAlign w:val="center"/>
                </w:tcPr>
                <w:p>
                  <w:pPr>
                    <w:spacing w:line="240" w:lineRule="auto"/>
                    <w:ind w:firstLine="0" w:firstLineChars="0"/>
                    <w:rPr>
                      <w:color w:val="auto"/>
                    </w:rPr>
                  </w:pPr>
                  <w:r>
                    <w:rPr>
                      <w:color w:val="auto"/>
                    </w:rPr>
                    <w:t>E3</w:t>
                  </w:r>
                </w:p>
              </w:tc>
              <w:tc>
                <w:tcPr>
                  <w:tcW w:w="5268" w:type="dxa"/>
                  <w:tcBorders>
                    <w:tl2br w:val="nil"/>
                    <w:tr2bl w:val="nil"/>
                  </w:tcBorders>
                  <w:vAlign w:val="center"/>
                </w:tcPr>
                <w:p>
                  <w:pPr>
                    <w:spacing w:line="240" w:lineRule="auto"/>
                    <w:ind w:firstLine="0" w:firstLineChars="0"/>
                    <w:rPr>
                      <w:color w:val="auto"/>
                    </w:rPr>
                  </w:pPr>
                  <w:r>
                    <w:rPr>
                      <w:color w:val="auto"/>
                    </w:rPr>
                    <w:t>周边5km范围内居住区、医疗卫生、文化教育、科研、行政办公等机构人口总数小于1万人；或周边500m范围内人口总数小于500人；油气、化学品输送管线管段周边200m范围内，每千米管段人口数小于100人。</w:t>
                  </w:r>
                </w:p>
              </w:tc>
              <w:tc>
                <w:tcPr>
                  <w:tcW w:w="1956" w:type="dxa"/>
                  <w:vMerge w:val="continue"/>
                  <w:tcBorders>
                    <w:tl2br w:val="nil"/>
                    <w:tr2bl w:val="nil"/>
                  </w:tcBorders>
                  <w:vAlign w:val="center"/>
                </w:tcPr>
                <w:p>
                  <w:pPr>
                    <w:spacing w:line="240" w:lineRule="auto"/>
                    <w:ind w:firstLine="0" w:firstLineChars="0"/>
                    <w:rPr>
                      <w:color w:val="auto"/>
                    </w:rPr>
                  </w:pPr>
                </w:p>
              </w:tc>
            </w:tr>
          </w:tbl>
          <w:p>
            <w:pPr>
              <w:ind w:firstLine="480"/>
              <w:rPr>
                <w:color w:val="auto"/>
              </w:rPr>
            </w:pPr>
            <w:r>
              <w:rPr>
                <w:color w:val="auto"/>
              </w:rPr>
              <w:t>（</w:t>
            </w:r>
            <w:r>
              <w:rPr>
                <w:rFonts w:hint="eastAsia"/>
                <w:color w:val="auto"/>
              </w:rPr>
              <w:t>5</w:t>
            </w:r>
            <w:r>
              <w:rPr>
                <w:color w:val="auto"/>
              </w:rPr>
              <w:t>）小结</w:t>
            </w:r>
          </w:p>
          <w:p>
            <w:pPr>
              <w:ind w:firstLine="480"/>
              <w:rPr>
                <w:color w:val="auto"/>
              </w:rPr>
            </w:pPr>
            <w:r>
              <w:rPr>
                <w:color w:val="auto"/>
              </w:rPr>
              <w:t>本项目大气环境风险敏感程度为E</w:t>
            </w:r>
            <w:r>
              <w:rPr>
                <w:rFonts w:hint="eastAsia"/>
                <w:color w:val="auto"/>
              </w:rPr>
              <w:t>3</w:t>
            </w:r>
            <w:r>
              <w:rPr>
                <w:color w:val="auto"/>
              </w:rPr>
              <w:t>，地表水环境敏感程度为E3，地下水环境风险敏感程度为E3。</w:t>
            </w:r>
          </w:p>
          <w:p>
            <w:pPr>
              <w:ind w:firstLine="482"/>
              <w:rPr>
                <w:b/>
                <w:bCs/>
                <w:color w:val="auto"/>
              </w:rPr>
            </w:pPr>
            <w:r>
              <w:rPr>
                <w:rFonts w:hint="eastAsia"/>
                <w:b/>
                <w:bCs/>
                <w:color w:val="auto"/>
                <w:lang w:eastAsia="zh-CN"/>
              </w:rPr>
              <w:t>2.</w:t>
            </w:r>
            <w:r>
              <w:rPr>
                <w:b/>
                <w:bCs/>
                <w:color w:val="auto"/>
              </w:rPr>
              <w:t>环境风险潜势判定结果</w:t>
            </w:r>
          </w:p>
          <w:p>
            <w:pPr>
              <w:ind w:firstLine="480"/>
              <w:rPr>
                <w:color w:val="auto"/>
              </w:rPr>
            </w:pPr>
            <w:r>
              <w:rPr>
                <w:color w:val="auto"/>
              </w:rPr>
              <w:t>根据以上分析结果，本项目物质和工艺系统的危险性属中度危害（P4）、大气环境敏感程度属环境中度敏感区（E</w:t>
            </w:r>
            <w:r>
              <w:rPr>
                <w:rFonts w:hint="eastAsia"/>
                <w:color w:val="auto"/>
              </w:rPr>
              <w:t>3</w:t>
            </w:r>
            <w:r>
              <w:rPr>
                <w:color w:val="auto"/>
              </w:rPr>
              <w:t>）、地表水环境和地下水环境敏感程度属环境低度敏感区（E3），按照表</w:t>
            </w:r>
            <w:r>
              <w:rPr>
                <w:rFonts w:hint="eastAsia"/>
                <w:color w:val="auto"/>
              </w:rPr>
              <w:t>4-20</w:t>
            </w:r>
            <w:r>
              <w:rPr>
                <w:color w:val="auto"/>
              </w:rPr>
              <w:t>确定环境风险潜势。</w:t>
            </w:r>
          </w:p>
          <w:p>
            <w:pPr>
              <w:ind w:firstLine="0" w:firstLineChars="0"/>
              <w:jc w:val="center"/>
              <w:rPr>
                <w:b/>
                <w:bCs/>
                <w:color w:val="auto"/>
              </w:rPr>
            </w:pPr>
            <w:r>
              <w:rPr>
                <w:b/>
                <w:bCs/>
                <w:color w:val="auto"/>
              </w:rPr>
              <w:t>表</w:t>
            </w:r>
            <w:r>
              <w:rPr>
                <w:rFonts w:hint="eastAsia"/>
                <w:b/>
                <w:bCs/>
                <w:color w:val="auto"/>
              </w:rPr>
              <w:t>4-20</w:t>
            </w:r>
            <w:r>
              <w:rPr>
                <w:b/>
                <w:bCs/>
                <w:color w:val="auto"/>
              </w:rPr>
              <w:t>建设项目环境风险潜势划分</w:t>
            </w:r>
          </w:p>
          <w:tbl>
            <w:tblPr>
              <w:tblStyle w:val="22"/>
              <w:tblW w:w="79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2"/>
              <w:gridCol w:w="1486"/>
              <w:gridCol w:w="1486"/>
              <w:gridCol w:w="1486"/>
              <w:gridCol w:w="14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2012" w:type="dxa"/>
                  <w:vMerge w:val="restart"/>
                  <w:tcBorders>
                    <w:tl2br w:val="nil"/>
                    <w:tr2bl w:val="nil"/>
                  </w:tcBorders>
                  <w:vAlign w:val="center"/>
                </w:tcPr>
                <w:p>
                  <w:pPr>
                    <w:spacing w:line="240" w:lineRule="auto"/>
                    <w:ind w:firstLine="0" w:firstLineChars="0"/>
                    <w:jc w:val="center"/>
                    <w:rPr>
                      <w:color w:val="auto"/>
                    </w:rPr>
                  </w:pPr>
                  <w:r>
                    <w:rPr>
                      <w:color w:val="auto"/>
                    </w:rPr>
                    <w:t>环境敏感程度（E）</w:t>
                  </w:r>
                </w:p>
              </w:tc>
              <w:tc>
                <w:tcPr>
                  <w:tcW w:w="5947" w:type="dxa"/>
                  <w:gridSpan w:val="4"/>
                  <w:tcBorders>
                    <w:tl2br w:val="nil"/>
                    <w:tr2bl w:val="nil"/>
                  </w:tcBorders>
                  <w:vAlign w:val="center"/>
                </w:tcPr>
                <w:p>
                  <w:pPr>
                    <w:spacing w:line="240" w:lineRule="auto"/>
                    <w:ind w:firstLine="0" w:firstLineChars="0"/>
                    <w:jc w:val="center"/>
                    <w:rPr>
                      <w:color w:val="auto"/>
                    </w:rPr>
                  </w:pPr>
                  <w:r>
                    <w:rPr>
                      <w:color w:val="auto"/>
                    </w:rPr>
                    <w:t>危险物质及工艺系统危险性（P）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2012" w:type="dxa"/>
                  <w:vMerge w:val="continue"/>
                  <w:tcBorders>
                    <w:tl2br w:val="nil"/>
                    <w:tr2bl w:val="nil"/>
                  </w:tcBorders>
                  <w:vAlign w:val="center"/>
                </w:tcPr>
                <w:p>
                  <w:pPr>
                    <w:spacing w:line="240" w:lineRule="auto"/>
                    <w:ind w:firstLine="0" w:firstLineChars="0"/>
                    <w:jc w:val="center"/>
                    <w:rPr>
                      <w:color w:val="auto"/>
                    </w:rPr>
                  </w:pPr>
                </w:p>
              </w:tc>
              <w:tc>
                <w:tcPr>
                  <w:tcW w:w="1486" w:type="dxa"/>
                  <w:tcBorders>
                    <w:tl2br w:val="nil"/>
                    <w:tr2bl w:val="nil"/>
                  </w:tcBorders>
                  <w:vAlign w:val="center"/>
                </w:tcPr>
                <w:p>
                  <w:pPr>
                    <w:spacing w:line="240" w:lineRule="auto"/>
                    <w:ind w:firstLine="0" w:firstLineChars="0"/>
                    <w:jc w:val="center"/>
                    <w:rPr>
                      <w:color w:val="auto"/>
                    </w:rPr>
                  </w:pPr>
                  <w:r>
                    <w:rPr>
                      <w:color w:val="auto"/>
                    </w:rPr>
                    <w:t>极高危害（P1）</w:t>
                  </w:r>
                </w:p>
              </w:tc>
              <w:tc>
                <w:tcPr>
                  <w:tcW w:w="1486" w:type="dxa"/>
                  <w:tcBorders>
                    <w:tl2br w:val="nil"/>
                    <w:tr2bl w:val="nil"/>
                  </w:tcBorders>
                  <w:vAlign w:val="center"/>
                </w:tcPr>
                <w:p>
                  <w:pPr>
                    <w:spacing w:line="240" w:lineRule="auto"/>
                    <w:ind w:firstLine="0" w:firstLineChars="0"/>
                    <w:jc w:val="center"/>
                    <w:rPr>
                      <w:color w:val="auto"/>
                    </w:rPr>
                  </w:pPr>
                  <w:r>
                    <w:rPr>
                      <w:color w:val="auto"/>
                    </w:rPr>
                    <w:t>高度危害（P2）</w:t>
                  </w:r>
                </w:p>
              </w:tc>
              <w:tc>
                <w:tcPr>
                  <w:tcW w:w="1486" w:type="dxa"/>
                  <w:tcBorders>
                    <w:tl2br w:val="nil"/>
                    <w:tr2bl w:val="nil"/>
                  </w:tcBorders>
                  <w:vAlign w:val="center"/>
                </w:tcPr>
                <w:p>
                  <w:pPr>
                    <w:spacing w:line="240" w:lineRule="auto"/>
                    <w:ind w:firstLine="0" w:firstLineChars="0"/>
                    <w:jc w:val="center"/>
                    <w:rPr>
                      <w:color w:val="auto"/>
                    </w:rPr>
                  </w:pPr>
                  <w:r>
                    <w:rPr>
                      <w:color w:val="auto"/>
                    </w:rPr>
                    <w:t>中度危害（P3）</w:t>
                  </w:r>
                </w:p>
              </w:tc>
              <w:tc>
                <w:tcPr>
                  <w:tcW w:w="1489" w:type="dxa"/>
                  <w:tcBorders>
                    <w:tl2br w:val="nil"/>
                    <w:tr2bl w:val="nil"/>
                  </w:tcBorders>
                  <w:vAlign w:val="center"/>
                </w:tcPr>
                <w:p>
                  <w:pPr>
                    <w:spacing w:line="240" w:lineRule="auto"/>
                    <w:ind w:firstLine="0" w:firstLineChars="0"/>
                    <w:jc w:val="center"/>
                    <w:rPr>
                      <w:color w:val="auto"/>
                    </w:rPr>
                  </w:pPr>
                  <w:r>
                    <w:rPr>
                      <w:color w:val="auto"/>
                    </w:rPr>
                    <w:t>轻度危害（P4）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trPr>
              <w:tc>
                <w:tcPr>
                  <w:tcW w:w="2012" w:type="dxa"/>
                  <w:tcBorders>
                    <w:tl2br w:val="nil"/>
                    <w:tr2bl w:val="nil"/>
                  </w:tcBorders>
                  <w:vAlign w:val="center"/>
                </w:tcPr>
                <w:p>
                  <w:pPr>
                    <w:spacing w:line="240" w:lineRule="auto"/>
                    <w:ind w:firstLine="0" w:firstLineChars="0"/>
                    <w:jc w:val="center"/>
                    <w:rPr>
                      <w:color w:val="auto"/>
                    </w:rPr>
                  </w:pPr>
                  <w:r>
                    <w:rPr>
                      <w:color w:val="auto"/>
                    </w:rPr>
                    <w:t>环境高度敏感区（E1）</w:t>
                  </w:r>
                </w:p>
              </w:tc>
              <w:tc>
                <w:tcPr>
                  <w:tcW w:w="1486" w:type="dxa"/>
                  <w:tcBorders>
                    <w:tl2br w:val="nil"/>
                    <w:tr2bl w:val="nil"/>
                  </w:tcBorders>
                  <w:vAlign w:val="center"/>
                </w:tcPr>
                <w:p>
                  <w:pPr>
                    <w:spacing w:line="240" w:lineRule="auto"/>
                    <w:ind w:firstLine="0" w:firstLineChars="0"/>
                    <w:jc w:val="center"/>
                    <w:rPr>
                      <w:color w:val="auto"/>
                    </w:rPr>
                  </w:pPr>
                  <w:r>
                    <w:rPr>
                      <w:color w:val="auto"/>
                    </w:rPr>
                    <w:t>Ⅳ+</w:t>
                  </w:r>
                </w:p>
              </w:tc>
              <w:tc>
                <w:tcPr>
                  <w:tcW w:w="1486" w:type="dxa"/>
                  <w:tcBorders>
                    <w:tl2br w:val="nil"/>
                    <w:tr2bl w:val="nil"/>
                  </w:tcBorders>
                  <w:vAlign w:val="center"/>
                </w:tcPr>
                <w:p>
                  <w:pPr>
                    <w:spacing w:line="240" w:lineRule="auto"/>
                    <w:ind w:firstLine="0" w:firstLineChars="0"/>
                    <w:jc w:val="center"/>
                    <w:rPr>
                      <w:color w:val="auto"/>
                    </w:rPr>
                  </w:pPr>
                  <w:r>
                    <w:rPr>
                      <w:color w:val="auto"/>
                    </w:rPr>
                    <w:t>Ⅳ</w:t>
                  </w:r>
                </w:p>
              </w:tc>
              <w:tc>
                <w:tcPr>
                  <w:tcW w:w="1486" w:type="dxa"/>
                  <w:tcBorders>
                    <w:tl2br w:val="nil"/>
                    <w:tr2bl w:val="nil"/>
                  </w:tcBorders>
                  <w:vAlign w:val="center"/>
                </w:tcPr>
                <w:p>
                  <w:pPr>
                    <w:spacing w:line="240" w:lineRule="auto"/>
                    <w:ind w:firstLine="0" w:firstLineChars="0"/>
                    <w:jc w:val="center"/>
                    <w:rPr>
                      <w:color w:val="auto"/>
                    </w:rPr>
                  </w:pPr>
                  <w:r>
                    <w:rPr>
                      <w:color w:val="auto"/>
                    </w:rPr>
                    <w:t>Ⅲ</w:t>
                  </w:r>
                </w:p>
              </w:tc>
              <w:tc>
                <w:tcPr>
                  <w:tcW w:w="1489" w:type="dxa"/>
                  <w:tcBorders>
                    <w:tl2br w:val="nil"/>
                    <w:tr2bl w:val="nil"/>
                  </w:tcBorders>
                  <w:vAlign w:val="center"/>
                </w:tcPr>
                <w:p>
                  <w:pPr>
                    <w:spacing w:line="240" w:lineRule="auto"/>
                    <w:ind w:firstLine="0" w:firstLineChars="0"/>
                    <w:jc w:val="center"/>
                    <w:rPr>
                      <w:color w:val="auto"/>
                    </w:rPr>
                  </w:pPr>
                  <w:r>
                    <w:rPr>
                      <w:color w:val="auto"/>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55" w:hRule="atLeast"/>
              </w:trPr>
              <w:tc>
                <w:tcPr>
                  <w:tcW w:w="2012" w:type="dxa"/>
                  <w:tcBorders>
                    <w:tl2br w:val="nil"/>
                    <w:tr2bl w:val="nil"/>
                  </w:tcBorders>
                  <w:vAlign w:val="center"/>
                </w:tcPr>
                <w:p>
                  <w:pPr>
                    <w:spacing w:line="240" w:lineRule="auto"/>
                    <w:ind w:firstLine="0" w:firstLineChars="0"/>
                    <w:jc w:val="center"/>
                    <w:rPr>
                      <w:color w:val="auto"/>
                    </w:rPr>
                  </w:pPr>
                  <w:r>
                    <w:rPr>
                      <w:color w:val="auto"/>
                    </w:rPr>
                    <w:t>环境中度敏感区（E2）</w:t>
                  </w:r>
                </w:p>
              </w:tc>
              <w:tc>
                <w:tcPr>
                  <w:tcW w:w="1486" w:type="dxa"/>
                  <w:tcBorders>
                    <w:tl2br w:val="nil"/>
                    <w:tr2bl w:val="nil"/>
                  </w:tcBorders>
                  <w:vAlign w:val="center"/>
                </w:tcPr>
                <w:p>
                  <w:pPr>
                    <w:spacing w:line="240" w:lineRule="auto"/>
                    <w:ind w:firstLine="0" w:firstLineChars="0"/>
                    <w:jc w:val="center"/>
                    <w:rPr>
                      <w:color w:val="auto"/>
                    </w:rPr>
                  </w:pPr>
                  <w:r>
                    <w:rPr>
                      <w:color w:val="auto"/>
                    </w:rPr>
                    <w:t>Ⅳ</w:t>
                  </w:r>
                </w:p>
              </w:tc>
              <w:tc>
                <w:tcPr>
                  <w:tcW w:w="1486" w:type="dxa"/>
                  <w:tcBorders>
                    <w:tl2br w:val="nil"/>
                    <w:tr2bl w:val="nil"/>
                  </w:tcBorders>
                  <w:vAlign w:val="center"/>
                </w:tcPr>
                <w:p>
                  <w:pPr>
                    <w:spacing w:line="240" w:lineRule="auto"/>
                    <w:ind w:firstLine="0" w:firstLineChars="0"/>
                    <w:jc w:val="center"/>
                    <w:rPr>
                      <w:color w:val="auto"/>
                    </w:rPr>
                  </w:pPr>
                  <w:r>
                    <w:rPr>
                      <w:color w:val="auto"/>
                    </w:rPr>
                    <w:t>Ⅲ</w:t>
                  </w:r>
                </w:p>
              </w:tc>
              <w:tc>
                <w:tcPr>
                  <w:tcW w:w="1486" w:type="dxa"/>
                  <w:tcBorders>
                    <w:tl2br w:val="nil"/>
                    <w:tr2bl w:val="nil"/>
                  </w:tcBorders>
                  <w:vAlign w:val="center"/>
                </w:tcPr>
                <w:p>
                  <w:pPr>
                    <w:spacing w:line="240" w:lineRule="auto"/>
                    <w:ind w:firstLine="0" w:firstLineChars="0"/>
                    <w:jc w:val="center"/>
                    <w:rPr>
                      <w:color w:val="auto"/>
                    </w:rPr>
                  </w:pPr>
                  <w:r>
                    <w:rPr>
                      <w:color w:val="auto"/>
                    </w:rPr>
                    <w:t>Ⅲ</w:t>
                  </w:r>
                </w:p>
              </w:tc>
              <w:tc>
                <w:tcPr>
                  <w:tcW w:w="1489" w:type="dxa"/>
                  <w:tcBorders>
                    <w:tl2br w:val="nil"/>
                    <w:tr2bl w:val="nil"/>
                  </w:tcBorders>
                  <w:vAlign w:val="center"/>
                </w:tcPr>
                <w:p>
                  <w:pPr>
                    <w:spacing w:line="240" w:lineRule="auto"/>
                    <w:ind w:firstLine="0" w:firstLineChars="0"/>
                    <w:jc w:val="center"/>
                    <w:rPr>
                      <w:color w:val="auto"/>
                    </w:rPr>
                  </w:pPr>
                  <w:r>
                    <w:rPr>
                      <w:color w:val="auto"/>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trPr>
              <w:tc>
                <w:tcPr>
                  <w:tcW w:w="2012" w:type="dxa"/>
                  <w:tcBorders>
                    <w:tl2br w:val="nil"/>
                    <w:tr2bl w:val="nil"/>
                  </w:tcBorders>
                  <w:vAlign w:val="center"/>
                </w:tcPr>
                <w:p>
                  <w:pPr>
                    <w:spacing w:line="240" w:lineRule="auto"/>
                    <w:ind w:firstLine="0" w:firstLineChars="0"/>
                    <w:jc w:val="center"/>
                    <w:rPr>
                      <w:color w:val="auto"/>
                    </w:rPr>
                  </w:pPr>
                  <w:r>
                    <w:rPr>
                      <w:color w:val="auto"/>
                    </w:rPr>
                    <w:t>环境低度敏感区（E3）</w:t>
                  </w:r>
                </w:p>
              </w:tc>
              <w:tc>
                <w:tcPr>
                  <w:tcW w:w="1486" w:type="dxa"/>
                  <w:tcBorders>
                    <w:tl2br w:val="nil"/>
                    <w:tr2bl w:val="nil"/>
                  </w:tcBorders>
                  <w:vAlign w:val="center"/>
                </w:tcPr>
                <w:p>
                  <w:pPr>
                    <w:spacing w:line="240" w:lineRule="auto"/>
                    <w:ind w:firstLine="0" w:firstLineChars="0"/>
                    <w:jc w:val="center"/>
                    <w:rPr>
                      <w:color w:val="auto"/>
                    </w:rPr>
                  </w:pPr>
                  <w:r>
                    <w:rPr>
                      <w:color w:val="auto"/>
                    </w:rPr>
                    <w:t>Ⅲ</w:t>
                  </w:r>
                </w:p>
              </w:tc>
              <w:tc>
                <w:tcPr>
                  <w:tcW w:w="1486" w:type="dxa"/>
                  <w:tcBorders>
                    <w:tl2br w:val="nil"/>
                    <w:tr2bl w:val="nil"/>
                  </w:tcBorders>
                  <w:vAlign w:val="center"/>
                </w:tcPr>
                <w:p>
                  <w:pPr>
                    <w:spacing w:line="240" w:lineRule="auto"/>
                    <w:ind w:firstLine="0" w:firstLineChars="0"/>
                    <w:jc w:val="center"/>
                    <w:rPr>
                      <w:color w:val="auto"/>
                    </w:rPr>
                  </w:pPr>
                  <w:r>
                    <w:rPr>
                      <w:color w:val="auto"/>
                    </w:rPr>
                    <w:t>Ⅲ</w:t>
                  </w:r>
                </w:p>
              </w:tc>
              <w:tc>
                <w:tcPr>
                  <w:tcW w:w="1486" w:type="dxa"/>
                  <w:tcBorders>
                    <w:tl2br w:val="nil"/>
                    <w:tr2bl w:val="nil"/>
                  </w:tcBorders>
                  <w:vAlign w:val="center"/>
                </w:tcPr>
                <w:p>
                  <w:pPr>
                    <w:spacing w:line="240" w:lineRule="auto"/>
                    <w:ind w:firstLine="0" w:firstLineChars="0"/>
                    <w:jc w:val="center"/>
                    <w:rPr>
                      <w:color w:val="auto"/>
                    </w:rPr>
                  </w:pPr>
                  <w:r>
                    <w:rPr>
                      <w:color w:val="auto"/>
                    </w:rPr>
                    <w:t>Ⅱ</w:t>
                  </w:r>
                </w:p>
              </w:tc>
              <w:tc>
                <w:tcPr>
                  <w:tcW w:w="1489" w:type="dxa"/>
                  <w:tcBorders>
                    <w:tl2br w:val="nil"/>
                    <w:tr2bl w:val="nil"/>
                  </w:tcBorders>
                  <w:vAlign w:val="center"/>
                </w:tcPr>
                <w:p>
                  <w:pPr>
                    <w:spacing w:line="240" w:lineRule="auto"/>
                    <w:ind w:firstLine="0" w:firstLineChars="0"/>
                    <w:jc w:val="center"/>
                    <w:rPr>
                      <w:b/>
                      <w:bCs/>
                      <w:color w:val="auto"/>
                    </w:rPr>
                  </w:pPr>
                  <w:r>
                    <w:rPr>
                      <w:b/>
                      <w:bCs/>
                      <w:color w:val="auto"/>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7959" w:type="dxa"/>
                  <w:gridSpan w:val="5"/>
                  <w:tcBorders>
                    <w:tl2br w:val="nil"/>
                    <w:tr2bl w:val="nil"/>
                  </w:tcBorders>
                  <w:vAlign w:val="center"/>
                </w:tcPr>
                <w:p>
                  <w:pPr>
                    <w:spacing w:line="240" w:lineRule="auto"/>
                    <w:ind w:firstLine="0" w:firstLineChars="0"/>
                    <w:jc w:val="center"/>
                    <w:rPr>
                      <w:color w:val="auto"/>
                    </w:rPr>
                  </w:pPr>
                  <w:r>
                    <w:rPr>
                      <w:color w:val="auto"/>
                    </w:rPr>
                    <w:t>注：Ⅳ+为极高环境风险</w:t>
                  </w:r>
                </w:p>
              </w:tc>
            </w:tr>
          </w:tbl>
          <w:p>
            <w:pPr>
              <w:ind w:firstLine="480"/>
              <w:rPr>
                <w:color w:val="auto"/>
              </w:rPr>
            </w:pPr>
            <w:r>
              <w:rPr>
                <w:color w:val="auto"/>
              </w:rPr>
              <w:t>根据上表判定本项目大气环境风险潜势为Ⅰ，地表水环境风险潜势为Ⅰ，地下水环境风险潜势为Ⅰ。</w:t>
            </w:r>
          </w:p>
          <w:p>
            <w:pPr>
              <w:ind w:firstLine="482"/>
              <w:rPr>
                <w:b/>
                <w:bCs/>
                <w:color w:val="auto"/>
              </w:rPr>
            </w:pPr>
            <w:r>
              <w:rPr>
                <w:rFonts w:hint="eastAsia"/>
                <w:b/>
                <w:bCs/>
                <w:color w:val="auto"/>
                <w:lang w:eastAsia="zh-CN"/>
              </w:rPr>
              <w:t>3.</w:t>
            </w:r>
            <w:r>
              <w:rPr>
                <w:b/>
                <w:bCs/>
                <w:color w:val="auto"/>
              </w:rPr>
              <w:t>评价等级确定及工作内容</w:t>
            </w:r>
          </w:p>
          <w:p>
            <w:pPr>
              <w:ind w:firstLine="480"/>
              <w:rPr>
                <w:color w:val="auto"/>
              </w:rPr>
            </w:pPr>
            <w:r>
              <w:rPr>
                <w:color w:val="auto"/>
              </w:rPr>
              <w:t>根据分析结果及表</w:t>
            </w:r>
            <w:r>
              <w:rPr>
                <w:rFonts w:hint="eastAsia"/>
                <w:color w:val="auto"/>
              </w:rPr>
              <w:t>4-20</w:t>
            </w:r>
            <w:r>
              <w:rPr>
                <w:color w:val="auto"/>
              </w:rPr>
              <w:t>进行判定，本项目大气环境风险潜势为Ⅰ，地表水环境风险潜势为Ⅰ，地下水环境风险潜势为Ⅰ，本项目环境风险评价等级见表</w:t>
            </w:r>
            <w:r>
              <w:rPr>
                <w:rFonts w:hint="eastAsia"/>
                <w:color w:val="auto"/>
              </w:rPr>
              <w:t>4-21</w:t>
            </w:r>
            <w:r>
              <w:rPr>
                <w:color w:val="auto"/>
              </w:rPr>
              <w:t>。</w:t>
            </w:r>
          </w:p>
          <w:p>
            <w:pPr>
              <w:ind w:firstLine="0" w:firstLineChars="0"/>
              <w:jc w:val="center"/>
              <w:rPr>
                <w:b/>
                <w:bCs/>
                <w:color w:val="auto"/>
              </w:rPr>
            </w:pPr>
            <w:r>
              <w:rPr>
                <w:b/>
                <w:bCs/>
                <w:color w:val="auto"/>
              </w:rPr>
              <w:t>表</w:t>
            </w:r>
            <w:r>
              <w:rPr>
                <w:rFonts w:hint="eastAsia"/>
                <w:b/>
                <w:bCs/>
                <w:color w:val="auto"/>
              </w:rPr>
              <w:t>4-21</w:t>
            </w:r>
            <w:r>
              <w:rPr>
                <w:b/>
                <w:bCs/>
                <w:color w:val="auto"/>
              </w:rPr>
              <w:t>环境风险评价工作等级划分表</w:t>
            </w:r>
          </w:p>
          <w:tbl>
            <w:tblPr>
              <w:tblStyle w:val="22"/>
              <w:tblW w:w="79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5"/>
              <w:gridCol w:w="1595"/>
              <w:gridCol w:w="1595"/>
              <w:gridCol w:w="1596"/>
              <w:gridCol w:w="15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1595" w:type="dxa"/>
                  <w:tcBorders>
                    <w:tl2br w:val="nil"/>
                    <w:tr2bl w:val="nil"/>
                  </w:tcBorders>
                  <w:vAlign w:val="center"/>
                </w:tcPr>
                <w:p>
                  <w:pPr>
                    <w:spacing w:line="240" w:lineRule="auto"/>
                    <w:ind w:firstLine="0" w:firstLineChars="0"/>
                    <w:jc w:val="center"/>
                    <w:rPr>
                      <w:color w:val="auto"/>
                    </w:rPr>
                  </w:pPr>
                  <w:r>
                    <w:rPr>
                      <w:color w:val="auto"/>
                    </w:rPr>
                    <w:t>环境风险潜势</w:t>
                  </w:r>
                </w:p>
              </w:tc>
              <w:tc>
                <w:tcPr>
                  <w:tcW w:w="1595" w:type="dxa"/>
                  <w:tcBorders>
                    <w:tl2br w:val="nil"/>
                    <w:tr2bl w:val="nil"/>
                  </w:tcBorders>
                  <w:vAlign w:val="center"/>
                </w:tcPr>
                <w:p>
                  <w:pPr>
                    <w:spacing w:line="240" w:lineRule="auto"/>
                    <w:ind w:firstLine="0" w:firstLineChars="0"/>
                    <w:jc w:val="center"/>
                    <w:rPr>
                      <w:color w:val="auto"/>
                    </w:rPr>
                  </w:pPr>
                  <w:r>
                    <w:rPr>
                      <w:color w:val="auto"/>
                    </w:rPr>
                    <w:t>Ⅳ、Ⅳ+</w:t>
                  </w:r>
                </w:p>
              </w:tc>
              <w:tc>
                <w:tcPr>
                  <w:tcW w:w="1595" w:type="dxa"/>
                  <w:tcBorders>
                    <w:tl2br w:val="nil"/>
                    <w:tr2bl w:val="nil"/>
                  </w:tcBorders>
                  <w:vAlign w:val="center"/>
                </w:tcPr>
                <w:p>
                  <w:pPr>
                    <w:spacing w:line="240" w:lineRule="auto"/>
                    <w:ind w:firstLine="0" w:firstLineChars="0"/>
                    <w:jc w:val="center"/>
                    <w:rPr>
                      <w:color w:val="auto"/>
                    </w:rPr>
                  </w:pPr>
                  <w:r>
                    <w:rPr>
                      <w:color w:val="auto"/>
                    </w:rPr>
                    <w:t>Ⅲ</w:t>
                  </w:r>
                </w:p>
              </w:tc>
              <w:tc>
                <w:tcPr>
                  <w:tcW w:w="1596" w:type="dxa"/>
                  <w:tcBorders>
                    <w:tl2br w:val="nil"/>
                    <w:tr2bl w:val="nil"/>
                  </w:tcBorders>
                  <w:vAlign w:val="center"/>
                </w:tcPr>
                <w:p>
                  <w:pPr>
                    <w:spacing w:line="240" w:lineRule="auto"/>
                    <w:ind w:firstLine="0" w:firstLineChars="0"/>
                    <w:jc w:val="center"/>
                    <w:rPr>
                      <w:color w:val="auto"/>
                    </w:rPr>
                  </w:pPr>
                  <w:r>
                    <w:rPr>
                      <w:color w:val="auto"/>
                    </w:rPr>
                    <w:t>Ⅱ</w:t>
                  </w:r>
                </w:p>
              </w:tc>
              <w:tc>
                <w:tcPr>
                  <w:tcW w:w="1596" w:type="dxa"/>
                  <w:tcBorders>
                    <w:tl2br w:val="nil"/>
                    <w:tr2bl w:val="nil"/>
                  </w:tcBorders>
                  <w:vAlign w:val="center"/>
                </w:tcPr>
                <w:p>
                  <w:pPr>
                    <w:spacing w:line="240" w:lineRule="auto"/>
                    <w:ind w:firstLine="0" w:firstLineChars="0"/>
                    <w:jc w:val="center"/>
                    <w:rPr>
                      <w:color w:val="auto"/>
                    </w:rPr>
                  </w:pPr>
                  <w:r>
                    <w:rPr>
                      <w:color w:val="auto"/>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1595" w:type="dxa"/>
                  <w:tcBorders>
                    <w:tl2br w:val="nil"/>
                    <w:tr2bl w:val="nil"/>
                  </w:tcBorders>
                  <w:vAlign w:val="center"/>
                </w:tcPr>
                <w:p>
                  <w:pPr>
                    <w:spacing w:line="240" w:lineRule="auto"/>
                    <w:ind w:firstLine="0" w:firstLineChars="0"/>
                    <w:jc w:val="center"/>
                    <w:rPr>
                      <w:color w:val="auto"/>
                    </w:rPr>
                  </w:pPr>
                  <w:r>
                    <w:rPr>
                      <w:color w:val="auto"/>
                    </w:rPr>
                    <w:t>评价工作等级</w:t>
                  </w:r>
                </w:p>
              </w:tc>
              <w:tc>
                <w:tcPr>
                  <w:tcW w:w="1595" w:type="dxa"/>
                  <w:tcBorders>
                    <w:tl2br w:val="nil"/>
                    <w:tr2bl w:val="nil"/>
                  </w:tcBorders>
                  <w:vAlign w:val="center"/>
                </w:tcPr>
                <w:p>
                  <w:pPr>
                    <w:spacing w:line="240" w:lineRule="auto"/>
                    <w:ind w:firstLine="0" w:firstLineChars="0"/>
                    <w:jc w:val="center"/>
                    <w:rPr>
                      <w:color w:val="auto"/>
                    </w:rPr>
                  </w:pPr>
                  <w:r>
                    <w:rPr>
                      <w:color w:val="auto"/>
                    </w:rPr>
                    <w:t>一</w:t>
                  </w:r>
                </w:p>
              </w:tc>
              <w:tc>
                <w:tcPr>
                  <w:tcW w:w="1595" w:type="dxa"/>
                  <w:tcBorders>
                    <w:tl2br w:val="nil"/>
                    <w:tr2bl w:val="nil"/>
                  </w:tcBorders>
                  <w:vAlign w:val="center"/>
                </w:tcPr>
                <w:p>
                  <w:pPr>
                    <w:spacing w:line="240" w:lineRule="auto"/>
                    <w:ind w:firstLine="0" w:firstLineChars="0"/>
                    <w:jc w:val="center"/>
                    <w:rPr>
                      <w:color w:val="auto"/>
                    </w:rPr>
                  </w:pPr>
                  <w:r>
                    <w:rPr>
                      <w:color w:val="auto"/>
                    </w:rPr>
                    <w:t>二</w:t>
                  </w:r>
                </w:p>
              </w:tc>
              <w:tc>
                <w:tcPr>
                  <w:tcW w:w="1596" w:type="dxa"/>
                  <w:tcBorders>
                    <w:tl2br w:val="nil"/>
                    <w:tr2bl w:val="nil"/>
                  </w:tcBorders>
                  <w:vAlign w:val="center"/>
                </w:tcPr>
                <w:p>
                  <w:pPr>
                    <w:spacing w:line="240" w:lineRule="auto"/>
                    <w:ind w:firstLine="0" w:firstLineChars="0"/>
                    <w:jc w:val="center"/>
                    <w:rPr>
                      <w:color w:val="auto"/>
                    </w:rPr>
                  </w:pPr>
                  <w:r>
                    <w:rPr>
                      <w:color w:val="auto"/>
                    </w:rPr>
                    <w:t>三</w:t>
                  </w:r>
                </w:p>
              </w:tc>
              <w:tc>
                <w:tcPr>
                  <w:tcW w:w="1596" w:type="dxa"/>
                  <w:tcBorders>
                    <w:tl2br w:val="nil"/>
                    <w:tr2bl w:val="nil"/>
                  </w:tcBorders>
                  <w:vAlign w:val="center"/>
                </w:tcPr>
                <w:p>
                  <w:pPr>
                    <w:spacing w:line="240" w:lineRule="auto"/>
                    <w:ind w:firstLine="0" w:firstLineChars="0"/>
                    <w:jc w:val="center"/>
                    <w:rPr>
                      <w:color w:val="auto"/>
                    </w:rPr>
                  </w:pPr>
                  <w:r>
                    <w:rPr>
                      <w:color w:val="auto"/>
                    </w:rPr>
                    <w:t>简单分析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trPr>
              <w:tc>
                <w:tcPr>
                  <w:tcW w:w="1595" w:type="dxa"/>
                  <w:vMerge w:val="restart"/>
                  <w:tcBorders>
                    <w:tl2br w:val="nil"/>
                    <w:tr2bl w:val="nil"/>
                  </w:tcBorders>
                  <w:vAlign w:val="center"/>
                </w:tcPr>
                <w:p>
                  <w:pPr>
                    <w:spacing w:line="240" w:lineRule="auto"/>
                    <w:ind w:firstLine="0" w:firstLineChars="0"/>
                    <w:jc w:val="center"/>
                    <w:rPr>
                      <w:color w:val="auto"/>
                    </w:rPr>
                  </w:pPr>
                  <w:r>
                    <w:rPr>
                      <w:color w:val="auto"/>
                    </w:rPr>
                    <w:t>本项目情况</w:t>
                  </w:r>
                </w:p>
              </w:tc>
              <w:tc>
                <w:tcPr>
                  <w:tcW w:w="1595" w:type="dxa"/>
                  <w:tcBorders>
                    <w:tl2br w:val="nil"/>
                    <w:tr2bl w:val="nil"/>
                  </w:tcBorders>
                  <w:vAlign w:val="center"/>
                </w:tcPr>
                <w:p>
                  <w:pPr>
                    <w:spacing w:line="240" w:lineRule="auto"/>
                    <w:ind w:firstLine="0" w:firstLineChars="0"/>
                    <w:jc w:val="center"/>
                    <w:rPr>
                      <w:color w:val="auto"/>
                    </w:rPr>
                  </w:pPr>
                  <w:r>
                    <w:rPr>
                      <w:color w:val="auto"/>
                    </w:rPr>
                    <w:t>环境要素</w:t>
                  </w:r>
                </w:p>
              </w:tc>
              <w:tc>
                <w:tcPr>
                  <w:tcW w:w="1595" w:type="dxa"/>
                  <w:tcBorders>
                    <w:tl2br w:val="nil"/>
                    <w:tr2bl w:val="nil"/>
                  </w:tcBorders>
                  <w:vAlign w:val="center"/>
                </w:tcPr>
                <w:p>
                  <w:pPr>
                    <w:spacing w:line="240" w:lineRule="auto"/>
                    <w:ind w:firstLine="0" w:firstLineChars="0"/>
                    <w:jc w:val="center"/>
                    <w:rPr>
                      <w:color w:val="auto"/>
                    </w:rPr>
                  </w:pPr>
                  <w:r>
                    <w:rPr>
                      <w:color w:val="auto"/>
                    </w:rPr>
                    <w:t>大气环境风险</w:t>
                  </w:r>
                </w:p>
              </w:tc>
              <w:tc>
                <w:tcPr>
                  <w:tcW w:w="1596" w:type="dxa"/>
                  <w:tcBorders>
                    <w:tl2br w:val="nil"/>
                    <w:tr2bl w:val="nil"/>
                  </w:tcBorders>
                  <w:vAlign w:val="center"/>
                </w:tcPr>
                <w:p>
                  <w:pPr>
                    <w:spacing w:line="240" w:lineRule="auto"/>
                    <w:ind w:firstLine="0" w:firstLineChars="0"/>
                    <w:jc w:val="center"/>
                    <w:rPr>
                      <w:color w:val="auto"/>
                    </w:rPr>
                  </w:pPr>
                  <w:r>
                    <w:rPr>
                      <w:color w:val="auto"/>
                    </w:rPr>
                    <w:t>地表水环境风险</w:t>
                  </w:r>
                </w:p>
              </w:tc>
              <w:tc>
                <w:tcPr>
                  <w:tcW w:w="1596" w:type="dxa"/>
                  <w:tcBorders>
                    <w:tl2br w:val="nil"/>
                    <w:tr2bl w:val="nil"/>
                  </w:tcBorders>
                  <w:vAlign w:val="center"/>
                </w:tcPr>
                <w:p>
                  <w:pPr>
                    <w:spacing w:line="240" w:lineRule="auto"/>
                    <w:ind w:firstLine="0" w:firstLineChars="0"/>
                    <w:jc w:val="center"/>
                    <w:rPr>
                      <w:color w:val="auto"/>
                    </w:rPr>
                  </w:pPr>
                  <w:r>
                    <w:rPr>
                      <w:color w:val="auto"/>
                    </w:rPr>
                    <w:t>地下水环境风险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1595" w:type="dxa"/>
                  <w:vMerge w:val="continue"/>
                  <w:tcBorders>
                    <w:tl2br w:val="nil"/>
                    <w:tr2bl w:val="nil"/>
                  </w:tcBorders>
                  <w:vAlign w:val="center"/>
                </w:tcPr>
                <w:p>
                  <w:pPr>
                    <w:spacing w:line="240" w:lineRule="auto"/>
                    <w:ind w:firstLine="0" w:firstLineChars="0"/>
                    <w:jc w:val="center"/>
                    <w:rPr>
                      <w:color w:val="auto"/>
                    </w:rPr>
                  </w:pPr>
                </w:p>
              </w:tc>
              <w:tc>
                <w:tcPr>
                  <w:tcW w:w="1595" w:type="dxa"/>
                  <w:tcBorders>
                    <w:tl2br w:val="nil"/>
                    <w:tr2bl w:val="nil"/>
                  </w:tcBorders>
                  <w:vAlign w:val="center"/>
                </w:tcPr>
                <w:p>
                  <w:pPr>
                    <w:spacing w:line="240" w:lineRule="auto"/>
                    <w:ind w:firstLine="0" w:firstLineChars="0"/>
                    <w:jc w:val="center"/>
                    <w:rPr>
                      <w:color w:val="auto"/>
                    </w:rPr>
                  </w:pPr>
                  <w:r>
                    <w:rPr>
                      <w:color w:val="auto"/>
                    </w:rPr>
                    <w:t>风险潜势</w:t>
                  </w:r>
                </w:p>
              </w:tc>
              <w:tc>
                <w:tcPr>
                  <w:tcW w:w="1595" w:type="dxa"/>
                  <w:tcBorders>
                    <w:tl2br w:val="nil"/>
                    <w:tr2bl w:val="nil"/>
                  </w:tcBorders>
                  <w:vAlign w:val="center"/>
                </w:tcPr>
                <w:p>
                  <w:pPr>
                    <w:spacing w:line="240" w:lineRule="auto"/>
                    <w:ind w:firstLine="0" w:firstLineChars="0"/>
                    <w:jc w:val="center"/>
                    <w:rPr>
                      <w:color w:val="auto"/>
                    </w:rPr>
                  </w:pPr>
                  <w:r>
                    <w:rPr>
                      <w:color w:val="auto"/>
                    </w:rPr>
                    <w:t>Ⅰ</w:t>
                  </w:r>
                </w:p>
              </w:tc>
              <w:tc>
                <w:tcPr>
                  <w:tcW w:w="1596" w:type="dxa"/>
                  <w:tcBorders>
                    <w:tl2br w:val="nil"/>
                    <w:tr2bl w:val="nil"/>
                  </w:tcBorders>
                  <w:vAlign w:val="center"/>
                </w:tcPr>
                <w:p>
                  <w:pPr>
                    <w:spacing w:line="240" w:lineRule="auto"/>
                    <w:ind w:firstLine="0" w:firstLineChars="0"/>
                    <w:jc w:val="center"/>
                    <w:rPr>
                      <w:color w:val="auto"/>
                    </w:rPr>
                  </w:pPr>
                  <w:r>
                    <w:rPr>
                      <w:color w:val="auto"/>
                    </w:rPr>
                    <w:t>Ⅰ</w:t>
                  </w:r>
                </w:p>
              </w:tc>
              <w:tc>
                <w:tcPr>
                  <w:tcW w:w="1596" w:type="dxa"/>
                  <w:tcBorders>
                    <w:tl2br w:val="nil"/>
                    <w:tr2bl w:val="nil"/>
                  </w:tcBorders>
                  <w:vAlign w:val="center"/>
                </w:tcPr>
                <w:p>
                  <w:pPr>
                    <w:spacing w:line="240" w:lineRule="auto"/>
                    <w:ind w:firstLine="0" w:firstLineChars="0"/>
                    <w:jc w:val="center"/>
                    <w:rPr>
                      <w:color w:val="auto"/>
                    </w:rPr>
                  </w:pPr>
                  <w:r>
                    <w:rPr>
                      <w:color w:val="auto"/>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1595" w:type="dxa"/>
                  <w:vMerge w:val="continue"/>
                  <w:tcBorders>
                    <w:tl2br w:val="nil"/>
                    <w:tr2bl w:val="nil"/>
                  </w:tcBorders>
                  <w:vAlign w:val="center"/>
                </w:tcPr>
                <w:p>
                  <w:pPr>
                    <w:spacing w:line="240" w:lineRule="auto"/>
                    <w:ind w:firstLine="0" w:firstLineChars="0"/>
                    <w:jc w:val="center"/>
                    <w:rPr>
                      <w:color w:val="auto"/>
                    </w:rPr>
                  </w:pPr>
                </w:p>
              </w:tc>
              <w:tc>
                <w:tcPr>
                  <w:tcW w:w="1595" w:type="dxa"/>
                  <w:tcBorders>
                    <w:tl2br w:val="nil"/>
                    <w:tr2bl w:val="nil"/>
                  </w:tcBorders>
                  <w:vAlign w:val="center"/>
                </w:tcPr>
                <w:p>
                  <w:pPr>
                    <w:spacing w:line="240" w:lineRule="auto"/>
                    <w:ind w:firstLine="0" w:firstLineChars="0"/>
                    <w:jc w:val="center"/>
                    <w:rPr>
                      <w:color w:val="auto"/>
                    </w:rPr>
                  </w:pPr>
                  <w:r>
                    <w:rPr>
                      <w:color w:val="auto"/>
                    </w:rPr>
                    <w:t>评价等级</w:t>
                  </w:r>
                </w:p>
              </w:tc>
              <w:tc>
                <w:tcPr>
                  <w:tcW w:w="1595" w:type="dxa"/>
                  <w:tcBorders>
                    <w:tl2br w:val="nil"/>
                    <w:tr2bl w:val="nil"/>
                  </w:tcBorders>
                  <w:vAlign w:val="center"/>
                </w:tcPr>
                <w:p>
                  <w:pPr>
                    <w:spacing w:line="240" w:lineRule="auto"/>
                    <w:ind w:firstLine="0" w:firstLineChars="0"/>
                    <w:jc w:val="center"/>
                    <w:rPr>
                      <w:color w:val="auto"/>
                    </w:rPr>
                  </w:pPr>
                  <w:r>
                    <w:rPr>
                      <w:color w:val="auto"/>
                    </w:rPr>
                    <w:t>简单分析</w:t>
                  </w:r>
                </w:p>
              </w:tc>
              <w:tc>
                <w:tcPr>
                  <w:tcW w:w="1596" w:type="dxa"/>
                  <w:tcBorders>
                    <w:tl2br w:val="nil"/>
                    <w:tr2bl w:val="nil"/>
                  </w:tcBorders>
                  <w:vAlign w:val="center"/>
                </w:tcPr>
                <w:p>
                  <w:pPr>
                    <w:spacing w:line="240" w:lineRule="auto"/>
                    <w:ind w:firstLine="0" w:firstLineChars="0"/>
                    <w:jc w:val="center"/>
                    <w:rPr>
                      <w:color w:val="auto"/>
                    </w:rPr>
                  </w:pPr>
                  <w:r>
                    <w:rPr>
                      <w:color w:val="auto"/>
                    </w:rPr>
                    <w:t>简单分析</w:t>
                  </w:r>
                </w:p>
              </w:tc>
              <w:tc>
                <w:tcPr>
                  <w:tcW w:w="1596" w:type="dxa"/>
                  <w:tcBorders>
                    <w:tl2br w:val="nil"/>
                    <w:tr2bl w:val="nil"/>
                  </w:tcBorders>
                  <w:vAlign w:val="center"/>
                </w:tcPr>
                <w:p>
                  <w:pPr>
                    <w:spacing w:line="240" w:lineRule="auto"/>
                    <w:ind w:firstLine="0" w:firstLineChars="0"/>
                    <w:jc w:val="center"/>
                    <w:rPr>
                      <w:color w:val="auto"/>
                    </w:rPr>
                  </w:pPr>
                  <w:r>
                    <w:rPr>
                      <w:color w:val="auto"/>
                    </w:rPr>
                    <w:t>简单分析</w:t>
                  </w:r>
                </w:p>
              </w:tc>
            </w:tr>
          </w:tbl>
          <w:p>
            <w:pPr>
              <w:ind w:firstLine="480"/>
              <w:rPr>
                <w:color w:val="auto"/>
              </w:rPr>
            </w:pPr>
            <w:r>
              <w:rPr>
                <w:color w:val="auto"/>
              </w:rPr>
              <w:t>根据上表判定本项目大气环境风险评价</w:t>
            </w:r>
            <w:r>
              <w:rPr>
                <w:rFonts w:hint="eastAsia"/>
                <w:color w:val="auto"/>
              </w:rPr>
              <w:t>、</w:t>
            </w:r>
            <w:r>
              <w:rPr>
                <w:color w:val="auto"/>
              </w:rPr>
              <w:t>地表水和地下水环境风险评价等级</w:t>
            </w:r>
            <w:r>
              <w:rPr>
                <w:rFonts w:hint="eastAsia"/>
                <w:color w:val="auto"/>
              </w:rPr>
              <w:t>均</w:t>
            </w:r>
            <w:r>
              <w:rPr>
                <w:color w:val="auto"/>
              </w:rPr>
              <w:t>为简单分析。</w:t>
            </w:r>
          </w:p>
          <w:p>
            <w:pPr>
              <w:ind w:firstLine="482"/>
              <w:rPr>
                <w:b/>
                <w:bCs/>
                <w:color w:val="auto"/>
                <w:kern w:val="0"/>
              </w:rPr>
            </w:pPr>
            <w:r>
              <w:rPr>
                <w:rFonts w:hint="eastAsia"/>
                <w:b/>
                <w:bCs/>
                <w:color w:val="auto"/>
                <w:kern w:val="0"/>
                <w:lang w:eastAsia="zh-CN"/>
              </w:rPr>
              <w:t>4.</w:t>
            </w:r>
            <w:r>
              <w:rPr>
                <w:rFonts w:hint="eastAsia"/>
                <w:b/>
                <w:bCs/>
                <w:color w:val="auto"/>
                <w:kern w:val="0"/>
              </w:rPr>
              <w:t>风险源识别</w:t>
            </w:r>
          </w:p>
          <w:p>
            <w:pPr>
              <w:ind w:firstLine="480"/>
              <w:rPr>
                <w:color w:val="auto"/>
              </w:rPr>
            </w:pPr>
            <w:r>
              <w:rPr>
                <w:rFonts w:hint="eastAsia"/>
                <w:color w:val="auto"/>
              </w:rPr>
              <w:t>天然气主要由甲烷（85%）和少量乙烷（9%）、丙烷（3%）、氮（2%）和丁烷（1%）组成。主要用作燃料，也用于制造乙醛、乙炔、氨、碳黑、乙醇、甲醛、烃类燃料、氢化油、甲醇、硝酸、合成气和氯乙烯等化学物的原料。天然气被压缩成液体进行贮存和运输。煤矿工人、硝酸制造者、发电厂工人、有机化学合成工、燃气使用者、石油精炼工等有机会接触本品。主要经呼吸道进入人体。属</w:t>
            </w:r>
            <w:r>
              <w:rPr>
                <w:color w:val="auto"/>
              </w:rPr>
              <w:fldChar w:fldCharType="begin"/>
            </w:r>
            <w:r>
              <w:rPr>
                <w:color w:val="auto"/>
              </w:rPr>
              <w:instrText xml:space="preserve"> HYPERLINK "https://baike.baidu.com/item/%E5%8D%95%E7%BA%AF%E7%AA%92%E6%81%AF%E6%80%A7%E6%B0%94%E4%BD%93/53348576?fromModule=lemma_inlink" \t "https://baike.baidu.com/item/%E5%A4%A9%E7%84%B6%E6%B0%94/_blank" </w:instrText>
            </w:r>
            <w:r>
              <w:rPr>
                <w:color w:val="auto"/>
              </w:rPr>
              <w:fldChar w:fldCharType="separate"/>
            </w:r>
            <w:r>
              <w:rPr>
                <w:rFonts w:hint="eastAsia"/>
                <w:color w:val="auto"/>
              </w:rPr>
              <w:t>单纯窒息性气体</w:t>
            </w:r>
            <w:r>
              <w:rPr>
                <w:rFonts w:hint="eastAsia"/>
                <w:color w:val="auto"/>
              </w:rPr>
              <w:fldChar w:fldCharType="end"/>
            </w:r>
            <w:r>
              <w:rPr>
                <w:rFonts w:hint="eastAsia"/>
                <w:color w:val="auto"/>
              </w:rPr>
              <w:t>。浓度高时因置换空气而引起缺氧，导致呼吸短促，知觉丧失；严重者可因血氧过低窒息死亡。高压天然气可致冻伤。不完全燃烧可产生</w:t>
            </w:r>
            <w:r>
              <w:rPr>
                <w:color w:val="auto"/>
              </w:rPr>
              <w:fldChar w:fldCharType="begin"/>
            </w:r>
            <w:r>
              <w:rPr>
                <w:color w:val="auto"/>
              </w:rPr>
              <w:instrText xml:space="preserve"> HYPERLINK "https://baike.baidu.com/item/%E4%B8%80%E6%B0%A7%E5%8C%96%E7%A2%B3/163473?fromModule=lemma_inlink" \t "https://baike.baidu.com/item/%E5%A4%A9%E7%84%B6%E6%B0%94/_blank" </w:instrText>
            </w:r>
            <w:r>
              <w:rPr>
                <w:color w:val="auto"/>
              </w:rPr>
              <w:fldChar w:fldCharType="separate"/>
            </w:r>
            <w:r>
              <w:rPr>
                <w:rFonts w:hint="eastAsia"/>
                <w:color w:val="auto"/>
              </w:rPr>
              <w:t>一氧化碳</w:t>
            </w:r>
            <w:r>
              <w:rPr>
                <w:rFonts w:hint="eastAsia"/>
                <w:color w:val="auto"/>
              </w:rPr>
              <w:fldChar w:fldCharType="end"/>
            </w:r>
            <w:r>
              <w:rPr>
                <w:rFonts w:hint="eastAsia"/>
                <w:color w:val="auto"/>
              </w:rPr>
              <w:t>。</w:t>
            </w:r>
          </w:p>
          <w:p>
            <w:pPr>
              <w:ind w:firstLine="480"/>
              <w:rPr>
                <w:color w:val="auto"/>
              </w:rPr>
            </w:pPr>
            <w:r>
              <w:rPr>
                <w:color w:val="auto"/>
              </w:rPr>
              <w:t>废矿物油泄漏产生的挥发性有机物（非甲烷总烃）、泄漏的废矿物油遇明火发生燃烧以及火灾爆炸产生的次生污染物通过空气扩散至大气环境中污染大气环境。</w:t>
            </w:r>
          </w:p>
          <w:p>
            <w:pPr>
              <w:ind w:firstLine="480"/>
              <w:rPr>
                <w:color w:val="auto"/>
              </w:rPr>
            </w:pPr>
            <w:r>
              <w:rPr>
                <w:color w:val="auto"/>
              </w:rPr>
              <w:t>煤粉为可燃物质，粉尘</w:t>
            </w:r>
            <w:r>
              <w:rPr>
                <w:rFonts w:hint="eastAsia"/>
                <w:color w:val="auto"/>
                <w:lang w:eastAsia="zh-CN"/>
              </w:rPr>
              <w:t>具有</w:t>
            </w:r>
            <w:r>
              <w:rPr>
                <w:color w:val="auto"/>
              </w:rPr>
              <w:t>燃爆性，着火点300℃~500℃之间，爆炸下限浓度34g/</w:t>
            </w:r>
            <w:r>
              <w:rPr>
                <w:rFonts w:hint="eastAsia"/>
                <w:color w:val="auto"/>
              </w:rPr>
              <w:t>m³</w:t>
            </w:r>
            <w:r>
              <w:rPr>
                <w:color w:val="auto"/>
              </w:rPr>
              <w:t>~47g/</w:t>
            </w:r>
            <w:r>
              <w:rPr>
                <w:rFonts w:hint="eastAsia"/>
                <w:color w:val="auto"/>
              </w:rPr>
              <w:t>m³</w:t>
            </w:r>
            <w:r>
              <w:rPr>
                <w:color w:val="auto"/>
              </w:rPr>
              <w:t>（粉尘平均粒径：5μm～10μm）。高温表面堆积粉尘（5mm厚）的引燃温度：225℃~285℃，云状粉尘的引燃温度580℃~610℃。积存的煤粉与空气中的氧长期接触氧化时，会发热使温度升高，而温度的升高又会加剧煤粉的进一步氧化，若散热不良时会使氧化过程不断加剧，最后使温度达到煤的燃点而引起煤粉的自燃。煤粉爆炸的前期往往是自燃。当煤粉在空气中达到一定浓度，在外界高温、碰撞、摩擦、振动、明火、电火花的作用下会引起爆炸，爆炸后产生的气浪会使沉积的粉尘飞扬，造成二次爆炸事故。煤尘爆炸与其在空气中的含量及含氧浓度有关，烟煤在10-2000mg/m</w:t>
            </w:r>
            <w:r>
              <w:rPr>
                <w:rFonts w:hint="eastAsia"/>
                <w:color w:val="auto"/>
              </w:rPr>
              <w:t>m³</w:t>
            </w:r>
            <w:r>
              <w:rPr>
                <w:color w:val="auto"/>
              </w:rPr>
              <w:t>。能形成爆炸性混合物，空气中煤尘含量在300-400mg/</w:t>
            </w:r>
            <w:r>
              <w:rPr>
                <w:rFonts w:hint="eastAsia"/>
                <w:color w:val="auto"/>
              </w:rPr>
              <w:t>m³</w:t>
            </w:r>
            <w:r>
              <w:rPr>
                <w:color w:val="auto"/>
              </w:rPr>
              <w:t>爆炸威力最大，这是因为混合物中煤尘与空气的比例适中煤粉能充分燃烧。煤粉爆炸后不仅产生冲击波伤人和破坏建筑物，同时产生大量的一氧化碳，使人中毒死亡</w:t>
            </w:r>
          </w:p>
          <w:p>
            <w:pPr>
              <w:ind w:firstLine="482"/>
              <w:rPr>
                <w:b/>
                <w:bCs/>
                <w:color w:val="auto"/>
              </w:rPr>
            </w:pPr>
            <w:r>
              <w:rPr>
                <w:rFonts w:hint="eastAsia"/>
                <w:b/>
                <w:bCs/>
                <w:color w:val="auto"/>
                <w:lang w:eastAsia="zh-CN"/>
              </w:rPr>
              <w:t>5.</w:t>
            </w:r>
            <w:r>
              <w:rPr>
                <w:rFonts w:hint="eastAsia"/>
                <w:b/>
                <w:bCs/>
                <w:color w:val="auto"/>
              </w:rPr>
              <w:t>环境影响分析</w:t>
            </w:r>
          </w:p>
          <w:p>
            <w:pPr>
              <w:ind w:firstLine="480"/>
              <w:rPr>
                <w:color w:val="auto"/>
              </w:rPr>
            </w:pPr>
            <w:r>
              <w:rPr>
                <w:rFonts w:hint="eastAsia"/>
                <w:color w:val="auto"/>
              </w:rPr>
              <w:t>（1）煤尘爆炸：</w:t>
            </w:r>
            <w:r>
              <w:rPr>
                <w:color w:val="auto"/>
              </w:rPr>
              <w:t>当项目煤尘满足爆炸条件时引起爆炸，爆炸产物中含有大量的CO、SO</w:t>
            </w:r>
            <w:r>
              <w:rPr>
                <w:color w:val="auto"/>
                <w:vertAlign w:val="subscript"/>
              </w:rPr>
              <w:t>2</w:t>
            </w:r>
            <w:r>
              <w:rPr>
                <w:color w:val="auto"/>
              </w:rPr>
              <w:t>、NOx气体及自身分解产生的毒性气体，使人及动物中毒，爆炸燃烧烟气及有毒气体污染周围环境。即使事故发生，爆炸燃烧烟气及有毒气体产生量有限，</w:t>
            </w:r>
            <w:r>
              <w:rPr>
                <w:rFonts w:hint="eastAsia"/>
                <w:color w:val="auto"/>
                <w:lang w:eastAsia="zh-CN"/>
              </w:rPr>
              <w:t>随着</w:t>
            </w:r>
            <w:r>
              <w:rPr>
                <w:color w:val="auto"/>
              </w:rPr>
              <w:t>空气流动、净化，项目区环境空气质量将很快恢复。每天必须由通防室负责对煤场煤堆进行测温检查，并填写测温记录，如发现异常及时上报调度室及有关领导，并建立健全煤场测温记录。为了防止煤炭自燃起火、贮煤温度应控制在60℃下，发现温度上升超过60℃时，应采取洒水等措施降温。</w:t>
            </w:r>
          </w:p>
          <w:p>
            <w:pPr>
              <w:ind w:firstLine="480"/>
              <w:rPr>
                <w:color w:val="auto"/>
                <w:highlight w:val="yellow"/>
              </w:rPr>
            </w:pPr>
            <w:r>
              <w:rPr>
                <w:color w:val="auto"/>
              </w:rPr>
              <w:t>项目全封闭煤储棚，通过洒水降尘及通风措施可满足环保要求，场所内煤尘浓度远低于煤尘爆炸下限浓度。建设单位应通过加强风险管理，对现有突发环境事件应急预案进行重新修编，环境风险处于可接受水平。</w:t>
            </w:r>
          </w:p>
          <w:p>
            <w:pPr>
              <w:ind w:firstLine="480"/>
              <w:rPr>
                <w:color w:val="auto"/>
              </w:rPr>
            </w:pPr>
            <w:r>
              <w:rPr>
                <w:rFonts w:hint="eastAsia"/>
                <w:color w:val="auto"/>
              </w:rPr>
              <w:t>（2）天然气储瓶、槽车阀门失效、管道破裂、安全阀起跳、装卸软管脱落、交通事故导致罐体破损，一旦发生泄漏事故，事故发生时会有大量天然气溢出，对周围环境造成直接污染，而且泄漏的天然气遇到明火可能产生火灾、爆炸事故产生的次生污染物（CO），对周围环境造成污染。</w:t>
            </w:r>
          </w:p>
          <w:p>
            <w:pPr>
              <w:ind w:firstLine="480"/>
              <w:rPr>
                <w:color w:val="auto"/>
              </w:rPr>
            </w:pPr>
            <w:r>
              <w:rPr>
                <w:rFonts w:hint="eastAsia"/>
                <w:color w:val="auto"/>
              </w:rPr>
              <w:t>（3）废矿物油储油桶破损及防渗系统破损、导流渠、集液池、裙脚等破损并失去防渗功能，导致的地面漫流及垂直入渗对地表水、地下水及土壤造成污染。废矿物油泄漏产生的挥发性有机物（非甲烷总烃）排放到大气环境中对环境空气造成污染。泄漏的废矿物油遇明火发生燃烧以及火灾爆炸产生的二次污染物排放到大气环境中对环境空气造成污染。</w:t>
            </w:r>
          </w:p>
          <w:p>
            <w:pPr>
              <w:ind w:firstLine="482"/>
              <w:rPr>
                <w:b/>
                <w:bCs/>
                <w:color w:val="auto"/>
              </w:rPr>
            </w:pPr>
            <w:r>
              <w:rPr>
                <w:rFonts w:hint="eastAsia"/>
                <w:b/>
                <w:bCs/>
                <w:color w:val="auto"/>
                <w:lang w:eastAsia="zh-CN"/>
              </w:rPr>
              <w:t>6.</w:t>
            </w:r>
            <w:r>
              <w:rPr>
                <w:b/>
                <w:bCs/>
                <w:color w:val="auto"/>
              </w:rPr>
              <w:t>风险防范措施</w:t>
            </w:r>
          </w:p>
          <w:p>
            <w:pPr>
              <w:ind w:firstLine="480"/>
              <w:rPr>
                <w:color w:val="auto"/>
              </w:rPr>
            </w:pPr>
            <w:r>
              <w:rPr>
                <w:color w:val="auto"/>
              </w:rPr>
              <w:t>（1）天然气</w:t>
            </w:r>
            <w:r>
              <w:rPr>
                <w:rFonts w:hint="eastAsia"/>
                <w:color w:val="auto"/>
              </w:rPr>
              <w:t>储瓶区</w:t>
            </w:r>
            <w:r>
              <w:rPr>
                <w:color w:val="auto"/>
              </w:rPr>
              <w:t>安装泄漏检测装置，加强各类设备设施的维修保养，定时检查，发现隐患立刻排除；发生器、管道发生老化、破损等现象时立即停止使用并进行更换。</w:t>
            </w:r>
          </w:p>
          <w:p>
            <w:pPr>
              <w:ind w:firstLine="480"/>
              <w:rPr>
                <w:color w:val="auto"/>
              </w:rPr>
            </w:pPr>
            <w:r>
              <w:rPr>
                <w:rFonts w:hint="eastAsia"/>
                <w:color w:val="auto"/>
              </w:rPr>
              <w:t>（2）运输槽车优选路况好、人口密度低、远离敏感区（水源地、自然保护区、学校、医院）的固定路线。规避隧道、桥梁等高风险路段。驾驶员、押运员必须持证上岗，定期进行安全、环保和应急处置培训。严禁疲劳驾驶、超速行驶。严格执行装卸作业规程（如静电接地、惰性气体置换、定量装车）；途中定时停车检查。车辆随车配备个人防护装备（PPE）、防爆工具、可燃气体检测仪、消防器材（干粉灭火器）、紧急堵漏工具、导流收容设备（防爆泵、密封桶）。</w:t>
            </w:r>
          </w:p>
          <w:p>
            <w:pPr>
              <w:ind w:firstLine="480"/>
              <w:rPr>
                <w:color w:val="auto"/>
              </w:rPr>
            </w:pPr>
            <w:r>
              <w:rPr>
                <w:rFonts w:hint="eastAsia"/>
                <w:color w:val="auto"/>
              </w:rPr>
              <w:t>（3）槽车、天然气</w:t>
            </w:r>
            <w:r>
              <w:rPr>
                <w:rFonts w:hint="eastAsia"/>
                <w:color w:val="auto"/>
                <w:lang w:eastAsia="zh-CN"/>
              </w:rPr>
              <w:t>泄漏</w:t>
            </w:r>
            <w:r>
              <w:rPr>
                <w:rFonts w:hint="eastAsia"/>
                <w:color w:val="auto"/>
              </w:rPr>
              <w:t>应急措施为立即启动紧急切断阀；向上风向和高处疏散；使用防爆风机驱散蒸气云；使用干粉、高倍数泡沫灭火器扑灭初期火灾；对于池火，在专家指导下，可考虑让燃料可控燃烧完毕，同时用水枪冷却邻近罐体防止殉爆。迅速用沙袋、围堰等构筑临时屏障，防止泄漏物流入下水道或水体。立即关闭厂区或事发区域雨水总排口，将消防水导入事故应急池或临时收集设施，事后交由有资质单位处理，严禁直接外排。</w:t>
            </w:r>
          </w:p>
          <w:p>
            <w:pPr>
              <w:ind w:firstLine="480"/>
              <w:rPr>
                <w:color w:val="auto"/>
              </w:rPr>
            </w:pPr>
            <w:r>
              <w:rPr>
                <w:color w:val="auto"/>
              </w:rPr>
              <w:t>（</w:t>
            </w:r>
            <w:r>
              <w:rPr>
                <w:rFonts w:hint="eastAsia"/>
                <w:color w:val="auto"/>
              </w:rPr>
              <w:t>4</w:t>
            </w:r>
            <w:r>
              <w:rPr>
                <w:color w:val="auto"/>
              </w:rPr>
              <w:t>）加强员工安全生产教育，设备操作必须由专人负责，设立防护栏及安全警示牌，无关人员不得接近。</w:t>
            </w:r>
          </w:p>
          <w:p>
            <w:pPr>
              <w:ind w:firstLine="480"/>
              <w:rPr>
                <w:color w:val="auto"/>
              </w:rPr>
            </w:pPr>
            <w:r>
              <w:rPr>
                <w:color w:val="auto"/>
              </w:rPr>
              <w:t>（</w:t>
            </w:r>
            <w:r>
              <w:rPr>
                <w:rFonts w:hint="eastAsia"/>
                <w:color w:val="auto"/>
              </w:rPr>
              <w:t>5</w:t>
            </w:r>
            <w:r>
              <w:rPr>
                <w:color w:val="auto"/>
              </w:rPr>
              <w:t>）配备通讯设备、照明设施、安全防护服装及工具，并设有应急防护设施。</w:t>
            </w:r>
          </w:p>
          <w:p>
            <w:pPr>
              <w:ind w:firstLine="480"/>
              <w:rPr>
                <w:color w:val="auto"/>
              </w:rPr>
            </w:pPr>
            <w:r>
              <w:rPr>
                <w:color w:val="auto"/>
              </w:rPr>
              <w:t>（</w:t>
            </w:r>
            <w:r>
              <w:rPr>
                <w:rFonts w:hint="eastAsia"/>
                <w:color w:val="auto"/>
              </w:rPr>
              <w:t>6</w:t>
            </w:r>
            <w:r>
              <w:rPr>
                <w:color w:val="auto"/>
              </w:rPr>
              <w:t>）煤棚应安排专人负责，定期进行设施检修，加强设备设施维护工作，并做好记录；及时关注天气情况，在暴雨季节不宜进行大规模生产，降雨天气加大巡检频次；及时清运原料堆存处；定期对煤棚内工作人员进行应急方面培训；</w:t>
            </w:r>
          </w:p>
          <w:p>
            <w:pPr>
              <w:ind w:firstLine="480"/>
              <w:rPr>
                <w:color w:val="auto"/>
              </w:rPr>
            </w:pPr>
            <w:r>
              <w:rPr>
                <w:color w:val="auto"/>
              </w:rPr>
              <w:t>（</w:t>
            </w:r>
            <w:r>
              <w:rPr>
                <w:rFonts w:hint="eastAsia"/>
                <w:color w:val="auto"/>
              </w:rPr>
              <w:t>7</w:t>
            </w:r>
            <w:r>
              <w:rPr>
                <w:color w:val="auto"/>
              </w:rPr>
              <w:t>）煤棚各处悬挂禁止火种带入、禁止吸烟等警示牌；</w:t>
            </w:r>
          </w:p>
          <w:p>
            <w:pPr>
              <w:ind w:firstLine="480"/>
              <w:rPr>
                <w:color w:val="auto"/>
              </w:rPr>
            </w:pPr>
            <w:r>
              <w:rPr>
                <w:color w:val="auto"/>
              </w:rPr>
              <w:t>（</w:t>
            </w:r>
            <w:r>
              <w:rPr>
                <w:rFonts w:hint="eastAsia"/>
                <w:color w:val="auto"/>
              </w:rPr>
              <w:t>8</w:t>
            </w:r>
            <w:r>
              <w:rPr>
                <w:color w:val="auto"/>
              </w:rPr>
              <w:t>）在煤棚等处配备不同类型的灭火器具，以便在发生火灾时用于防灭火工作；煤棚内设备布置严格执行国家有关的防火规范、规定，设备之间保证有足够的安全距离，并按要求设置消防通道；</w:t>
            </w:r>
          </w:p>
          <w:p>
            <w:pPr>
              <w:ind w:firstLine="480"/>
              <w:rPr>
                <w:color w:val="auto"/>
              </w:rPr>
            </w:pPr>
            <w:r>
              <w:rPr>
                <w:color w:val="auto"/>
              </w:rPr>
              <w:t>（</w:t>
            </w:r>
            <w:r>
              <w:rPr>
                <w:rFonts w:hint="eastAsia"/>
                <w:color w:val="auto"/>
              </w:rPr>
              <w:t>9</w:t>
            </w:r>
            <w:r>
              <w:rPr>
                <w:color w:val="auto"/>
              </w:rPr>
              <w:t>）煤棚工作面采取喷洒作业措施，生产作业时扬起煤尘可大幅减少，有利于防止煤尘爆炸，避免因煤尘爆炸而引起全封闭煤棚火灾事故。</w:t>
            </w:r>
          </w:p>
          <w:p>
            <w:pPr>
              <w:ind w:firstLine="480"/>
              <w:rPr>
                <w:color w:val="auto"/>
              </w:rPr>
            </w:pPr>
            <w:r>
              <w:rPr>
                <w:rFonts w:hint="eastAsia"/>
                <w:color w:val="auto"/>
              </w:rPr>
              <w:t>（10）</w:t>
            </w:r>
            <w:r>
              <w:rPr>
                <w:color w:val="auto"/>
              </w:rPr>
              <w:t>项目仅为废矿物油</w:t>
            </w:r>
            <w:r>
              <w:rPr>
                <w:rFonts w:hint="eastAsia"/>
                <w:color w:val="auto"/>
              </w:rPr>
              <w:t>、废油桶</w:t>
            </w:r>
            <w:r>
              <w:rPr>
                <w:color w:val="auto"/>
              </w:rPr>
              <w:t>收集贮存项目，不涉及再生加工过程。在危险废物收集运输过程中，需由专用危险货物运输车辆运送。建设单位需与具有危险废物运输资质的运输单位签订运输协议。装车前对废矿物油收集桶进行检查，发现破损的收集桶立即更换。废矿物油运输过程中，应携带耐酸容器、抹布或手套，用于发生事故时能对泄漏的废矿物油进行清理。危险物质的装运应做到定车、定人、定线和定时。定车就是要把装运危险物品的车辆、工具相对固定，专车专用。定人就是要把管理、驾驶、押运以及装卸等工作的人员加以固定，这样就保证危险物品的运输任务始终是有专业知识的专业人员来担负，从人员上保障危险物品运输过程中的安全。定线和定时就是运输车辆需在有关部门指定的时段内通过指定的运输路线运输。如不能指定路线由于客观原因不能通行时，则</w:t>
            </w:r>
            <w:r>
              <w:rPr>
                <w:rFonts w:hint="eastAsia"/>
                <w:color w:val="auto"/>
                <w:lang w:eastAsia="zh-CN"/>
              </w:rPr>
              <w:t>采用</w:t>
            </w:r>
            <w:r>
              <w:rPr>
                <w:color w:val="auto"/>
              </w:rPr>
              <w:t>备选路线。被装运的收集桶和厢式货车应粘贴或挂临时危险废物警告标志和危险废物标签，包装标志要粘牢固、正确。危险废物运输过程中一旦发生意外，在采取应急处理的同时，迅速报告公安机关和环保等有关部门，疏散群众，防止事态进一步扩大，并积极协助前来救助的公安交通和消防人员抢救伤者和物资，使损失降到最低范围。</w:t>
            </w:r>
          </w:p>
          <w:p>
            <w:pPr>
              <w:ind w:firstLine="482"/>
              <w:rPr>
                <w:b/>
                <w:bCs/>
                <w:color w:val="auto"/>
              </w:rPr>
            </w:pPr>
            <w:r>
              <w:rPr>
                <w:rFonts w:hint="eastAsia"/>
                <w:b/>
                <w:bCs/>
                <w:color w:val="auto"/>
                <w:lang w:eastAsia="zh-CN"/>
              </w:rPr>
              <w:t>7.</w:t>
            </w:r>
            <w:r>
              <w:rPr>
                <w:b/>
                <w:bCs/>
                <w:color w:val="auto"/>
              </w:rPr>
              <w:t>应急预案</w:t>
            </w:r>
          </w:p>
          <w:p>
            <w:pPr>
              <w:ind w:firstLine="480"/>
              <w:rPr>
                <w:color w:val="auto"/>
              </w:rPr>
            </w:pPr>
            <w:r>
              <w:rPr>
                <w:color w:val="auto"/>
              </w:rPr>
              <w:t>为应对可能发生的事故，企业必须制定相应预案，定期演练，并与地方联动，实行有效管理，控制事故的发展。根据本项目的实际情况，企业应编制《突发环境事件应急预案》，评价要求企业将本项目纳入全厂环境事件应急预案中，并根据本项目风险源进一步完善应急预案，项目运行前环境风险应急处置预案及防范措施必须经专家论证认可。应急预案应在生产过程安全管理中具体化和进一步完善。应急预案具体内容详见表</w:t>
            </w:r>
            <w:r>
              <w:rPr>
                <w:rFonts w:hint="eastAsia"/>
                <w:color w:val="auto"/>
              </w:rPr>
              <w:t>4-22</w:t>
            </w:r>
            <w:r>
              <w:rPr>
                <w:color w:val="auto"/>
              </w:rPr>
              <w:t>。</w:t>
            </w:r>
          </w:p>
          <w:p>
            <w:pPr>
              <w:ind w:firstLine="0" w:firstLineChars="0"/>
              <w:jc w:val="center"/>
              <w:rPr>
                <w:b/>
                <w:bCs/>
                <w:color w:val="auto"/>
              </w:rPr>
            </w:pPr>
            <w:r>
              <w:rPr>
                <w:b/>
                <w:bCs/>
                <w:color w:val="auto"/>
              </w:rPr>
              <w:t>表</w:t>
            </w:r>
            <w:r>
              <w:rPr>
                <w:rFonts w:hint="eastAsia"/>
                <w:b/>
                <w:bCs/>
                <w:color w:val="auto"/>
              </w:rPr>
              <w:t>4-22</w:t>
            </w:r>
            <w:r>
              <w:rPr>
                <w:b/>
                <w:bCs/>
                <w:color w:val="auto"/>
              </w:rPr>
              <w:t>应急预案主要内容</w:t>
            </w:r>
          </w:p>
          <w:p>
            <w:pPr>
              <w:spacing w:line="63" w:lineRule="exact"/>
              <w:ind w:firstLine="480"/>
              <w:rPr>
                <w:color w:val="auto"/>
              </w:rPr>
            </w:pPr>
          </w:p>
          <w:tbl>
            <w:tblPr>
              <w:tblStyle w:val="65"/>
              <w:tblW w:w="78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65"/>
              <w:gridCol w:w="1783"/>
              <w:gridCol w:w="53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65" w:type="dxa"/>
                  <w:vAlign w:val="center"/>
                </w:tcPr>
                <w:p>
                  <w:pPr>
                    <w:spacing w:line="240" w:lineRule="auto"/>
                    <w:ind w:firstLine="0" w:firstLineChars="0"/>
                    <w:jc w:val="center"/>
                    <w:rPr>
                      <w:color w:val="auto"/>
                    </w:rPr>
                  </w:pPr>
                  <w:r>
                    <w:rPr>
                      <w:color w:val="auto"/>
                    </w:rPr>
                    <w:t>序号</w:t>
                  </w:r>
                </w:p>
              </w:tc>
              <w:tc>
                <w:tcPr>
                  <w:tcW w:w="1783" w:type="dxa"/>
                  <w:vAlign w:val="center"/>
                </w:tcPr>
                <w:p>
                  <w:pPr>
                    <w:spacing w:line="240" w:lineRule="auto"/>
                    <w:ind w:firstLine="0" w:firstLineChars="0"/>
                    <w:jc w:val="center"/>
                    <w:rPr>
                      <w:color w:val="auto"/>
                    </w:rPr>
                  </w:pPr>
                  <w:r>
                    <w:rPr>
                      <w:color w:val="auto"/>
                    </w:rPr>
                    <w:t>项目</w:t>
                  </w:r>
                </w:p>
              </w:tc>
              <w:tc>
                <w:tcPr>
                  <w:tcW w:w="5390" w:type="dxa"/>
                  <w:vAlign w:val="center"/>
                </w:tcPr>
                <w:p>
                  <w:pPr>
                    <w:spacing w:line="240" w:lineRule="auto"/>
                    <w:ind w:firstLine="0" w:firstLineChars="0"/>
                    <w:jc w:val="center"/>
                    <w:rPr>
                      <w:color w:val="auto"/>
                    </w:rPr>
                  </w:pPr>
                  <w:r>
                    <w:rPr>
                      <w:color w:val="auto"/>
                    </w:rPr>
                    <w:t>内容及要求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65" w:type="dxa"/>
                  <w:vAlign w:val="center"/>
                </w:tcPr>
                <w:p>
                  <w:pPr>
                    <w:spacing w:line="240" w:lineRule="auto"/>
                    <w:ind w:firstLine="0" w:firstLineChars="0"/>
                    <w:jc w:val="center"/>
                    <w:rPr>
                      <w:color w:val="auto"/>
                    </w:rPr>
                  </w:pPr>
                  <w:r>
                    <w:rPr>
                      <w:color w:val="auto"/>
                    </w:rPr>
                    <w:t>1</w:t>
                  </w:r>
                </w:p>
              </w:tc>
              <w:tc>
                <w:tcPr>
                  <w:tcW w:w="1783" w:type="dxa"/>
                  <w:vAlign w:val="center"/>
                </w:tcPr>
                <w:p>
                  <w:pPr>
                    <w:spacing w:line="240" w:lineRule="auto"/>
                    <w:ind w:firstLine="0" w:firstLineChars="0"/>
                    <w:jc w:val="center"/>
                    <w:rPr>
                      <w:color w:val="auto"/>
                    </w:rPr>
                  </w:pPr>
                  <w:r>
                    <w:rPr>
                      <w:color w:val="auto"/>
                    </w:rPr>
                    <w:t>总则</w:t>
                  </w:r>
                </w:p>
              </w:tc>
              <w:tc>
                <w:tcPr>
                  <w:tcW w:w="5390" w:type="dxa"/>
                  <w:vAlign w:val="center"/>
                </w:tcPr>
                <w:p>
                  <w:pPr>
                    <w:spacing w:line="240" w:lineRule="auto"/>
                    <w:ind w:firstLine="0" w:firstLineChars="0"/>
                    <w:rPr>
                      <w:color w:val="auto"/>
                    </w:rPr>
                  </w:pPr>
                  <w:r>
                    <w:rPr>
                      <w:color w:val="auto"/>
                    </w:rPr>
                    <w:t>包括编制目的、依据、适用范围、事件分级、工作原则、应急预案关系说明等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65" w:type="dxa"/>
                  <w:vAlign w:val="center"/>
                </w:tcPr>
                <w:p>
                  <w:pPr>
                    <w:spacing w:line="240" w:lineRule="auto"/>
                    <w:ind w:firstLine="0" w:firstLineChars="0"/>
                    <w:jc w:val="center"/>
                    <w:rPr>
                      <w:color w:val="auto"/>
                    </w:rPr>
                  </w:pPr>
                  <w:r>
                    <w:rPr>
                      <w:color w:val="auto"/>
                    </w:rPr>
                    <w:t>2</w:t>
                  </w:r>
                </w:p>
              </w:tc>
              <w:tc>
                <w:tcPr>
                  <w:tcW w:w="1783" w:type="dxa"/>
                  <w:vAlign w:val="center"/>
                </w:tcPr>
                <w:p>
                  <w:pPr>
                    <w:spacing w:line="240" w:lineRule="auto"/>
                    <w:ind w:firstLine="0" w:firstLineChars="0"/>
                    <w:jc w:val="center"/>
                    <w:rPr>
                      <w:color w:val="auto"/>
                    </w:rPr>
                  </w:pPr>
                  <w:r>
                    <w:rPr>
                      <w:color w:val="auto"/>
                    </w:rPr>
                    <w:t>组织机构和职责</w:t>
                  </w:r>
                </w:p>
              </w:tc>
              <w:tc>
                <w:tcPr>
                  <w:tcW w:w="5390" w:type="dxa"/>
                  <w:vAlign w:val="center"/>
                </w:tcPr>
                <w:p>
                  <w:pPr>
                    <w:spacing w:line="240" w:lineRule="auto"/>
                    <w:ind w:firstLine="0" w:firstLineChars="0"/>
                    <w:rPr>
                      <w:color w:val="auto"/>
                    </w:rPr>
                  </w:pPr>
                  <w:r>
                    <w:rPr>
                      <w:color w:val="auto"/>
                    </w:rPr>
                    <w:t>明确应急组织机构的构成以及应急组织体系中各部门的应急工作职责等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65" w:type="dxa"/>
                  <w:vAlign w:val="center"/>
                </w:tcPr>
                <w:p>
                  <w:pPr>
                    <w:spacing w:line="240" w:lineRule="auto"/>
                    <w:ind w:firstLine="0" w:firstLineChars="0"/>
                    <w:jc w:val="center"/>
                    <w:rPr>
                      <w:color w:val="auto"/>
                    </w:rPr>
                  </w:pPr>
                  <w:r>
                    <w:rPr>
                      <w:color w:val="auto"/>
                    </w:rPr>
                    <w:t>3</w:t>
                  </w:r>
                </w:p>
              </w:tc>
              <w:tc>
                <w:tcPr>
                  <w:tcW w:w="1783" w:type="dxa"/>
                  <w:vAlign w:val="center"/>
                </w:tcPr>
                <w:p>
                  <w:pPr>
                    <w:spacing w:line="240" w:lineRule="auto"/>
                    <w:ind w:firstLine="0" w:firstLineChars="0"/>
                    <w:jc w:val="center"/>
                    <w:rPr>
                      <w:color w:val="auto"/>
                    </w:rPr>
                  </w:pPr>
                  <w:r>
                    <w:rPr>
                      <w:color w:val="auto"/>
                    </w:rPr>
                    <w:t>预防与报警</w:t>
                  </w:r>
                </w:p>
              </w:tc>
              <w:tc>
                <w:tcPr>
                  <w:tcW w:w="5390" w:type="dxa"/>
                  <w:vAlign w:val="center"/>
                </w:tcPr>
                <w:p>
                  <w:pPr>
                    <w:spacing w:line="240" w:lineRule="auto"/>
                    <w:ind w:firstLine="0" w:firstLineChars="0"/>
                    <w:rPr>
                      <w:color w:val="auto"/>
                    </w:rPr>
                  </w:pPr>
                  <w:r>
                    <w:rPr>
                      <w:color w:val="auto"/>
                    </w:rPr>
                    <w:t>包括危险源监控、预防与应急准备、监测与预警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65" w:type="dxa"/>
                  <w:vAlign w:val="center"/>
                </w:tcPr>
                <w:p>
                  <w:pPr>
                    <w:spacing w:line="240" w:lineRule="auto"/>
                    <w:ind w:firstLine="0" w:firstLineChars="0"/>
                    <w:jc w:val="center"/>
                    <w:rPr>
                      <w:color w:val="auto"/>
                    </w:rPr>
                  </w:pPr>
                  <w:r>
                    <w:rPr>
                      <w:color w:val="auto"/>
                    </w:rPr>
                    <w:t>4</w:t>
                  </w:r>
                </w:p>
              </w:tc>
              <w:tc>
                <w:tcPr>
                  <w:tcW w:w="1783" w:type="dxa"/>
                  <w:vAlign w:val="center"/>
                </w:tcPr>
                <w:p>
                  <w:pPr>
                    <w:spacing w:line="240" w:lineRule="auto"/>
                    <w:ind w:firstLine="0" w:firstLineChars="0"/>
                    <w:jc w:val="center"/>
                    <w:rPr>
                      <w:color w:val="auto"/>
                    </w:rPr>
                  </w:pPr>
                  <w:r>
                    <w:rPr>
                      <w:color w:val="auto"/>
                    </w:rPr>
                    <w:t>应急响应</w:t>
                  </w:r>
                </w:p>
              </w:tc>
              <w:tc>
                <w:tcPr>
                  <w:tcW w:w="5390" w:type="dxa"/>
                  <w:vAlign w:val="center"/>
                </w:tcPr>
                <w:p>
                  <w:pPr>
                    <w:spacing w:line="240" w:lineRule="auto"/>
                    <w:ind w:firstLine="0" w:firstLineChars="0"/>
                    <w:rPr>
                      <w:color w:val="auto"/>
                    </w:rPr>
                  </w:pPr>
                  <w:r>
                    <w:rPr>
                      <w:color w:val="auto"/>
                    </w:rPr>
                    <w:t>包括响应流程、分级响应、启动条件、信息报告与处置、应急准备、应急监测、现场处置等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65" w:type="dxa"/>
                  <w:vAlign w:val="center"/>
                </w:tcPr>
                <w:p>
                  <w:pPr>
                    <w:spacing w:line="240" w:lineRule="auto"/>
                    <w:ind w:firstLine="0" w:firstLineChars="0"/>
                    <w:jc w:val="center"/>
                    <w:rPr>
                      <w:color w:val="auto"/>
                    </w:rPr>
                  </w:pPr>
                  <w:r>
                    <w:rPr>
                      <w:color w:val="auto"/>
                    </w:rPr>
                    <w:t>5</w:t>
                  </w:r>
                </w:p>
              </w:tc>
              <w:tc>
                <w:tcPr>
                  <w:tcW w:w="1783" w:type="dxa"/>
                  <w:vAlign w:val="center"/>
                </w:tcPr>
                <w:p>
                  <w:pPr>
                    <w:spacing w:line="240" w:lineRule="auto"/>
                    <w:ind w:firstLine="0" w:firstLineChars="0"/>
                    <w:jc w:val="center"/>
                    <w:rPr>
                      <w:color w:val="auto"/>
                    </w:rPr>
                  </w:pPr>
                  <w:r>
                    <w:rPr>
                      <w:color w:val="auto"/>
                    </w:rPr>
                    <w:t>安全防护</w:t>
                  </w:r>
                </w:p>
              </w:tc>
              <w:tc>
                <w:tcPr>
                  <w:tcW w:w="5390" w:type="dxa"/>
                  <w:vAlign w:val="center"/>
                </w:tcPr>
                <w:p>
                  <w:pPr>
                    <w:spacing w:line="240" w:lineRule="auto"/>
                    <w:ind w:firstLine="0" w:firstLineChars="0"/>
                    <w:rPr>
                      <w:color w:val="auto"/>
                    </w:rPr>
                  </w:pPr>
                  <w:r>
                    <w:rPr>
                      <w:color w:val="auto"/>
                    </w:rPr>
                    <w:t>包括应急人员以及受灾群众的安全防护，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4" w:hRule="atLeast"/>
                <w:jc w:val="center"/>
              </w:trPr>
              <w:tc>
                <w:tcPr>
                  <w:tcW w:w="665" w:type="dxa"/>
                  <w:vAlign w:val="center"/>
                </w:tcPr>
                <w:p>
                  <w:pPr>
                    <w:spacing w:line="240" w:lineRule="auto"/>
                    <w:ind w:firstLine="0" w:firstLineChars="0"/>
                    <w:jc w:val="center"/>
                    <w:rPr>
                      <w:color w:val="auto"/>
                    </w:rPr>
                  </w:pPr>
                  <w:r>
                    <w:rPr>
                      <w:color w:val="auto"/>
                    </w:rPr>
                    <w:t>6</w:t>
                  </w:r>
                </w:p>
              </w:tc>
              <w:tc>
                <w:tcPr>
                  <w:tcW w:w="1783" w:type="dxa"/>
                  <w:vAlign w:val="center"/>
                </w:tcPr>
                <w:p>
                  <w:pPr>
                    <w:spacing w:line="240" w:lineRule="auto"/>
                    <w:ind w:firstLine="0" w:firstLineChars="0"/>
                    <w:jc w:val="center"/>
                    <w:rPr>
                      <w:color w:val="auto"/>
                    </w:rPr>
                  </w:pPr>
                  <w:r>
                    <w:rPr>
                      <w:color w:val="auto"/>
                    </w:rPr>
                    <w:t>次生灾害防范</w:t>
                  </w:r>
                </w:p>
              </w:tc>
              <w:tc>
                <w:tcPr>
                  <w:tcW w:w="5390" w:type="dxa"/>
                  <w:vAlign w:val="center"/>
                </w:tcPr>
                <w:p>
                  <w:pPr>
                    <w:spacing w:line="240" w:lineRule="auto"/>
                    <w:ind w:firstLine="0" w:firstLineChars="0"/>
                    <w:rPr>
                      <w:color w:val="auto"/>
                    </w:rPr>
                  </w:pPr>
                  <w:r>
                    <w:rPr>
                      <w:color w:val="auto"/>
                    </w:rPr>
                    <w:t>制定次生灾害防范措施，现场监测方案，现场人员撤离方案，防止人员中毒或引发次生环境事件。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3" w:hRule="atLeast"/>
                <w:jc w:val="center"/>
              </w:trPr>
              <w:tc>
                <w:tcPr>
                  <w:tcW w:w="665" w:type="dxa"/>
                  <w:vAlign w:val="center"/>
                </w:tcPr>
                <w:p>
                  <w:pPr>
                    <w:spacing w:line="240" w:lineRule="auto"/>
                    <w:ind w:firstLine="0" w:firstLineChars="0"/>
                    <w:jc w:val="center"/>
                    <w:rPr>
                      <w:color w:val="auto"/>
                    </w:rPr>
                  </w:pPr>
                  <w:r>
                    <w:rPr>
                      <w:color w:val="auto"/>
                    </w:rPr>
                    <w:t>7</w:t>
                  </w:r>
                </w:p>
              </w:tc>
              <w:tc>
                <w:tcPr>
                  <w:tcW w:w="1783" w:type="dxa"/>
                  <w:vAlign w:val="center"/>
                </w:tcPr>
                <w:p>
                  <w:pPr>
                    <w:spacing w:line="240" w:lineRule="auto"/>
                    <w:ind w:firstLine="0" w:firstLineChars="0"/>
                    <w:jc w:val="center"/>
                    <w:rPr>
                      <w:color w:val="auto"/>
                    </w:rPr>
                  </w:pPr>
                  <w:r>
                    <w:rPr>
                      <w:color w:val="auto"/>
                    </w:rPr>
                    <w:t>应急终止</w:t>
                  </w:r>
                </w:p>
              </w:tc>
              <w:tc>
                <w:tcPr>
                  <w:tcW w:w="5390" w:type="dxa"/>
                  <w:vAlign w:val="center"/>
                </w:tcPr>
                <w:p>
                  <w:pPr>
                    <w:spacing w:line="240" w:lineRule="auto"/>
                    <w:ind w:firstLine="0" w:firstLineChars="0"/>
                    <w:rPr>
                      <w:color w:val="auto"/>
                    </w:rPr>
                  </w:pPr>
                  <w:r>
                    <w:rPr>
                      <w:color w:val="auto"/>
                    </w:rPr>
                    <w:t>明确应急终止的条件；明确应急终止的程序；明确应急状态终止后，继续进行跟踪环境监测和评估方案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65" w:type="dxa"/>
                  <w:vAlign w:val="center"/>
                </w:tcPr>
                <w:p>
                  <w:pPr>
                    <w:spacing w:line="240" w:lineRule="auto"/>
                    <w:ind w:firstLine="0" w:firstLineChars="0"/>
                    <w:jc w:val="center"/>
                    <w:rPr>
                      <w:color w:val="auto"/>
                    </w:rPr>
                  </w:pPr>
                  <w:r>
                    <w:rPr>
                      <w:color w:val="auto"/>
                    </w:rPr>
                    <w:t>8</w:t>
                  </w:r>
                </w:p>
              </w:tc>
              <w:tc>
                <w:tcPr>
                  <w:tcW w:w="1783" w:type="dxa"/>
                  <w:vAlign w:val="center"/>
                </w:tcPr>
                <w:p>
                  <w:pPr>
                    <w:spacing w:line="240" w:lineRule="auto"/>
                    <w:ind w:firstLine="0" w:firstLineChars="0"/>
                    <w:jc w:val="center"/>
                    <w:rPr>
                      <w:color w:val="auto"/>
                    </w:rPr>
                  </w:pPr>
                  <w:r>
                    <w:rPr>
                      <w:color w:val="auto"/>
                    </w:rPr>
                    <w:t>善后处置</w:t>
                  </w:r>
                </w:p>
              </w:tc>
              <w:tc>
                <w:tcPr>
                  <w:tcW w:w="5390" w:type="dxa"/>
                  <w:vAlign w:val="center"/>
                </w:tcPr>
                <w:p>
                  <w:pPr>
                    <w:spacing w:line="240" w:lineRule="auto"/>
                    <w:ind w:firstLine="0" w:firstLineChars="0"/>
                    <w:rPr>
                      <w:color w:val="auto"/>
                    </w:rPr>
                  </w:pPr>
                  <w:r>
                    <w:rPr>
                      <w:color w:val="auto"/>
                    </w:rPr>
                    <w:t>明确受灾人员的安置及损失赔偿方案；配合有关部门对环境污染事件中的长期环境影响进行评估；明确开展环境恢复与重建工作的内容和程序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65" w:type="dxa"/>
                  <w:vAlign w:val="center"/>
                </w:tcPr>
                <w:p>
                  <w:pPr>
                    <w:spacing w:line="240" w:lineRule="auto"/>
                    <w:ind w:firstLine="0" w:firstLineChars="0"/>
                    <w:jc w:val="center"/>
                    <w:rPr>
                      <w:color w:val="auto"/>
                    </w:rPr>
                  </w:pPr>
                  <w:r>
                    <w:rPr>
                      <w:color w:val="auto"/>
                    </w:rPr>
                    <w:t>9</w:t>
                  </w:r>
                </w:p>
              </w:tc>
              <w:tc>
                <w:tcPr>
                  <w:tcW w:w="1783" w:type="dxa"/>
                  <w:vAlign w:val="center"/>
                </w:tcPr>
                <w:p>
                  <w:pPr>
                    <w:spacing w:line="240" w:lineRule="auto"/>
                    <w:ind w:firstLine="0" w:firstLineChars="0"/>
                    <w:jc w:val="center"/>
                    <w:rPr>
                      <w:color w:val="auto"/>
                    </w:rPr>
                  </w:pPr>
                  <w:r>
                    <w:rPr>
                      <w:color w:val="auto"/>
                    </w:rPr>
                    <w:t>应急保障</w:t>
                  </w:r>
                </w:p>
              </w:tc>
              <w:tc>
                <w:tcPr>
                  <w:tcW w:w="5390" w:type="dxa"/>
                  <w:vAlign w:val="center"/>
                </w:tcPr>
                <w:p>
                  <w:pPr>
                    <w:spacing w:line="240" w:lineRule="auto"/>
                    <w:ind w:firstLine="0" w:firstLineChars="0"/>
                    <w:rPr>
                      <w:color w:val="auto"/>
                    </w:rPr>
                  </w:pPr>
                  <w:r>
                    <w:rPr>
                      <w:color w:val="auto"/>
                    </w:rPr>
                    <w:t>制定应急保障计划，包括应急资源、应急物资和设备保障、应急通讯、应急技术以及其他保障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65" w:type="dxa"/>
                  <w:vAlign w:val="center"/>
                </w:tcPr>
                <w:p>
                  <w:pPr>
                    <w:spacing w:line="240" w:lineRule="auto"/>
                    <w:ind w:firstLine="0" w:firstLineChars="0"/>
                    <w:jc w:val="center"/>
                    <w:rPr>
                      <w:color w:val="auto"/>
                    </w:rPr>
                  </w:pPr>
                  <w:r>
                    <w:rPr>
                      <w:color w:val="auto"/>
                    </w:rPr>
                    <w:t>10</w:t>
                  </w:r>
                </w:p>
              </w:tc>
              <w:tc>
                <w:tcPr>
                  <w:tcW w:w="1783" w:type="dxa"/>
                  <w:vAlign w:val="center"/>
                </w:tcPr>
                <w:p>
                  <w:pPr>
                    <w:spacing w:line="240" w:lineRule="auto"/>
                    <w:ind w:firstLine="0" w:firstLineChars="0"/>
                    <w:jc w:val="center"/>
                    <w:rPr>
                      <w:color w:val="auto"/>
                    </w:rPr>
                  </w:pPr>
                  <w:r>
                    <w:rPr>
                      <w:color w:val="auto"/>
                    </w:rPr>
                    <w:t>预案管理</w:t>
                  </w:r>
                </w:p>
              </w:tc>
              <w:tc>
                <w:tcPr>
                  <w:tcW w:w="5390" w:type="dxa"/>
                  <w:vAlign w:val="center"/>
                </w:tcPr>
                <w:p>
                  <w:pPr>
                    <w:spacing w:line="240" w:lineRule="auto"/>
                    <w:ind w:firstLine="0" w:firstLineChars="0"/>
                    <w:rPr>
                      <w:color w:val="auto"/>
                    </w:rPr>
                  </w:pPr>
                  <w:r>
                    <w:rPr>
                      <w:color w:val="auto"/>
                    </w:rPr>
                    <w:t>包括预案培训、预案演练、预案修订、预案备案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65" w:type="dxa"/>
                  <w:vAlign w:val="center"/>
                </w:tcPr>
                <w:p>
                  <w:pPr>
                    <w:spacing w:line="240" w:lineRule="auto"/>
                    <w:ind w:firstLine="0" w:firstLineChars="0"/>
                    <w:jc w:val="center"/>
                    <w:rPr>
                      <w:color w:val="auto"/>
                    </w:rPr>
                  </w:pPr>
                  <w:r>
                    <w:rPr>
                      <w:color w:val="auto"/>
                    </w:rPr>
                    <w:t>11</w:t>
                  </w:r>
                </w:p>
              </w:tc>
              <w:tc>
                <w:tcPr>
                  <w:tcW w:w="1783" w:type="dxa"/>
                  <w:vAlign w:val="center"/>
                </w:tcPr>
                <w:p>
                  <w:pPr>
                    <w:spacing w:line="240" w:lineRule="auto"/>
                    <w:ind w:firstLine="0" w:firstLineChars="0"/>
                    <w:jc w:val="center"/>
                    <w:rPr>
                      <w:color w:val="auto"/>
                    </w:rPr>
                  </w:pPr>
                  <w:r>
                    <w:rPr>
                      <w:color w:val="auto"/>
                    </w:rPr>
                    <w:t>附则</w:t>
                  </w:r>
                </w:p>
              </w:tc>
              <w:tc>
                <w:tcPr>
                  <w:tcW w:w="5390" w:type="dxa"/>
                  <w:vAlign w:val="center"/>
                </w:tcPr>
                <w:p>
                  <w:pPr>
                    <w:spacing w:line="240" w:lineRule="auto"/>
                    <w:ind w:firstLine="0" w:firstLineChars="0"/>
                    <w:rPr>
                      <w:color w:val="auto"/>
                    </w:rPr>
                  </w:pPr>
                  <w:r>
                    <w:rPr>
                      <w:color w:val="auto"/>
                    </w:rPr>
                    <w:t>预案的签署和解释、预案的实施。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 w:hRule="atLeast"/>
                <w:jc w:val="center"/>
              </w:trPr>
              <w:tc>
                <w:tcPr>
                  <w:tcW w:w="665" w:type="dxa"/>
                  <w:vAlign w:val="center"/>
                </w:tcPr>
                <w:p>
                  <w:pPr>
                    <w:spacing w:line="240" w:lineRule="auto"/>
                    <w:ind w:firstLine="0" w:firstLineChars="0"/>
                    <w:jc w:val="center"/>
                    <w:rPr>
                      <w:color w:val="auto"/>
                    </w:rPr>
                  </w:pPr>
                  <w:r>
                    <w:rPr>
                      <w:color w:val="auto"/>
                    </w:rPr>
                    <w:t>12</w:t>
                  </w:r>
                </w:p>
              </w:tc>
              <w:tc>
                <w:tcPr>
                  <w:tcW w:w="1783" w:type="dxa"/>
                  <w:vAlign w:val="center"/>
                </w:tcPr>
                <w:p>
                  <w:pPr>
                    <w:spacing w:line="240" w:lineRule="auto"/>
                    <w:ind w:firstLine="0" w:firstLineChars="0"/>
                    <w:jc w:val="center"/>
                    <w:rPr>
                      <w:color w:val="auto"/>
                    </w:rPr>
                  </w:pPr>
                  <w:r>
                    <w:rPr>
                      <w:color w:val="auto"/>
                    </w:rPr>
                    <w:t>附件</w:t>
                  </w:r>
                </w:p>
              </w:tc>
              <w:tc>
                <w:tcPr>
                  <w:tcW w:w="5390" w:type="dxa"/>
                  <w:vAlign w:val="center"/>
                </w:tcPr>
                <w:p>
                  <w:pPr>
                    <w:spacing w:line="240" w:lineRule="auto"/>
                    <w:ind w:firstLine="0" w:firstLineChars="0"/>
                    <w:rPr>
                      <w:color w:val="auto"/>
                    </w:rPr>
                  </w:pPr>
                  <w:r>
                    <w:rPr>
                      <w:color w:val="auto"/>
                    </w:rPr>
                    <w:t>环境风险评价文件；</w:t>
                  </w:r>
                </w:p>
                <w:p>
                  <w:pPr>
                    <w:spacing w:line="240" w:lineRule="auto"/>
                    <w:ind w:firstLine="0" w:firstLineChars="0"/>
                    <w:rPr>
                      <w:color w:val="auto"/>
                    </w:rPr>
                  </w:pPr>
                  <w:r>
                    <w:rPr>
                      <w:color w:val="auto"/>
                    </w:rPr>
                    <w:t>危险废物登记文件或企业危险废物名录；</w:t>
                  </w:r>
                </w:p>
                <w:p>
                  <w:pPr>
                    <w:spacing w:line="240" w:lineRule="auto"/>
                    <w:ind w:firstLine="0" w:firstLineChars="0"/>
                    <w:rPr>
                      <w:color w:val="auto"/>
                    </w:rPr>
                  </w:pPr>
                  <w:r>
                    <w:rPr>
                      <w:color w:val="auto"/>
                    </w:rPr>
                    <w:t>企业应急通讯录；</w:t>
                  </w:r>
                </w:p>
                <w:p>
                  <w:pPr>
                    <w:spacing w:line="240" w:lineRule="auto"/>
                    <w:ind w:firstLine="0" w:firstLineChars="0"/>
                    <w:rPr>
                      <w:color w:val="auto"/>
                    </w:rPr>
                  </w:pPr>
                  <w:r>
                    <w:rPr>
                      <w:color w:val="auto"/>
                    </w:rPr>
                    <w:t>应急专家通讯录；</w:t>
                  </w:r>
                </w:p>
                <w:p>
                  <w:pPr>
                    <w:spacing w:line="240" w:lineRule="auto"/>
                    <w:ind w:firstLine="0" w:firstLineChars="0"/>
                    <w:rPr>
                      <w:color w:val="auto"/>
                    </w:rPr>
                  </w:pPr>
                  <w:r>
                    <w:rPr>
                      <w:color w:val="auto"/>
                    </w:rPr>
                    <w:t>企业环境监测应急网络分布；</w:t>
                  </w:r>
                </w:p>
                <w:p>
                  <w:pPr>
                    <w:spacing w:line="240" w:lineRule="auto"/>
                    <w:ind w:firstLine="0" w:firstLineChars="0"/>
                    <w:rPr>
                      <w:color w:val="auto"/>
                    </w:rPr>
                  </w:pPr>
                  <w:r>
                    <w:rPr>
                      <w:color w:val="auto"/>
                    </w:rPr>
                    <w:t>企业环境监测机构联系人通讯录；</w:t>
                  </w:r>
                </w:p>
              </w:tc>
            </w:tr>
          </w:tbl>
          <w:p>
            <w:pPr>
              <w:snapToGrid w:val="0"/>
              <w:ind w:firstLine="482"/>
              <w:rPr>
                <w:b/>
                <w:bCs/>
                <w:color w:val="auto"/>
              </w:rPr>
            </w:pPr>
            <w:r>
              <w:rPr>
                <w:rFonts w:hint="eastAsia"/>
                <w:b/>
                <w:bCs/>
                <w:color w:val="auto"/>
                <w:lang w:eastAsia="zh-CN"/>
              </w:rPr>
              <w:t>5.</w:t>
            </w:r>
            <w:r>
              <w:rPr>
                <w:b/>
                <w:bCs/>
                <w:color w:val="auto"/>
              </w:rPr>
              <w:t>分析结论</w:t>
            </w:r>
          </w:p>
          <w:p>
            <w:pPr>
              <w:ind w:firstLine="480"/>
              <w:rPr>
                <w:color w:val="auto"/>
              </w:rPr>
            </w:pPr>
            <w:r>
              <w:rPr>
                <w:color w:val="auto"/>
              </w:rPr>
              <w:t>根据《建设项目环境风险评价技术导则》（HJ169-2018）要求，本项目环境风险分析内容主要为在描述危险物质、环境影响途径、环境危害后果、风险防范措施等方面给出总结定性的说明，具体见下表。</w:t>
            </w:r>
          </w:p>
          <w:p>
            <w:pPr>
              <w:ind w:firstLine="0" w:firstLineChars="0"/>
              <w:jc w:val="center"/>
              <w:rPr>
                <w:b/>
                <w:bCs/>
                <w:color w:val="auto"/>
              </w:rPr>
            </w:pPr>
            <w:r>
              <w:rPr>
                <w:b/>
                <w:bCs/>
                <w:color w:val="auto"/>
              </w:rPr>
              <w:t>表4-</w:t>
            </w:r>
            <w:r>
              <w:rPr>
                <w:rFonts w:hint="eastAsia"/>
                <w:b/>
                <w:bCs/>
                <w:color w:val="auto"/>
              </w:rPr>
              <w:t>23</w:t>
            </w:r>
            <w:r>
              <w:rPr>
                <w:b/>
                <w:bCs/>
                <w:color w:val="auto"/>
              </w:rPr>
              <w:t>建设项目环境风险简单分析内容表</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4"/>
              <w:gridCol w:w="883"/>
              <w:gridCol w:w="2028"/>
              <w:gridCol w:w="1372"/>
              <w:gridCol w:w="2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1504" w:type="dxa"/>
                  <w:tcBorders>
                    <w:tl2br w:val="nil"/>
                    <w:tr2bl w:val="nil"/>
                  </w:tcBorders>
                  <w:vAlign w:val="center"/>
                </w:tcPr>
                <w:p>
                  <w:pPr>
                    <w:spacing w:line="240" w:lineRule="auto"/>
                    <w:ind w:firstLine="0" w:firstLineChars="0"/>
                    <w:rPr>
                      <w:color w:val="auto"/>
                    </w:rPr>
                  </w:pPr>
                  <w:r>
                    <w:rPr>
                      <w:color w:val="auto"/>
                    </w:rPr>
                    <w:t>建设项目名称</w:t>
                  </w:r>
                </w:p>
              </w:tc>
              <w:tc>
                <w:tcPr>
                  <w:tcW w:w="6395" w:type="dxa"/>
                  <w:gridSpan w:val="4"/>
                  <w:tcBorders>
                    <w:tl2br w:val="nil"/>
                    <w:tr2bl w:val="nil"/>
                  </w:tcBorders>
                  <w:vAlign w:val="center"/>
                </w:tcPr>
                <w:p>
                  <w:pPr>
                    <w:spacing w:line="240" w:lineRule="auto"/>
                    <w:ind w:firstLine="0" w:firstLineChars="0"/>
                    <w:rPr>
                      <w:color w:val="auto"/>
                    </w:rPr>
                  </w:pPr>
                  <w:r>
                    <w:rPr>
                      <w:rFonts w:hint="eastAsia"/>
                      <w:color w:val="auto"/>
                    </w:rPr>
                    <w:t>伊金霍洛旗新街马秦壕鑫源洗煤厂煤炭烘干项目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89" w:hRule="atLeast"/>
              </w:trPr>
              <w:tc>
                <w:tcPr>
                  <w:tcW w:w="1504" w:type="dxa"/>
                  <w:tcBorders>
                    <w:tl2br w:val="nil"/>
                    <w:tr2bl w:val="nil"/>
                  </w:tcBorders>
                  <w:vAlign w:val="center"/>
                </w:tcPr>
                <w:p>
                  <w:pPr>
                    <w:spacing w:line="240" w:lineRule="auto"/>
                    <w:ind w:firstLine="0" w:firstLineChars="0"/>
                    <w:rPr>
                      <w:color w:val="auto"/>
                    </w:rPr>
                  </w:pPr>
                  <w:r>
                    <w:rPr>
                      <w:color w:val="auto"/>
                    </w:rPr>
                    <w:t>建设地点</w:t>
                  </w:r>
                </w:p>
              </w:tc>
              <w:tc>
                <w:tcPr>
                  <w:tcW w:w="6395" w:type="dxa"/>
                  <w:gridSpan w:val="4"/>
                  <w:tcBorders>
                    <w:tl2br w:val="nil"/>
                    <w:tr2bl w:val="nil"/>
                  </w:tcBorders>
                  <w:vAlign w:val="center"/>
                </w:tcPr>
                <w:p>
                  <w:pPr>
                    <w:spacing w:line="240" w:lineRule="auto"/>
                    <w:ind w:firstLine="0" w:firstLineChars="0"/>
                    <w:rPr>
                      <w:color w:val="auto"/>
                    </w:rPr>
                  </w:pPr>
                  <w:r>
                    <w:rPr>
                      <w:color w:val="auto"/>
                    </w:rPr>
                    <w:t>内蒙古自治区鄂尔多斯市伊金霍洛旗札萨克镇新街区</w:t>
                  </w:r>
                  <w:r>
                    <w:rPr>
                      <w:rFonts w:hint="eastAsia"/>
                      <w:color w:val="auto"/>
                    </w:rPr>
                    <w:t>马秦壕</w:t>
                  </w:r>
                  <w:r>
                    <w:rPr>
                      <w:color w:val="auto"/>
                    </w:rPr>
                    <w:t>，</w:t>
                  </w:r>
                  <w:r>
                    <w:rPr>
                      <w:rFonts w:hint="eastAsia"/>
                      <w:color w:val="auto"/>
                    </w:rPr>
                    <w:t>伊金霍洛旗新街马秦壕鑫源洗煤厂</w:t>
                  </w:r>
                  <w:r>
                    <w:rPr>
                      <w:color w:val="auto"/>
                    </w:rPr>
                    <w:t>现有工业场地内建设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504" w:type="dxa"/>
                  <w:tcBorders>
                    <w:tl2br w:val="nil"/>
                    <w:tr2bl w:val="nil"/>
                  </w:tcBorders>
                  <w:vAlign w:val="center"/>
                </w:tcPr>
                <w:p>
                  <w:pPr>
                    <w:spacing w:line="240" w:lineRule="auto"/>
                    <w:ind w:firstLine="0" w:firstLineChars="0"/>
                    <w:rPr>
                      <w:color w:val="auto"/>
                    </w:rPr>
                  </w:pPr>
                  <w:r>
                    <w:rPr>
                      <w:color w:val="auto"/>
                    </w:rPr>
                    <w:t>地理坐标</w:t>
                  </w:r>
                </w:p>
              </w:tc>
              <w:tc>
                <w:tcPr>
                  <w:tcW w:w="883" w:type="dxa"/>
                  <w:tcBorders>
                    <w:tl2br w:val="nil"/>
                    <w:tr2bl w:val="nil"/>
                  </w:tcBorders>
                  <w:vAlign w:val="center"/>
                </w:tcPr>
                <w:p>
                  <w:pPr>
                    <w:spacing w:line="240" w:lineRule="auto"/>
                    <w:ind w:firstLine="0" w:firstLineChars="0"/>
                    <w:rPr>
                      <w:color w:val="auto"/>
                    </w:rPr>
                  </w:pPr>
                  <w:r>
                    <w:rPr>
                      <w:color w:val="auto"/>
                    </w:rPr>
                    <w:t>经度</w:t>
                  </w:r>
                </w:p>
              </w:tc>
              <w:tc>
                <w:tcPr>
                  <w:tcW w:w="2028" w:type="dxa"/>
                  <w:tcBorders>
                    <w:tl2br w:val="nil"/>
                    <w:tr2bl w:val="nil"/>
                  </w:tcBorders>
                  <w:vAlign w:val="center"/>
                </w:tcPr>
                <w:p>
                  <w:pPr>
                    <w:spacing w:line="240" w:lineRule="auto"/>
                    <w:ind w:firstLine="0" w:firstLineChars="0"/>
                    <w:rPr>
                      <w:color w:val="auto"/>
                    </w:rPr>
                  </w:pPr>
                  <w:r>
                    <w:rPr>
                      <w:color w:val="auto"/>
                    </w:rPr>
                    <w:t>109°54'57.506"</w:t>
                  </w:r>
                </w:p>
              </w:tc>
              <w:tc>
                <w:tcPr>
                  <w:tcW w:w="1372" w:type="dxa"/>
                  <w:tcBorders>
                    <w:tl2br w:val="nil"/>
                    <w:tr2bl w:val="nil"/>
                  </w:tcBorders>
                  <w:vAlign w:val="center"/>
                </w:tcPr>
                <w:p>
                  <w:pPr>
                    <w:spacing w:line="240" w:lineRule="auto"/>
                    <w:ind w:firstLine="0" w:firstLineChars="0"/>
                    <w:rPr>
                      <w:color w:val="auto"/>
                    </w:rPr>
                  </w:pPr>
                  <w:r>
                    <w:rPr>
                      <w:color w:val="auto"/>
                    </w:rPr>
                    <w:t>纬度</w:t>
                  </w:r>
                </w:p>
              </w:tc>
              <w:tc>
                <w:tcPr>
                  <w:tcW w:w="2112" w:type="dxa"/>
                  <w:tcBorders>
                    <w:tl2br w:val="nil"/>
                    <w:tr2bl w:val="nil"/>
                  </w:tcBorders>
                  <w:vAlign w:val="center"/>
                </w:tcPr>
                <w:p>
                  <w:pPr>
                    <w:spacing w:line="240" w:lineRule="auto"/>
                    <w:ind w:firstLine="0" w:firstLineChars="0"/>
                    <w:rPr>
                      <w:color w:val="auto"/>
                    </w:rPr>
                  </w:pPr>
                  <w:r>
                    <w:rPr>
                      <w:color w:val="auto"/>
                    </w:rPr>
                    <w:t>39°11'53.609"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33" w:hRule="atLeast"/>
              </w:trPr>
              <w:tc>
                <w:tcPr>
                  <w:tcW w:w="1504" w:type="dxa"/>
                  <w:tcBorders>
                    <w:tl2br w:val="nil"/>
                    <w:tr2bl w:val="nil"/>
                  </w:tcBorders>
                  <w:vAlign w:val="center"/>
                </w:tcPr>
                <w:p>
                  <w:pPr>
                    <w:spacing w:line="240" w:lineRule="auto"/>
                    <w:ind w:firstLine="0" w:firstLineChars="0"/>
                    <w:rPr>
                      <w:color w:val="auto"/>
                    </w:rPr>
                  </w:pPr>
                  <w:r>
                    <w:rPr>
                      <w:color w:val="auto"/>
                    </w:rPr>
                    <w:t>主要危险物质及分布</w:t>
                  </w:r>
                </w:p>
              </w:tc>
              <w:tc>
                <w:tcPr>
                  <w:tcW w:w="6395" w:type="dxa"/>
                  <w:gridSpan w:val="4"/>
                  <w:tcBorders>
                    <w:tl2br w:val="nil"/>
                    <w:tr2bl w:val="nil"/>
                  </w:tcBorders>
                  <w:vAlign w:val="center"/>
                </w:tcPr>
                <w:p>
                  <w:pPr>
                    <w:spacing w:line="240" w:lineRule="auto"/>
                    <w:ind w:firstLine="0" w:firstLineChars="0"/>
                    <w:rPr>
                      <w:color w:val="auto"/>
                    </w:rPr>
                  </w:pPr>
                  <w:r>
                    <w:rPr>
                      <w:color w:val="auto"/>
                    </w:rPr>
                    <w:t>主要危险物质：天然气、</w:t>
                  </w:r>
                  <w:r>
                    <w:rPr>
                      <w:rFonts w:hint="eastAsia"/>
                      <w:color w:val="auto"/>
                    </w:rPr>
                    <w:t>煤尘、废矿物油</w:t>
                  </w:r>
                </w:p>
                <w:p>
                  <w:pPr>
                    <w:spacing w:line="240" w:lineRule="auto"/>
                    <w:ind w:firstLine="0" w:firstLineChars="0"/>
                    <w:rPr>
                      <w:color w:val="auto"/>
                    </w:rPr>
                  </w:pPr>
                  <w:r>
                    <w:rPr>
                      <w:color w:val="auto"/>
                    </w:rPr>
                    <w:t>分布：</w:t>
                  </w:r>
                  <w:r>
                    <w:rPr>
                      <w:rFonts w:hint="eastAsia"/>
                      <w:color w:val="auto"/>
                    </w:rPr>
                    <w:t>天然气储瓶、危废库、</w:t>
                  </w:r>
                  <w:r>
                    <w:rPr>
                      <w:color w:val="auto"/>
                    </w:rPr>
                    <w:t>煤炭储存区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3" w:hRule="atLeast"/>
              </w:trPr>
              <w:tc>
                <w:tcPr>
                  <w:tcW w:w="1504" w:type="dxa"/>
                  <w:tcBorders>
                    <w:tl2br w:val="nil"/>
                    <w:tr2bl w:val="nil"/>
                  </w:tcBorders>
                  <w:vAlign w:val="center"/>
                </w:tcPr>
                <w:p>
                  <w:pPr>
                    <w:spacing w:line="240" w:lineRule="auto"/>
                    <w:ind w:firstLine="0" w:firstLineChars="0"/>
                    <w:rPr>
                      <w:color w:val="auto"/>
                    </w:rPr>
                  </w:pPr>
                  <w:r>
                    <w:rPr>
                      <w:color w:val="auto"/>
                    </w:rPr>
                    <w:t>环境影响途径及危害后果</w:t>
                  </w:r>
                </w:p>
              </w:tc>
              <w:tc>
                <w:tcPr>
                  <w:tcW w:w="6395" w:type="dxa"/>
                  <w:gridSpan w:val="4"/>
                  <w:tcBorders>
                    <w:tl2br w:val="nil"/>
                    <w:tr2bl w:val="nil"/>
                  </w:tcBorders>
                  <w:vAlign w:val="center"/>
                </w:tcPr>
                <w:p>
                  <w:pPr>
                    <w:spacing w:line="240" w:lineRule="auto"/>
                    <w:ind w:firstLine="0" w:firstLineChars="0"/>
                    <w:rPr>
                      <w:color w:val="auto"/>
                    </w:rPr>
                  </w:pPr>
                  <w:r>
                    <w:rPr>
                      <w:color w:val="auto"/>
                    </w:rPr>
                    <w:t>天然气</w:t>
                  </w:r>
                  <w:r>
                    <w:rPr>
                      <w:rFonts w:hint="eastAsia"/>
                      <w:color w:val="auto"/>
                    </w:rPr>
                    <w:t>储瓶区、危废库、煤炭存储区</w:t>
                  </w:r>
                  <w:r>
                    <w:rPr>
                      <w:color w:val="auto"/>
                    </w:rPr>
                    <w:t>发生泄漏、火灾、爆炸等，有害物质进入大气、地下水、地表水，从而对环境造成污染等。储煤场所煤尘浓度过高后，发生煤尘爆炸事故。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1504" w:type="dxa"/>
                  <w:tcBorders>
                    <w:tl2br w:val="nil"/>
                    <w:tr2bl w:val="nil"/>
                  </w:tcBorders>
                  <w:vAlign w:val="center"/>
                </w:tcPr>
                <w:p>
                  <w:pPr>
                    <w:spacing w:line="240" w:lineRule="auto"/>
                    <w:ind w:firstLine="0" w:firstLineChars="0"/>
                    <w:rPr>
                      <w:color w:val="auto"/>
                    </w:rPr>
                  </w:pPr>
                  <w:r>
                    <w:rPr>
                      <w:color w:val="auto"/>
                    </w:rPr>
                    <w:t>风险防范要求</w:t>
                  </w:r>
                </w:p>
              </w:tc>
              <w:tc>
                <w:tcPr>
                  <w:tcW w:w="6395" w:type="dxa"/>
                  <w:gridSpan w:val="4"/>
                  <w:tcBorders>
                    <w:tl2br w:val="nil"/>
                    <w:tr2bl w:val="nil"/>
                  </w:tcBorders>
                  <w:vAlign w:val="center"/>
                </w:tcPr>
                <w:p>
                  <w:pPr>
                    <w:spacing w:line="240" w:lineRule="auto"/>
                    <w:ind w:firstLine="0" w:firstLineChars="0"/>
                    <w:rPr>
                      <w:color w:val="auto"/>
                    </w:rPr>
                  </w:pPr>
                  <w:r>
                    <w:rPr>
                      <w:color w:val="auto"/>
                    </w:rPr>
                    <w:t>加强安全环保管理和教育、培训，在防火、灭火设施等方面采取相应的措施，采用防静电、防雷击等措施，配备报警和消防、通讯系统，一旦发生火情及时报警和扑救，制定环境风险应急预案、定期演练。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04" w:type="dxa"/>
                  <w:tcBorders>
                    <w:tl2br w:val="nil"/>
                    <w:tr2bl w:val="nil"/>
                  </w:tcBorders>
                  <w:vAlign w:val="center"/>
                </w:tcPr>
                <w:p>
                  <w:pPr>
                    <w:spacing w:line="240" w:lineRule="auto"/>
                    <w:ind w:firstLine="0" w:firstLineChars="0"/>
                    <w:rPr>
                      <w:color w:val="auto"/>
                    </w:rPr>
                  </w:pPr>
                  <w:r>
                    <w:rPr>
                      <w:color w:val="auto"/>
                    </w:rPr>
                    <w:t>填表说明</w:t>
                  </w:r>
                </w:p>
              </w:tc>
              <w:tc>
                <w:tcPr>
                  <w:tcW w:w="6395" w:type="dxa"/>
                  <w:gridSpan w:val="4"/>
                  <w:tcBorders>
                    <w:tl2br w:val="nil"/>
                    <w:tr2bl w:val="nil"/>
                  </w:tcBorders>
                  <w:vAlign w:val="center"/>
                </w:tcPr>
                <w:p>
                  <w:pPr>
                    <w:spacing w:line="240" w:lineRule="auto"/>
                    <w:ind w:firstLine="0" w:firstLineChars="0"/>
                    <w:rPr>
                      <w:color w:val="auto"/>
                    </w:rPr>
                  </w:pPr>
                  <w:r>
                    <w:rPr>
                      <w:rFonts w:hint="eastAsia"/>
                      <w:color w:val="auto"/>
                    </w:rPr>
                    <w:t>本项目不存在风险物质</w:t>
                  </w:r>
                  <w:r>
                    <w:rPr>
                      <w:color w:val="auto"/>
                    </w:rPr>
                    <w:t>，评价工作等级为简单分析。根据分析，本项目风险处于可接受的水平。</w:t>
                  </w:r>
                </w:p>
              </w:tc>
            </w:tr>
          </w:tbl>
          <w:p>
            <w:pPr>
              <w:snapToGrid w:val="0"/>
              <w:ind w:firstLine="482"/>
              <w:rPr>
                <w:b/>
                <w:bCs/>
                <w:color w:val="auto"/>
              </w:rPr>
            </w:pPr>
            <w:r>
              <w:rPr>
                <w:b/>
                <w:bCs/>
                <w:color w:val="auto"/>
              </w:rPr>
              <w:t>七、环保投资情况</w:t>
            </w:r>
          </w:p>
          <w:p>
            <w:pPr>
              <w:snapToGrid w:val="0"/>
              <w:ind w:firstLine="480"/>
              <w:rPr>
                <w:color w:val="auto"/>
              </w:rPr>
            </w:pPr>
            <w:r>
              <w:rPr>
                <w:color w:val="auto"/>
              </w:rPr>
              <w:t>本项目总投资2500万元，其中环保投资金额为</w:t>
            </w:r>
            <w:r>
              <w:rPr>
                <w:rFonts w:hint="eastAsia"/>
                <w:color w:val="auto"/>
              </w:rPr>
              <w:t>95</w:t>
            </w:r>
            <w:r>
              <w:rPr>
                <w:color w:val="auto"/>
              </w:rPr>
              <w:t>万元，占环保投资金额为</w:t>
            </w:r>
            <w:r>
              <w:rPr>
                <w:rFonts w:hint="eastAsia"/>
                <w:color w:val="auto"/>
              </w:rPr>
              <w:t>3.8%</w:t>
            </w:r>
            <w:r>
              <w:rPr>
                <w:color w:val="auto"/>
              </w:rPr>
              <w:t>，项目投资情况见下表。</w:t>
            </w:r>
          </w:p>
          <w:p>
            <w:pPr>
              <w:snapToGrid w:val="0"/>
              <w:ind w:firstLine="0" w:firstLineChars="0"/>
              <w:jc w:val="center"/>
              <w:rPr>
                <w:b/>
                <w:bCs/>
                <w:color w:val="auto"/>
              </w:rPr>
            </w:pPr>
            <w:r>
              <w:rPr>
                <w:b/>
                <w:bCs/>
                <w:color w:val="auto"/>
              </w:rPr>
              <w:t>表4-</w:t>
            </w:r>
            <w:r>
              <w:rPr>
                <w:rFonts w:hint="eastAsia"/>
                <w:b/>
                <w:bCs/>
                <w:color w:val="auto"/>
              </w:rPr>
              <w:t>24</w:t>
            </w:r>
            <w:r>
              <w:rPr>
                <w:b/>
                <w:bCs/>
                <w:color w:val="auto"/>
              </w:rPr>
              <w:t>环保投资情况一览表</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8"/>
              <w:gridCol w:w="5592"/>
              <w:gridCol w:w="13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08" w:type="dxa"/>
                </w:tcPr>
                <w:p>
                  <w:pPr>
                    <w:snapToGrid w:val="0"/>
                    <w:spacing w:line="240" w:lineRule="auto"/>
                    <w:ind w:firstLine="0" w:firstLineChars="0"/>
                    <w:jc w:val="center"/>
                    <w:rPr>
                      <w:color w:val="auto"/>
                    </w:rPr>
                  </w:pPr>
                  <w:r>
                    <w:rPr>
                      <w:color w:val="auto"/>
                    </w:rPr>
                    <w:t>污染类型</w:t>
                  </w:r>
                </w:p>
              </w:tc>
              <w:tc>
                <w:tcPr>
                  <w:tcW w:w="5592" w:type="dxa"/>
                </w:tcPr>
                <w:p>
                  <w:pPr>
                    <w:snapToGrid w:val="0"/>
                    <w:spacing w:line="240" w:lineRule="auto"/>
                    <w:ind w:firstLine="0" w:firstLineChars="0"/>
                    <w:jc w:val="center"/>
                    <w:rPr>
                      <w:color w:val="auto"/>
                    </w:rPr>
                  </w:pPr>
                  <w:r>
                    <w:rPr>
                      <w:color w:val="auto"/>
                    </w:rPr>
                    <w:t>具体措施</w:t>
                  </w:r>
                </w:p>
              </w:tc>
              <w:tc>
                <w:tcPr>
                  <w:tcW w:w="1319" w:type="dxa"/>
                </w:tcPr>
                <w:p>
                  <w:pPr>
                    <w:snapToGrid w:val="0"/>
                    <w:spacing w:line="240" w:lineRule="auto"/>
                    <w:ind w:firstLine="0" w:firstLineChars="0"/>
                    <w:jc w:val="center"/>
                    <w:rPr>
                      <w:color w:val="auto"/>
                    </w:rPr>
                  </w:pPr>
                  <w:r>
                    <w:rPr>
                      <w:color w:val="auto"/>
                    </w:rPr>
                    <w:t>投资情况（万元）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808" w:type="dxa"/>
                </w:tcPr>
                <w:p>
                  <w:pPr>
                    <w:snapToGrid w:val="0"/>
                    <w:spacing w:line="240" w:lineRule="auto"/>
                    <w:ind w:firstLine="0" w:firstLineChars="0"/>
                    <w:jc w:val="center"/>
                    <w:rPr>
                      <w:color w:val="auto"/>
                    </w:rPr>
                  </w:pPr>
                  <w:r>
                    <w:rPr>
                      <w:color w:val="auto"/>
                    </w:rPr>
                    <w:t>废气</w:t>
                  </w:r>
                </w:p>
              </w:tc>
              <w:tc>
                <w:tcPr>
                  <w:tcW w:w="5592" w:type="dxa"/>
                </w:tcPr>
                <w:p>
                  <w:pPr>
                    <w:spacing w:line="240" w:lineRule="auto"/>
                    <w:ind w:firstLine="0" w:firstLineChars="0"/>
                    <w:rPr>
                      <w:color w:val="auto"/>
                    </w:rPr>
                  </w:pPr>
                  <w:r>
                    <w:rPr>
                      <w:rFonts w:hint="eastAsia"/>
                      <w:color w:val="auto"/>
                    </w:rPr>
                    <w:t>1</w:t>
                  </w:r>
                  <w:r>
                    <w:rPr>
                      <w:color w:val="auto"/>
                    </w:rPr>
                    <w:t>成品堆存过</w:t>
                  </w:r>
                  <w:r>
                    <w:rPr>
                      <w:rFonts w:hint="eastAsia"/>
                      <w:color w:val="auto"/>
                    </w:rPr>
                    <w:t>程中</w:t>
                  </w:r>
                  <w:r>
                    <w:rPr>
                      <w:color w:val="auto"/>
                    </w:rPr>
                    <w:t>产生的粉尘：本项目的成品储存均在全封闭储棚内，定期进行洒水降尘，可有效减少无组织扬尘的产生。</w:t>
                  </w:r>
                </w:p>
                <w:p>
                  <w:pPr>
                    <w:spacing w:line="240" w:lineRule="auto"/>
                    <w:ind w:firstLine="0" w:firstLineChars="0"/>
                    <w:rPr>
                      <w:color w:val="auto"/>
                    </w:rPr>
                  </w:pPr>
                  <w:r>
                    <w:rPr>
                      <w:rFonts w:hint="eastAsia"/>
                      <w:color w:val="auto"/>
                    </w:rPr>
                    <w:t>2.</w:t>
                  </w:r>
                  <w:r>
                    <w:rPr>
                      <w:color w:val="auto"/>
                    </w:rPr>
                    <w:t>天然气蒸汽锅炉废气：本项目设置1台18t/h的天然气蒸汽锅炉，配备高效低氮燃烧器处理后，最终由1根</w:t>
                  </w:r>
                  <w:r>
                    <w:rPr>
                      <w:rFonts w:hint="eastAsia"/>
                      <w:color w:val="auto"/>
                    </w:rPr>
                    <w:t>13</w:t>
                  </w:r>
                  <w:r>
                    <w:rPr>
                      <w:color w:val="auto"/>
                    </w:rPr>
                    <w:t>m高排气筒（DA001）排放。</w:t>
                  </w:r>
                </w:p>
                <w:p>
                  <w:pPr>
                    <w:spacing w:line="240" w:lineRule="auto"/>
                    <w:ind w:firstLine="0" w:firstLineChars="0"/>
                    <w:rPr>
                      <w:color w:val="auto"/>
                    </w:rPr>
                  </w:pPr>
                  <w:r>
                    <w:rPr>
                      <w:rFonts w:hint="eastAsia"/>
                      <w:color w:val="auto"/>
                    </w:rPr>
                    <w:t>3.蒸汽压力釜烘干过程中产生的粉尘</w:t>
                  </w:r>
                  <w:r>
                    <w:rPr>
                      <w:color w:val="auto"/>
                    </w:rPr>
                    <w:t>：</w:t>
                  </w:r>
                  <w:r>
                    <w:rPr>
                      <w:rFonts w:hint="eastAsia"/>
                      <w:color w:val="auto"/>
                    </w:rPr>
                    <w:t>粉尘经管道收集至袋式除尘器</w:t>
                  </w:r>
                  <w:r>
                    <w:rPr>
                      <w:color w:val="auto"/>
                    </w:rPr>
                    <w:t>处理后，经15m高排气筒（DA002）达标排放。</w:t>
                  </w:r>
                </w:p>
              </w:tc>
              <w:tc>
                <w:tcPr>
                  <w:tcW w:w="1319" w:type="dxa"/>
                </w:tcPr>
                <w:p>
                  <w:pPr>
                    <w:snapToGrid w:val="0"/>
                    <w:spacing w:line="240" w:lineRule="auto"/>
                    <w:ind w:firstLine="0" w:firstLineChars="0"/>
                    <w:jc w:val="center"/>
                    <w:rPr>
                      <w:color w:val="auto"/>
                    </w:rPr>
                  </w:pPr>
                  <w:r>
                    <w:rPr>
                      <w:rFonts w:hint="eastAsia"/>
                      <w:color w:val="auto"/>
                    </w:rPr>
                    <w:t>7</w:t>
                  </w:r>
                  <w:r>
                    <w:rPr>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808" w:type="dxa"/>
                </w:tcPr>
                <w:p>
                  <w:pPr>
                    <w:snapToGrid w:val="0"/>
                    <w:spacing w:line="240" w:lineRule="auto"/>
                    <w:ind w:firstLine="0" w:firstLineChars="0"/>
                    <w:jc w:val="center"/>
                    <w:rPr>
                      <w:color w:val="auto"/>
                    </w:rPr>
                  </w:pPr>
                  <w:r>
                    <w:rPr>
                      <w:color w:val="auto"/>
                    </w:rPr>
                    <w:t>废水</w:t>
                  </w:r>
                </w:p>
              </w:tc>
              <w:tc>
                <w:tcPr>
                  <w:tcW w:w="5592" w:type="dxa"/>
                </w:tcPr>
                <w:p>
                  <w:pPr>
                    <w:spacing w:line="240" w:lineRule="auto"/>
                    <w:ind w:firstLine="0" w:firstLineChars="0"/>
                    <w:rPr>
                      <w:color w:val="auto"/>
                    </w:rPr>
                  </w:pPr>
                  <w:r>
                    <w:rPr>
                      <w:color w:val="auto"/>
                    </w:rPr>
                    <w:t>本项目无新增劳动定员，无新增生活污水；</w:t>
                  </w:r>
                  <w:r>
                    <w:rPr>
                      <w:rFonts w:hint="eastAsia"/>
                      <w:color w:val="auto"/>
                    </w:rPr>
                    <w:t>成品</w:t>
                  </w:r>
                  <w:r>
                    <w:rPr>
                      <w:color w:val="auto"/>
                    </w:rPr>
                    <w:t>堆场洒水降尘用水全部蒸发散失</w:t>
                  </w:r>
                  <w:r>
                    <w:rPr>
                      <w:rFonts w:hint="eastAsia"/>
                      <w:color w:val="auto"/>
                    </w:rPr>
                    <w:t>。</w:t>
                  </w:r>
                </w:p>
                <w:p>
                  <w:pPr>
                    <w:snapToGrid w:val="0"/>
                    <w:spacing w:line="240" w:lineRule="auto"/>
                    <w:ind w:firstLine="0" w:firstLineChars="0"/>
                    <w:rPr>
                      <w:color w:val="auto"/>
                    </w:rPr>
                  </w:pPr>
                  <w:r>
                    <w:rPr>
                      <w:color w:val="auto"/>
                    </w:rPr>
                    <w:t>纯水制备排污废水、锅炉排污废水、回收的蒸发冷凝液排入自建废水处理站处理后，出水满足《城市污水再生利用工业用水水质》（GB19923-2024）中的间冷开式循环冷却水补充水、锅炉给水、工艺用水、产品用水标准后</w:t>
                  </w:r>
                  <w:r>
                    <w:rPr>
                      <w:rFonts w:hint="eastAsia"/>
                      <w:color w:val="auto"/>
                    </w:rPr>
                    <w:t>，部分返回天然气蒸汽锅炉用于蒸汽再生产，部分返回喷淋冷凝管道用于水蒸气冷凝，剩余部分用于厂区、煤棚洒水降尘、反冲洗用水及选煤厂洗煤工艺补充用水。浓水收集池收集后，定期交由浓水处理单位进行处置。</w:t>
                  </w:r>
                </w:p>
              </w:tc>
              <w:tc>
                <w:tcPr>
                  <w:tcW w:w="1319" w:type="dxa"/>
                </w:tcPr>
                <w:p>
                  <w:pPr>
                    <w:snapToGrid w:val="0"/>
                    <w:spacing w:line="240" w:lineRule="auto"/>
                    <w:ind w:firstLine="0" w:firstLineChars="0"/>
                    <w:jc w:val="center"/>
                    <w:rPr>
                      <w:color w:val="auto"/>
                    </w:rPr>
                  </w:pPr>
                  <w:r>
                    <w:rPr>
                      <w:rFonts w:hint="eastAsia"/>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808" w:type="dxa"/>
                </w:tcPr>
                <w:p>
                  <w:pPr>
                    <w:snapToGrid w:val="0"/>
                    <w:spacing w:line="240" w:lineRule="auto"/>
                    <w:ind w:firstLine="0" w:firstLineChars="0"/>
                    <w:jc w:val="center"/>
                    <w:rPr>
                      <w:color w:val="auto"/>
                    </w:rPr>
                  </w:pPr>
                  <w:r>
                    <w:rPr>
                      <w:color w:val="auto"/>
                    </w:rPr>
                    <w:t>噪声</w:t>
                  </w:r>
                </w:p>
              </w:tc>
              <w:tc>
                <w:tcPr>
                  <w:tcW w:w="5592" w:type="dxa"/>
                </w:tcPr>
                <w:p>
                  <w:pPr>
                    <w:snapToGrid w:val="0"/>
                    <w:spacing w:line="240" w:lineRule="auto"/>
                    <w:ind w:firstLine="0" w:firstLineChars="0"/>
                    <w:rPr>
                      <w:color w:val="auto"/>
                    </w:rPr>
                  </w:pPr>
                  <w:r>
                    <w:rPr>
                      <w:color w:val="auto"/>
                    </w:rPr>
                    <w:t>采用厂房隔声、选用低噪声设备等防噪降噪措施。</w:t>
                  </w:r>
                </w:p>
              </w:tc>
              <w:tc>
                <w:tcPr>
                  <w:tcW w:w="1319" w:type="dxa"/>
                </w:tcPr>
                <w:p>
                  <w:pPr>
                    <w:snapToGrid w:val="0"/>
                    <w:spacing w:line="240" w:lineRule="auto"/>
                    <w:ind w:firstLine="0" w:firstLineChars="0"/>
                    <w:jc w:val="center"/>
                    <w:rPr>
                      <w:color w:val="auto"/>
                    </w:rPr>
                  </w:pPr>
                  <w:r>
                    <w:rPr>
                      <w:color w:va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808" w:type="dxa"/>
                </w:tcPr>
                <w:p>
                  <w:pPr>
                    <w:snapToGrid w:val="0"/>
                    <w:spacing w:line="240" w:lineRule="auto"/>
                    <w:ind w:firstLine="0" w:firstLineChars="0"/>
                    <w:jc w:val="center"/>
                    <w:rPr>
                      <w:color w:val="auto"/>
                    </w:rPr>
                  </w:pPr>
                  <w:r>
                    <w:rPr>
                      <w:color w:val="auto"/>
                    </w:rPr>
                    <w:t>固体废弃物</w:t>
                  </w:r>
                </w:p>
              </w:tc>
              <w:tc>
                <w:tcPr>
                  <w:tcW w:w="5592" w:type="dxa"/>
                </w:tcPr>
                <w:p>
                  <w:pPr>
                    <w:spacing w:line="240" w:lineRule="auto"/>
                    <w:ind w:firstLine="0" w:firstLineChars="0"/>
                    <w:rPr>
                      <w:color w:val="auto"/>
                    </w:rPr>
                  </w:pPr>
                  <w:r>
                    <w:rPr>
                      <w:color w:val="auto"/>
                    </w:rPr>
                    <w:t>本项目无新增劳动定员，无新增生活垃圾产生。</w:t>
                  </w:r>
                </w:p>
                <w:p>
                  <w:pPr>
                    <w:spacing w:line="240" w:lineRule="auto"/>
                    <w:ind w:firstLine="0" w:firstLineChars="0"/>
                    <w:rPr>
                      <w:color w:val="auto"/>
                    </w:rPr>
                  </w:pPr>
                  <w:r>
                    <w:rPr>
                      <w:color w:val="auto"/>
                    </w:rPr>
                    <w:t>废离子交换树脂：天然气蒸汽锅炉纯水制备过程中产生的废离子交换树脂定期更换，产后不落地，交由厂家回收处置。</w:t>
                  </w:r>
                </w:p>
                <w:p>
                  <w:pPr>
                    <w:spacing w:line="240" w:lineRule="auto"/>
                    <w:ind w:firstLine="0" w:firstLineChars="0"/>
                    <w:rPr>
                      <w:color w:val="auto"/>
                    </w:rPr>
                  </w:pPr>
                  <w:r>
                    <w:rPr>
                      <w:rFonts w:hint="eastAsia"/>
                      <w:color w:val="auto"/>
                    </w:rPr>
                    <w:t>废滤料：废水处理站多介质过滤器的滤料需要定期更换，产生的废滤料产后不落地，由厂家上门更换回收。</w:t>
                  </w:r>
                </w:p>
                <w:p>
                  <w:pPr>
                    <w:spacing w:line="240" w:lineRule="auto"/>
                    <w:ind w:firstLine="0" w:firstLineChars="0"/>
                    <w:rPr>
                      <w:color w:val="auto"/>
                    </w:rPr>
                  </w:pPr>
                  <w:r>
                    <w:rPr>
                      <w:color w:val="auto"/>
                    </w:rPr>
                    <w:t>废反渗透膜：超滤、</w:t>
                  </w:r>
                  <w:r>
                    <w:rPr>
                      <w:rFonts w:hint="eastAsia"/>
                      <w:color w:val="auto"/>
                    </w:rPr>
                    <w:t>反</w:t>
                  </w:r>
                  <w:r>
                    <w:rPr>
                      <w:color w:val="auto"/>
                    </w:rPr>
                    <w:t>渗装置产生的废反渗透膜产后不落地，由厂家上门更换回收。</w:t>
                  </w:r>
                </w:p>
                <w:p>
                  <w:pPr>
                    <w:snapToGrid w:val="0"/>
                    <w:spacing w:line="240" w:lineRule="auto"/>
                    <w:ind w:firstLine="0" w:firstLineChars="0"/>
                    <w:rPr>
                      <w:color w:val="auto"/>
                    </w:rPr>
                  </w:pPr>
                  <w:r>
                    <w:rPr>
                      <w:rFonts w:hint="eastAsia"/>
                      <w:color w:val="auto"/>
                    </w:rPr>
                    <w:t>废水处理站产生的污泥：产生的污泥掺入洗煤厂产品煤中进行外售。</w:t>
                  </w:r>
                </w:p>
                <w:p>
                  <w:pPr>
                    <w:snapToGrid w:val="0"/>
                    <w:spacing w:line="240" w:lineRule="auto"/>
                    <w:ind w:firstLine="0" w:firstLineChars="0"/>
                    <w:rPr>
                      <w:color w:val="auto"/>
                    </w:rPr>
                  </w:pPr>
                  <w:r>
                    <w:rPr>
                      <w:rFonts w:hint="eastAsia"/>
                      <w:color w:val="auto"/>
                    </w:rPr>
                    <w:t>废矿物油、废油桶：暂存于新建的危废库内，定期交由有资质单位进行处置。</w:t>
                  </w:r>
                </w:p>
              </w:tc>
              <w:tc>
                <w:tcPr>
                  <w:tcW w:w="1319" w:type="dxa"/>
                </w:tcPr>
                <w:p>
                  <w:pPr>
                    <w:snapToGrid w:val="0"/>
                    <w:spacing w:line="240" w:lineRule="auto"/>
                    <w:ind w:firstLine="0" w:firstLineChars="0"/>
                    <w:jc w:val="center"/>
                    <w:rPr>
                      <w:color w:val="auto"/>
                    </w:rPr>
                  </w:pPr>
                  <w:r>
                    <w:rPr>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6400" w:type="dxa"/>
                  <w:gridSpan w:val="2"/>
                </w:tcPr>
                <w:p>
                  <w:pPr>
                    <w:snapToGrid w:val="0"/>
                    <w:spacing w:line="240" w:lineRule="auto"/>
                    <w:ind w:firstLine="0" w:firstLineChars="0"/>
                    <w:jc w:val="center"/>
                    <w:rPr>
                      <w:color w:val="auto"/>
                    </w:rPr>
                  </w:pPr>
                  <w:r>
                    <w:rPr>
                      <w:color w:val="auto"/>
                    </w:rPr>
                    <w:t>合计</w:t>
                  </w:r>
                </w:p>
              </w:tc>
              <w:tc>
                <w:tcPr>
                  <w:tcW w:w="1319" w:type="dxa"/>
                </w:tcPr>
                <w:p>
                  <w:pPr>
                    <w:snapToGrid w:val="0"/>
                    <w:spacing w:line="240" w:lineRule="auto"/>
                    <w:ind w:firstLine="0" w:firstLineChars="0"/>
                    <w:jc w:val="center"/>
                    <w:rPr>
                      <w:color w:val="auto"/>
                    </w:rPr>
                  </w:pPr>
                  <w:r>
                    <w:rPr>
                      <w:rFonts w:hint="eastAsia"/>
                      <w:color w:val="auto"/>
                    </w:rPr>
                    <w:t>95</w:t>
                  </w:r>
                </w:p>
              </w:tc>
            </w:tr>
          </w:tbl>
          <w:p>
            <w:pPr>
              <w:ind w:firstLine="482"/>
              <w:rPr>
                <w:b/>
                <w:bCs/>
                <w:color w:val="auto"/>
              </w:rPr>
            </w:pPr>
            <w:r>
              <w:rPr>
                <w:b/>
                <w:bCs/>
                <w:color w:val="auto"/>
              </w:rPr>
              <w:t>八、规范排污口</w:t>
            </w:r>
          </w:p>
          <w:p>
            <w:pPr>
              <w:ind w:firstLine="480"/>
              <w:rPr>
                <w:color w:val="auto"/>
              </w:rPr>
            </w:pPr>
            <w:r>
              <w:rPr>
                <w:color w:val="auto"/>
              </w:rPr>
              <w:t>排污口是企业排放污染物进入环境的通道，强化排污口的管理是实施污染物总量控制的基础工作之一，也是区域环境管理逐步实现污染物排放科学化、定量化的重要手段。</w:t>
            </w:r>
          </w:p>
          <w:p>
            <w:pPr>
              <w:ind w:firstLine="480"/>
              <w:rPr>
                <w:color w:val="auto"/>
              </w:rPr>
            </w:pPr>
            <w:r>
              <w:rPr>
                <w:rFonts w:hint="eastAsia"/>
                <w:color w:val="auto"/>
                <w:lang w:eastAsia="zh-CN"/>
              </w:rPr>
              <w:t>1.</w:t>
            </w:r>
            <w:r>
              <w:rPr>
                <w:color w:val="auto"/>
              </w:rPr>
              <w:t>排污口规范化管理的基本原则</w:t>
            </w:r>
          </w:p>
          <w:p>
            <w:pPr>
              <w:ind w:firstLine="480"/>
              <w:rPr>
                <w:color w:val="auto"/>
              </w:rPr>
            </w:pPr>
            <w:r>
              <w:rPr>
                <w:color w:val="auto"/>
              </w:rPr>
              <w:t>①向环境排放污染物的排污口必须规范化。</w:t>
            </w:r>
          </w:p>
          <w:p>
            <w:pPr>
              <w:ind w:firstLine="480"/>
              <w:rPr>
                <w:color w:val="auto"/>
              </w:rPr>
            </w:pPr>
            <w:r>
              <w:rPr>
                <w:color w:val="auto"/>
              </w:rPr>
              <w:t>②排污口应便于采样与计量监测，便于日常现场监督检查。</w:t>
            </w:r>
          </w:p>
          <w:p>
            <w:pPr>
              <w:ind w:firstLine="480"/>
              <w:rPr>
                <w:color w:val="auto"/>
              </w:rPr>
            </w:pPr>
            <w:r>
              <w:rPr>
                <w:rFonts w:hint="eastAsia"/>
                <w:color w:val="auto"/>
                <w:lang w:eastAsia="zh-CN"/>
              </w:rPr>
              <w:t>2.</w:t>
            </w:r>
            <w:r>
              <w:rPr>
                <w:color w:val="auto"/>
              </w:rPr>
              <w:t>排污口规范化设置</w:t>
            </w:r>
          </w:p>
          <w:p>
            <w:pPr>
              <w:ind w:firstLine="480"/>
              <w:rPr>
                <w:color w:val="auto"/>
              </w:rPr>
            </w:pPr>
            <w:r>
              <w:rPr>
                <w:color w:val="auto"/>
              </w:rPr>
              <w:t>（1）废水排放口</w:t>
            </w:r>
          </w:p>
          <w:p>
            <w:pPr>
              <w:ind w:firstLine="480"/>
              <w:rPr>
                <w:color w:val="auto"/>
              </w:rPr>
            </w:pPr>
            <w:r>
              <w:rPr>
                <w:color w:val="auto"/>
              </w:rPr>
              <w:t>项目的污水处理设施排放口必须设置便于采样的采样井，并在其排放口设立明显标志牌，符合《环境保护图形标志》（GB15562.1-1995）要求。</w:t>
            </w:r>
          </w:p>
          <w:p>
            <w:pPr>
              <w:ind w:firstLine="480"/>
              <w:rPr>
                <w:color w:val="auto"/>
              </w:rPr>
            </w:pPr>
            <w:r>
              <w:rPr>
                <w:color w:val="auto"/>
              </w:rPr>
              <w:t>（2）废气排放口</w:t>
            </w:r>
          </w:p>
          <w:p>
            <w:pPr>
              <w:ind w:firstLine="480"/>
              <w:rPr>
                <w:color w:val="auto"/>
              </w:rPr>
            </w:pPr>
            <w:r>
              <w:rPr>
                <w:color w:val="auto"/>
              </w:rPr>
              <w:t>对于有组织排放的废气，排气筒应设置便于采样、监测的采样平台、采样口，采样口的设置应符合《污染源监测技术规范》要求。废气排放口均应设置环保图形标志牌。</w:t>
            </w:r>
          </w:p>
          <w:p>
            <w:pPr>
              <w:ind w:firstLine="480"/>
              <w:rPr>
                <w:color w:val="auto"/>
              </w:rPr>
            </w:pPr>
            <w:r>
              <w:rPr>
                <w:color w:val="auto"/>
              </w:rPr>
              <w:t>（3）固定噪声源</w:t>
            </w:r>
          </w:p>
          <w:p>
            <w:pPr>
              <w:ind w:firstLine="480"/>
              <w:rPr>
                <w:color w:val="auto"/>
              </w:rPr>
            </w:pPr>
            <w:r>
              <w:rPr>
                <w:color w:val="auto"/>
              </w:rPr>
              <w:t>不同噪声源的情况，采取减振降噪、隔声等措施，使厂界达到相应功能区的标准要求。在厂界噪声敏感且对外界影响最大处设置固定噪声源的监测点和噪声环境保护图形标志牌。</w:t>
            </w:r>
          </w:p>
          <w:p>
            <w:pPr>
              <w:ind w:firstLine="480"/>
              <w:rPr>
                <w:color w:val="auto"/>
              </w:rPr>
            </w:pPr>
            <w:r>
              <w:rPr>
                <w:color w:val="auto"/>
              </w:rPr>
              <w:t>（4）固废</w:t>
            </w:r>
          </w:p>
          <w:p>
            <w:pPr>
              <w:ind w:firstLine="480"/>
              <w:rPr>
                <w:color w:val="auto"/>
              </w:rPr>
            </w:pPr>
            <w:r>
              <w:rPr>
                <w:color w:val="auto"/>
              </w:rPr>
              <w:t>对于各类固体废物应设置专用贮存、堆放场地。各类固体废物贮存场所均应设置醒目的标志牌。</w:t>
            </w:r>
          </w:p>
          <w:p>
            <w:pPr>
              <w:ind w:firstLine="480"/>
              <w:rPr>
                <w:color w:val="auto"/>
              </w:rPr>
            </w:pPr>
            <w:r>
              <w:rPr>
                <w:color w:val="auto"/>
              </w:rPr>
              <w:t>①固体废物贮存场所要防流失、防渗漏、防雨、防洪水。</w:t>
            </w:r>
          </w:p>
          <w:p>
            <w:pPr>
              <w:ind w:firstLine="480"/>
              <w:rPr>
                <w:color w:val="auto"/>
              </w:rPr>
            </w:pPr>
            <w:r>
              <w:rPr>
                <w:color w:val="auto"/>
              </w:rPr>
              <w:t>②一般固体废物贮存场所在醒目处设置一个标志牌。</w:t>
            </w:r>
          </w:p>
          <w:p>
            <w:pPr>
              <w:ind w:firstLine="480"/>
              <w:rPr>
                <w:color w:val="auto"/>
              </w:rPr>
            </w:pPr>
            <w:r>
              <w:rPr>
                <w:color w:val="auto"/>
              </w:rPr>
              <w:t>③危险废物暂存间的边界采用墙体封闭，并在边界各进出口设置明显标志牌。</w:t>
            </w:r>
          </w:p>
          <w:p>
            <w:pPr>
              <w:ind w:firstLine="480"/>
              <w:rPr>
                <w:color w:val="auto"/>
              </w:rPr>
            </w:pPr>
            <w:r>
              <w:rPr>
                <w:color w:val="auto"/>
              </w:rPr>
              <w:t>（5）设置标志牌要求</w:t>
            </w:r>
          </w:p>
          <w:p>
            <w:pPr>
              <w:ind w:firstLine="480"/>
              <w:rPr>
                <w:color w:val="auto"/>
              </w:rPr>
            </w:pPr>
            <w:r>
              <w:rPr>
                <w:color w:val="auto"/>
              </w:rPr>
              <w:t>环境保护图形标志牌由环保部统一定点制作，企业排污口分布图由市环境监管部门统一绘制。排放一般污染物排污口（源），设置提示式标志牌，排放有毒有害等污染物的排污口设置警告式标志牌。</w:t>
            </w:r>
          </w:p>
          <w:p>
            <w:pPr>
              <w:ind w:firstLine="480"/>
              <w:rPr>
                <w:color w:val="auto"/>
              </w:rPr>
            </w:pPr>
            <w:r>
              <w:rPr>
                <w:color w:val="auto"/>
              </w:rPr>
              <w:t>标志牌设置位置在排污口附近且醒目处，高度为标志牌上缘离地面2m；排污口附近1m范围内有建筑物的，设平面式标志牌，无建筑物的设立式标志牌。</w:t>
            </w:r>
          </w:p>
          <w:p>
            <w:pPr>
              <w:ind w:firstLine="480"/>
              <w:rPr>
                <w:color w:val="auto"/>
              </w:rPr>
            </w:pPr>
            <w:r>
              <w:rPr>
                <w:color w:val="auto"/>
              </w:rPr>
              <w:t>规范化排污口的有关设置（如图形标志牌、监控装置等）</w:t>
            </w:r>
            <w:r>
              <w:rPr>
                <w:rFonts w:hint="eastAsia"/>
                <w:color w:val="auto"/>
                <w:lang w:eastAsia="zh-CN"/>
              </w:rPr>
              <w:t>属于</w:t>
            </w:r>
            <w:r>
              <w:rPr>
                <w:color w:val="auto"/>
              </w:rPr>
              <w:t>环保设施，排污单位必须负责日常的维护保养，任何单位和个人不得擅自拆除，如需变更的须报环境监管部门同意并办理变更手续。</w:t>
            </w:r>
          </w:p>
          <w:p>
            <w:pPr>
              <w:ind w:firstLine="480"/>
              <w:rPr>
                <w:color w:val="auto"/>
              </w:rPr>
            </w:pPr>
            <w:r>
              <w:rPr>
                <w:color w:val="auto"/>
              </w:rPr>
              <w:t>在厂区的废气排放口、废水排放口、噪声排放源、固体废物贮存处置场应设置环境保护图形标志，见下表。</w:t>
            </w:r>
          </w:p>
          <w:p>
            <w:pPr>
              <w:ind w:firstLine="0" w:firstLineChars="0"/>
              <w:jc w:val="center"/>
              <w:rPr>
                <w:b/>
                <w:bCs/>
                <w:color w:val="auto"/>
              </w:rPr>
            </w:pPr>
            <w:r>
              <w:rPr>
                <w:b/>
                <w:bCs/>
                <w:color w:val="auto"/>
              </w:rPr>
              <w:t>表4-</w:t>
            </w:r>
            <w:r>
              <w:rPr>
                <w:rFonts w:hint="eastAsia"/>
                <w:b/>
                <w:bCs/>
                <w:color w:val="auto"/>
              </w:rPr>
              <w:t>25</w:t>
            </w:r>
            <w:r>
              <w:rPr>
                <w:b/>
                <w:bCs/>
                <w:color w:val="auto"/>
              </w:rPr>
              <w:t>环境保护图形标志一览表</w:t>
            </w:r>
          </w:p>
          <w:tbl>
            <w:tblPr>
              <w:tblStyle w:val="6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29"/>
              <w:gridCol w:w="1338"/>
              <w:gridCol w:w="1453"/>
              <w:gridCol w:w="1260"/>
              <w:gridCol w:w="1663"/>
              <w:gridCol w:w="14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atLeast"/>
              </w:trPr>
              <w:tc>
                <w:tcPr>
                  <w:tcW w:w="460" w:type="pct"/>
                  <w:vAlign w:val="center"/>
                </w:tcPr>
                <w:p>
                  <w:pPr>
                    <w:spacing w:line="240" w:lineRule="auto"/>
                    <w:ind w:firstLine="0" w:firstLineChars="0"/>
                    <w:jc w:val="center"/>
                    <w:rPr>
                      <w:color w:val="auto"/>
                      <w:sz w:val="21"/>
                      <w:szCs w:val="21"/>
                    </w:rPr>
                  </w:pPr>
                  <w:r>
                    <w:rPr>
                      <w:color w:val="auto"/>
                      <w:sz w:val="21"/>
                      <w:szCs w:val="21"/>
                    </w:rPr>
                    <w:t>序号</w:t>
                  </w:r>
                </w:p>
              </w:tc>
              <w:tc>
                <w:tcPr>
                  <w:tcW w:w="843" w:type="pct"/>
                  <w:vAlign w:val="center"/>
                </w:tcPr>
                <w:p>
                  <w:pPr>
                    <w:spacing w:line="240" w:lineRule="auto"/>
                    <w:ind w:firstLine="0" w:firstLineChars="0"/>
                    <w:jc w:val="center"/>
                    <w:rPr>
                      <w:color w:val="auto"/>
                      <w:sz w:val="21"/>
                      <w:szCs w:val="21"/>
                    </w:rPr>
                  </w:pPr>
                  <w:r>
                    <w:rPr>
                      <w:color w:val="auto"/>
                      <w:sz w:val="21"/>
                      <w:szCs w:val="21"/>
                    </w:rPr>
                    <w:t>提示图形符号</w:t>
                  </w:r>
                </w:p>
              </w:tc>
              <w:tc>
                <w:tcPr>
                  <w:tcW w:w="915" w:type="pct"/>
                  <w:vAlign w:val="center"/>
                </w:tcPr>
                <w:p>
                  <w:pPr>
                    <w:spacing w:line="240" w:lineRule="auto"/>
                    <w:ind w:firstLine="0" w:firstLineChars="0"/>
                    <w:jc w:val="center"/>
                    <w:rPr>
                      <w:color w:val="auto"/>
                      <w:sz w:val="21"/>
                      <w:szCs w:val="21"/>
                    </w:rPr>
                  </w:pPr>
                  <w:r>
                    <w:rPr>
                      <w:color w:val="auto"/>
                      <w:sz w:val="21"/>
                      <w:szCs w:val="21"/>
                    </w:rPr>
                    <w:t>警告图形符号</w:t>
                  </w:r>
                </w:p>
              </w:tc>
              <w:tc>
                <w:tcPr>
                  <w:tcW w:w="794" w:type="pct"/>
                  <w:vAlign w:val="center"/>
                </w:tcPr>
                <w:p>
                  <w:pPr>
                    <w:spacing w:line="240" w:lineRule="auto"/>
                    <w:ind w:firstLine="0" w:firstLineChars="0"/>
                    <w:jc w:val="center"/>
                    <w:rPr>
                      <w:color w:val="auto"/>
                      <w:sz w:val="21"/>
                      <w:szCs w:val="21"/>
                    </w:rPr>
                  </w:pPr>
                  <w:r>
                    <w:rPr>
                      <w:color w:val="auto"/>
                      <w:sz w:val="21"/>
                      <w:szCs w:val="21"/>
                    </w:rPr>
                    <w:t>名称</w:t>
                  </w:r>
                </w:p>
              </w:tc>
              <w:tc>
                <w:tcPr>
                  <w:tcW w:w="1047" w:type="pct"/>
                  <w:vAlign w:val="center"/>
                </w:tcPr>
                <w:p>
                  <w:pPr>
                    <w:spacing w:line="240" w:lineRule="auto"/>
                    <w:ind w:firstLine="0" w:firstLineChars="0"/>
                    <w:jc w:val="center"/>
                    <w:rPr>
                      <w:color w:val="auto"/>
                      <w:sz w:val="21"/>
                      <w:szCs w:val="21"/>
                    </w:rPr>
                  </w:pPr>
                  <w:r>
                    <w:rPr>
                      <w:color w:val="auto"/>
                      <w:sz w:val="21"/>
                      <w:szCs w:val="21"/>
                    </w:rPr>
                    <w:t>功能</w:t>
                  </w:r>
                </w:p>
              </w:tc>
              <w:tc>
                <w:tcPr>
                  <w:tcW w:w="938" w:type="pct"/>
                  <w:vAlign w:val="center"/>
                </w:tcPr>
                <w:p>
                  <w:pPr>
                    <w:spacing w:line="240" w:lineRule="auto"/>
                    <w:ind w:firstLine="0" w:firstLineChars="0"/>
                    <w:jc w:val="center"/>
                    <w:rPr>
                      <w:color w:val="auto"/>
                      <w:sz w:val="21"/>
                      <w:szCs w:val="21"/>
                    </w:rPr>
                  </w:pPr>
                  <w:r>
                    <w:rPr>
                      <w:color w:val="auto"/>
                      <w:sz w:val="21"/>
                      <w:szCs w:val="21"/>
                    </w:rPr>
                    <w:t>设置要求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98" w:hRule="atLeast"/>
              </w:trPr>
              <w:tc>
                <w:tcPr>
                  <w:tcW w:w="460" w:type="pct"/>
                  <w:vAlign w:val="center"/>
                </w:tcPr>
                <w:p>
                  <w:pPr>
                    <w:spacing w:line="240" w:lineRule="auto"/>
                    <w:ind w:firstLine="0" w:firstLineChars="0"/>
                    <w:jc w:val="center"/>
                    <w:rPr>
                      <w:color w:val="auto"/>
                      <w:sz w:val="21"/>
                      <w:szCs w:val="21"/>
                    </w:rPr>
                  </w:pPr>
                  <w:r>
                    <w:rPr>
                      <w:color w:val="auto"/>
                      <w:sz w:val="21"/>
                      <w:szCs w:val="21"/>
                    </w:rPr>
                    <w:t>1</w:t>
                  </w:r>
                </w:p>
              </w:tc>
              <w:tc>
                <w:tcPr>
                  <w:tcW w:w="843" w:type="pct"/>
                  <w:vAlign w:val="center"/>
                </w:tcPr>
                <w:p>
                  <w:pPr>
                    <w:spacing w:line="240" w:lineRule="auto"/>
                    <w:ind w:firstLine="0" w:firstLineChars="0"/>
                    <w:jc w:val="center"/>
                    <w:rPr>
                      <w:color w:val="auto"/>
                      <w:sz w:val="21"/>
                      <w:szCs w:val="21"/>
                    </w:rPr>
                  </w:pPr>
                  <w:r>
                    <w:rPr>
                      <w:color w:val="auto"/>
                      <w:sz w:val="21"/>
                      <w:szCs w:val="21"/>
                    </w:rPr>
                    <w:drawing>
                      <wp:inline distT="0" distB="0" distL="114300" distR="114300">
                        <wp:extent cx="901700" cy="877570"/>
                        <wp:effectExtent l="0" t="0" r="12700" b="17780"/>
                        <wp:docPr id="107" name="图片 10"/>
                        <wp:cNvGraphicFramePr/>
                        <a:graphic xmlns:a="http://schemas.openxmlformats.org/drawingml/2006/main">
                          <a:graphicData uri="http://schemas.openxmlformats.org/drawingml/2006/picture">
                            <pic:pic xmlns:pic="http://schemas.openxmlformats.org/drawingml/2006/picture">
                              <pic:nvPicPr>
                                <pic:cNvPr id="107" name="图片 10"/>
                                <pic:cNvPicPr/>
                              </pic:nvPicPr>
                              <pic:blipFill>
                                <a:blip r:embed="rId39"/>
                                <a:stretch>
                                  <a:fillRect/>
                                </a:stretch>
                              </pic:blipFill>
                              <pic:spPr>
                                <a:xfrm>
                                  <a:off x="0" y="0"/>
                                  <a:ext cx="901700" cy="877570"/>
                                </a:xfrm>
                                <a:prstGeom prst="rect">
                                  <a:avLst/>
                                </a:prstGeom>
                                <a:noFill/>
                                <a:ln>
                                  <a:noFill/>
                                </a:ln>
                              </pic:spPr>
                            </pic:pic>
                          </a:graphicData>
                        </a:graphic>
                      </wp:inline>
                    </w:drawing>
                  </w:r>
                </w:p>
              </w:tc>
              <w:tc>
                <w:tcPr>
                  <w:tcW w:w="915" w:type="pct"/>
                  <w:vAlign w:val="center"/>
                </w:tcPr>
                <w:p>
                  <w:pPr>
                    <w:spacing w:line="240" w:lineRule="auto"/>
                    <w:ind w:firstLine="0" w:firstLineChars="0"/>
                    <w:jc w:val="center"/>
                    <w:rPr>
                      <w:color w:val="auto"/>
                      <w:sz w:val="21"/>
                      <w:szCs w:val="21"/>
                    </w:rPr>
                  </w:pPr>
                  <w:r>
                    <w:rPr>
                      <w:color w:val="auto"/>
                      <w:sz w:val="21"/>
                      <w:szCs w:val="21"/>
                    </w:rPr>
                    <w:drawing>
                      <wp:inline distT="0" distB="0" distL="114300" distR="114300">
                        <wp:extent cx="903605" cy="800100"/>
                        <wp:effectExtent l="0" t="0" r="10795" b="0"/>
                        <wp:docPr id="110" name="图片 11"/>
                        <wp:cNvGraphicFramePr/>
                        <a:graphic xmlns:a="http://schemas.openxmlformats.org/drawingml/2006/main">
                          <a:graphicData uri="http://schemas.openxmlformats.org/drawingml/2006/picture">
                            <pic:pic xmlns:pic="http://schemas.openxmlformats.org/drawingml/2006/picture">
                              <pic:nvPicPr>
                                <pic:cNvPr id="110" name="图片 11"/>
                                <pic:cNvPicPr/>
                              </pic:nvPicPr>
                              <pic:blipFill>
                                <a:blip r:embed="rId40"/>
                                <a:stretch>
                                  <a:fillRect/>
                                </a:stretch>
                              </pic:blipFill>
                              <pic:spPr>
                                <a:xfrm>
                                  <a:off x="0" y="0"/>
                                  <a:ext cx="903605" cy="800100"/>
                                </a:xfrm>
                                <a:prstGeom prst="rect">
                                  <a:avLst/>
                                </a:prstGeom>
                                <a:noFill/>
                                <a:ln>
                                  <a:noFill/>
                                </a:ln>
                              </pic:spPr>
                            </pic:pic>
                          </a:graphicData>
                        </a:graphic>
                      </wp:inline>
                    </w:drawing>
                  </w:r>
                </w:p>
              </w:tc>
              <w:tc>
                <w:tcPr>
                  <w:tcW w:w="794" w:type="pct"/>
                  <w:vAlign w:val="center"/>
                </w:tcPr>
                <w:p>
                  <w:pPr>
                    <w:spacing w:line="240" w:lineRule="auto"/>
                    <w:ind w:firstLine="0" w:firstLineChars="0"/>
                    <w:jc w:val="center"/>
                    <w:rPr>
                      <w:color w:val="auto"/>
                      <w:sz w:val="21"/>
                      <w:szCs w:val="21"/>
                    </w:rPr>
                  </w:pPr>
                  <w:r>
                    <w:rPr>
                      <w:color w:val="auto"/>
                      <w:sz w:val="21"/>
                      <w:szCs w:val="21"/>
                    </w:rPr>
                    <w:t>废水排放口</w:t>
                  </w:r>
                </w:p>
              </w:tc>
              <w:tc>
                <w:tcPr>
                  <w:tcW w:w="1047" w:type="pct"/>
                  <w:vAlign w:val="center"/>
                </w:tcPr>
                <w:p>
                  <w:pPr>
                    <w:spacing w:line="240" w:lineRule="auto"/>
                    <w:ind w:firstLine="0" w:firstLineChars="0"/>
                    <w:jc w:val="center"/>
                    <w:rPr>
                      <w:color w:val="auto"/>
                      <w:sz w:val="21"/>
                      <w:szCs w:val="21"/>
                    </w:rPr>
                  </w:pPr>
                  <w:r>
                    <w:rPr>
                      <w:color w:val="auto"/>
                      <w:sz w:val="21"/>
                      <w:szCs w:val="21"/>
                    </w:rPr>
                    <w:t>表示废水向水体环境排放</w:t>
                  </w:r>
                </w:p>
              </w:tc>
              <w:tc>
                <w:tcPr>
                  <w:tcW w:w="938" w:type="pct"/>
                  <w:vMerge w:val="restart"/>
                  <w:vAlign w:val="center"/>
                </w:tcPr>
                <w:p>
                  <w:pPr>
                    <w:spacing w:line="240" w:lineRule="auto"/>
                    <w:ind w:firstLine="0" w:firstLineChars="0"/>
                    <w:jc w:val="center"/>
                    <w:rPr>
                      <w:color w:val="auto"/>
                      <w:sz w:val="21"/>
                      <w:szCs w:val="21"/>
                    </w:rPr>
                  </w:pPr>
                  <w:r>
                    <w:rPr>
                      <w:color w:val="auto"/>
                      <w:sz w:val="21"/>
                      <w:szCs w:val="21"/>
                    </w:rPr>
                    <w:t>形状：边长40cm</w:t>
                  </w:r>
                </w:p>
                <w:p>
                  <w:pPr>
                    <w:spacing w:line="240" w:lineRule="auto"/>
                    <w:ind w:firstLine="0" w:firstLineChars="0"/>
                    <w:jc w:val="center"/>
                    <w:rPr>
                      <w:color w:val="auto"/>
                      <w:sz w:val="21"/>
                      <w:szCs w:val="21"/>
                    </w:rPr>
                  </w:pPr>
                  <w:r>
                    <w:rPr>
                      <w:color w:val="auto"/>
                      <w:sz w:val="21"/>
                      <w:szCs w:val="21"/>
                    </w:rPr>
                    <w:t>等边三角形</w:t>
                  </w:r>
                </w:p>
                <w:p>
                  <w:pPr>
                    <w:spacing w:line="240" w:lineRule="auto"/>
                    <w:ind w:firstLine="0" w:firstLineChars="0"/>
                    <w:jc w:val="center"/>
                    <w:rPr>
                      <w:color w:val="auto"/>
                      <w:sz w:val="21"/>
                      <w:szCs w:val="21"/>
                    </w:rPr>
                  </w:pPr>
                  <w:r>
                    <w:rPr>
                      <w:color w:val="auto"/>
                      <w:sz w:val="21"/>
                      <w:szCs w:val="21"/>
                    </w:rPr>
                    <w:t>颜色：背景为黄</w:t>
                  </w:r>
                </w:p>
                <w:p>
                  <w:pPr>
                    <w:spacing w:line="240" w:lineRule="auto"/>
                    <w:ind w:firstLine="0" w:firstLineChars="0"/>
                    <w:jc w:val="center"/>
                    <w:rPr>
                      <w:color w:val="auto"/>
                      <w:sz w:val="21"/>
                      <w:szCs w:val="21"/>
                    </w:rPr>
                  </w:pPr>
                  <w:r>
                    <w:rPr>
                      <w:color w:val="auto"/>
                      <w:sz w:val="21"/>
                      <w:szCs w:val="21"/>
                    </w:rPr>
                    <w:t>色，图形为黑色</w:t>
                  </w:r>
                </w:p>
                <w:p>
                  <w:pPr>
                    <w:spacing w:line="240" w:lineRule="auto"/>
                    <w:ind w:firstLine="0" w:firstLineChars="0"/>
                    <w:jc w:val="center"/>
                    <w:rPr>
                      <w:color w:val="auto"/>
                      <w:sz w:val="21"/>
                      <w:szCs w:val="21"/>
                    </w:rPr>
                  </w:pPr>
                  <w:r>
                    <w:rPr>
                      <w:color w:val="auto"/>
                      <w:sz w:val="21"/>
                      <w:szCs w:val="21"/>
                    </w:rPr>
                    <w:t>警告表示外沿</w:t>
                  </w:r>
                </w:p>
                <w:p>
                  <w:pPr>
                    <w:spacing w:line="240" w:lineRule="auto"/>
                    <w:ind w:firstLine="0" w:firstLineChars="0"/>
                    <w:jc w:val="center"/>
                    <w:rPr>
                      <w:color w:val="auto"/>
                      <w:sz w:val="21"/>
                      <w:szCs w:val="21"/>
                    </w:rPr>
                  </w:pPr>
                  <w:r>
                    <w:rPr>
                      <w:color w:val="auto"/>
                      <w:sz w:val="21"/>
                      <w:szCs w:val="21"/>
                    </w:rPr>
                    <w:t>2.5cm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43" w:hRule="atLeast"/>
              </w:trPr>
              <w:tc>
                <w:tcPr>
                  <w:tcW w:w="460" w:type="pct"/>
                  <w:vAlign w:val="center"/>
                </w:tcPr>
                <w:p>
                  <w:pPr>
                    <w:spacing w:line="240" w:lineRule="auto"/>
                    <w:ind w:firstLine="0" w:firstLineChars="0"/>
                    <w:jc w:val="center"/>
                    <w:rPr>
                      <w:color w:val="auto"/>
                      <w:sz w:val="21"/>
                      <w:szCs w:val="21"/>
                    </w:rPr>
                  </w:pPr>
                  <w:r>
                    <w:rPr>
                      <w:color w:val="auto"/>
                      <w:sz w:val="21"/>
                      <w:szCs w:val="21"/>
                    </w:rPr>
                    <w:t>2</w:t>
                  </w:r>
                </w:p>
              </w:tc>
              <w:tc>
                <w:tcPr>
                  <w:tcW w:w="843" w:type="pct"/>
                  <w:vAlign w:val="center"/>
                </w:tcPr>
                <w:p>
                  <w:pPr>
                    <w:spacing w:line="240" w:lineRule="auto"/>
                    <w:ind w:firstLine="0" w:firstLineChars="0"/>
                    <w:jc w:val="center"/>
                    <w:rPr>
                      <w:color w:val="auto"/>
                      <w:sz w:val="21"/>
                      <w:szCs w:val="21"/>
                    </w:rPr>
                  </w:pPr>
                  <w:r>
                    <w:rPr>
                      <w:color w:val="auto"/>
                      <w:sz w:val="21"/>
                      <w:szCs w:val="21"/>
                    </w:rPr>
                    <w:drawing>
                      <wp:inline distT="0" distB="0" distL="114300" distR="114300">
                        <wp:extent cx="896620" cy="904875"/>
                        <wp:effectExtent l="0" t="0" r="17780" b="9525"/>
                        <wp:docPr id="109" name="图片 12"/>
                        <wp:cNvGraphicFramePr/>
                        <a:graphic xmlns:a="http://schemas.openxmlformats.org/drawingml/2006/main">
                          <a:graphicData uri="http://schemas.openxmlformats.org/drawingml/2006/picture">
                            <pic:pic xmlns:pic="http://schemas.openxmlformats.org/drawingml/2006/picture">
                              <pic:nvPicPr>
                                <pic:cNvPr id="109" name="图片 12"/>
                                <pic:cNvPicPr/>
                              </pic:nvPicPr>
                              <pic:blipFill>
                                <a:blip r:embed="rId41"/>
                                <a:stretch>
                                  <a:fillRect/>
                                </a:stretch>
                              </pic:blipFill>
                              <pic:spPr>
                                <a:xfrm>
                                  <a:off x="0" y="0"/>
                                  <a:ext cx="896620" cy="904875"/>
                                </a:xfrm>
                                <a:prstGeom prst="rect">
                                  <a:avLst/>
                                </a:prstGeom>
                                <a:noFill/>
                                <a:ln>
                                  <a:noFill/>
                                </a:ln>
                              </pic:spPr>
                            </pic:pic>
                          </a:graphicData>
                        </a:graphic>
                      </wp:inline>
                    </w:drawing>
                  </w:r>
                </w:p>
              </w:tc>
              <w:tc>
                <w:tcPr>
                  <w:tcW w:w="915" w:type="pct"/>
                  <w:vAlign w:val="center"/>
                </w:tcPr>
                <w:p>
                  <w:pPr>
                    <w:spacing w:line="240" w:lineRule="auto"/>
                    <w:ind w:firstLine="0" w:firstLineChars="0"/>
                    <w:jc w:val="center"/>
                    <w:rPr>
                      <w:color w:val="auto"/>
                      <w:sz w:val="21"/>
                      <w:szCs w:val="21"/>
                    </w:rPr>
                  </w:pPr>
                  <w:r>
                    <w:rPr>
                      <w:color w:val="auto"/>
                      <w:sz w:val="21"/>
                      <w:szCs w:val="21"/>
                    </w:rPr>
                    <w:drawing>
                      <wp:inline distT="0" distB="0" distL="114300" distR="114300">
                        <wp:extent cx="838200" cy="822960"/>
                        <wp:effectExtent l="0" t="0" r="0" b="15240"/>
                        <wp:docPr id="106" name="图片 13"/>
                        <wp:cNvGraphicFramePr/>
                        <a:graphic xmlns:a="http://schemas.openxmlformats.org/drawingml/2006/main">
                          <a:graphicData uri="http://schemas.openxmlformats.org/drawingml/2006/picture">
                            <pic:pic xmlns:pic="http://schemas.openxmlformats.org/drawingml/2006/picture">
                              <pic:nvPicPr>
                                <pic:cNvPr id="106" name="图片 13"/>
                                <pic:cNvPicPr/>
                              </pic:nvPicPr>
                              <pic:blipFill>
                                <a:blip r:embed="rId42"/>
                                <a:stretch>
                                  <a:fillRect/>
                                </a:stretch>
                              </pic:blipFill>
                              <pic:spPr>
                                <a:xfrm>
                                  <a:off x="0" y="0"/>
                                  <a:ext cx="838200" cy="822960"/>
                                </a:xfrm>
                                <a:prstGeom prst="rect">
                                  <a:avLst/>
                                </a:prstGeom>
                                <a:noFill/>
                                <a:ln>
                                  <a:noFill/>
                                </a:ln>
                              </pic:spPr>
                            </pic:pic>
                          </a:graphicData>
                        </a:graphic>
                      </wp:inline>
                    </w:drawing>
                  </w:r>
                </w:p>
              </w:tc>
              <w:tc>
                <w:tcPr>
                  <w:tcW w:w="794" w:type="pct"/>
                  <w:vAlign w:val="center"/>
                </w:tcPr>
                <w:p>
                  <w:pPr>
                    <w:spacing w:line="240" w:lineRule="auto"/>
                    <w:ind w:firstLine="0" w:firstLineChars="0"/>
                    <w:jc w:val="center"/>
                    <w:rPr>
                      <w:color w:val="auto"/>
                      <w:sz w:val="21"/>
                      <w:szCs w:val="21"/>
                    </w:rPr>
                  </w:pPr>
                  <w:r>
                    <w:rPr>
                      <w:color w:val="auto"/>
                      <w:sz w:val="21"/>
                      <w:szCs w:val="21"/>
                    </w:rPr>
                    <w:t>废气排放口</w:t>
                  </w:r>
                </w:p>
              </w:tc>
              <w:tc>
                <w:tcPr>
                  <w:tcW w:w="1047" w:type="pct"/>
                  <w:vAlign w:val="center"/>
                </w:tcPr>
                <w:p>
                  <w:pPr>
                    <w:spacing w:line="240" w:lineRule="auto"/>
                    <w:ind w:firstLine="0" w:firstLineChars="0"/>
                    <w:jc w:val="center"/>
                    <w:rPr>
                      <w:color w:val="auto"/>
                      <w:sz w:val="21"/>
                      <w:szCs w:val="21"/>
                    </w:rPr>
                  </w:pPr>
                  <w:r>
                    <w:rPr>
                      <w:color w:val="auto"/>
                      <w:sz w:val="21"/>
                      <w:szCs w:val="21"/>
                    </w:rPr>
                    <w:t>表示废气向大气环境排放</w:t>
                  </w:r>
                </w:p>
              </w:tc>
              <w:tc>
                <w:tcPr>
                  <w:tcW w:w="938" w:type="pct"/>
                  <w:vMerge w:val="continue"/>
                  <w:vAlign w:val="center"/>
                </w:tcPr>
                <w:p>
                  <w:pPr>
                    <w:spacing w:line="240" w:lineRule="auto"/>
                    <w:ind w:firstLine="0" w:firstLineChars="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54" w:hRule="atLeast"/>
              </w:trPr>
              <w:tc>
                <w:tcPr>
                  <w:tcW w:w="460" w:type="pct"/>
                  <w:vAlign w:val="center"/>
                </w:tcPr>
                <w:p>
                  <w:pPr>
                    <w:spacing w:line="240" w:lineRule="auto"/>
                    <w:ind w:firstLine="0" w:firstLineChars="0"/>
                    <w:jc w:val="center"/>
                    <w:rPr>
                      <w:color w:val="auto"/>
                      <w:sz w:val="21"/>
                      <w:szCs w:val="21"/>
                    </w:rPr>
                  </w:pPr>
                  <w:r>
                    <w:rPr>
                      <w:color w:val="auto"/>
                      <w:sz w:val="21"/>
                      <w:szCs w:val="21"/>
                    </w:rPr>
                    <w:t>3</w:t>
                  </w:r>
                </w:p>
              </w:tc>
              <w:tc>
                <w:tcPr>
                  <w:tcW w:w="843" w:type="pct"/>
                  <w:vAlign w:val="center"/>
                </w:tcPr>
                <w:p>
                  <w:pPr>
                    <w:spacing w:line="240" w:lineRule="auto"/>
                    <w:ind w:firstLine="0" w:firstLineChars="0"/>
                    <w:jc w:val="center"/>
                    <w:rPr>
                      <w:color w:val="auto"/>
                      <w:sz w:val="21"/>
                      <w:szCs w:val="21"/>
                    </w:rPr>
                  </w:pPr>
                  <w:r>
                    <w:rPr>
                      <w:color w:val="auto"/>
                      <w:sz w:val="21"/>
                      <w:szCs w:val="21"/>
                    </w:rPr>
                    <w:drawing>
                      <wp:inline distT="0" distB="0" distL="114300" distR="114300">
                        <wp:extent cx="847090" cy="815975"/>
                        <wp:effectExtent l="0" t="0" r="10160" b="3175"/>
                        <wp:docPr id="108" name="图片 14"/>
                        <wp:cNvGraphicFramePr/>
                        <a:graphic xmlns:a="http://schemas.openxmlformats.org/drawingml/2006/main">
                          <a:graphicData uri="http://schemas.openxmlformats.org/drawingml/2006/picture">
                            <pic:pic xmlns:pic="http://schemas.openxmlformats.org/drawingml/2006/picture">
                              <pic:nvPicPr>
                                <pic:cNvPr id="108" name="图片 14"/>
                                <pic:cNvPicPr/>
                              </pic:nvPicPr>
                              <pic:blipFill>
                                <a:blip r:embed="rId43"/>
                                <a:stretch>
                                  <a:fillRect/>
                                </a:stretch>
                              </pic:blipFill>
                              <pic:spPr>
                                <a:xfrm>
                                  <a:off x="0" y="0"/>
                                  <a:ext cx="847090" cy="815975"/>
                                </a:xfrm>
                                <a:prstGeom prst="rect">
                                  <a:avLst/>
                                </a:prstGeom>
                                <a:noFill/>
                                <a:ln>
                                  <a:noFill/>
                                </a:ln>
                              </pic:spPr>
                            </pic:pic>
                          </a:graphicData>
                        </a:graphic>
                      </wp:inline>
                    </w:drawing>
                  </w:r>
                </w:p>
              </w:tc>
              <w:tc>
                <w:tcPr>
                  <w:tcW w:w="915" w:type="pct"/>
                  <w:vAlign w:val="center"/>
                </w:tcPr>
                <w:p>
                  <w:pPr>
                    <w:spacing w:line="240" w:lineRule="auto"/>
                    <w:ind w:firstLine="0" w:firstLineChars="0"/>
                    <w:jc w:val="center"/>
                    <w:rPr>
                      <w:color w:val="auto"/>
                      <w:sz w:val="21"/>
                      <w:szCs w:val="21"/>
                    </w:rPr>
                  </w:pPr>
                  <w:r>
                    <w:rPr>
                      <w:color w:val="auto"/>
                      <w:sz w:val="21"/>
                      <w:szCs w:val="21"/>
                    </w:rPr>
                    <w:drawing>
                      <wp:inline distT="0" distB="0" distL="114300" distR="114300">
                        <wp:extent cx="962025" cy="846455"/>
                        <wp:effectExtent l="0" t="0" r="9525" b="10795"/>
                        <wp:docPr id="103" name="图片 15"/>
                        <wp:cNvGraphicFramePr/>
                        <a:graphic xmlns:a="http://schemas.openxmlformats.org/drawingml/2006/main">
                          <a:graphicData uri="http://schemas.openxmlformats.org/drawingml/2006/picture">
                            <pic:pic xmlns:pic="http://schemas.openxmlformats.org/drawingml/2006/picture">
                              <pic:nvPicPr>
                                <pic:cNvPr id="103" name="图片 15"/>
                                <pic:cNvPicPr/>
                              </pic:nvPicPr>
                              <pic:blipFill>
                                <a:blip r:embed="rId44"/>
                                <a:stretch>
                                  <a:fillRect/>
                                </a:stretch>
                              </pic:blipFill>
                              <pic:spPr>
                                <a:xfrm>
                                  <a:off x="0" y="0"/>
                                  <a:ext cx="962025" cy="846455"/>
                                </a:xfrm>
                                <a:prstGeom prst="rect">
                                  <a:avLst/>
                                </a:prstGeom>
                                <a:noFill/>
                                <a:ln>
                                  <a:noFill/>
                                </a:ln>
                              </pic:spPr>
                            </pic:pic>
                          </a:graphicData>
                        </a:graphic>
                      </wp:inline>
                    </w:drawing>
                  </w:r>
                </w:p>
              </w:tc>
              <w:tc>
                <w:tcPr>
                  <w:tcW w:w="794" w:type="pct"/>
                  <w:vAlign w:val="center"/>
                </w:tcPr>
                <w:p>
                  <w:pPr>
                    <w:spacing w:line="240" w:lineRule="auto"/>
                    <w:ind w:firstLine="0" w:firstLineChars="0"/>
                    <w:jc w:val="center"/>
                    <w:rPr>
                      <w:color w:val="auto"/>
                      <w:sz w:val="21"/>
                      <w:szCs w:val="21"/>
                    </w:rPr>
                  </w:pPr>
                  <w:r>
                    <w:rPr>
                      <w:color w:val="auto"/>
                      <w:sz w:val="21"/>
                      <w:szCs w:val="21"/>
                    </w:rPr>
                    <w:t>噪声排放源</w:t>
                  </w:r>
                </w:p>
              </w:tc>
              <w:tc>
                <w:tcPr>
                  <w:tcW w:w="1047" w:type="pct"/>
                  <w:vAlign w:val="center"/>
                </w:tcPr>
                <w:p>
                  <w:pPr>
                    <w:spacing w:line="240" w:lineRule="auto"/>
                    <w:ind w:firstLine="0" w:firstLineChars="0"/>
                    <w:jc w:val="center"/>
                    <w:rPr>
                      <w:color w:val="auto"/>
                      <w:sz w:val="21"/>
                      <w:szCs w:val="21"/>
                    </w:rPr>
                  </w:pPr>
                  <w:r>
                    <w:rPr>
                      <w:color w:val="auto"/>
                      <w:sz w:val="21"/>
                      <w:szCs w:val="21"/>
                    </w:rPr>
                    <w:t>表示噪声向外环境排放</w:t>
                  </w:r>
                </w:p>
              </w:tc>
              <w:tc>
                <w:tcPr>
                  <w:tcW w:w="938" w:type="pct"/>
                  <w:vMerge w:val="continue"/>
                  <w:vAlign w:val="center"/>
                </w:tcPr>
                <w:p>
                  <w:pPr>
                    <w:spacing w:line="240" w:lineRule="auto"/>
                    <w:ind w:firstLine="0" w:firstLineChars="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34" w:hRule="atLeast"/>
              </w:trPr>
              <w:tc>
                <w:tcPr>
                  <w:tcW w:w="460" w:type="pct"/>
                  <w:vAlign w:val="center"/>
                </w:tcPr>
                <w:p>
                  <w:pPr>
                    <w:spacing w:line="240" w:lineRule="auto"/>
                    <w:ind w:firstLine="0" w:firstLineChars="0"/>
                    <w:jc w:val="center"/>
                    <w:rPr>
                      <w:color w:val="auto"/>
                      <w:sz w:val="21"/>
                      <w:szCs w:val="21"/>
                    </w:rPr>
                  </w:pPr>
                  <w:r>
                    <w:rPr>
                      <w:color w:val="auto"/>
                      <w:sz w:val="21"/>
                      <w:szCs w:val="21"/>
                    </w:rPr>
                    <w:t>4</w:t>
                  </w:r>
                </w:p>
              </w:tc>
              <w:tc>
                <w:tcPr>
                  <w:tcW w:w="843" w:type="pct"/>
                  <w:vAlign w:val="center"/>
                </w:tcPr>
                <w:p>
                  <w:pPr>
                    <w:spacing w:line="240" w:lineRule="auto"/>
                    <w:ind w:firstLine="0" w:firstLineChars="0"/>
                    <w:jc w:val="center"/>
                    <w:rPr>
                      <w:color w:val="auto"/>
                      <w:sz w:val="21"/>
                      <w:szCs w:val="21"/>
                    </w:rPr>
                  </w:pPr>
                  <w:r>
                    <w:rPr>
                      <w:color w:val="auto"/>
                      <w:sz w:val="21"/>
                      <w:szCs w:val="21"/>
                    </w:rPr>
                    <w:drawing>
                      <wp:inline distT="0" distB="0" distL="114300" distR="114300">
                        <wp:extent cx="865505" cy="882015"/>
                        <wp:effectExtent l="0" t="0" r="10795" b="13335"/>
                        <wp:docPr id="102" name="图片 16"/>
                        <wp:cNvGraphicFramePr/>
                        <a:graphic xmlns:a="http://schemas.openxmlformats.org/drawingml/2006/main">
                          <a:graphicData uri="http://schemas.openxmlformats.org/drawingml/2006/picture">
                            <pic:pic xmlns:pic="http://schemas.openxmlformats.org/drawingml/2006/picture">
                              <pic:nvPicPr>
                                <pic:cNvPr id="102" name="图片 16"/>
                                <pic:cNvPicPr/>
                              </pic:nvPicPr>
                              <pic:blipFill>
                                <a:blip r:embed="rId45"/>
                                <a:stretch>
                                  <a:fillRect/>
                                </a:stretch>
                              </pic:blipFill>
                              <pic:spPr>
                                <a:xfrm>
                                  <a:off x="0" y="0"/>
                                  <a:ext cx="865505" cy="882015"/>
                                </a:xfrm>
                                <a:prstGeom prst="rect">
                                  <a:avLst/>
                                </a:prstGeom>
                                <a:noFill/>
                                <a:ln>
                                  <a:noFill/>
                                </a:ln>
                              </pic:spPr>
                            </pic:pic>
                          </a:graphicData>
                        </a:graphic>
                      </wp:inline>
                    </w:drawing>
                  </w:r>
                </w:p>
              </w:tc>
              <w:tc>
                <w:tcPr>
                  <w:tcW w:w="915" w:type="pct"/>
                  <w:vAlign w:val="center"/>
                </w:tcPr>
                <w:p>
                  <w:pPr>
                    <w:spacing w:line="240" w:lineRule="auto"/>
                    <w:ind w:firstLine="0" w:firstLineChars="0"/>
                    <w:jc w:val="center"/>
                    <w:rPr>
                      <w:color w:val="auto"/>
                      <w:sz w:val="21"/>
                      <w:szCs w:val="21"/>
                    </w:rPr>
                  </w:pPr>
                  <w:r>
                    <w:rPr>
                      <w:color w:val="auto"/>
                      <w:sz w:val="21"/>
                      <w:szCs w:val="21"/>
                    </w:rPr>
                    <w:drawing>
                      <wp:inline distT="0" distB="0" distL="114300" distR="114300">
                        <wp:extent cx="923290" cy="862330"/>
                        <wp:effectExtent l="0" t="0" r="10160" b="13970"/>
                        <wp:docPr id="104" name="图片 17"/>
                        <wp:cNvGraphicFramePr/>
                        <a:graphic xmlns:a="http://schemas.openxmlformats.org/drawingml/2006/main">
                          <a:graphicData uri="http://schemas.openxmlformats.org/drawingml/2006/picture">
                            <pic:pic xmlns:pic="http://schemas.openxmlformats.org/drawingml/2006/picture">
                              <pic:nvPicPr>
                                <pic:cNvPr id="104" name="图片 17"/>
                                <pic:cNvPicPr/>
                              </pic:nvPicPr>
                              <pic:blipFill>
                                <a:blip r:embed="rId46"/>
                                <a:stretch>
                                  <a:fillRect/>
                                </a:stretch>
                              </pic:blipFill>
                              <pic:spPr>
                                <a:xfrm>
                                  <a:off x="0" y="0"/>
                                  <a:ext cx="923290" cy="862330"/>
                                </a:xfrm>
                                <a:prstGeom prst="rect">
                                  <a:avLst/>
                                </a:prstGeom>
                                <a:noFill/>
                                <a:ln>
                                  <a:noFill/>
                                </a:ln>
                              </pic:spPr>
                            </pic:pic>
                          </a:graphicData>
                        </a:graphic>
                      </wp:inline>
                    </w:drawing>
                  </w:r>
                </w:p>
              </w:tc>
              <w:tc>
                <w:tcPr>
                  <w:tcW w:w="794" w:type="pct"/>
                  <w:vAlign w:val="center"/>
                </w:tcPr>
                <w:p>
                  <w:pPr>
                    <w:spacing w:line="240" w:lineRule="auto"/>
                    <w:ind w:firstLine="0" w:firstLineChars="0"/>
                    <w:jc w:val="center"/>
                    <w:rPr>
                      <w:color w:val="auto"/>
                      <w:sz w:val="21"/>
                      <w:szCs w:val="21"/>
                    </w:rPr>
                  </w:pPr>
                  <w:r>
                    <w:rPr>
                      <w:color w:val="auto"/>
                      <w:sz w:val="21"/>
                      <w:szCs w:val="21"/>
                    </w:rPr>
                    <w:t>一般固体废物</w:t>
                  </w:r>
                </w:p>
              </w:tc>
              <w:tc>
                <w:tcPr>
                  <w:tcW w:w="1047" w:type="pct"/>
                  <w:vAlign w:val="center"/>
                </w:tcPr>
                <w:p>
                  <w:pPr>
                    <w:spacing w:line="240" w:lineRule="auto"/>
                    <w:ind w:firstLine="0" w:firstLineChars="0"/>
                    <w:jc w:val="center"/>
                    <w:rPr>
                      <w:color w:val="auto"/>
                      <w:sz w:val="21"/>
                      <w:szCs w:val="21"/>
                    </w:rPr>
                  </w:pPr>
                  <w:r>
                    <w:rPr>
                      <w:color w:val="auto"/>
                      <w:sz w:val="21"/>
                      <w:szCs w:val="21"/>
                    </w:rPr>
                    <w:t>表示一般固体废物贮存、处置场</w:t>
                  </w:r>
                </w:p>
              </w:tc>
              <w:tc>
                <w:tcPr>
                  <w:tcW w:w="938" w:type="pct"/>
                  <w:vMerge w:val="continue"/>
                  <w:vAlign w:val="center"/>
                </w:tcPr>
                <w:p>
                  <w:pPr>
                    <w:spacing w:line="240" w:lineRule="auto"/>
                    <w:ind w:firstLine="0" w:firstLineChars="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09" w:hRule="atLeast"/>
              </w:trPr>
              <w:tc>
                <w:tcPr>
                  <w:tcW w:w="460" w:type="pct"/>
                  <w:vAlign w:val="center"/>
                </w:tcPr>
                <w:p>
                  <w:pPr>
                    <w:spacing w:line="240" w:lineRule="auto"/>
                    <w:ind w:firstLine="0" w:firstLineChars="0"/>
                    <w:jc w:val="center"/>
                    <w:rPr>
                      <w:color w:val="auto"/>
                      <w:sz w:val="21"/>
                      <w:szCs w:val="21"/>
                    </w:rPr>
                  </w:pPr>
                  <w:r>
                    <w:rPr>
                      <w:color w:val="auto"/>
                      <w:sz w:val="21"/>
                      <w:szCs w:val="21"/>
                    </w:rPr>
                    <w:t>5</w:t>
                  </w:r>
                </w:p>
              </w:tc>
              <w:tc>
                <w:tcPr>
                  <w:tcW w:w="843" w:type="pct"/>
                  <w:vAlign w:val="center"/>
                </w:tcPr>
                <w:p>
                  <w:pPr>
                    <w:spacing w:line="240" w:lineRule="auto"/>
                    <w:ind w:firstLine="0" w:firstLineChars="0"/>
                    <w:jc w:val="center"/>
                    <w:rPr>
                      <w:color w:val="auto"/>
                      <w:sz w:val="21"/>
                      <w:szCs w:val="21"/>
                    </w:rPr>
                  </w:pPr>
                  <w:r>
                    <w:rPr>
                      <w:color w:val="auto"/>
                      <w:sz w:val="21"/>
                      <w:szCs w:val="21"/>
                    </w:rPr>
                    <w:t>/</w:t>
                  </w:r>
                </w:p>
              </w:tc>
              <w:tc>
                <w:tcPr>
                  <w:tcW w:w="915" w:type="pct"/>
                  <w:vAlign w:val="center"/>
                </w:tcPr>
                <w:p>
                  <w:pPr>
                    <w:spacing w:line="240" w:lineRule="auto"/>
                    <w:ind w:firstLine="0" w:firstLineChars="0"/>
                    <w:jc w:val="center"/>
                    <w:rPr>
                      <w:color w:val="auto"/>
                      <w:sz w:val="21"/>
                      <w:szCs w:val="21"/>
                    </w:rPr>
                  </w:pPr>
                  <w:r>
                    <w:rPr>
                      <w:color w:val="auto"/>
                      <w:sz w:val="21"/>
                      <w:szCs w:val="21"/>
                    </w:rPr>
                    <w:drawing>
                      <wp:inline distT="0" distB="0" distL="114300" distR="114300">
                        <wp:extent cx="990600" cy="990600"/>
                        <wp:effectExtent l="0" t="0" r="0" b="0"/>
                        <wp:docPr id="105" name="图片 18"/>
                        <wp:cNvGraphicFramePr/>
                        <a:graphic xmlns:a="http://schemas.openxmlformats.org/drawingml/2006/main">
                          <a:graphicData uri="http://schemas.openxmlformats.org/drawingml/2006/picture">
                            <pic:pic xmlns:pic="http://schemas.openxmlformats.org/drawingml/2006/picture">
                              <pic:nvPicPr>
                                <pic:cNvPr id="105" name="图片 18"/>
                                <pic:cNvPicPr/>
                              </pic:nvPicPr>
                              <pic:blipFill>
                                <a:blip r:embed="rId47"/>
                                <a:stretch>
                                  <a:fillRect/>
                                </a:stretch>
                              </pic:blipFill>
                              <pic:spPr>
                                <a:xfrm>
                                  <a:off x="0" y="0"/>
                                  <a:ext cx="990600" cy="990600"/>
                                </a:xfrm>
                                <a:prstGeom prst="rect">
                                  <a:avLst/>
                                </a:prstGeom>
                                <a:noFill/>
                                <a:ln>
                                  <a:noFill/>
                                </a:ln>
                              </pic:spPr>
                            </pic:pic>
                          </a:graphicData>
                        </a:graphic>
                      </wp:inline>
                    </w:drawing>
                  </w:r>
                </w:p>
              </w:tc>
              <w:tc>
                <w:tcPr>
                  <w:tcW w:w="794" w:type="pct"/>
                  <w:vAlign w:val="center"/>
                </w:tcPr>
                <w:p>
                  <w:pPr>
                    <w:spacing w:line="240" w:lineRule="auto"/>
                    <w:ind w:firstLine="0" w:firstLineChars="0"/>
                    <w:jc w:val="center"/>
                    <w:rPr>
                      <w:color w:val="auto"/>
                      <w:sz w:val="21"/>
                      <w:szCs w:val="21"/>
                    </w:rPr>
                  </w:pPr>
                  <w:r>
                    <w:rPr>
                      <w:color w:val="auto"/>
                      <w:sz w:val="21"/>
                      <w:szCs w:val="21"/>
                    </w:rPr>
                    <w:t>危险废物暂存</w:t>
                  </w:r>
                </w:p>
                <w:p>
                  <w:pPr>
                    <w:spacing w:line="240" w:lineRule="auto"/>
                    <w:ind w:firstLine="0" w:firstLineChars="0"/>
                    <w:jc w:val="center"/>
                    <w:rPr>
                      <w:color w:val="auto"/>
                      <w:sz w:val="21"/>
                      <w:szCs w:val="21"/>
                    </w:rPr>
                  </w:pPr>
                  <w:r>
                    <w:rPr>
                      <w:color w:val="auto"/>
                      <w:sz w:val="21"/>
                      <w:szCs w:val="21"/>
                    </w:rPr>
                    <w:t>间</w:t>
                  </w:r>
                </w:p>
              </w:tc>
              <w:tc>
                <w:tcPr>
                  <w:tcW w:w="1047" w:type="pct"/>
                  <w:vAlign w:val="center"/>
                </w:tcPr>
                <w:p>
                  <w:pPr>
                    <w:spacing w:line="240" w:lineRule="auto"/>
                    <w:ind w:firstLine="0" w:firstLineChars="0"/>
                    <w:jc w:val="center"/>
                    <w:rPr>
                      <w:color w:val="auto"/>
                      <w:sz w:val="21"/>
                      <w:szCs w:val="21"/>
                    </w:rPr>
                  </w:pPr>
                  <w:r>
                    <w:rPr>
                      <w:color w:val="auto"/>
                      <w:sz w:val="21"/>
                      <w:szCs w:val="21"/>
                    </w:rPr>
                    <w:t>表示危险废物贮存、处置场</w:t>
                  </w:r>
                </w:p>
              </w:tc>
              <w:tc>
                <w:tcPr>
                  <w:tcW w:w="938" w:type="pct"/>
                  <w:vAlign w:val="center"/>
                </w:tcPr>
                <w:p>
                  <w:pPr>
                    <w:spacing w:line="240" w:lineRule="auto"/>
                    <w:ind w:firstLine="0" w:firstLineChars="0"/>
                    <w:jc w:val="center"/>
                    <w:rPr>
                      <w:color w:val="auto"/>
                      <w:sz w:val="21"/>
                      <w:szCs w:val="21"/>
                    </w:rPr>
                  </w:pPr>
                </w:p>
              </w:tc>
            </w:tr>
          </w:tbl>
          <w:p>
            <w:pPr>
              <w:ind w:firstLine="480"/>
              <w:rPr>
                <w:color w:val="auto"/>
              </w:rPr>
            </w:pPr>
            <w:r>
              <w:rPr>
                <w:rFonts w:hint="eastAsia"/>
                <w:color w:val="auto"/>
                <w:lang w:eastAsia="zh-CN"/>
              </w:rPr>
              <w:t>3.</w:t>
            </w:r>
            <w:r>
              <w:rPr>
                <w:color w:val="auto"/>
              </w:rPr>
              <w:t>排污口管理</w:t>
            </w:r>
          </w:p>
          <w:p>
            <w:pPr>
              <w:ind w:firstLine="480"/>
              <w:rPr>
                <w:color w:val="auto"/>
              </w:rPr>
            </w:pPr>
            <w:r>
              <w:rPr>
                <w:color w:val="auto"/>
              </w:rPr>
              <w:t>管理原则：排污口是企业污染物进入环境，污染环境的通道，强化排污口的管理是实施污染物总量控制的基础工作之一，也是区域环境管理逐步实现污染物排放科学化、定量化的重要手段。</w:t>
            </w:r>
          </w:p>
          <w:p>
            <w:pPr>
              <w:ind w:firstLine="480"/>
              <w:rPr>
                <w:color w:val="auto"/>
              </w:rPr>
            </w:pPr>
            <w:r>
              <w:rPr>
                <w:color w:val="auto"/>
              </w:rPr>
              <w:t>（1）具体管理原则如下：</w:t>
            </w:r>
          </w:p>
          <w:p>
            <w:pPr>
              <w:ind w:firstLine="480"/>
              <w:rPr>
                <w:color w:val="auto"/>
              </w:rPr>
            </w:pPr>
            <w:r>
              <w:rPr>
                <w:color w:val="auto"/>
              </w:rPr>
              <w:t>①向环境排放的污染物的排放口必须规范化。</w:t>
            </w:r>
          </w:p>
          <w:p>
            <w:pPr>
              <w:ind w:firstLine="480"/>
              <w:rPr>
                <w:color w:val="auto"/>
              </w:rPr>
            </w:pPr>
            <w:r>
              <w:rPr>
                <w:color w:val="auto"/>
              </w:rPr>
              <w:t>②列入总量控制的污染物排放源列为管理的重点。</w:t>
            </w:r>
          </w:p>
          <w:p>
            <w:pPr>
              <w:ind w:firstLine="480"/>
              <w:rPr>
                <w:color w:val="auto"/>
              </w:rPr>
            </w:pPr>
            <w:r>
              <w:rPr>
                <w:color w:val="auto"/>
              </w:rPr>
              <w:t>③如实向环保管理部门申报排污口数量、位置及所排放的主要污染物种类、数量、浓度、排放去向等情况。</w:t>
            </w:r>
          </w:p>
          <w:p>
            <w:pPr>
              <w:ind w:firstLine="480"/>
              <w:rPr>
                <w:color w:val="auto"/>
              </w:rPr>
            </w:pPr>
            <w:r>
              <w:rPr>
                <w:color w:val="auto"/>
              </w:rPr>
              <w:t>④废气排气装置应设置便于采样、监测的采样孔和采样平台，设置应符合《污染源监测技术规范》。</w:t>
            </w:r>
          </w:p>
          <w:p>
            <w:pPr>
              <w:ind w:firstLine="480"/>
              <w:rPr>
                <w:color w:val="auto"/>
              </w:rPr>
            </w:pPr>
            <w:r>
              <w:rPr>
                <w:color w:val="auto"/>
              </w:rPr>
              <w:t>⑤工程固废堆存时，应设置专用堆放场地，并有防扬散、防流失、对有毒有害固废采取防渗漏措施。危险废物暂存间应设置危险废物标签。</w:t>
            </w:r>
          </w:p>
          <w:p>
            <w:pPr>
              <w:ind w:firstLine="480"/>
              <w:rPr>
                <w:color w:val="auto"/>
              </w:rPr>
            </w:pPr>
            <w:r>
              <w:rPr>
                <w:color w:val="auto"/>
              </w:rPr>
              <w:t>（2）排放源建档</w:t>
            </w:r>
          </w:p>
          <w:p>
            <w:pPr>
              <w:ind w:firstLine="480"/>
              <w:rPr>
                <w:color w:val="auto"/>
              </w:rPr>
            </w:pPr>
            <w:r>
              <w:rPr>
                <w:color w:val="auto"/>
              </w:rPr>
              <w:t>①应使用生态环境部统一印制的《中华人民共和国规范化排污口标志登记证》，并按要求填写有关内容。</w:t>
            </w:r>
          </w:p>
          <w:p>
            <w:pPr>
              <w:ind w:firstLine="480"/>
              <w:rPr>
                <w:color w:val="auto"/>
              </w:rPr>
            </w:pPr>
            <w:r>
              <w:rPr>
                <w:color w:val="auto"/>
              </w:rPr>
              <w:t>②根据排污口管理内容要求，项目建成投产后，应将主要污染物种类、数量、浓度、排放去向，标识标牌设置情况及污染治理设施运行情况记录于档案。</w:t>
            </w:r>
          </w:p>
        </w:tc>
      </w:tr>
    </w:tbl>
    <w:p>
      <w:pPr>
        <w:adjustRightInd w:val="0"/>
        <w:snapToGrid w:val="0"/>
        <w:ind w:firstLine="562"/>
        <w:rPr>
          <w:b/>
          <w:color w:val="auto"/>
          <w:kern w:val="0"/>
          <w:sz w:val="28"/>
          <w:szCs w:val="28"/>
        </w:rPr>
        <w:sectPr>
          <w:pgSz w:w="11907" w:h="16840"/>
          <w:pgMar w:top="1440" w:right="1800" w:bottom="1440" w:left="1800" w:header="851" w:footer="851" w:gutter="0"/>
          <w:pgNumType w:fmt="numberInDash"/>
          <w:cols w:space="720" w:num="1"/>
          <w:docGrid w:linePitch="312" w:charSpace="0"/>
        </w:sectPr>
      </w:pPr>
    </w:p>
    <w:p>
      <w:pPr>
        <w:pStyle w:val="18"/>
        <w:ind w:firstLine="600"/>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五、</w:t>
      </w:r>
      <w:bookmarkStart w:id="3" w:name="_Hlk54167917"/>
      <w:r>
        <w:rPr>
          <w:rFonts w:ascii="Times New Roman" w:hAnsi="Times New Roman" w:eastAsia="黑体"/>
          <w:snapToGrid w:val="0"/>
          <w:color w:val="auto"/>
          <w:sz w:val="30"/>
          <w:szCs w:val="30"/>
        </w:rPr>
        <w:t>环境保护措施监督检查清单</w:t>
      </w:r>
      <w:bookmarkEnd w:id="3"/>
    </w:p>
    <w:tbl>
      <w:tblPr>
        <w:tblStyle w:val="21"/>
        <w:tblW w:w="88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755"/>
        <w:gridCol w:w="1755"/>
        <w:gridCol w:w="1755"/>
        <w:gridCol w:w="17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tcPr>
          <w:p>
            <w:pPr>
              <w:adjustRightInd w:val="0"/>
              <w:snapToGrid w:val="0"/>
              <w:spacing w:line="240" w:lineRule="auto"/>
              <w:ind w:firstLineChars="300"/>
              <w:rPr>
                <w:color w:val="auto"/>
                <w:szCs w:val="21"/>
              </w:rPr>
            </w:pPr>
            <w:r>
              <w:rPr>
                <w:color w:val="auto"/>
                <w:szCs w:val="21"/>
              </w:rPr>
              <w:t>内容</w:t>
            </w:r>
          </w:p>
          <w:p>
            <w:pPr>
              <w:adjustRightInd w:val="0"/>
              <w:snapToGrid w:val="0"/>
              <w:spacing w:line="240" w:lineRule="auto"/>
              <w:ind w:firstLine="0" w:firstLineChars="0"/>
              <w:rPr>
                <w:color w:val="auto"/>
                <w:szCs w:val="21"/>
              </w:rPr>
            </w:pPr>
            <w:r>
              <w:rPr>
                <w:color w:val="auto"/>
                <w:szCs w:val="21"/>
              </w:rPr>
              <w:t>要素</w:t>
            </w:r>
          </w:p>
        </w:tc>
        <w:tc>
          <w:tcPr>
            <w:tcW w:w="1755" w:type="dxa"/>
            <w:vAlign w:val="center"/>
          </w:tcPr>
          <w:p>
            <w:pPr>
              <w:adjustRightInd w:val="0"/>
              <w:snapToGrid w:val="0"/>
              <w:spacing w:line="240" w:lineRule="auto"/>
              <w:ind w:firstLine="0" w:firstLineChars="0"/>
              <w:jc w:val="center"/>
              <w:rPr>
                <w:color w:val="auto"/>
                <w:szCs w:val="21"/>
              </w:rPr>
            </w:pPr>
            <w:r>
              <w:rPr>
                <w:color w:val="auto"/>
                <w:szCs w:val="21"/>
              </w:rPr>
              <w:t>排放口（编号、</w:t>
            </w:r>
          </w:p>
          <w:p>
            <w:pPr>
              <w:adjustRightInd w:val="0"/>
              <w:snapToGrid w:val="0"/>
              <w:spacing w:line="240" w:lineRule="auto"/>
              <w:ind w:firstLine="0" w:firstLineChars="0"/>
              <w:jc w:val="center"/>
              <w:rPr>
                <w:color w:val="auto"/>
                <w:szCs w:val="21"/>
              </w:rPr>
            </w:pPr>
            <w:r>
              <w:rPr>
                <w:color w:val="auto"/>
                <w:szCs w:val="21"/>
              </w:rPr>
              <w:t>名称）/污染源</w:t>
            </w:r>
          </w:p>
        </w:tc>
        <w:tc>
          <w:tcPr>
            <w:tcW w:w="1755" w:type="dxa"/>
            <w:vAlign w:val="center"/>
          </w:tcPr>
          <w:p>
            <w:pPr>
              <w:adjustRightInd w:val="0"/>
              <w:snapToGrid w:val="0"/>
              <w:spacing w:line="240" w:lineRule="auto"/>
              <w:ind w:firstLine="0" w:firstLineChars="0"/>
              <w:jc w:val="center"/>
              <w:rPr>
                <w:color w:val="auto"/>
                <w:szCs w:val="21"/>
              </w:rPr>
            </w:pPr>
            <w:r>
              <w:rPr>
                <w:color w:val="auto"/>
                <w:szCs w:val="21"/>
              </w:rPr>
              <w:t>污染物项目</w:t>
            </w:r>
          </w:p>
        </w:tc>
        <w:tc>
          <w:tcPr>
            <w:tcW w:w="1755" w:type="dxa"/>
            <w:vAlign w:val="center"/>
          </w:tcPr>
          <w:p>
            <w:pPr>
              <w:adjustRightInd w:val="0"/>
              <w:snapToGrid w:val="0"/>
              <w:spacing w:line="240" w:lineRule="auto"/>
              <w:ind w:firstLine="0" w:firstLineChars="0"/>
              <w:jc w:val="center"/>
              <w:rPr>
                <w:color w:val="auto"/>
                <w:szCs w:val="21"/>
              </w:rPr>
            </w:pPr>
            <w:r>
              <w:rPr>
                <w:color w:val="auto"/>
                <w:szCs w:val="21"/>
              </w:rPr>
              <w:t>环境保护措施</w:t>
            </w:r>
          </w:p>
        </w:tc>
        <w:tc>
          <w:tcPr>
            <w:tcW w:w="1757" w:type="dxa"/>
            <w:vAlign w:val="center"/>
          </w:tcPr>
          <w:p>
            <w:pPr>
              <w:adjustRightInd w:val="0"/>
              <w:snapToGrid w:val="0"/>
              <w:spacing w:line="240" w:lineRule="auto"/>
              <w:ind w:firstLine="0" w:firstLineChars="0"/>
              <w:jc w:val="center"/>
              <w:rPr>
                <w:color w:val="auto"/>
                <w:szCs w:val="21"/>
              </w:rPr>
            </w:pPr>
            <w:r>
              <w:rPr>
                <w:color w:val="auto"/>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vAlign w:val="center"/>
          </w:tcPr>
          <w:p>
            <w:pPr>
              <w:adjustRightInd w:val="0"/>
              <w:snapToGrid w:val="0"/>
              <w:spacing w:line="240" w:lineRule="auto"/>
              <w:ind w:firstLine="0" w:firstLineChars="0"/>
              <w:jc w:val="center"/>
              <w:rPr>
                <w:color w:val="auto"/>
                <w:szCs w:val="21"/>
              </w:rPr>
            </w:pPr>
            <w:r>
              <w:rPr>
                <w:color w:val="auto"/>
                <w:szCs w:val="21"/>
              </w:rPr>
              <w:t>大气环境</w:t>
            </w:r>
          </w:p>
        </w:tc>
        <w:tc>
          <w:tcPr>
            <w:tcW w:w="1755" w:type="dxa"/>
            <w:vAlign w:val="center"/>
          </w:tcPr>
          <w:p>
            <w:pPr>
              <w:adjustRightInd w:val="0"/>
              <w:snapToGrid w:val="0"/>
              <w:spacing w:line="240" w:lineRule="auto"/>
              <w:ind w:firstLine="0" w:firstLineChars="0"/>
              <w:jc w:val="center"/>
              <w:rPr>
                <w:color w:val="auto"/>
                <w:szCs w:val="21"/>
              </w:rPr>
            </w:pPr>
            <w:r>
              <w:rPr>
                <w:rFonts w:hint="eastAsia"/>
                <w:color w:val="auto"/>
                <w:szCs w:val="21"/>
              </w:rPr>
              <w:t>天然气蒸汽锅炉废气排放口DA001</w:t>
            </w:r>
          </w:p>
        </w:tc>
        <w:tc>
          <w:tcPr>
            <w:tcW w:w="1755" w:type="dxa"/>
            <w:vAlign w:val="center"/>
          </w:tcPr>
          <w:p>
            <w:pPr>
              <w:adjustRightInd w:val="0"/>
              <w:snapToGrid w:val="0"/>
              <w:spacing w:line="240" w:lineRule="auto"/>
              <w:ind w:firstLine="0" w:firstLineChars="0"/>
              <w:jc w:val="center"/>
              <w:rPr>
                <w:color w:val="auto"/>
                <w:szCs w:val="21"/>
              </w:rPr>
            </w:pPr>
            <w:r>
              <w:rPr>
                <w:color w:val="auto"/>
                <w:szCs w:val="21"/>
              </w:rPr>
              <w:t>颗粒物、二氧化硫、氮氧化物、烟气黑度</w:t>
            </w:r>
          </w:p>
        </w:tc>
        <w:tc>
          <w:tcPr>
            <w:tcW w:w="1755" w:type="dxa"/>
            <w:vAlign w:val="center"/>
          </w:tcPr>
          <w:p>
            <w:pPr>
              <w:adjustRightInd w:val="0"/>
              <w:snapToGrid w:val="0"/>
              <w:spacing w:line="240" w:lineRule="auto"/>
              <w:ind w:firstLine="0" w:firstLineChars="0"/>
              <w:jc w:val="center"/>
              <w:rPr>
                <w:color w:val="auto"/>
                <w:szCs w:val="21"/>
              </w:rPr>
            </w:pPr>
            <w:r>
              <w:rPr>
                <w:color w:val="auto"/>
                <w:szCs w:val="21"/>
              </w:rPr>
              <w:t>氮燃烧器</w:t>
            </w:r>
            <w:r>
              <w:rPr>
                <w:rFonts w:hint="eastAsia"/>
                <w:color w:val="auto"/>
                <w:szCs w:val="21"/>
              </w:rPr>
              <w:t>（国际领先）</w:t>
            </w:r>
            <w:r>
              <w:rPr>
                <w:color w:val="auto"/>
                <w:szCs w:val="21"/>
              </w:rPr>
              <w:t>+</w:t>
            </w:r>
            <w:r>
              <w:rPr>
                <w:rFonts w:hint="eastAsia"/>
                <w:color w:val="auto"/>
                <w:szCs w:val="21"/>
              </w:rPr>
              <w:t>13m</w:t>
            </w:r>
            <w:r>
              <w:rPr>
                <w:color w:val="auto"/>
                <w:szCs w:val="21"/>
              </w:rPr>
              <w:t>高排气筒DA001排放</w:t>
            </w:r>
          </w:p>
        </w:tc>
        <w:tc>
          <w:tcPr>
            <w:tcW w:w="1757" w:type="dxa"/>
            <w:vAlign w:val="center"/>
          </w:tcPr>
          <w:p>
            <w:pPr>
              <w:adjustRightInd w:val="0"/>
              <w:snapToGrid w:val="0"/>
              <w:spacing w:line="240" w:lineRule="auto"/>
              <w:ind w:firstLine="0" w:firstLineChars="0"/>
              <w:jc w:val="center"/>
              <w:rPr>
                <w:color w:val="auto"/>
                <w:szCs w:val="21"/>
              </w:rPr>
            </w:pPr>
            <w:r>
              <w:rPr>
                <w:color w:val="auto"/>
                <w:szCs w:val="21"/>
              </w:rPr>
              <w:t>《锅炉大气污染物排放标准》（GB13271-2014）中表2新建锅炉大气污染物排放浓度限值中燃气锅炉排放限值要求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vAlign w:val="center"/>
          </w:tcPr>
          <w:p>
            <w:pPr>
              <w:adjustRightInd w:val="0"/>
              <w:snapToGrid w:val="0"/>
              <w:spacing w:line="240" w:lineRule="auto"/>
              <w:ind w:firstLine="0" w:firstLineChars="0"/>
              <w:jc w:val="center"/>
              <w:rPr>
                <w:color w:val="auto"/>
                <w:szCs w:val="21"/>
              </w:rPr>
            </w:pPr>
          </w:p>
        </w:tc>
        <w:tc>
          <w:tcPr>
            <w:tcW w:w="1755" w:type="dxa"/>
            <w:vAlign w:val="center"/>
          </w:tcPr>
          <w:p>
            <w:pPr>
              <w:adjustRightInd w:val="0"/>
              <w:snapToGrid w:val="0"/>
              <w:spacing w:line="240" w:lineRule="auto"/>
              <w:ind w:firstLine="0" w:firstLineChars="0"/>
              <w:jc w:val="center"/>
              <w:rPr>
                <w:color w:val="auto"/>
                <w:szCs w:val="21"/>
              </w:rPr>
            </w:pPr>
            <w:r>
              <w:rPr>
                <w:rFonts w:hint="eastAsia"/>
                <w:color w:val="auto"/>
                <w:szCs w:val="21"/>
              </w:rPr>
              <w:t>蒸汽压力釜废气排放口DA002</w:t>
            </w:r>
          </w:p>
        </w:tc>
        <w:tc>
          <w:tcPr>
            <w:tcW w:w="1755" w:type="dxa"/>
            <w:vAlign w:val="center"/>
          </w:tcPr>
          <w:p>
            <w:pPr>
              <w:adjustRightInd w:val="0"/>
              <w:snapToGrid w:val="0"/>
              <w:spacing w:line="240" w:lineRule="auto"/>
              <w:ind w:firstLine="0" w:firstLineChars="0"/>
              <w:jc w:val="center"/>
              <w:rPr>
                <w:color w:val="auto"/>
                <w:szCs w:val="21"/>
              </w:rPr>
            </w:pPr>
            <w:r>
              <w:rPr>
                <w:rFonts w:hint="eastAsia"/>
                <w:color w:val="auto"/>
                <w:szCs w:val="21"/>
              </w:rPr>
              <w:t>颗粒物</w:t>
            </w:r>
          </w:p>
        </w:tc>
        <w:tc>
          <w:tcPr>
            <w:tcW w:w="1755" w:type="dxa"/>
            <w:vAlign w:val="center"/>
          </w:tcPr>
          <w:p>
            <w:pPr>
              <w:adjustRightInd w:val="0"/>
              <w:snapToGrid w:val="0"/>
              <w:spacing w:line="240" w:lineRule="auto"/>
              <w:ind w:firstLine="0" w:firstLineChars="0"/>
              <w:rPr>
                <w:color w:val="auto"/>
                <w:szCs w:val="21"/>
              </w:rPr>
            </w:pPr>
            <w:r>
              <w:rPr>
                <w:color w:val="auto"/>
                <w:szCs w:val="21"/>
              </w:rPr>
              <w:t>经管道收集至袋式除尘器处理后，经15m高排气筒（DA002）达标排放</w:t>
            </w:r>
          </w:p>
        </w:tc>
        <w:tc>
          <w:tcPr>
            <w:tcW w:w="17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Cs w:val="21"/>
              </w:rPr>
            </w:pPr>
            <w:r>
              <w:rPr>
                <w:rFonts w:hint="eastAsia"/>
                <w:color w:val="auto"/>
              </w:rPr>
              <w:t>《工业炉窑大气污染物排放标准》（GB9078-1996）表2二级排放限值要求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vAlign w:val="center"/>
          </w:tcPr>
          <w:p>
            <w:pPr>
              <w:adjustRightInd w:val="0"/>
              <w:snapToGrid w:val="0"/>
              <w:spacing w:line="240" w:lineRule="auto"/>
              <w:ind w:firstLine="0" w:firstLineChars="0"/>
              <w:jc w:val="center"/>
              <w:rPr>
                <w:color w:val="auto"/>
                <w:szCs w:val="21"/>
              </w:rPr>
            </w:pPr>
          </w:p>
        </w:tc>
        <w:tc>
          <w:tcPr>
            <w:tcW w:w="1755" w:type="dxa"/>
            <w:vAlign w:val="center"/>
          </w:tcPr>
          <w:p>
            <w:pPr>
              <w:adjustRightInd w:val="0"/>
              <w:snapToGrid w:val="0"/>
              <w:spacing w:line="240" w:lineRule="auto"/>
              <w:ind w:firstLine="0" w:firstLineChars="0"/>
              <w:jc w:val="center"/>
              <w:rPr>
                <w:color w:val="auto"/>
                <w:szCs w:val="21"/>
              </w:rPr>
            </w:pPr>
            <w:r>
              <w:rPr>
                <w:rFonts w:hint="eastAsia"/>
                <w:color w:val="auto"/>
                <w:szCs w:val="21"/>
              </w:rPr>
              <w:t>厂界</w:t>
            </w:r>
          </w:p>
        </w:tc>
        <w:tc>
          <w:tcPr>
            <w:tcW w:w="1755" w:type="dxa"/>
            <w:vAlign w:val="center"/>
          </w:tcPr>
          <w:p>
            <w:pPr>
              <w:adjustRightInd w:val="0"/>
              <w:snapToGrid w:val="0"/>
              <w:spacing w:line="240" w:lineRule="auto"/>
              <w:ind w:firstLine="0" w:firstLineChars="0"/>
              <w:jc w:val="center"/>
              <w:rPr>
                <w:color w:val="auto"/>
                <w:szCs w:val="21"/>
              </w:rPr>
            </w:pPr>
            <w:r>
              <w:rPr>
                <w:rFonts w:hint="eastAsia"/>
                <w:color w:val="auto"/>
                <w:szCs w:val="21"/>
              </w:rPr>
              <w:t>颗粒物</w:t>
            </w:r>
          </w:p>
        </w:tc>
        <w:tc>
          <w:tcPr>
            <w:tcW w:w="1755" w:type="dxa"/>
            <w:vAlign w:val="center"/>
          </w:tcPr>
          <w:p>
            <w:pPr>
              <w:adjustRightInd w:val="0"/>
              <w:snapToGrid w:val="0"/>
              <w:spacing w:line="240" w:lineRule="auto"/>
              <w:ind w:firstLine="0" w:firstLineChars="0"/>
              <w:rPr>
                <w:color w:val="auto"/>
                <w:szCs w:val="21"/>
              </w:rPr>
            </w:pPr>
            <w:r>
              <w:rPr>
                <w:rFonts w:hint="eastAsia"/>
                <w:color w:val="auto"/>
                <w:szCs w:val="21"/>
              </w:rPr>
              <w:t>全封闭储棚+全封闭干燥车间厂区定期洒水降尘</w:t>
            </w:r>
          </w:p>
        </w:tc>
        <w:tc>
          <w:tcPr>
            <w:tcW w:w="1757" w:type="dxa"/>
            <w:vAlign w:val="center"/>
          </w:tcPr>
          <w:p>
            <w:pPr>
              <w:adjustRightInd w:val="0"/>
              <w:snapToGrid w:val="0"/>
              <w:spacing w:line="240" w:lineRule="auto"/>
              <w:ind w:firstLine="0" w:firstLineChars="0"/>
              <w:jc w:val="center"/>
              <w:rPr>
                <w:color w:val="auto"/>
                <w:szCs w:val="21"/>
              </w:rPr>
            </w:pPr>
            <w:r>
              <w:rPr>
                <w:color w:val="auto"/>
              </w:rPr>
              <w:t>《煤炭工业污染物排放标准》（GB2</w:t>
            </w:r>
            <w:r>
              <w:rPr>
                <w:rFonts w:hint="eastAsia"/>
                <w:color w:val="auto"/>
              </w:rPr>
              <w:t>0</w:t>
            </w:r>
            <w:r>
              <w:rPr>
                <w:color w:val="auto"/>
              </w:rPr>
              <w:t>426-2006）表5煤炭工业无组织排放限值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Align w:val="center"/>
          </w:tcPr>
          <w:p>
            <w:pPr>
              <w:adjustRightInd w:val="0"/>
              <w:snapToGrid w:val="0"/>
              <w:spacing w:line="240" w:lineRule="auto"/>
              <w:ind w:firstLine="0" w:firstLineChars="0"/>
              <w:jc w:val="center"/>
              <w:rPr>
                <w:color w:val="auto"/>
                <w:szCs w:val="21"/>
              </w:rPr>
            </w:pPr>
            <w:r>
              <w:rPr>
                <w:color w:val="auto"/>
                <w:szCs w:val="21"/>
              </w:rPr>
              <w:t>地表水环境</w:t>
            </w:r>
          </w:p>
        </w:tc>
        <w:tc>
          <w:tcPr>
            <w:tcW w:w="1755" w:type="dxa"/>
            <w:vAlign w:val="center"/>
          </w:tcPr>
          <w:p>
            <w:pPr>
              <w:adjustRightInd w:val="0"/>
              <w:snapToGrid w:val="0"/>
              <w:spacing w:line="240" w:lineRule="auto"/>
              <w:ind w:firstLine="0" w:firstLineChars="0"/>
              <w:jc w:val="center"/>
              <w:rPr>
                <w:color w:val="auto"/>
                <w:szCs w:val="21"/>
              </w:rPr>
            </w:pPr>
            <w:r>
              <w:rPr>
                <w:rFonts w:hint="eastAsia"/>
                <w:color w:val="auto"/>
                <w:szCs w:val="21"/>
              </w:rPr>
              <w:t>/</w:t>
            </w:r>
          </w:p>
        </w:tc>
        <w:tc>
          <w:tcPr>
            <w:tcW w:w="1755" w:type="dxa"/>
            <w:vAlign w:val="center"/>
          </w:tcPr>
          <w:p>
            <w:pPr>
              <w:adjustRightInd w:val="0"/>
              <w:snapToGrid w:val="0"/>
              <w:spacing w:line="240" w:lineRule="auto"/>
              <w:ind w:firstLine="0" w:firstLineChars="0"/>
              <w:jc w:val="center"/>
              <w:rPr>
                <w:color w:val="auto"/>
                <w:szCs w:val="21"/>
              </w:rPr>
            </w:pPr>
            <w:r>
              <w:rPr>
                <w:rFonts w:hint="eastAsia"/>
                <w:color w:val="auto"/>
                <w:szCs w:val="21"/>
              </w:rPr>
              <w:t>/</w:t>
            </w:r>
          </w:p>
        </w:tc>
        <w:tc>
          <w:tcPr>
            <w:tcW w:w="1755" w:type="dxa"/>
            <w:vAlign w:val="center"/>
          </w:tcPr>
          <w:p>
            <w:pPr>
              <w:adjustRightInd w:val="0"/>
              <w:snapToGrid w:val="0"/>
              <w:spacing w:line="240" w:lineRule="auto"/>
              <w:ind w:firstLine="0" w:firstLineChars="0"/>
              <w:jc w:val="center"/>
              <w:rPr>
                <w:color w:val="auto"/>
                <w:szCs w:val="21"/>
              </w:rPr>
            </w:pPr>
            <w:r>
              <w:rPr>
                <w:rFonts w:hint="eastAsia"/>
                <w:color w:val="auto"/>
                <w:szCs w:val="21"/>
              </w:rPr>
              <w:t>/</w:t>
            </w:r>
          </w:p>
        </w:tc>
        <w:tc>
          <w:tcPr>
            <w:tcW w:w="1757" w:type="dxa"/>
            <w:vAlign w:val="center"/>
          </w:tcPr>
          <w:p>
            <w:pPr>
              <w:adjustRightInd w:val="0"/>
              <w:snapToGrid w:val="0"/>
              <w:spacing w:line="240" w:lineRule="auto"/>
              <w:ind w:firstLine="0" w:firstLineChars="0"/>
              <w:jc w:val="center"/>
              <w:rPr>
                <w:color w:val="auto"/>
                <w:szCs w:val="21"/>
              </w:rPr>
            </w:pPr>
            <w:r>
              <w:rPr>
                <w:rFonts w:hint="eastAsia"/>
                <w:color w:val="auto"/>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Align w:val="center"/>
          </w:tcPr>
          <w:p>
            <w:pPr>
              <w:adjustRightInd w:val="0"/>
              <w:snapToGrid w:val="0"/>
              <w:spacing w:line="240" w:lineRule="auto"/>
              <w:ind w:firstLine="0" w:firstLineChars="0"/>
              <w:jc w:val="center"/>
              <w:rPr>
                <w:color w:val="auto"/>
                <w:szCs w:val="21"/>
              </w:rPr>
            </w:pPr>
            <w:r>
              <w:rPr>
                <w:color w:val="auto"/>
                <w:szCs w:val="21"/>
              </w:rPr>
              <w:t>声环境</w:t>
            </w:r>
          </w:p>
        </w:tc>
        <w:tc>
          <w:tcPr>
            <w:tcW w:w="1755" w:type="dxa"/>
            <w:vAlign w:val="center"/>
          </w:tcPr>
          <w:p>
            <w:pPr>
              <w:adjustRightInd w:val="0"/>
              <w:snapToGrid w:val="0"/>
              <w:spacing w:line="240" w:lineRule="auto"/>
              <w:ind w:firstLine="0" w:firstLineChars="0"/>
              <w:jc w:val="center"/>
              <w:rPr>
                <w:color w:val="auto"/>
                <w:szCs w:val="21"/>
              </w:rPr>
            </w:pPr>
            <w:r>
              <w:rPr>
                <w:color w:val="auto"/>
                <w:szCs w:val="21"/>
              </w:rPr>
              <w:t>设备运行</w:t>
            </w:r>
          </w:p>
        </w:tc>
        <w:tc>
          <w:tcPr>
            <w:tcW w:w="1755" w:type="dxa"/>
            <w:vAlign w:val="center"/>
          </w:tcPr>
          <w:p>
            <w:pPr>
              <w:adjustRightInd w:val="0"/>
              <w:snapToGrid w:val="0"/>
              <w:spacing w:line="240" w:lineRule="auto"/>
              <w:ind w:firstLine="0" w:firstLineChars="0"/>
              <w:jc w:val="center"/>
              <w:rPr>
                <w:color w:val="auto"/>
                <w:szCs w:val="21"/>
              </w:rPr>
            </w:pPr>
            <w:r>
              <w:rPr>
                <w:color w:val="auto"/>
                <w:szCs w:val="21"/>
              </w:rPr>
              <w:t>噪声</w:t>
            </w:r>
          </w:p>
        </w:tc>
        <w:tc>
          <w:tcPr>
            <w:tcW w:w="1755" w:type="dxa"/>
            <w:vAlign w:val="center"/>
          </w:tcPr>
          <w:p>
            <w:pPr>
              <w:adjustRightInd w:val="0"/>
              <w:snapToGrid w:val="0"/>
              <w:spacing w:line="240" w:lineRule="auto"/>
              <w:ind w:firstLine="0" w:firstLineChars="0"/>
              <w:rPr>
                <w:color w:val="auto"/>
                <w:szCs w:val="21"/>
              </w:rPr>
            </w:pPr>
            <w:r>
              <w:rPr>
                <w:color w:val="auto"/>
                <w:szCs w:val="21"/>
              </w:rPr>
              <w:t>采用厂房隔声、选用低噪声设备。</w:t>
            </w:r>
          </w:p>
        </w:tc>
        <w:tc>
          <w:tcPr>
            <w:tcW w:w="1757" w:type="dxa"/>
            <w:vAlign w:val="center"/>
          </w:tcPr>
          <w:p>
            <w:pPr>
              <w:adjustRightInd w:val="0"/>
              <w:snapToGrid w:val="0"/>
              <w:spacing w:line="240" w:lineRule="auto"/>
              <w:ind w:firstLine="0" w:firstLineChars="0"/>
              <w:rPr>
                <w:color w:val="auto"/>
                <w:szCs w:val="21"/>
              </w:rPr>
            </w:pPr>
            <w:r>
              <w:rPr>
                <w:color w:val="auto"/>
                <w:szCs w:val="21"/>
              </w:rPr>
              <w:t>《声环境质量标准》（GB3096-2008）中</w:t>
            </w:r>
            <w:r>
              <w:rPr>
                <w:rFonts w:hint="eastAsia"/>
                <w:color w:val="auto"/>
                <w:szCs w:val="21"/>
              </w:rPr>
              <w:t>2</w:t>
            </w:r>
            <w:r>
              <w:rPr>
                <w:color w:val="auto"/>
                <w:szCs w:val="21"/>
              </w:rPr>
              <w:t>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Align w:val="center"/>
          </w:tcPr>
          <w:p>
            <w:pPr>
              <w:adjustRightInd w:val="0"/>
              <w:snapToGrid w:val="0"/>
              <w:spacing w:line="240" w:lineRule="auto"/>
              <w:ind w:firstLine="0" w:firstLineChars="0"/>
              <w:jc w:val="center"/>
              <w:rPr>
                <w:color w:val="auto"/>
                <w:szCs w:val="21"/>
              </w:rPr>
            </w:pPr>
            <w:r>
              <w:rPr>
                <w:color w:val="auto"/>
                <w:szCs w:val="21"/>
              </w:rPr>
              <w:t>电磁辐射</w:t>
            </w:r>
          </w:p>
        </w:tc>
        <w:tc>
          <w:tcPr>
            <w:tcW w:w="1755" w:type="dxa"/>
            <w:vAlign w:val="center"/>
          </w:tcPr>
          <w:p>
            <w:pPr>
              <w:adjustRightInd w:val="0"/>
              <w:snapToGrid w:val="0"/>
              <w:spacing w:line="240" w:lineRule="auto"/>
              <w:ind w:firstLine="0" w:firstLineChars="0"/>
              <w:jc w:val="center"/>
              <w:rPr>
                <w:color w:val="auto"/>
                <w:szCs w:val="21"/>
              </w:rPr>
            </w:pPr>
            <w:r>
              <w:rPr>
                <w:rFonts w:hint="eastAsia"/>
                <w:color w:val="auto"/>
                <w:szCs w:val="21"/>
              </w:rPr>
              <w:t>/</w:t>
            </w:r>
          </w:p>
        </w:tc>
        <w:tc>
          <w:tcPr>
            <w:tcW w:w="1755" w:type="dxa"/>
            <w:vAlign w:val="center"/>
          </w:tcPr>
          <w:p>
            <w:pPr>
              <w:adjustRightInd w:val="0"/>
              <w:snapToGrid w:val="0"/>
              <w:spacing w:line="240" w:lineRule="auto"/>
              <w:ind w:firstLine="0" w:firstLineChars="0"/>
              <w:jc w:val="center"/>
              <w:rPr>
                <w:color w:val="auto"/>
                <w:szCs w:val="21"/>
              </w:rPr>
            </w:pPr>
            <w:r>
              <w:rPr>
                <w:rFonts w:hint="eastAsia"/>
                <w:color w:val="auto"/>
                <w:szCs w:val="21"/>
              </w:rPr>
              <w:t>/</w:t>
            </w:r>
          </w:p>
        </w:tc>
        <w:tc>
          <w:tcPr>
            <w:tcW w:w="1755" w:type="dxa"/>
            <w:vAlign w:val="center"/>
          </w:tcPr>
          <w:p>
            <w:pPr>
              <w:adjustRightInd w:val="0"/>
              <w:snapToGrid w:val="0"/>
              <w:spacing w:line="240" w:lineRule="auto"/>
              <w:ind w:firstLine="0" w:firstLineChars="0"/>
              <w:jc w:val="center"/>
              <w:rPr>
                <w:color w:val="auto"/>
                <w:szCs w:val="21"/>
              </w:rPr>
            </w:pPr>
            <w:r>
              <w:rPr>
                <w:rFonts w:hint="eastAsia"/>
                <w:color w:val="auto"/>
                <w:szCs w:val="21"/>
              </w:rPr>
              <w:t>/</w:t>
            </w:r>
          </w:p>
        </w:tc>
        <w:tc>
          <w:tcPr>
            <w:tcW w:w="1757" w:type="dxa"/>
            <w:vAlign w:val="center"/>
          </w:tcPr>
          <w:p>
            <w:pPr>
              <w:adjustRightInd w:val="0"/>
              <w:snapToGrid w:val="0"/>
              <w:spacing w:line="240" w:lineRule="auto"/>
              <w:ind w:firstLine="0" w:firstLineChars="0"/>
              <w:jc w:val="center"/>
              <w:rPr>
                <w:color w:val="auto"/>
                <w:szCs w:val="21"/>
              </w:rPr>
            </w:pPr>
            <w:r>
              <w:rPr>
                <w:rFonts w:hint="eastAsia"/>
                <w:color w:val="auto"/>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78" w:type="dxa"/>
            <w:vAlign w:val="center"/>
          </w:tcPr>
          <w:p>
            <w:pPr>
              <w:adjustRightInd w:val="0"/>
              <w:snapToGrid w:val="0"/>
              <w:spacing w:line="240" w:lineRule="auto"/>
              <w:ind w:firstLine="0" w:firstLineChars="0"/>
              <w:jc w:val="center"/>
              <w:rPr>
                <w:color w:val="auto"/>
                <w:szCs w:val="21"/>
              </w:rPr>
            </w:pPr>
            <w:r>
              <w:rPr>
                <w:color w:val="auto"/>
                <w:szCs w:val="21"/>
              </w:rPr>
              <w:t>固体废物</w:t>
            </w:r>
          </w:p>
        </w:tc>
        <w:tc>
          <w:tcPr>
            <w:tcW w:w="7022" w:type="dxa"/>
            <w:gridSpan w:val="4"/>
            <w:vAlign w:val="center"/>
          </w:tcPr>
          <w:p>
            <w:pPr>
              <w:adjustRightInd w:val="0"/>
              <w:snapToGrid w:val="0"/>
              <w:spacing w:line="240" w:lineRule="auto"/>
              <w:ind w:firstLine="0" w:firstLineChars="0"/>
              <w:rPr>
                <w:color w:val="auto"/>
                <w:szCs w:val="21"/>
              </w:rPr>
            </w:pPr>
            <w:r>
              <w:rPr>
                <w:color w:val="auto"/>
                <w:szCs w:val="21"/>
              </w:rPr>
              <w:t>废离子交换树脂：天然气蒸汽锅炉纯水制备过程中产生的废离子交换树脂定期更换，产后不落地，交由厂家回收处置。</w:t>
            </w:r>
          </w:p>
          <w:p>
            <w:pPr>
              <w:adjustRightInd w:val="0"/>
              <w:snapToGrid w:val="0"/>
              <w:spacing w:line="240" w:lineRule="auto"/>
              <w:ind w:firstLine="0" w:firstLineChars="0"/>
              <w:rPr>
                <w:color w:val="auto"/>
                <w:szCs w:val="21"/>
              </w:rPr>
            </w:pPr>
            <w:r>
              <w:rPr>
                <w:color w:val="auto"/>
                <w:szCs w:val="21"/>
              </w:rPr>
              <w:t>废滤料：废水处理站多介质过滤器的滤料需要定期更换，产生的废滤料产后不落地，由厂家上门更换回收。</w:t>
            </w:r>
          </w:p>
          <w:p>
            <w:pPr>
              <w:adjustRightInd w:val="0"/>
              <w:snapToGrid w:val="0"/>
              <w:spacing w:line="240" w:lineRule="auto"/>
              <w:ind w:firstLine="0" w:firstLineChars="0"/>
              <w:rPr>
                <w:color w:val="auto"/>
                <w:szCs w:val="21"/>
              </w:rPr>
            </w:pPr>
            <w:r>
              <w:rPr>
                <w:color w:val="auto"/>
                <w:szCs w:val="21"/>
              </w:rPr>
              <w:t>废反渗透膜：超滤、反渗装置产生的废反渗透膜产后不落地，由厂家上门更换回收。</w:t>
            </w:r>
          </w:p>
          <w:p>
            <w:pPr>
              <w:adjustRightInd w:val="0"/>
              <w:snapToGrid w:val="0"/>
              <w:spacing w:line="240" w:lineRule="auto"/>
              <w:ind w:firstLine="0" w:firstLineChars="0"/>
              <w:rPr>
                <w:color w:val="auto"/>
                <w:szCs w:val="21"/>
              </w:rPr>
            </w:pPr>
            <w:r>
              <w:rPr>
                <w:color w:val="auto"/>
                <w:szCs w:val="21"/>
              </w:rPr>
              <w:t>废水处理站产生的污泥：</w:t>
            </w:r>
            <w:r>
              <w:rPr>
                <w:rFonts w:hint="eastAsia"/>
                <w:color w:val="auto"/>
                <w:szCs w:val="21"/>
              </w:rPr>
              <w:t>产生的污泥掺入洗煤厂产品煤中进行外售。</w:t>
            </w:r>
          </w:p>
          <w:p>
            <w:pPr>
              <w:adjustRightInd w:val="0"/>
              <w:snapToGrid w:val="0"/>
              <w:spacing w:line="240" w:lineRule="auto"/>
              <w:ind w:firstLine="0" w:firstLineChars="0"/>
              <w:rPr>
                <w:color w:val="auto"/>
                <w:szCs w:val="21"/>
              </w:rPr>
            </w:pPr>
            <w:r>
              <w:rPr>
                <w:rFonts w:hint="eastAsia"/>
                <w:color w:val="auto"/>
                <w:szCs w:val="21"/>
              </w:rPr>
              <w:t>废矿物油：设备维修过程中产生的废矿物油，暂存于新建的危废库内，定期交由有资质单位进行处置。</w:t>
            </w:r>
            <w:r>
              <w:rPr>
                <w:rFonts w:hint="eastAsia"/>
                <w:color w:val="auto"/>
                <w:szCs w:val="21"/>
              </w:rPr>
              <w:br w:type="textWrapping"/>
            </w:r>
            <w:r>
              <w:rPr>
                <w:rFonts w:hint="eastAsia"/>
                <w:color w:val="auto"/>
                <w:szCs w:val="21"/>
              </w:rPr>
              <w:t>废油桶：设备维修过程中产生的废矿物油，暂存于新建的危废库内，定期交由有资质单位进行处置。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778" w:type="dxa"/>
            <w:vAlign w:val="center"/>
          </w:tcPr>
          <w:p>
            <w:pPr>
              <w:adjustRightInd w:val="0"/>
              <w:snapToGrid w:val="0"/>
              <w:spacing w:line="240" w:lineRule="auto"/>
              <w:ind w:firstLine="0" w:firstLineChars="0"/>
              <w:rPr>
                <w:color w:val="auto"/>
                <w:szCs w:val="21"/>
              </w:rPr>
            </w:pPr>
            <w:r>
              <w:rPr>
                <w:color w:val="auto"/>
                <w:szCs w:val="21"/>
              </w:rPr>
              <w:t>土壤及地下水</w:t>
            </w:r>
          </w:p>
          <w:p>
            <w:pPr>
              <w:adjustRightInd w:val="0"/>
              <w:snapToGrid w:val="0"/>
              <w:spacing w:line="240" w:lineRule="auto"/>
              <w:ind w:firstLine="0" w:firstLineChars="0"/>
              <w:rPr>
                <w:color w:val="auto"/>
                <w:szCs w:val="21"/>
              </w:rPr>
            </w:pPr>
            <w:r>
              <w:rPr>
                <w:color w:val="auto"/>
                <w:szCs w:val="21"/>
              </w:rPr>
              <w:t>污染防治措施</w:t>
            </w:r>
          </w:p>
        </w:tc>
        <w:tc>
          <w:tcPr>
            <w:tcW w:w="7022" w:type="dxa"/>
            <w:gridSpan w:val="4"/>
            <w:vAlign w:val="center"/>
          </w:tcPr>
          <w:p>
            <w:pPr>
              <w:spacing w:line="240" w:lineRule="auto"/>
              <w:ind w:firstLine="0" w:firstLineChars="0"/>
              <w:jc w:val="center"/>
              <w:rPr>
                <w:color w:val="auto"/>
                <w:szCs w:val="21"/>
              </w:rPr>
            </w:pPr>
            <w:r>
              <w:rPr>
                <w:rFonts w:hint="eastAsia"/>
                <w:color w:val="auto"/>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778" w:type="dxa"/>
            <w:vAlign w:val="center"/>
          </w:tcPr>
          <w:p>
            <w:pPr>
              <w:adjustRightInd w:val="0"/>
              <w:snapToGrid w:val="0"/>
              <w:spacing w:line="240" w:lineRule="auto"/>
              <w:ind w:firstLine="0" w:firstLineChars="0"/>
              <w:rPr>
                <w:color w:val="auto"/>
                <w:szCs w:val="21"/>
              </w:rPr>
            </w:pPr>
            <w:r>
              <w:rPr>
                <w:color w:val="auto"/>
                <w:szCs w:val="21"/>
              </w:rPr>
              <w:t>生态保护措施</w:t>
            </w:r>
          </w:p>
        </w:tc>
        <w:tc>
          <w:tcPr>
            <w:tcW w:w="7022" w:type="dxa"/>
            <w:gridSpan w:val="4"/>
            <w:vAlign w:val="center"/>
          </w:tcPr>
          <w:p>
            <w:pPr>
              <w:adjustRightInd w:val="0"/>
              <w:snapToGrid w:val="0"/>
              <w:spacing w:line="240" w:lineRule="auto"/>
              <w:ind w:firstLine="0" w:firstLineChars="0"/>
              <w:jc w:val="center"/>
              <w:rPr>
                <w:color w:val="auto"/>
                <w:szCs w:val="21"/>
              </w:rPr>
            </w:pPr>
            <w:r>
              <w:rPr>
                <w:rFonts w:hint="eastAsia"/>
                <w:color w:val="auto"/>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vAlign w:val="center"/>
          </w:tcPr>
          <w:p>
            <w:pPr>
              <w:adjustRightInd w:val="0"/>
              <w:snapToGrid w:val="0"/>
              <w:spacing w:line="240" w:lineRule="auto"/>
              <w:ind w:firstLine="0" w:firstLineChars="0"/>
              <w:jc w:val="center"/>
              <w:rPr>
                <w:color w:val="auto"/>
                <w:spacing w:val="-8"/>
                <w:szCs w:val="21"/>
              </w:rPr>
            </w:pPr>
            <w:r>
              <w:rPr>
                <w:color w:val="auto"/>
                <w:spacing w:val="-8"/>
                <w:szCs w:val="21"/>
              </w:rPr>
              <w:t>环境风险</w:t>
            </w:r>
          </w:p>
          <w:p>
            <w:pPr>
              <w:adjustRightInd w:val="0"/>
              <w:snapToGrid w:val="0"/>
              <w:spacing w:line="240" w:lineRule="auto"/>
              <w:ind w:firstLine="0" w:firstLineChars="0"/>
              <w:jc w:val="center"/>
              <w:rPr>
                <w:color w:val="auto"/>
                <w:spacing w:val="-8"/>
                <w:szCs w:val="21"/>
              </w:rPr>
            </w:pPr>
            <w:r>
              <w:rPr>
                <w:color w:val="auto"/>
                <w:spacing w:val="-8"/>
                <w:szCs w:val="21"/>
              </w:rPr>
              <w:t>防范措施</w:t>
            </w:r>
          </w:p>
        </w:tc>
        <w:tc>
          <w:tcPr>
            <w:tcW w:w="7022" w:type="dxa"/>
            <w:gridSpan w:val="4"/>
            <w:vAlign w:val="center"/>
          </w:tcPr>
          <w:p>
            <w:pPr>
              <w:adjustRightInd w:val="0"/>
              <w:snapToGrid w:val="0"/>
              <w:spacing w:line="240" w:lineRule="auto"/>
              <w:ind w:firstLine="0" w:firstLineChars="0"/>
              <w:jc w:val="center"/>
              <w:rPr>
                <w:color w:val="auto"/>
                <w:szCs w:val="21"/>
              </w:rPr>
            </w:pPr>
            <w:r>
              <w:rPr>
                <w:color w:val="auto"/>
                <w:szCs w:val="21"/>
              </w:rPr>
              <w:t>加大安全、环保设施的投入</w:t>
            </w:r>
            <w:r>
              <w:rPr>
                <w:rFonts w:hint="eastAsia"/>
                <w:color w:val="auto"/>
                <w:szCs w:val="21"/>
              </w:rPr>
              <w:t>：</w:t>
            </w:r>
            <w:r>
              <w:rPr>
                <w:color w:val="auto"/>
                <w:szCs w:val="21"/>
              </w:rPr>
              <w:t>在强化安全、环保教育，提高安全、环保意识的同时，企业保证预警、监控设施到位。配备救护设备；危险作业增设监护人员并为其配备通信、救援等设备；按照国家、地方和相关部门要求，编制突发环境事件应急预案；企业根据实际情况，不断充实和完善应急预案的各项措施，并定期组织演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778" w:type="dxa"/>
            <w:vAlign w:val="center"/>
          </w:tcPr>
          <w:p>
            <w:pPr>
              <w:adjustRightInd w:val="0"/>
              <w:snapToGrid w:val="0"/>
              <w:spacing w:line="240" w:lineRule="auto"/>
              <w:ind w:firstLine="0" w:firstLineChars="0"/>
              <w:jc w:val="center"/>
              <w:rPr>
                <w:color w:val="auto"/>
                <w:spacing w:val="-8"/>
                <w:szCs w:val="21"/>
              </w:rPr>
            </w:pPr>
            <w:r>
              <w:rPr>
                <w:color w:val="auto"/>
                <w:spacing w:val="-8"/>
                <w:szCs w:val="21"/>
              </w:rPr>
              <w:t>其他环境</w:t>
            </w:r>
          </w:p>
          <w:p>
            <w:pPr>
              <w:adjustRightInd w:val="0"/>
              <w:snapToGrid w:val="0"/>
              <w:spacing w:line="240" w:lineRule="auto"/>
              <w:ind w:firstLine="0" w:firstLineChars="0"/>
              <w:jc w:val="center"/>
              <w:rPr>
                <w:color w:val="auto"/>
                <w:spacing w:val="-8"/>
                <w:szCs w:val="21"/>
              </w:rPr>
            </w:pPr>
            <w:r>
              <w:rPr>
                <w:color w:val="auto"/>
                <w:spacing w:val="-8"/>
                <w:szCs w:val="21"/>
              </w:rPr>
              <w:t>管理要求</w:t>
            </w:r>
          </w:p>
        </w:tc>
        <w:tc>
          <w:tcPr>
            <w:tcW w:w="7022" w:type="dxa"/>
            <w:gridSpan w:val="4"/>
            <w:vAlign w:val="center"/>
          </w:tcPr>
          <w:p>
            <w:pPr>
              <w:adjustRightInd w:val="0"/>
              <w:snapToGrid w:val="0"/>
              <w:spacing w:line="240" w:lineRule="auto"/>
              <w:ind w:firstLine="0" w:firstLineChars="0"/>
              <w:rPr>
                <w:color w:val="auto"/>
                <w:szCs w:val="21"/>
              </w:rPr>
            </w:pPr>
            <w:r>
              <w:rPr>
                <w:rFonts w:hint="eastAsia"/>
                <w:color w:val="auto"/>
                <w:szCs w:val="21"/>
                <w:lang w:eastAsia="zh-CN"/>
              </w:rPr>
              <w:t>1.</w:t>
            </w:r>
            <w:r>
              <w:rPr>
                <w:color w:val="auto"/>
                <w:szCs w:val="21"/>
              </w:rPr>
              <w:t>环境管理</w:t>
            </w:r>
          </w:p>
          <w:p>
            <w:pPr>
              <w:adjustRightInd w:val="0"/>
              <w:snapToGrid w:val="0"/>
              <w:spacing w:line="240" w:lineRule="auto"/>
              <w:ind w:firstLine="0" w:firstLineChars="0"/>
              <w:rPr>
                <w:color w:val="auto"/>
                <w:szCs w:val="21"/>
              </w:rPr>
            </w:pPr>
            <w:r>
              <w:rPr>
                <w:color w:val="auto"/>
                <w:szCs w:val="21"/>
              </w:rPr>
              <w:t>为确保污染防治措施的落实和有效运行，保证项目的社会经济效益与环境效益相协调，实现可持续发展的目标，应加强环境管理工作，并设置专门的环境管理机构负责。</w:t>
            </w:r>
          </w:p>
          <w:p>
            <w:pPr>
              <w:adjustRightInd w:val="0"/>
              <w:snapToGrid w:val="0"/>
              <w:spacing w:line="240" w:lineRule="auto"/>
              <w:ind w:firstLine="0" w:firstLineChars="0"/>
              <w:rPr>
                <w:color w:val="auto"/>
                <w:szCs w:val="21"/>
              </w:rPr>
            </w:pPr>
            <w:r>
              <w:rPr>
                <w:color w:val="auto"/>
                <w:szCs w:val="21"/>
              </w:rPr>
              <w:t>（1）环境保护机构的设置</w:t>
            </w:r>
          </w:p>
          <w:p>
            <w:pPr>
              <w:adjustRightInd w:val="0"/>
              <w:snapToGrid w:val="0"/>
              <w:spacing w:line="240" w:lineRule="auto"/>
              <w:ind w:firstLine="0" w:firstLineChars="0"/>
              <w:rPr>
                <w:color w:val="auto"/>
                <w:szCs w:val="21"/>
              </w:rPr>
            </w:pPr>
            <w:r>
              <w:rPr>
                <w:color w:val="auto"/>
                <w:szCs w:val="21"/>
              </w:rPr>
              <w:t>建设单位配备3名工作人员，由1人兼职环保人员。</w:t>
            </w:r>
          </w:p>
          <w:p>
            <w:pPr>
              <w:adjustRightInd w:val="0"/>
              <w:snapToGrid w:val="0"/>
              <w:spacing w:line="240" w:lineRule="auto"/>
              <w:ind w:firstLine="0" w:firstLineChars="0"/>
              <w:rPr>
                <w:color w:val="auto"/>
                <w:szCs w:val="21"/>
              </w:rPr>
            </w:pPr>
            <w:r>
              <w:rPr>
                <w:color w:val="auto"/>
                <w:szCs w:val="21"/>
              </w:rPr>
              <w:t>（2）环境管理机构的基本任务是负责组织、落实、监督本企业的环保工作，其主要职责如下</w:t>
            </w:r>
            <w:r>
              <w:rPr>
                <w:rFonts w:hint="eastAsia"/>
                <w:color w:val="auto"/>
                <w:szCs w:val="21"/>
              </w:rPr>
              <w:t>：</w:t>
            </w:r>
          </w:p>
          <w:p>
            <w:pPr>
              <w:adjustRightInd w:val="0"/>
              <w:snapToGrid w:val="0"/>
              <w:spacing w:line="240" w:lineRule="auto"/>
              <w:ind w:firstLine="0" w:firstLineChars="0"/>
              <w:rPr>
                <w:color w:val="auto"/>
                <w:szCs w:val="21"/>
              </w:rPr>
            </w:pPr>
            <w:r>
              <w:rPr>
                <w:color w:val="auto"/>
                <w:szCs w:val="21"/>
              </w:rPr>
              <w:t>①贯彻执行环境保护法规和标准；</w:t>
            </w:r>
          </w:p>
          <w:p>
            <w:pPr>
              <w:adjustRightInd w:val="0"/>
              <w:snapToGrid w:val="0"/>
              <w:spacing w:line="240" w:lineRule="auto"/>
              <w:ind w:firstLine="0" w:firstLineChars="0"/>
              <w:rPr>
                <w:color w:val="auto"/>
                <w:szCs w:val="21"/>
              </w:rPr>
            </w:pPr>
            <w:r>
              <w:rPr>
                <w:color w:val="auto"/>
                <w:szCs w:val="21"/>
              </w:rPr>
              <w:t>②组织制定和修改本单位的环境保护管理规章制度并进行监督执行；</w:t>
            </w:r>
          </w:p>
          <w:p>
            <w:pPr>
              <w:adjustRightInd w:val="0"/>
              <w:snapToGrid w:val="0"/>
              <w:spacing w:line="240" w:lineRule="auto"/>
              <w:ind w:firstLine="0" w:firstLineChars="0"/>
              <w:rPr>
                <w:color w:val="auto"/>
                <w:szCs w:val="21"/>
              </w:rPr>
            </w:pPr>
            <w:r>
              <w:rPr>
                <w:color w:val="auto"/>
                <w:szCs w:val="21"/>
              </w:rPr>
              <w:t>根据项目的特点，制定污染控制及改善环境质量计划，负责组织突发事故的应急处理和善后事宜；</w:t>
            </w:r>
          </w:p>
          <w:p>
            <w:pPr>
              <w:adjustRightInd w:val="0"/>
              <w:snapToGrid w:val="0"/>
              <w:spacing w:line="240" w:lineRule="auto"/>
              <w:ind w:firstLine="0" w:firstLineChars="0"/>
              <w:rPr>
                <w:color w:val="auto"/>
                <w:szCs w:val="21"/>
              </w:rPr>
            </w:pPr>
            <w:r>
              <w:rPr>
                <w:color w:val="auto"/>
                <w:szCs w:val="21"/>
              </w:rPr>
              <w:t>③领导和组织本单位的环境监测；</w:t>
            </w:r>
          </w:p>
          <w:p>
            <w:pPr>
              <w:adjustRightInd w:val="0"/>
              <w:snapToGrid w:val="0"/>
              <w:spacing w:line="240" w:lineRule="auto"/>
              <w:ind w:firstLine="0" w:firstLineChars="0"/>
              <w:rPr>
                <w:color w:val="auto"/>
                <w:szCs w:val="21"/>
              </w:rPr>
            </w:pPr>
            <w:r>
              <w:rPr>
                <w:color w:val="auto"/>
                <w:szCs w:val="21"/>
              </w:rPr>
              <w:t>④对职工进行经常性的环境教育和环保技术培训；严格贯彻执行各项环境保护的法律法规；组织开展本单位的环境保护科研和学术交流；</w:t>
            </w:r>
          </w:p>
          <w:p>
            <w:pPr>
              <w:adjustRightInd w:val="0"/>
              <w:snapToGrid w:val="0"/>
              <w:spacing w:line="240" w:lineRule="auto"/>
              <w:ind w:firstLine="0" w:firstLineChars="0"/>
              <w:rPr>
                <w:color w:val="auto"/>
                <w:szCs w:val="21"/>
              </w:rPr>
            </w:pPr>
            <w:r>
              <w:rPr>
                <w:color w:val="auto"/>
                <w:szCs w:val="21"/>
              </w:rPr>
              <w:t>⑤监督“三同时”制度的执行情况，确保环境保护设施与主体工程同时设计，同时施工，同时运行，有效地控制污染；检查本单位环境保护设施的运行情况。</w:t>
            </w:r>
          </w:p>
          <w:p>
            <w:pPr>
              <w:adjustRightInd w:val="0"/>
              <w:snapToGrid w:val="0"/>
              <w:spacing w:line="240" w:lineRule="auto"/>
              <w:ind w:firstLine="0" w:firstLineChars="0"/>
              <w:rPr>
                <w:color w:val="auto"/>
                <w:szCs w:val="21"/>
              </w:rPr>
            </w:pPr>
            <w:r>
              <w:rPr>
                <w:color w:val="auto"/>
                <w:szCs w:val="21"/>
              </w:rPr>
              <w:t>（3）环境管理要点</w:t>
            </w:r>
          </w:p>
          <w:p>
            <w:pPr>
              <w:adjustRightInd w:val="0"/>
              <w:snapToGrid w:val="0"/>
              <w:spacing w:line="240" w:lineRule="auto"/>
              <w:ind w:firstLine="0" w:firstLineChars="0"/>
              <w:rPr>
                <w:color w:val="auto"/>
                <w:szCs w:val="21"/>
              </w:rPr>
            </w:pPr>
            <w:r>
              <w:rPr>
                <w:color w:val="auto"/>
                <w:szCs w:val="21"/>
              </w:rPr>
              <w:t>①“三同时”验收</w:t>
            </w:r>
            <w:r>
              <w:rPr>
                <w:rFonts w:hint="eastAsia"/>
                <w:color w:val="auto"/>
                <w:szCs w:val="21"/>
              </w:rPr>
              <w:t>：</w:t>
            </w:r>
            <w:r>
              <w:rPr>
                <w:color w:val="auto"/>
                <w:szCs w:val="21"/>
              </w:rPr>
              <w:t>根据《建设项目环境保护管理条例》及其修改决定（国务院令第682号），建设项目竣工后，建设单位应进行竣工验收，然后本项目方可正式投产运行；</w:t>
            </w:r>
          </w:p>
          <w:p>
            <w:pPr>
              <w:adjustRightInd w:val="0"/>
              <w:snapToGrid w:val="0"/>
              <w:spacing w:line="240" w:lineRule="auto"/>
              <w:ind w:firstLine="0" w:firstLineChars="0"/>
              <w:rPr>
                <w:color w:val="auto"/>
                <w:szCs w:val="21"/>
              </w:rPr>
            </w:pPr>
            <w:r>
              <w:rPr>
                <w:color w:val="auto"/>
                <w:szCs w:val="21"/>
              </w:rPr>
              <w:t>②制定环境管理文件及实施细则</w:t>
            </w:r>
            <w:r>
              <w:rPr>
                <w:rFonts w:hint="eastAsia"/>
                <w:color w:val="auto"/>
                <w:szCs w:val="21"/>
              </w:rPr>
              <w:t>：</w:t>
            </w:r>
            <w:r>
              <w:rPr>
                <w:color w:val="auto"/>
                <w:szCs w:val="21"/>
              </w:rPr>
              <w:t>根据国家、地方政府对企业环境管理的基本要求，结合项目的具体情况，制定环境管理文件和实施细则；</w:t>
            </w:r>
          </w:p>
          <w:p>
            <w:pPr>
              <w:adjustRightInd w:val="0"/>
              <w:snapToGrid w:val="0"/>
              <w:spacing w:line="240" w:lineRule="auto"/>
              <w:ind w:firstLine="0" w:firstLineChars="0"/>
              <w:rPr>
                <w:color w:val="auto"/>
                <w:szCs w:val="21"/>
              </w:rPr>
            </w:pPr>
            <w:r>
              <w:rPr>
                <w:color w:val="auto"/>
                <w:szCs w:val="21"/>
              </w:rPr>
              <w:t>③信息公开</w:t>
            </w:r>
            <w:r>
              <w:rPr>
                <w:rFonts w:hint="eastAsia"/>
                <w:color w:val="auto"/>
                <w:szCs w:val="21"/>
              </w:rPr>
              <w:t>：</w:t>
            </w:r>
            <w:r>
              <w:rPr>
                <w:color w:val="auto"/>
                <w:szCs w:val="21"/>
              </w:rPr>
              <w:t>根据《建设项目环境保护事中事后监督管理办法（试行）》要求，建设单位应当主动向社会公开建设项目环境影响评价文件、污染防治设施建设运行情况、污染物排放情况、突发环境事件应急预案及应对情况等环境信息。</w:t>
            </w:r>
          </w:p>
          <w:p>
            <w:pPr>
              <w:adjustRightInd w:val="0"/>
              <w:snapToGrid w:val="0"/>
              <w:spacing w:line="240" w:lineRule="auto"/>
              <w:ind w:firstLine="0" w:firstLineChars="0"/>
              <w:rPr>
                <w:color w:val="auto"/>
                <w:szCs w:val="21"/>
              </w:rPr>
            </w:pPr>
            <w:r>
              <w:rPr>
                <w:rFonts w:hint="eastAsia"/>
                <w:color w:val="auto"/>
                <w:szCs w:val="21"/>
                <w:lang w:eastAsia="zh-CN"/>
              </w:rPr>
              <w:t>2.</w:t>
            </w:r>
            <w:r>
              <w:rPr>
                <w:color w:val="auto"/>
                <w:szCs w:val="21"/>
              </w:rPr>
              <w:t>应急预案备案要求</w:t>
            </w:r>
          </w:p>
          <w:p>
            <w:pPr>
              <w:adjustRightInd w:val="0"/>
              <w:snapToGrid w:val="0"/>
              <w:spacing w:line="240" w:lineRule="auto"/>
              <w:ind w:firstLine="0" w:firstLineChars="0"/>
              <w:rPr>
                <w:color w:val="auto"/>
                <w:szCs w:val="21"/>
              </w:rPr>
            </w:pPr>
            <w:r>
              <w:rPr>
                <w:color w:val="auto"/>
                <w:szCs w:val="21"/>
              </w:rPr>
              <w:t>根据《企业事业单位突发环境事件应急预案备案管理办法（试行）》（环发</w:t>
            </w:r>
            <w:r>
              <w:rPr>
                <w:color w:val="auto"/>
                <w:kern w:val="0"/>
              </w:rPr>
              <w:t>〔2015〕</w:t>
            </w:r>
            <w:r>
              <w:rPr>
                <w:color w:val="auto"/>
                <w:szCs w:val="21"/>
              </w:rPr>
              <w:t>4号）文件的第三条规定，环境保护主管部门对以下企业环境应急预案备案的指导和管理，建设单位不在所列类型，因此建设单位不需要进行环境应急预案备案。</w:t>
            </w:r>
          </w:p>
        </w:tc>
      </w:tr>
    </w:tbl>
    <w:p>
      <w:pPr>
        <w:pStyle w:val="18"/>
        <w:ind w:firstLine="480"/>
        <w:jc w:val="center"/>
        <w:outlineLvl w:val="0"/>
        <w:rPr>
          <w:rFonts w:ascii="Times New Roman" w:hAnsi="Times New Roman" w:eastAsia="黑体"/>
          <w:snapToGrid w:val="0"/>
          <w:color w:val="auto"/>
          <w:sz w:val="30"/>
          <w:szCs w:val="30"/>
        </w:rPr>
      </w:pPr>
      <w:r>
        <w:rPr>
          <w:rFonts w:ascii="Times New Roman" w:hAnsi="Times New Roman"/>
          <w:snapToGrid w:val="0"/>
          <w:color w:val="auto"/>
        </w:rPr>
        <w:br w:type="page"/>
      </w:r>
      <w:r>
        <w:rPr>
          <w:rFonts w:ascii="Times New Roman" w:hAnsi="Times New Roman" w:eastAsia="黑体"/>
          <w:snapToGrid w:val="0"/>
          <w:color w:val="auto"/>
          <w:sz w:val="30"/>
          <w:szCs w:val="30"/>
        </w:rPr>
        <w:t>六、结论</w:t>
      </w:r>
    </w:p>
    <w:tbl>
      <w:tblPr>
        <w:tblStyle w:val="2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pPr>
              <w:ind w:firstLine="480"/>
              <w:rPr>
                <w:color w:val="auto"/>
              </w:rPr>
            </w:pPr>
            <w:r>
              <w:rPr>
                <w:color w:val="auto"/>
              </w:rPr>
              <w:t>本项目的建设符合国家和地方产业政策；选址合理；采取的污染治理措施可行可靠，可有效实现污染物达标排放，对周围环境的影响较小，环境风险在可接受程度内。综上所述，本项目在认真贯彻执行国家的环保法律、法规，严格落实所有</w:t>
            </w:r>
            <w:r>
              <w:rPr>
                <w:rFonts w:hint="eastAsia"/>
                <w:color w:val="auto"/>
              </w:rPr>
              <w:t>本次</w:t>
            </w:r>
            <w:r>
              <w:rPr>
                <w:color w:val="auto"/>
              </w:rPr>
              <w:t>评价提出的污染防治措施的基础上，从环境保护的角度出发，本项目建设是可行的。</w:t>
            </w:r>
          </w:p>
        </w:tc>
      </w:tr>
    </w:tbl>
    <w:p>
      <w:pPr>
        <w:ind w:firstLine="480"/>
        <w:rPr>
          <w:color w:val="auto"/>
        </w:rPr>
        <w:sectPr>
          <w:pgSz w:w="11906" w:h="16838"/>
          <w:pgMar w:top="1440" w:right="1800" w:bottom="1440" w:left="1800" w:header="851" w:footer="851" w:gutter="0"/>
          <w:pgNumType w:fmt="numberInDash"/>
          <w:cols w:space="720" w:num="1"/>
          <w:docGrid w:linePitch="312" w:charSpace="0"/>
        </w:sectPr>
      </w:pPr>
    </w:p>
    <w:p>
      <w:pPr>
        <w:pStyle w:val="18"/>
        <w:adjustRightInd w:val="0"/>
        <w:snapToGrid w:val="0"/>
        <w:spacing w:before="0" w:beforeAutospacing="0" w:after="0" w:afterAutospacing="0" w:line="648" w:lineRule="auto"/>
        <w:ind w:firstLine="640"/>
        <w:outlineLvl w:val="0"/>
        <w:rPr>
          <w:rFonts w:ascii="Times New Roman" w:hAnsi="Times New Roman" w:eastAsia="黑体"/>
          <w:snapToGrid w:val="0"/>
          <w:color w:val="auto"/>
          <w:sz w:val="32"/>
          <w:szCs w:val="32"/>
        </w:rPr>
      </w:pPr>
      <w:r>
        <w:rPr>
          <w:rFonts w:ascii="Times New Roman" w:hAnsi="Times New Roman" w:eastAsia="黑体"/>
          <w:snapToGrid w:val="0"/>
          <w:color w:val="auto"/>
          <w:sz w:val="32"/>
          <w:szCs w:val="32"/>
        </w:rPr>
        <w:t>附表</w:t>
      </w:r>
    </w:p>
    <w:p>
      <w:pPr>
        <w:pStyle w:val="18"/>
        <w:adjustRightInd w:val="0"/>
        <w:snapToGrid w:val="0"/>
        <w:spacing w:before="0" w:beforeAutospacing="0" w:after="0" w:afterAutospacing="0" w:line="552" w:lineRule="auto"/>
        <w:ind w:firstLine="760"/>
        <w:jc w:val="center"/>
        <w:outlineLvl w:val="0"/>
        <w:rPr>
          <w:rFonts w:ascii="Times New Roman" w:hAnsi="Times New Roman" w:eastAsia="方正小标宋_GBK"/>
          <w:snapToGrid w:val="0"/>
          <w:color w:val="auto"/>
          <w:sz w:val="38"/>
          <w:szCs w:val="38"/>
        </w:rPr>
      </w:pPr>
      <w:r>
        <w:rPr>
          <w:rFonts w:ascii="Times New Roman" w:hAnsi="Times New Roman" w:eastAsia="方正小标宋_GBK"/>
          <w:snapToGrid w:val="0"/>
          <w:color w:val="auto"/>
          <w:sz w:val="38"/>
          <w:szCs w:val="38"/>
        </w:rPr>
        <w:t>建设项目污染物排放量汇总表</w:t>
      </w:r>
    </w:p>
    <w:tbl>
      <w:tblPr>
        <w:tblStyle w:val="21"/>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829"/>
        <w:gridCol w:w="95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pPr>
              <w:pStyle w:val="46"/>
              <w:spacing w:beforeLines="0" w:afterLines="0" w:line="240" w:lineRule="auto"/>
              <w:ind w:firstLine="0" w:firstLineChars="0"/>
              <w:jc w:val="right"/>
              <w:rPr>
                <w:rFonts w:ascii="Times New Roman" w:eastAsia="黑体"/>
                <w:snapToGrid w:val="0"/>
                <w:color w:val="auto"/>
                <w:spacing w:val="-6"/>
                <w:kern w:val="21"/>
                <w:szCs w:val="21"/>
              </w:rPr>
            </w:pPr>
            <w:r>
              <w:rPr>
                <w:rFonts w:ascii="Times New Roman" w:eastAsia="黑体"/>
                <w:snapToGrid w:val="0"/>
                <w:color w:val="auto"/>
                <w:spacing w:val="-6"/>
                <w:kern w:val="21"/>
                <w:szCs w:val="21"/>
              </w:rPr>
              <w:t>项目</w:t>
            </w:r>
          </w:p>
          <w:p>
            <w:pPr>
              <w:pStyle w:val="46"/>
              <w:spacing w:beforeLines="0" w:afterLines="0" w:line="240" w:lineRule="auto"/>
              <w:ind w:firstLine="0" w:firstLineChars="0"/>
              <w:jc w:val="left"/>
              <w:rPr>
                <w:rFonts w:ascii="Times New Roman" w:eastAsia="黑体"/>
                <w:snapToGrid w:val="0"/>
                <w:color w:val="auto"/>
                <w:spacing w:val="-6"/>
                <w:kern w:val="21"/>
                <w:szCs w:val="21"/>
              </w:rPr>
            </w:pPr>
            <w:r>
              <w:rPr>
                <w:rFonts w:ascii="Times New Roman" w:eastAsia="黑体"/>
                <w:snapToGrid w:val="0"/>
                <w:color w:val="auto"/>
                <w:spacing w:val="-6"/>
                <w:kern w:val="21"/>
                <w:szCs w:val="21"/>
              </w:rPr>
              <w:t>分类</w:t>
            </w:r>
          </w:p>
        </w:tc>
        <w:tc>
          <w:tcPr>
            <w:tcW w:w="1417" w:type="dxa"/>
            <w:tcMar>
              <w:left w:w="28" w:type="dxa"/>
              <w:right w:w="28" w:type="dxa"/>
            </w:tcMar>
            <w:vAlign w:val="center"/>
          </w:tcPr>
          <w:p>
            <w:pPr>
              <w:pStyle w:val="46"/>
              <w:spacing w:beforeLines="0" w:afterLines="0" w:line="240" w:lineRule="auto"/>
              <w:ind w:firstLine="0" w:firstLineChars="0"/>
              <w:rPr>
                <w:rFonts w:ascii="Times New Roman" w:eastAsia="黑体"/>
                <w:snapToGrid w:val="0"/>
                <w:color w:val="auto"/>
                <w:spacing w:val="-6"/>
                <w:kern w:val="21"/>
                <w:szCs w:val="21"/>
              </w:rPr>
            </w:pPr>
            <w:r>
              <w:rPr>
                <w:rFonts w:ascii="Times New Roman" w:eastAsia="黑体"/>
                <w:snapToGrid w:val="0"/>
                <w:color w:val="auto"/>
                <w:spacing w:val="-6"/>
                <w:kern w:val="21"/>
                <w:szCs w:val="21"/>
              </w:rPr>
              <w:t>污染物名称</w:t>
            </w:r>
          </w:p>
        </w:tc>
        <w:tc>
          <w:tcPr>
            <w:tcW w:w="1701" w:type="dxa"/>
            <w:tcMar>
              <w:left w:w="28" w:type="dxa"/>
              <w:right w:w="28" w:type="dxa"/>
            </w:tcMar>
            <w:vAlign w:val="center"/>
          </w:tcPr>
          <w:p>
            <w:pPr>
              <w:pStyle w:val="46"/>
              <w:spacing w:beforeLines="0" w:afterLines="0" w:line="240" w:lineRule="auto"/>
              <w:ind w:firstLine="0" w:firstLineChars="0"/>
              <w:rPr>
                <w:rFonts w:ascii="Times New Roman" w:eastAsia="黑体"/>
                <w:snapToGrid w:val="0"/>
                <w:color w:val="auto"/>
                <w:spacing w:val="-6"/>
                <w:kern w:val="21"/>
                <w:szCs w:val="21"/>
              </w:rPr>
            </w:pPr>
            <w:r>
              <w:rPr>
                <w:rFonts w:ascii="Times New Roman" w:eastAsia="黑体"/>
                <w:snapToGrid w:val="0"/>
                <w:color w:val="auto"/>
                <w:spacing w:val="-6"/>
                <w:kern w:val="21"/>
                <w:szCs w:val="21"/>
              </w:rPr>
              <w:t>现有工程</w:t>
            </w:r>
          </w:p>
          <w:p>
            <w:pPr>
              <w:pStyle w:val="46"/>
              <w:spacing w:beforeLines="0" w:afterLines="0" w:line="240" w:lineRule="auto"/>
              <w:ind w:firstLine="0" w:firstLineChars="0"/>
              <w:rPr>
                <w:rFonts w:ascii="Times New Roman" w:eastAsia="黑体"/>
                <w:snapToGrid w:val="0"/>
                <w:color w:val="auto"/>
                <w:spacing w:val="-6"/>
                <w:kern w:val="21"/>
                <w:szCs w:val="21"/>
              </w:rPr>
            </w:pPr>
            <w:r>
              <w:rPr>
                <w:rFonts w:ascii="Times New Roman" w:eastAsia="黑体"/>
                <w:snapToGrid w:val="0"/>
                <w:color w:val="auto"/>
                <w:spacing w:val="-6"/>
                <w:kern w:val="21"/>
                <w:szCs w:val="21"/>
              </w:rPr>
              <w:t>排放量（固体废物产生量）</w:t>
            </w: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1 \* GB3 \* MERGEFORMAT </w:instrText>
            </w:r>
            <w:r>
              <w:rPr>
                <w:rFonts w:ascii="Times New Roman" w:eastAsia="黑体"/>
                <w:snapToGrid w:val="0"/>
                <w:color w:val="auto"/>
                <w:spacing w:val="-6"/>
                <w:kern w:val="21"/>
                <w:szCs w:val="21"/>
              </w:rPr>
              <w:fldChar w:fldCharType="separate"/>
            </w:r>
            <w:r>
              <w:rPr>
                <w:rFonts w:ascii="Times New Roman" w:eastAsia="黑体"/>
                <w:color w:val="auto"/>
                <w:kern w:val="2"/>
                <w:szCs w:val="21"/>
              </w:rPr>
              <w:t>①</w:t>
            </w:r>
            <w:r>
              <w:rPr>
                <w:rFonts w:ascii="Times New Roman" w:eastAsia="黑体"/>
                <w:snapToGrid w:val="0"/>
                <w:color w:val="auto"/>
                <w:spacing w:val="-6"/>
                <w:kern w:val="21"/>
                <w:szCs w:val="21"/>
              </w:rPr>
              <w:fldChar w:fldCharType="end"/>
            </w:r>
          </w:p>
        </w:tc>
        <w:tc>
          <w:tcPr>
            <w:tcW w:w="1276" w:type="dxa"/>
            <w:tcMar>
              <w:left w:w="28" w:type="dxa"/>
              <w:right w:w="28" w:type="dxa"/>
            </w:tcMar>
            <w:vAlign w:val="center"/>
          </w:tcPr>
          <w:p>
            <w:pPr>
              <w:pStyle w:val="46"/>
              <w:spacing w:beforeLines="0" w:afterLines="0" w:line="240" w:lineRule="auto"/>
              <w:ind w:firstLine="0" w:firstLineChars="0"/>
              <w:rPr>
                <w:rFonts w:ascii="Times New Roman" w:eastAsia="黑体"/>
                <w:snapToGrid w:val="0"/>
                <w:color w:val="auto"/>
                <w:spacing w:val="-6"/>
                <w:kern w:val="21"/>
                <w:szCs w:val="21"/>
              </w:rPr>
            </w:pPr>
            <w:r>
              <w:rPr>
                <w:rFonts w:ascii="Times New Roman" w:eastAsia="黑体"/>
                <w:snapToGrid w:val="0"/>
                <w:color w:val="auto"/>
                <w:spacing w:val="-6"/>
                <w:kern w:val="21"/>
                <w:szCs w:val="21"/>
              </w:rPr>
              <w:t>现有工程</w:t>
            </w:r>
          </w:p>
          <w:p>
            <w:pPr>
              <w:pStyle w:val="46"/>
              <w:spacing w:beforeLines="0" w:afterLines="0" w:line="240" w:lineRule="auto"/>
              <w:ind w:firstLine="0" w:firstLineChars="0"/>
              <w:rPr>
                <w:rFonts w:ascii="Times New Roman" w:eastAsia="黑体"/>
                <w:snapToGrid w:val="0"/>
                <w:color w:val="auto"/>
                <w:spacing w:val="-6"/>
                <w:kern w:val="21"/>
                <w:szCs w:val="21"/>
              </w:rPr>
            </w:pPr>
            <w:r>
              <w:rPr>
                <w:rFonts w:ascii="Times New Roman" w:eastAsia="黑体"/>
                <w:snapToGrid w:val="0"/>
                <w:color w:val="auto"/>
                <w:spacing w:val="-6"/>
                <w:kern w:val="21"/>
                <w:szCs w:val="21"/>
              </w:rPr>
              <w:t>许可排放量</w:t>
            </w:r>
          </w:p>
          <w:p>
            <w:pPr>
              <w:pStyle w:val="46"/>
              <w:spacing w:beforeLines="0" w:afterLines="0"/>
              <w:ind w:firstLine="0" w:firstLineChars="0"/>
              <w:rPr>
                <w:rFonts w:ascii="Times New Roman" w:eastAsia="黑体"/>
                <w:snapToGrid w:val="0"/>
                <w:color w:val="auto"/>
                <w:spacing w:val="-6"/>
                <w:kern w:val="21"/>
                <w:szCs w:val="21"/>
              </w:rPr>
            </w:pP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2 \* GB3 \* MERGEFORMAT </w:instrText>
            </w:r>
            <w:r>
              <w:rPr>
                <w:rFonts w:ascii="Times New Roman" w:eastAsia="黑体"/>
                <w:snapToGrid w:val="0"/>
                <w:color w:val="auto"/>
                <w:spacing w:val="-6"/>
                <w:kern w:val="21"/>
                <w:szCs w:val="21"/>
              </w:rPr>
              <w:fldChar w:fldCharType="separate"/>
            </w:r>
            <w:r>
              <w:rPr>
                <w:rFonts w:ascii="Times New Roman" w:eastAsia="黑体"/>
                <w:snapToGrid w:val="0"/>
                <w:color w:val="auto"/>
                <w:spacing w:val="-6"/>
                <w:kern w:val="21"/>
                <w:szCs w:val="21"/>
              </w:rPr>
              <w:t>②</w:t>
            </w:r>
            <w:r>
              <w:rPr>
                <w:rFonts w:ascii="Times New Roman" w:eastAsia="黑体"/>
                <w:snapToGrid w:val="0"/>
                <w:color w:val="auto"/>
                <w:spacing w:val="-6"/>
                <w:kern w:val="21"/>
                <w:szCs w:val="21"/>
              </w:rPr>
              <w:fldChar w:fldCharType="end"/>
            </w:r>
          </w:p>
        </w:tc>
        <w:tc>
          <w:tcPr>
            <w:tcW w:w="1701" w:type="dxa"/>
            <w:tcMar>
              <w:left w:w="28" w:type="dxa"/>
              <w:right w:w="28" w:type="dxa"/>
            </w:tcMar>
            <w:vAlign w:val="center"/>
          </w:tcPr>
          <w:p>
            <w:pPr>
              <w:pStyle w:val="46"/>
              <w:spacing w:beforeLines="0" w:afterLines="0" w:line="240" w:lineRule="auto"/>
              <w:ind w:firstLine="0" w:firstLineChars="0"/>
              <w:rPr>
                <w:rFonts w:ascii="Times New Roman" w:eastAsia="黑体"/>
                <w:snapToGrid w:val="0"/>
                <w:color w:val="auto"/>
                <w:spacing w:val="-6"/>
                <w:kern w:val="21"/>
                <w:szCs w:val="21"/>
              </w:rPr>
            </w:pPr>
            <w:r>
              <w:rPr>
                <w:rFonts w:ascii="Times New Roman" w:eastAsia="黑体"/>
                <w:snapToGrid w:val="0"/>
                <w:color w:val="auto"/>
                <w:spacing w:val="-6"/>
                <w:kern w:val="21"/>
                <w:szCs w:val="21"/>
              </w:rPr>
              <w:t>在建工程</w:t>
            </w:r>
          </w:p>
          <w:p>
            <w:pPr>
              <w:pStyle w:val="46"/>
              <w:spacing w:beforeLines="0" w:afterLines="0" w:line="240" w:lineRule="auto"/>
              <w:ind w:firstLine="0" w:firstLineChars="0"/>
              <w:rPr>
                <w:rFonts w:ascii="Times New Roman" w:eastAsia="黑体"/>
                <w:snapToGrid w:val="0"/>
                <w:color w:val="auto"/>
                <w:spacing w:val="-6"/>
                <w:kern w:val="21"/>
                <w:szCs w:val="21"/>
              </w:rPr>
            </w:pPr>
            <w:r>
              <w:rPr>
                <w:rFonts w:ascii="Times New Roman" w:eastAsia="黑体"/>
                <w:snapToGrid w:val="0"/>
                <w:color w:val="auto"/>
                <w:spacing w:val="-6"/>
                <w:kern w:val="21"/>
                <w:szCs w:val="21"/>
              </w:rPr>
              <w:t>排放量（固体废物产生量）</w:t>
            </w: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3 \* GB3 \* MERGEFORMAT </w:instrText>
            </w:r>
            <w:r>
              <w:rPr>
                <w:rFonts w:ascii="Times New Roman" w:eastAsia="黑体"/>
                <w:snapToGrid w:val="0"/>
                <w:color w:val="auto"/>
                <w:spacing w:val="-6"/>
                <w:kern w:val="21"/>
                <w:szCs w:val="21"/>
              </w:rPr>
              <w:fldChar w:fldCharType="separate"/>
            </w:r>
            <w:r>
              <w:rPr>
                <w:rFonts w:ascii="Times New Roman" w:eastAsia="黑体"/>
                <w:color w:val="auto"/>
                <w:kern w:val="2"/>
                <w:szCs w:val="21"/>
              </w:rPr>
              <w:t>③</w:t>
            </w:r>
            <w:r>
              <w:rPr>
                <w:rFonts w:ascii="Times New Roman" w:eastAsia="黑体"/>
                <w:snapToGrid w:val="0"/>
                <w:color w:val="auto"/>
                <w:spacing w:val="-6"/>
                <w:kern w:val="21"/>
                <w:szCs w:val="21"/>
              </w:rPr>
              <w:fldChar w:fldCharType="end"/>
            </w:r>
          </w:p>
        </w:tc>
        <w:tc>
          <w:tcPr>
            <w:tcW w:w="1559" w:type="dxa"/>
            <w:tcMar>
              <w:left w:w="28" w:type="dxa"/>
              <w:right w:w="28" w:type="dxa"/>
            </w:tcMar>
            <w:vAlign w:val="center"/>
          </w:tcPr>
          <w:p>
            <w:pPr>
              <w:pStyle w:val="46"/>
              <w:spacing w:beforeLines="0" w:afterLines="0" w:line="240" w:lineRule="auto"/>
              <w:ind w:firstLine="0" w:firstLineChars="0"/>
              <w:rPr>
                <w:rFonts w:ascii="Times New Roman" w:eastAsia="黑体"/>
                <w:snapToGrid w:val="0"/>
                <w:color w:val="auto"/>
                <w:spacing w:val="-6"/>
                <w:kern w:val="21"/>
                <w:szCs w:val="21"/>
              </w:rPr>
            </w:pPr>
            <w:r>
              <w:rPr>
                <w:rFonts w:ascii="Times New Roman" w:eastAsia="黑体"/>
                <w:snapToGrid w:val="0"/>
                <w:color w:val="auto"/>
                <w:spacing w:val="-6"/>
                <w:kern w:val="21"/>
                <w:szCs w:val="21"/>
              </w:rPr>
              <w:t>本项目</w:t>
            </w:r>
          </w:p>
          <w:p>
            <w:pPr>
              <w:pStyle w:val="46"/>
              <w:spacing w:beforeLines="0" w:afterLines="0" w:line="240" w:lineRule="auto"/>
              <w:ind w:firstLine="0" w:firstLineChars="0"/>
              <w:rPr>
                <w:rFonts w:ascii="Times New Roman" w:eastAsia="黑体"/>
                <w:snapToGrid w:val="0"/>
                <w:color w:val="auto"/>
                <w:spacing w:val="-6"/>
                <w:kern w:val="21"/>
                <w:szCs w:val="21"/>
              </w:rPr>
            </w:pPr>
            <w:r>
              <w:rPr>
                <w:rFonts w:ascii="Times New Roman" w:eastAsia="黑体"/>
                <w:snapToGrid w:val="0"/>
                <w:color w:val="auto"/>
                <w:spacing w:val="-6"/>
                <w:kern w:val="21"/>
                <w:szCs w:val="21"/>
              </w:rPr>
              <w:t>排放量（固体废物产生量）</w:t>
            </w: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4 \* GB3 \* MERGEFORMAT </w:instrText>
            </w:r>
            <w:r>
              <w:rPr>
                <w:rFonts w:ascii="Times New Roman" w:eastAsia="黑体"/>
                <w:snapToGrid w:val="0"/>
                <w:color w:val="auto"/>
                <w:spacing w:val="-6"/>
                <w:kern w:val="21"/>
                <w:szCs w:val="21"/>
              </w:rPr>
              <w:fldChar w:fldCharType="separate"/>
            </w:r>
            <w:r>
              <w:rPr>
                <w:rFonts w:ascii="Times New Roman" w:eastAsia="黑体"/>
                <w:color w:val="auto"/>
                <w:kern w:val="2"/>
                <w:szCs w:val="21"/>
              </w:rPr>
              <w:t>④</w:t>
            </w:r>
            <w:r>
              <w:rPr>
                <w:rFonts w:ascii="Times New Roman" w:eastAsia="黑体"/>
                <w:snapToGrid w:val="0"/>
                <w:color w:val="auto"/>
                <w:spacing w:val="-6"/>
                <w:kern w:val="21"/>
                <w:szCs w:val="21"/>
              </w:rPr>
              <w:fldChar w:fldCharType="end"/>
            </w:r>
          </w:p>
        </w:tc>
        <w:tc>
          <w:tcPr>
            <w:tcW w:w="1761" w:type="dxa"/>
            <w:tcMar>
              <w:left w:w="28" w:type="dxa"/>
              <w:right w:w="28" w:type="dxa"/>
            </w:tcMar>
            <w:vAlign w:val="center"/>
          </w:tcPr>
          <w:p>
            <w:pPr>
              <w:pStyle w:val="46"/>
              <w:spacing w:beforeLines="0" w:afterLines="0" w:line="240" w:lineRule="auto"/>
              <w:ind w:firstLine="0" w:firstLineChars="0"/>
              <w:rPr>
                <w:rFonts w:ascii="Times New Roman" w:eastAsia="黑体"/>
                <w:snapToGrid w:val="0"/>
                <w:color w:val="auto"/>
                <w:spacing w:val="-16"/>
                <w:kern w:val="21"/>
                <w:szCs w:val="21"/>
              </w:rPr>
            </w:pPr>
            <w:r>
              <w:rPr>
                <w:rFonts w:ascii="Times New Roman" w:eastAsia="黑体"/>
                <w:snapToGrid w:val="0"/>
                <w:color w:val="auto"/>
                <w:spacing w:val="-16"/>
                <w:kern w:val="21"/>
                <w:szCs w:val="21"/>
              </w:rPr>
              <w:t>以新带老削减量</w:t>
            </w:r>
          </w:p>
          <w:p>
            <w:pPr>
              <w:pStyle w:val="46"/>
              <w:spacing w:beforeLines="0" w:afterLines="0" w:line="240" w:lineRule="auto"/>
              <w:ind w:firstLine="0" w:firstLineChars="0"/>
              <w:rPr>
                <w:rFonts w:ascii="Times New Roman" w:eastAsia="黑体"/>
                <w:snapToGrid w:val="0"/>
                <w:color w:val="auto"/>
                <w:spacing w:val="-16"/>
                <w:kern w:val="21"/>
                <w:szCs w:val="21"/>
              </w:rPr>
            </w:pPr>
            <w:r>
              <w:rPr>
                <w:rFonts w:ascii="Times New Roman" w:eastAsia="黑体"/>
                <w:snapToGrid w:val="0"/>
                <w:color w:val="auto"/>
                <w:spacing w:val="-16"/>
                <w:kern w:val="21"/>
                <w:szCs w:val="21"/>
              </w:rPr>
              <w:t>（新建项目不填）</w:t>
            </w:r>
            <w:r>
              <w:rPr>
                <w:rFonts w:ascii="Times New Roman" w:eastAsia="黑体"/>
                <w:snapToGrid w:val="0"/>
                <w:color w:val="auto"/>
                <w:spacing w:val="-16"/>
                <w:kern w:val="21"/>
                <w:szCs w:val="21"/>
              </w:rPr>
              <w:fldChar w:fldCharType="begin"/>
            </w:r>
            <w:r>
              <w:rPr>
                <w:rFonts w:ascii="Times New Roman" w:eastAsia="黑体"/>
                <w:snapToGrid w:val="0"/>
                <w:color w:val="auto"/>
                <w:spacing w:val="-16"/>
                <w:kern w:val="21"/>
                <w:szCs w:val="21"/>
              </w:rPr>
              <w:instrText xml:space="preserve"> = 5 \* GB3 \* MERGEFORMAT </w:instrText>
            </w:r>
            <w:r>
              <w:rPr>
                <w:rFonts w:ascii="Times New Roman" w:eastAsia="黑体"/>
                <w:snapToGrid w:val="0"/>
                <w:color w:val="auto"/>
                <w:spacing w:val="-16"/>
                <w:kern w:val="21"/>
                <w:szCs w:val="21"/>
              </w:rPr>
              <w:fldChar w:fldCharType="separate"/>
            </w:r>
            <w:r>
              <w:rPr>
                <w:rFonts w:ascii="Times New Roman" w:eastAsia="黑体"/>
                <w:color w:val="auto"/>
                <w:kern w:val="2"/>
                <w:szCs w:val="21"/>
              </w:rPr>
              <w:t>⑤</w:t>
            </w:r>
            <w:r>
              <w:rPr>
                <w:rFonts w:ascii="Times New Roman" w:eastAsia="黑体"/>
                <w:snapToGrid w:val="0"/>
                <w:color w:val="auto"/>
                <w:spacing w:val="-16"/>
                <w:kern w:val="21"/>
                <w:szCs w:val="21"/>
              </w:rPr>
              <w:fldChar w:fldCharType="end"/>
            </w:r>
          </w:p>
        </w:tc>
        <w:tc>
          <w:tcPr>
            <w:tcW w:w="1829" w:type="dxa"/>
            <w:tcMar>
              <w:left w:w="28" w:type="dxa"/>
              <w:right w:w="28" w:type="dxa"/>
            </w:tcMar>
            <w:vAlign w:val="center"/>
          </w:tcPr>
          <w:p>
            <w:pPr>
              <w:pStyle w:val="46"/>
              <w:spacing w:beforeLines="0" w:afterLines="0" w:line="240" w:lineRule="auto"/>
              <w:ind w:firstLine="0" w:firstLineChars="0"/>
              <w:rPr>
                <w:rFonts w:ascii="Times New Roman" w:eastAsia="黑体"/>
                <w:snapToGrid w:val="0"/>
                <w:color w:val="auto"/>
                <w:spacing w:val="-16"/>
                <w:kern w:val="21"/>
                <w:szCs w:val="21"/>
              </w:rPr>
            </w:pPr>
            <w:r>
              <w:rPr>
                <w:rFonts w:ascii="Times New Roman" w:eastAsia="黑体"/>
                <w:snapToGrid w:val="0"/>
                <w:color w:val="auto"/>
                <w:spacing w:val="-16"/>
                <w:kern w:val="21"/>
                <w:szCs w:val="21"/>
              </w:rPr>
              <w:t>本项目建成后</w:t>
            </w:r>
          </w:p>
          <w:p>
            <w:pPr>
              <w:pStyle w:val="46"/>
              <w:spacing w:beforeLines="0" w:afterLines="0" w:line="240" w:lineRule="auto"/>
              <w:ind w:firstLine="0" w:firstLineChars="0"/>
              <w:rPr>
                <w:rFonts w:ascii="Times New Roman" w:eastAsia="黑体"/>
                <w:snapToGrid w:val="0"/>
                <w:color w:val="auto"/>
                <w:spacing w:val="-16"/>
                <w:kern w:val="21"/>
                <w:szCs w:val="21"/>
              </w:rPr>
            </w:pPr>
            <w:r>
              <w:rPr>
                <w:rFonts w:ascii="Times New Roman" w:eastAsia="黑体"/>
                <w:snapToGrid w:val="0"/>
                <w:color w:val="auto"/>
                <w:spacing w:val="-16"/>
                <w:kern w:val="21"/>
                <w:szCs w:val="21"/>
              </w:rPr>
              <w:t>全厂排放量（固体废物产生量）</w:t>
            </w:r>
            <w:r>
              <w:rPr>
                <w:rFonts w:ascii="Times New Roman" w:eastAsia="黑体"/>
                <w:snapToGrid w:val="0"/>
                <w:color w:val="auto"/>
                <w:spacing w:val="-16"/>
                <w:kern w:val="21"/>
                <w:szCs w:val="21"/>
              </w:rPr>
              <w:fldChar w:fldCharType="begin"/>
            </w:r>
            <w:r>
              <w:rPr>
                <w:rFonts w:ascii="Times New Roman" w:eastAsia="黑体"/>
                <w:snapToGrid w:val="0"/>
                <w:color w:val="auto"/>
                <w:spacing w:val="-16"/>
                <w:kern w:val="21"/>
                <w:szCs w:val="21"/>
              </w:rPr>
              <w:instrText xml:space="preserve"> = 6 \* GB3 \* MERGEFORMAT </w:instrText>
            </w:r>
            <w:r>
              <w:rPr>
                <w:rFonts w:ascii="Times New Roman" w:eastAsia="黑体"/>
                <w:snapToGrid w:val="0"/>
                <w:color w:val="auto"/>
                <w:spacing w:val="-16"/>
                <w:kern w:val="21"/>
                <w:szCs w:val="21"/>
              </w:rPr>
              <w:fldChar w:fldCharType="separate"/>
            </w:r>
            <w:r>
              <w:rPr>
                <w:rFonts w:ascii="Times New Roman" w:eastAsia="黑体"/>
                <w:color w:val="auto"/>
                <w:kern w:val="2"/>
                <w:szCs w:val="21"/>
              </w:rPr>
              <w:t>⑥</w:t>
            </w:r>
            <w:r>
              <w:rPr>
                <w:rFonts w:ascii="Times New Roman" w:eastAsia="黑体"/>
                <w:snapToGrid w:val="0"/>
                <w:color w:val="auto"/>
                <w:spacing w:val="-16"/>
                <w:kern w:val="21"/>
                <w:szCs w:val="21"/>
              </w:rPr>
              <w:fldChar w:fldCharType="end"/>
            </w:r>
          </w:p>
        </w:tc>
        <w:tc>
          <w:tcPr>
            <w:tcW w:w="956" w:type="dxa"/>
            <w:tcMar>
              <w:left w:w="28" w:type="dxa"/>
              <w:right w:w="28" w:type="dxa"/>
            </w:tcMar>
            <w:vAlign w:val="center"/>
          </w:tcPr>
          <w:p>
            <w:pPr>
              <w:pStyle w:val="46"/>
              <w:spacing w:beforeLines="0" w:afterLines="0" w:line="240" w:lineRule="auto"/>
              <w:ind w:firstLine="0" w:firstLineChars="0"/>
              <w:rPr>
                <w:rFonts w:ascii="Times New Roman" w:eastAsia="黑体"/>
                <w:snapToGrid w:val="0"/>
                <w:color w:val="auto"/>
                <w:spacing w:val="-6"/>
                <w:kern w:val="21"/>
                <w:szCs w:val="21"/>
              </w:rPr>
            </w:pPr>
            <w:r>
              <w:rPr>
                <w:rFonts w:ascii="Times New Roman" w:eastAsia="黑体"/>
                <w:snapToGrid w:val="0"/>
                <w:color w:val="auto"/>
                <w:spacing w:val="-6"/>
                <w:kern w:val="21"/>
                <w:szCs w:val="21"/>
              </w:rPr>
              <w:t>变化量</w:t>
            </w:r>
          </w:p>
          <w:p>
            <w:pPr>
              <w:pStyle w:val="46"/>
              <w:spacing w:beforeLines="0" w:afterLines="0" w:line="240" w:lineRule="auto"/>
              <w:ind w:firstLine="0" w:firstLineChars="0"/>
              <w:rPr>
                <w:rFonts w:ascii="Times New Roman" w:eastAsia="黑体"/>
                <w:snapToGrid w:val="0"/>
                <w:color w:val="auto"/>
                <w:spacing w:val="-6"/>
                <w:kern w:val="21"/>
                <w:szCs w:val="21"/>
              </w:rPr>
            </w:pP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7 \* GB3 \* MERGEFORMAT </w:instrText>
            </w:r>
            <w:r>
              <w:rPr>
                <w:rFonts w:ascii="Times New Roman" w:eastAsia="黑体"/>
                <w:snapToGrid w:val="0"/>
                <w:color w:val="auto"/>
                <w:spacing w:val="-6"/>
                <w:kern w:val="21"/>
                <w:szCs w:val="21"/>
              </w:rPr>
              <w:fldChar w:fldCharType="separate"/>
            </w:r>
            <w:r>
              <w:rPr>
                <w:rFonts w:ascii="Times New Roman" w:eastAsia="黑体"/>
                <w:color w:val="auto"/>
                <w:kern w:val="2"/>
                <w:szCs w:val="21"/>
              </w:rPr>
              <w:t>⑦</w:t>
            </w:r>
            <w:r>
              <w:rPr>
                <w:rFonts w:ascii="Times New Roman" w:eastAsia="黑体"/>
                <w:snapToGrid w:val="0"/>
                <w:color w:val="auto"/>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pPr>
              <w:pStyle w:val="46"/>
              <w:spacing w:beforeLines="0" w:afterLines="0" w:line="240" w:lineRule="auto"/>
              <w:ind w:firstLine="0" w:firstLineChars="0"/>
              <w:rPr>
                <w:rFonts w:ascii="Times New Roman"/>
                <w:snapToGrid w:val="0"/>
                <w:color w:val="auto"/>
                <w:kern w:val="21"/>
                <w:szCs w:val="21"/>
              </w:rPr>
            </w:pPr>
            <w:r>
              <w:rPr>
                <w:rFonts w:ascii="Times New Roman"/>
                <w:snapToGrid w:val="0"/>
                <w:color w:val="auto"/>
                <w:kern w:val="21"/>
                <w:szCs w:val="21"/>
              </w:rPr>
              <w:t>废气</w:t>
            </w:r>
          </w:p>
        </w:tc>
        <w:tc>
          <w:tcPr>
            <w:tcW w:w="1417"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颗粒物</w:t>
            </w:r>
          </w:p>
        </w:tc>
        <w:tc>
          <w:tcPr>
            <w:tcW w:w="1701" w:type="dxa"/>
            <w:vAlign w:val="center"/>
          </w:tcPr>
          <w:p>
            <w:pPr>
              <w:pStyle w:val="46"/>
              <w:spacing w:beforeLines="0" w:afterLines="0" w:line="240" w:lineRule="auto"/>
              <w:ind w:firstLine="0" w:firstLineChars="0"/>
              <w:rPr>
                <w:rFonts w:ascii="Times New Roman"/>
                <w:snapToGrid w:val="0"/>
                <w:color w:val="auto"/>
                <w:kern w:val="21"/>
                <w:szCs w:val="21"/>
              </w:rPr>
            </w:pPr>
            <w:r>
              <w:rPr>
                <w:rFonts w:ascii="Times New Roman"/>
                <w:snapToGrid w:val="0"/>
                <w:color w:val="auto"/>
                <w:kern w:val="21"/>
                <w:szCs w:val="21"/>
              </w:rPr>
              <w:t>6.27</w:t>
            </w:r>
            <w:r>
              <w:rPr>
                <w:rFonts w:hint="eastAsia" w:ascii="Times New Roman"/>
                <w:snapToGrid w:val="0"/>
                <w:color w:val="auto"/>
                <w:kern w:val="21"/>
                <w:szCs w:val="21"/>
              </w:rPr>
              <w:t>t/a</w:t>
            </w:r>
          </w:p>
        </w:tc>
        <w:tc>
          <w:tcPr>
            <w:tcW w:w="1276"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70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559"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5.00t/a</w:t>
            </w:r>
          </w:p>
        </w:tc>
        <w:tc>
          <w:tcPr>
            <w:tcW w:w="176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829"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11.27t/a</w:t>
            </w:r>
          </w:p>
        </w:tc>
        <w:tc>
          <w:tcPr>
            <w:tcW w:w="956"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+5.00t/a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46"/>
              <w:spacing w:beforeLines="0" w:afterLines="0" w:line="240" w:lineRule="auto"/>
              <w:ind w:firstLine="0" w:firstLineChars="0"/>
              <w:rPr>
                <w:rFonts w:ascii="Times New Roman"/>
                <w:snapToGrid w:val="0"/>
                <w:color w:val="auto"/>
                <w:kern w:val="21"/>
                <w:szCs w:val="21"/>
              </w:rPr>
            </w:pPr>
          </w:p>
        </w:tc>
        <w:tc>
          <w:tcPr>
            <w:tcW w:w="1417"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二氧化硫</w:t>
            </w:r>
          </w:p>
        </w:tc>
        <w:tc>
          <w:tcPr>
            <w:tcW w:w="1701"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w:t>
            </w:r>
          </w:p>
        </w:tc>
        <w:tc>
          <w:tcPr>
            <w:tcW w:w="1276"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70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559"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3.51t/a</w:t>
            </w:r>
          </w:p>
        </w:tc>
        <w:tc>
          <w:tcPr>
            <w:tcW w:w="176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829"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3.51t/a</w:t>
            </w:r>
          </w:p>
        </w:tc>
        <w:tc>
          <w:tcPr>
            <w:tcW w:w="956"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+3.51t/aa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46"/>
              <w:spacing w:beforeLines="0" w:afterLines="0" w:line="240" w:lineRule="auto"/>
              <w:ind w:firstLine="0" w:firstLineChars="0"/>
              <w:rPr>
                <w:rFonts w:ascii="Times New Roman"/>
                <w:snapToGrid w:val="0"/>
                <w:color w:val="auto"/>
                <w:kern w:val="21"/>
                <w:szCs w:val="21"/>
              </w:rPr>
            </w:pPr>
          </w:p>
        </w:tc>
        <w:tc>
          <w:tcPr>
            <w:tcW w:w="1417"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氮氧化物</w:t>
            </w:r>
          </w:p>
        </w:tc>
        <w:tc>
          <w:tcPr>
            <w:tcW w:w="1701"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w:t>
            </w:r>
          </w:p>
        </w:tc>
        <w:tc>
          <w:tcPr>
            <w:tcW w:w="1276"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70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559"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5.32t/a</w:t>
            </w:r>
          </w:p>
        </w:tc>
        <w:tc>
          <w:tcPr>
            <w:tcW w:w="176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829"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5.32t/a</w:t>
            </w:r>
          </w:p>
        </w:tc>
        <w:tc>
          <w:tcPr>
            <w:tcW w:w="956"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+5.32t/a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588" w:type="dxa"/>
            <w:vAlign w:val="center"/>
          </w:tcPr>
          <w:p>
            <w:pPr>
              <w:pStyle w:val="46"/>
              <w:spacing w:beforeLines="0" w:afterLines="0" w:line="240" w:lineRule="auto"/>
              <w:ind w:firstLine="0" w:firstLineChars="0"/>
              <w:rPr>
                <w:rFonts w:ascii="Times New Roman"/>
                <w:snapToGrid w:val="0"/>
                <w:color w:val="auto"/>
                <w:kern w:val="21"/>
                <w:szCs w:val="21"/>
              </w:rPr>
            </w:pPr>
            <w:r>
              <w:rPr>
                <w:rFonts w:ascii="Times New Roman"/>
                <w:snapToGrid w:val="0"/>
                <w:color w:val="auto"/>
                <w:kern w:val="21"/>
                <w:szCs w:val="21"/>
              </w:rPr>
              <w:t>废水</w:t>
            </w:r>
          </w:p>
        </w:tc>
        <w:tc>
          <w:tcPr>
            <w:tcW w:w="1417"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w:t>
            </w:r>
          </w:p>
        </w:tc>
        <w:tc>
          <w:tcPr>
            <w:tcW w:w="170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276"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70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559"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w:t>
            </w:r>
          </w:p>
        </w:tc>
        <w:tc>
          <w:tcPr>
            <w:tcW w:w="176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829"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w:t>
            </w:r>
          </w:p>
        </w:tc>
        <w:tc>
          <w:tcPr>
            <w:tcW w:w="956"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1588" w:type="dxa"/>
            <w:vMerge w:val="restart"/>
            <w:vAlign w:val="center"/>
          </w:tcPr>
          <w:p>
            <w:pPr>
              <w:pStyle w:val="46"/>
              <w:spacing w:beforeLines="0" w:afterLines="0" w:line="240" w:lineRule="auto"/>
              <w:ind w:firstLine="0" w:firstLineChars="0"/>
              <w:rPr>
                <w:rFonts w:ascii="Times New Roman"/>
                <w:snapToGrid w:val="0"/>
                <w:color w:val="auto"/>
                <w:kern w:val="21"/>
                <w:szCs w:val="21"/>
              </w:rPr>
            </w:pPr>
            <w:r>
              <w:rPr>
                <w:rFonts w:ascii="Times New Roman"/>
                <w:snapToGrid w:val="0"/>
                <w:color w:val="auto"/>
                <w:kern w:val="21"/>
                <w:szCs w:val="21"/>
              </w:rPr>
              <w:t>一般固废</w:t>
            </w:r>
          </w:p>
        </w:tc>
        <w:tc>
          <w:tcPr>
            <w:tcW w:w="1417"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color w:val="auto"/>
              </w:rPr>
              <w:t>废离子交换树脂</w:t>
            </w:r>
          </w:p>
        </w:tc>
        <w:tc>
          <w:tcPr>
            <w:tcW w:w="1701" w:type="dxa"/>
          </w:tcPr>
          <w:p>
            <w:pPr>
              <w:spacing w:line="240" w:lineRule="auto"/>
              <w:ind w:firstLine="0" w:firstLineChars="0"/>
              <w:jc w:val="center"/>
              <w:rPr>
                <w:snapToGrid w:val="0"/>
                <w:color w:val="auto"/>
                <w:kern w:val="21"/>
                <w:szCs w:val="21"/>
              </w:rPr>
            </w:pPr>
            <w:r>
              <w:rPr>
                <w:rFonts w:hint="eastAsia"/>
                <w:color w:val="auto"/>
              </w:rPr>
              <w:t>0</w:t>
            </w:r>
          </w:p>
        </w:tc>
        <w:tc>
          <w:tcPr>
            <w:tcW w:w="1276"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70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559" w:type="dxa"/>
          </w:tcPr>
          <w:p>
            <w:pPr>
              <w:spacing w:line="240" w:lineRule="auto"/>
              <w:ind w:firstLine="0" w:firstLineChars="0"/>
              <w:jc w:val="center"/>
              <w:rPr>
                <w:snapToGrid w:val="0"/>
                <w:color w:val="auto"/>
                <w:kern w:val="21"/>
                <w:szCs w:val="21"/>
              </w:rPr>
            </w:pPr>
            <w:r>
              <w:rPr>
                <w:rFonts w:hint="eastAsia"/>
                <w:color w:val="auto"/>
              </w:rPr>
              <w:t>0.1t/a</w:t>
            </w:r>
          </w:p>
        </w:tc>
        <w:tc>
          <w:tcPr>
            <w:tcW w:w="176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829"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0.1t/a</w:t>
            </w:r>
          </w:p>
        </w:tc>
        <w:tc>
          <w:tcPr>
            <w:tcW w:w="956"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1588" w:type="dxa"/>
            <w:vMerge w:val="continue"/>
            <w:vAlign w:val="center"/>
          </w:tcPr>
          <w:p>
            <w:pPr>
              <w:pStyle w:val="46"/>
              <w:spacing w:beforeLines="0" w:afterLines="0" w:line="240" w:lineRule="auto"/>
              <w:ind w:firstLine="0" w:firstLineChars="0"/>
              <w:rPr>
                <w:rFonts w:ascii="Times New Roman"/>
                <w:snapToGrid w:val="0"/>
                <w:color w:val="auto"/>
                <w:kern w:val="21"/>
                <w:szCs w:val="21"/>
              </w:rPr>
            </w:pPr>
          </w:p>
        </w:tc>
        <w:tc>
          <w:tcPr>
            <w:tcW w:w="1417" w:type="dxa"/>
            <w:vAlign w:val="center"/>
          </w:tcPr>
          <w:p>
            <w:pPr>
              <w:pStyle w:val="46"/>
              <w:spacing w:beforeLines="0" w:afterLines="0" w:line="240" w:lineRule="auto"/>
              <w:ind w:firstLine="0" w:firstLineChars="0"/>
              <w:rPr>
                <w:color w:val="auto"/>
              </w:rPr>
            </w:pPr>
            <w:r>
              <w:rPr>
                <w:rFonts w:hint="eastAsia"/>
                <w:color w:val="auto"/>
              </w:rPr>
              <w:t>废滤料</w:t>
            </w:r>
          </w:p>
        </w:tc>
        <w:tc>
          <w:tcPr>
            <w:tcW w:w="1701" w:type="dxa"/>
          </w:tcPr>
          <w:p>
            <w:pPr>
              <w:spacing w:line="240" w:lineRule="auto"/>
              <w:ind w:firstLine="0" w:firstLineChars="0"/>
              <w:jc w:val="center"/>
              <w:rPr>
                <w:color w:val="auto"/>
              </w:rPr>
            </w:pPr>
            <w:r>
              <w:rPr>
                <w:rFonts w:hint="eastAsia"/>
                <w:color w:val="auto"/>
              </w:rPr>
              <w:t>0</w:t>
            </w:r>
          </w:p>
        </w:tc>
        <w:tc>
          <w:tcPr>
            <w:tcW w:w="1276"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70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559" w:type="dxa"/>
          </w:tcPr>
          <w:p>
            <w:pPr>
              <w:spacing w:line="240" w:lineRule="auto"/>
              <w:ind w:firstLine="0" w:firstLineChars="0"/>
              <w:jc w:val="center"/>
              <w:rPr>
                <w:color w:val="auto"/>
              </w:rPr>
            </w:pPr>
            <w:r>
              <w:rPr>
                <w:rFonts w:hint="eastAsia"/>
                <w:color w:val="auto"/>
              </w:rPr>
              <w:t>4.55t/a</w:t>
            </w:r>
          </w:p>
        </w:tc>
        <w:tc>
          <w:tcPr>
            <w:tcW w:w="176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829"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4.55t/a</w:t>
            </w:r>
          </w:p>
        </w:tc>
        <w:tc>
          <w:tcPr>
            <w:tcW w:w="956"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+4.55t/a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8" w:type="dxa"/>
            <w:vMerge w:val="continue"/>
            <w:vAlign w:val="center"/>
          </w:tcPr>
          <w:p>
            <w:pPr>
              <w:pStyle w:val="46"/>
              <w:spacing w:beforeLines="0" w:afterLines="0" w:line="240" w:lineRule="auto"/>
              <w:ind w:firstLine="0" w:firstLineChars="0"/>
              <w:rPr>
                <w:rFonts w:ascii="Times New Roman"/>
                <w:snapToGrid w:val="0"/>
                <w:color w:val="auto"/>
                <w:kern w:val="21"/>
                <w:szCs w:val="21"/>
              </w:rPr>
            </w:pPr>
          </w:p>
        </w:tc>
        <w:tc>
          <w:tcPr>
            <w:tcW w:w="1417" w:type="dxa"/>
            <w:vAlign w:val="center"/>
          </w:tcPr>
          <w:p>
            <w:pPr>
              <w:pStyle w:val="46"/>
              <w:spacing w:beforeLines="0" w:afterLines="0" w:line="240" w:lineRule="auto"/>
              <w:ind w:firstLine="0" w:firstLineChars="0"/>
              <w:rPr>
                <w:color w:val="auto"/>
              </w:rPr>
            </w:pPr>
            <w:r>
              <w:rPr>
                <w:rFonts w:hint="eastAsia"/>
                <w:color w:val="auto"/>
              </w:rPr>
              <w:t>废反渗透膜</w:t>
            </w:r>
          </w:p>
        </w:tc>
        <w:tc>
          <w:tcPr>
            <w:tcW w:w="1701" w:type="dxa"/>
          </w:tcPr>
          <w:p>
            <w:pPr>
              <w:spacing w:line="240" w:lineRule="auto"/>
              <w:ind w:firstLine="0" w:firstLineChars="0"/>
              <w:jc w:val="center"/>
              <w:rPr>
                <w:color w:val="auto"/>
              </w:rPr>
            </w:pPr>
            <w:r>
              <w:rPr>
                <w:rFonts w:hint="eastAsia"/>
                <w:color w:val="auto"/>
              </w:rPr>
              <w:t>0</w:t>
            </w:r>
          </w:p>
        </w:tc>
        <w:tc>
          <w:tcPr>
            <w:tcW w:w="1276"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70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559" w:type="dxa"/>
          </w:tcPr>
          <w:p>
            <w:pPr>
              <w:spacing w:line="240" w:lineRule="auto"/>
              <w:ind w:firstLine="0" w:firstLineChars="0"/>
              <w:jc w:val="center"/>
              <w:rPr>
                <w:color w:val="auto"/>
              </w:rPr>
            </w:pPr>
            <w:r>
              <w:rPr>
                <w:color w:val="auto"/>
              </w:rPr>
              <w:t>0.12t/3a</w:t>
            </w:r>
          </w:p>
        </w:tc>
        <w:tc>
          <w:tcPr>
            <w:tcW w:w="176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829"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0.12t/3a</w:t>
            </w:r>
          </w:p>
        </w:tc>
        <w:tc>
          <w:tcPr>
            <w:tcW w:w="956"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+0.12t/3a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1588" w:type="dxa"/>
            <w:vMerge w:val="continue"/>
            <w:vAlign w:val="center"/>
          </w:tcPr>
          <w:p>
            <w:pPr>
              <w:pStyle w:val="46"/>
              <w:spacing w:beforeLines="0" w:afterLines="0" w:line="240" w:lineRule="auto"/>
              <w:ind w:firstLine="0" w:firstLineChars="0"/>
              <w:rPr>
                <w:rFonts w:ascii="Times New Roman"/>
                <w:snapToGrid w:val="0"/>
                <w:color w:val="auto"/>
                <w:kern w:val="21"/>
                <w:szCs w:val="21"/>
              </w:rPr>
            </w:pPr>
          </w:p>
        </w:tc>
        <w:tc>
          <w:tcPr>
            <w:tcW w:w="1417" w:type="dxa"/>
            <w:vAlign w:val="center"/>
          </w:tcPr>
          <w:p>
            <w:pPr>
              <w:pStyle w:val="46"/>
              <w:spacing w:beforeLines="0" w:afterLines="0" w:line="240" w:lineRule="auto"/>
              <w:ind w:firstLine="0" w:firstLineChars="0"/>
              <w:rPr>
                <w:color w:val="auto"/>
              </w:rPr>
            </w:pPr>
            <w:r>
              <w:rPr>
                <w:rFonts w:hint="eastAsia"/>
                <w:color w:val="auto"/>
              </w:rPr>
              <w:t>废超滤膜</w:t>
            </w:r>
          </w:p>
        </w:tc>
        <w:tc>
          <w:tcPr>
            <w:tcW w:w="1701" w:type="dxa"/>
          </w:tcPr>
          <w:p>
            <w:pPr>
              <w:spacing w:line="240" w:lineRule="auto"/>
              <w:ind w:firstLine="0" w:firstLineChars="0"/>
              <w:jc w:val="center"/>
              <w:rPr>
                <w:color w:val="auto"/>
              </w:rPr>
            </w:pPr>
            <w:r>
              <w:rPr>
                <w:rFonts w:hint="eastAsia"/>
                <w:color w:val="auto"/>
              </w:rPr>
              <w:t>0</w:t>
            </w:r>
          </w:p>
        </w:tc>
        <w:tc>
          <w:tcPr>
            <w:tcW w:w="1276"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70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559" w:type="dxa"/>
          </w:tcPr>
          <w:p>
            <w:pPr>
              <w:spacing w:line="240" w:lineRule="auto"/>
              <w:ind w:firstLine="0" w:firstLineChars="0"/>
              <w:jc w:val="center"/>
              <w:rPr>
                <w:color w:val="auto"/>
              </w:rPr>
            </w:pPr>
            <w:r>
              <w:rPr>
                <w:color w:val="auto"/>
              </w:rPr>
              <w:t>1.05t/3a</w:t>
            </w:r>
          </w:p>
        </w:tc>
        <w:tc>
          <w:tcPr>
            <w:tcW w:w="176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829" w:type="dxa"/>
            <w:vAlign w:val="center"/>
          </w:tcPr>
          <w:p>
            <w:pPr>
              <w:spacing w:line="240" w:lineRule="auto"/>
              <w:ind w:firstLine="0" w:firstLineChars="0"/>
              <w:jc w:val="center"/>
              <w:rPr>
                <w:snapToGrid w:val="0"/>
                <w:color w:val="auto"/>
                <w:kern w:val="21"/>
                <w:szCs w:val="21"/>
              </w:rPr>
            </w:pPr>
            <w:r>
              <w:rPr>
                <w:color w:val="auto"/>
              </w:rPr>
              <w:t>1.05t/3a</w:t>
            </w:r>
          </w:p>
        </w:tc>
        <w:tc>
          <w:tcPr>
            <w:tcW w:w="956"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+1.05t/3a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1588" w:type="dxa"/>
            <w:vMerge w:val="continue"/>
            <w:vAlign w:val="center"/>
          </w:tcPr>
          <w:p>
            <w:pPr>
              <w:pStyle w:val="46"/>
              <w:spacing w:beforeLines="0" w:afterLines="0" w:line="240" w:lineRule="auto"/>
              <w:ind w:firstLine="0" w:firstLineChars="0"/>
              <w:rPr>
                <w:rFonts w:ascii="Times New Roman"/>
                <w:snapToGrid w:val="0"/>
                <w:color w:val="auto"/>
                <w:kern w:val="21"/>
                <w:szCs w:val="21"/>
              </w:rPr>
            </w:pPr>
          </w:p>
        </w:tc>
        <w:tc>
          <w:tcPr>
            <w:tcW w:w="1417" w:type="dxa"/>
            <w:vAlign w:val="center"/>
          </w:tcPr>
          <w:p>
            <w:pPr>
              <w:pStyle w:val="46"/>
              <w:spacing w:beforeLines="0" w:afterLines="0" w:line="240" w:lineRule="auto"/>
              <w:ind w:firstLine="0" w:firstLineChars="0"/>
              <w:rPr>
                <w:color w:val="auto"/>
              </w:rPr>
            </w:pPr>
            <w:r>
              <w:rPr>
                <w:rFonts w:hint="eastAsia"/>
                <w:color w:val="auto"/>
              </w:rPr>
              <w:t>污泥</w:t>
            </w:r>
          </w:p>
        </w:tc>
        <w:tc>
          <w:tcPr>
            <w:tcW w:w="1701" w:type="dxa"/>
          </w:tcPr>
          <w:p>
            <w:pPr>
              <w:spacing w:line="240" w:lineRule="auto"/>
              <w:ind w:firstLine="0" w:firstLineChars="0"/>
              <w:jc w:val="center"/>
              <w:rPr>
                <w:color w:val="auto"/>
              </w:rPr>
            </w:pPr>
            <w:r>
              <w:rPr>
                <w:rFonts w:hint="eastAsia"/>
                <w:color w:val="auto"/>
              </w:rPr>
              <w:t>0</w:t>
            </w:r>
          </w:p>
        </w:tc>
        <w:tc>
          <w:tcPr>
            <w:tcW w:w="1276"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70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559" w:type="dxa"/>
          </w:tcPr>
          <w:p>
            <w:pPr>
              <w:spacing w:line="240" w:lineRule="auto"/>
              <w:ind w:firstLine="0" w:firstLineChars="0"/>
              <w:jc w:val="center"/>
              <w:rPr>
                <w:color w:val="auto"/>
              </w:rPr>
            </w:pPr>
            <w:r>
              <w:rPr>
                <w:rFonts w:hint="eastAsia"/>
                <w:color w:val="auto"/>
              </w:rPr>
              <w:t>0.1t/a</w:t>
            </w:r>
          </w:p>
        </w:tc>
        <w:tc>
          <w:tcPr>
            <w:tcW w:w="176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829"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0.1t/a</w:t>
            </w:r>
          </w:p>
        </w:tc>
        <w:tc>
          <w:tcPr>
            <w:tcW w:w="956"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1588" w:type="dxa"/>
            <w:vMerge w:val="continue"/>
            <w:vAlign w:val="center"/>
          </w:tcPr>
          <w:p>
            <w:pPr>
              <w:pStyle w:val="46"/>
              <w:spacing w:beforeLines="0" w:afterLines="0" w:line="240" w:lineRule="auto"/>
              <w:ind w:firstLine="0" w:firstLineChars="0"/>
              <w:rPr>
                <w:rFonts w:ascii="Times New Roman"/>
                <w:snapToGrid w:val="0"/>
                <w:color w:val="auto"/>
                <w:kern w:val="21"/>
                <w:szCs w:val="21"/>
              </w:rPr>
            </w:pPr>
          </w:p>
        </w:tc>
        <w:tc>
          <w:tcPr>
            <w:tcW w:w="1417" w:type="dxa"/>
          </w:tcPr>
          <w:p>
            <w:pPr>
              <w:spacing w:line="240" w:lineRule="auto"/>
              <w:ind w:firstLine="0" w:firstLineChars="0"/>
              <w:jc w:val="center"/>
              <w:rPr>
                <w:color w:val="auto"/>
              </w:rPr>
            </w:pPr>
            <w:r>
              <w:rPr>
                <w:color w:val="auto"/>
              </w:rPr>
              <w:t>初期雨水沉淀池底泥</w:t>
            </w:r>
          </w:p>
        </w:tc>
        <w:tc>
          <w:tcPr>
            <w:tcW w:w="1701" w:type="dxa"/>
          </w:tcPr>
          <w:p>
            <w:pPr>
              <w:spacing w:line="240" w:lineRule="auto"/>
              <w:ind w:firstLine="0" w:firstLineChars="0"/>
              <w:jc w:val="center"/>
              <w:rPr>
                <w:color w:val="auto"/>
              </w:rPr>
            </w:pPr>
            <w:r>
              <w:rPr>
                <w:rFonts w:hint="eastAsia"/>
                <w:color w:val="auto"/>
              </w:rPr>
              <w:t>0.5</w:t>
            </w:r>
            <w:r>
              <w:rPr>
                <w:rFonts w:hint="eastAsia"/>
                <w:snapToGrid w:val="0"/>
                <w:color w:val="auto"/>
                <w:kern w:val="21"/>
                <w:szCs w:val="21"/>
              </w:rPr>
              <w:t>t/a</w:t>
            </w:r>
          </w:p>
        </w:tc>
        <w:tc>
          <w:tcPr>
            <w:tcW w:w="1276"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70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559" w:type="dxa"/>
          </w:tcPr>
          <w:p>
            <w:pPr>
              <w:spacing w:line="240" w:lineRule="auto"/>
              <w:ind w:firstLine="0" w:firstLineChars="0"/>
              <w:jc w:val="center"/>
              <w:rPr>
                <w:color w:val="auto"/>
              </w:rPr>
            </w:pPr>
            <w:r>
              <w:rPr>
                <w:rFonts w:hint="eastAsia"/>
                <w:color w:val="auto"/>
              </w:rPr>
              <w:t>0</w:t>
            </w:r>
          </w:p>
        </w:tc>
        <w:tc>
          <w:tcPr>
            <w:tcW w:w="176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829"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0.5t/a</w:t>
            </w:r>
          </w:p>
        </w:tc>
        <w:tc>
          <w:tcPr>
            <w:tcW w:w="956"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color w:val="auto"/>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1588" w:type="dxa"/>
            <w:vMerge w:val="continue"/>
            <w:vAlign w:val="center"/>
          </w:tcPr>
          <w:p>
            <w:pPr>
              <w:pStyle w:val="46"/>
              <w:spacing w:beforeLines="0" w:afterLines="0" w:line="240" w:lineRule="auto"/>
              <w:ind w:firstLine="0" w:firstLineChars="0"/>
              <w:rPr>
                <w:rFonts w:ascii="Times New Roman"/>
                <w:snapToGrid w:val="0"/>
                <w:color w:val="auto"/>
                <w:kern w:val="21"/>
                <w:szCs w:val="21"/>
              </w:rPr>
            </w:pPr>
          </w:p>
        </w:tc>
        <w:tc>
          <w:tcPr>
            <w:tcW w:w="1417" w:type="dxa"/>
          </w:tcPr>
          <w:p>
            <w:pPr>
              <w:spacing w:line="240" w:lineRule="auto"/>
              <w:ind w:firstLine="0" w:firstLineChars="0"/>
              <w:jc w:val="center"/>
              <w:rPr>
                <w:color w:val="auto"/>
              </w:rPr>
            </w:pPr>
            <w:r>
              <w:rPr>
                <w:color w:val="auto"/>
              </w:rPr>
              <w:t>循环水池沉淀池底泥</w:t>
            </w:r>
          </w:p>
        </w:tc>
        <w:tc>
          <w:tcPr>
            <w:tcW w:w="1701" w:type="dxa"/>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1.5t/a</w:t>
            </w:r>
          </w:p>
        </w:tc>
        <w:tc>
          <w:tcPr>
            <w:tcW w:w="1276"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70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559" w:type="dxa"/>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w:t>
            </w:r>
          </w:p>
        </w:tc>
        <w:tc>
          <w:tcPr>
            <w:tcW w:w="176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829"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1.5t/a</w:t>
            </w:r>
          </w:p>
        </w:tc>
        <w:tc>
          <w:tcPr>
            <w:tcW w:w="956"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1588" w:type="dxa"/>
            <w:vMerge w:val="continue"/>
            <w:vAlign w:val="center"/>
          </w:tcPr>
          <w:p>
            <w:pPr>
              <w:pStyle w:val="46"/>
              <w:spacing w:beforeLines="0" w:afterLines="0" w:line="240" w:lineRule="auto"/>
              <w:ind w:firstLine="0" w:firstLineChars="0"/>
              <w:rPr>
                <w:rFonts w:ascii="Times New Roman"/>
                <w:snapToGrid w:val="0"/>
                <w:color w:val="auto"/>
                <w:kern w:val="21"/>
                <w:szCs w:val="21"/>
              </w:rPr>
            </w:pPr>
          </w:p>
        </w:tc>
        <w:tc>
          <w:tcPr>
            <w:tcW w:w="1417" w:type="dxa"/>
          </w:tcPr>
          <w:p>
            <w:pPr>
              <w:spacing w:line="240" w:lineRule="auto"/>
              <w:ind w:firstLine="0" w:firstLineChars="0"/>
              <w:jc w:val="center"/>
              <w:rPr>
                <w:color w:val="auto"/>
              </w:rPr>
            </w:pPr>
            <w:r>
              <w:rPr>
                <w:color w:val="auto"/>
              </w:rPr>
              <w:t>煤泥</w:t>
            </w:r>
          </w:p>
        </w:tc>
        <w:tc>
          <w:tcPr>
            <w:tcW w:w="1701" w:type="dxa"/>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12万t/a</w:t>
            </w:r>
          </w:p>
        </w:tc>
        <w:tc>
          <w:tcPr>
            <w:tcW w:w="1276"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70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559" w:type="dxa"/>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w:t>
            </w:r>
          </w:p>
        </w:tc>
        <w:tc>
          <w:tcPr>
            <w:tcW w:w="176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829"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12万t/a</w:t>
            </w:r>
          </w:p>
        </w:tc>
        <w:tc>
          <w:tcPr>
            <w:tcW w:w="956"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1588" w:type="dxa"/>
            <w:vMerge w:val="restart"/>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危险废物</w:t>
            </w:r>
          </w:p>
        </w:tc>
        <w:tc>
          <w:tcPr>
            <w:tcW w:w="1417" w:type="dxa"/>
          </w:tcPr>
          <w:p>
            <w:pPr>
              <w:spacing w:line="240" w:lineRule="auto"/>
              <w:ind w:firstLine="0" w:firstLineChars="0"/>
              <w:jc w:val="center"/>
              <w:rPr>
                <w:color w:val="auto"/>
              </w:rPr>
            </w:pPr>
            <w:r>
              <w:rPr>
                <w:rFonts w:hint="eastAsia"/>
                <w:color w:val="auto"/>
              </w:rPr>
              <w:t>废矿物油</w:t>
            </w:r>
          </w:p>
        </w:tc>
        <w:tc>
          <w:tcPr>
            <w:tcW w:w="1701" w:type="dxa"/>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w:t>
            </w:r>
          </w:p>
        </w:tc>
        <w:tc>
          <w:tcPr>
            <w:tcW w:w="1276"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70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559" w:type="dxa"/>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0.1t/a</w:t>
            </w:r>
          </w:p>
        </w:tc>
        <w:tc>
          <w:tcPr>
            <w:tcW w:w="176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829" w:type="dxa"/>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0.1t/a</w:t>
            </w:r>
          </w:p>
        </w:tc>
        <w:tc>
          <w:tcPr>
            <w:tcW w:w="956" w:type="dxa"/>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1588" w:type="dxa"/>
            <w:vMerge w:val="continue"/>
            <w:vAlign w:val="center"/>
          </w:tcPr>
          <w:p>
            <w:pPr>
              <w:pStyle w:val="46"/>
              <w:spacing w:beforeLines="0" w:afterLines="0" w:line="240" w:lineRule="auto"/>
              <w:ind w:firstLine="0" w:firstLineChars="0"/>
              <w:rPr>
                <w:rFonts w:ascii="Times New Roman"/>
                <w:snapToGrid w:val="0"/>
                <w:color w:val="auto"/>
                <w:kern w:val="21"/>
                <w:szCs w:val="21"/>
              </w:rPr>
            </w:pPr>
          </w:p>
        </w:tc>
        <w:tc>
          <w:tcPr>
            <w:tcW w:w="1417" w:type="dxa"/>
          </w:tcPr>
          <w:p>
            <w:pPr>
              <w:spacing w:line="240" w:lineRule="auto"/>
              <w:ind w:firstLine="0" w:firstLineChars="0"/>
              <w:jc w:val="center"/>
              <w:rPr>
                <w:color w:val="auto"/>
              </w:rPr>
            </w:pPr>
            <w:r>
              <w:rPr>
                <w:rFonts w:hint="eastAsia"/>
                <w:color w:val="auto"/>
              </w:rPr>
              <w:t>废油桶</w:t>
            </w:r>
          </w:p>
        </w:tc>
        <w:tc>
          <w:tcPr>
            <w:tcW w:w="1701" w:type="dxa"/>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w:t>
            </w:r>
          </w:p>
        </w:tc>
        <w:tc>
          <w:tcPr>
            <w:tcW w:w="1276"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70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559" w:type="dxa"/>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0.1t/a</w:t>
            </w:r>
          </w:p>
        </w:tc>
        <w:tc>
          <w:tcPr>
            <w:tcW w:w="176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829" w:type="dxa"/>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0.1t/a</w:t>
            </w:r>
          </w:p>
        </w:tc>
        <w:tc>
          <w:tcPr>
            <w:tcW w:w="956" w:type="dxa"/>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3005" w:type="dxa"/>
            <w:gridSpan w:val="2"/>
            <w:vAlign w:val="center"/>
          </w:tcPr>
          <w:p>
            <w:pPr>
              <w:pStyle w:val="46"/>
              <w:spacing w:beforeLines="0" w:afterLines="0" w:line="240" w:lineRule="auto"/>
              <w:ind w:firstLine="0" w:firstLineChars="0"/>
              <w:rPr>
                <w:color w:val="auto"/>
              </w:rPr>
            </w:pPr>
            <w:r>
              <w:rPr>
                <w:rFonts w:hint="eastAsia"/>
                <w:color w:val="auto"/>
              </w:rPr>
              <w:t>生活垃圾</w:t>
            </w:r>
          </w:p>
        </w:tc>
        <w:tc>
          <w:tcPr>
            <w:tcW w:w="1701"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2.5t/a</w:t>
            </w:r>
          </w:p>
        </w:tc>
        <w:tc>
          <w:tcPr>
            <w:tcW w:w="1276"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70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559"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w:t>
            </w:r>
          </w:p>
        </w:tc>
        <w:tc>
          <w:tcPr>
            <w:tcW w:w="1761" w:type="dxa"/>
            <w:vAlign w:val="center"/>
          </w:tcPr>
          <w:p>
            <w:pPr>
              <w:pStyle w:val="46"/>
              <w:spacing w:beforeLines="0" w:afterLines="0" w:line="240" w:lineRule="auto"/>
              <w:ind w:firstLine="0" w:firstLineChars="0"/>
              <w:rPr>
                <w:rFonts w:ascii="Times New Roman"/>
                <w:snapToGrid w:val="0"/>
                <w:color w:val="auto"/>
                <w:kern w:val="21"/>
                <w:szCs w:val="21"/>
              </w:rPr>
            </w:pPr>
          </w:p>
        </w:tc>
        <w:tc>
          <w:tcPr>
            <w:tcW w:w="1829"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2.5t/a</w:t>
            </w:r>
          </w:p>
        </w:tc>
        <w:tc>
          <w:tcPr>
            <w:tcW w:w="956" w:type="dxa"/>
            <w:vAlign w:val="center"/>
          </w:tcPr>
          <w:p>
            <w:pPr>
              <w:pStyle w:val="46"/>
              <w:spacing w:beforeLines="0" w:afterLines="0" w:line="240" w:lineRule="auto"/>
              <w:ind w:firstLine="0" w:firstLineChars="0"/>
              <w:rPr>
                <w:rFonts w:ascii="Times New Roman"/>
                <w:snapToGrid w:val="0"/>
                <w:color w:val="auto"/>
                <w:kern w:val="21"/>
                <w:szCs w:val="21"/>
              </w:rPr>
            </w:pPr>
            <w:r>
              <w:rPr>
                <w:rFonts w:hint="eastAsia" w:ascii="Times New Roman"/>
                <w:snapToGrid w:val="0"/>
                <w:color w:val="auto"/>
                <w:kern w:val="21"/>
                <w:szCs w:val="21"/>
              </w:rPr>
              <w:t>0</w:t>
            </w:r>
          </w:p>
        </w:tc>
      </w:tr>
    </w:tbl>
    <w:p>
      <w:pPr>
        <w:pStyle w:val="46"/>
        <w:spacing w:before="192" w:beforeLines="80" w:after="24"/>
        <w:ind w:firstLine="0" w:firstLineChars="0"/>
        <w:jc w:val="left"/>
        <w:rPr>
          <w:rFonts w:ascii="Times New Roman"/>
          <w:snapToGrid w:val="0"/>
          <w:color w:val="auto"/>
          <w:spacing w:val="-6"/>
          <w:kern w:val="21"/>
          <w:szCs w:val="21"/>
        </w:rPr>
      </w:pPr>
      <w:r>
        <w:rPr>
          <w:rFonts w:ascii="Times New Roman"/>
          <w:snapToGrid w:val="0"/>
          <w:color w:val="auto"/>
          <w:kern w:val="21"/>
          <w:szCs w:val="21"/>
        </w:rPr>
        <w:t>注</w:t>
      </w:r>
      <w:r>
        <w:rPr>
          <w:rFonts w:hint="eastAsia" w:ascii="Times New Roman"/>
          <w:snapToGrid w:val="0"/>
          <w:color w:val="auto"/>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ascii="Times New Roman"/>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ascii="Times New Roman"/>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ascii="Times New Roman"/>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ascii="Times New Roman"/>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p>
    <w:p>
      <w:pPr>
        <w:ind w:firstLine="0" w:firstLineChars="0"/>
        <w:rPr>
          <w:color w:val="auto"/>
        </w:rPr>
        <w:sectPr>
          <w:footerReference r:id="rId12" w:type="default"/>
          <w:pgSz w:w="16838" w:h="11906" w:orient="landscape"/>
          <w:pgMar w:top="1440" w:right="1800" w:bottom="1440" w:left="1800" w:header="851" w:footer="851" w:gutter="0"/>
          <w:pgNumType w:fmt="numberInDash"/>
          <w:cols w:space="720" w:num="1"/>
          <w:docGrid w:linePitch="312" w:charSpace="0"/>
        </w:sectPr>
      </w:pPr>
    </w:p>
    <w:p>
      <w:pPr>
        <w:pStyle w:val="3"/>
        <w:rPr>
          <w:color w:val="auto"/>
        </w:rPr>
      </w:pPr>
      <w:r>
        <w:rPr>
          <w:rFonts w:hint="eastAsia"/>
          <w:color w:val="auto"/>
        </w:rPr>
        <w:t>附件1委托书</w:t>
      </w:r>
    </w:p>
    <w:p>
      <w:pPr>
        <w:ind w:left="0" w:leftChars="0" w:firstLine="0" w:firstLineChars="0"/>
        <w:rPr>
          <w:rFonts w:eastAsia="黑体"/>
          <w:color w:val="auto"/>
        </w:rPr>
      </w:pPr>
      <w:r>
        <w:rPr>
          <w:color w:val="auto"/>
        </w:rPr>
        <w:drawing>
          <wp:inline distT="0" distB="0" distL="114300" distR="114300">
            <wp:extent cx="5220970" cy="6877050"/>
            <wp:effectExtent l="0" t="0" r="17780" b="0"/>
            <wp:docPr id="21"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true"/>
                    </pic:cNvPicPr>
                  </pic:nvPicPr>
                  <pic:blipFill>
                    <a:blip r:embed="rId48"/>
                    <a:stretch>
                      <a:fillRect/>
                    </a:stretch>
                  </pic:blipFill>
                  <pic:spPr>
                    <a:xfrm>
                      <a:off x="0" y="0"/>
                      <a:ext cx="5220970" cy="6877050"/>
                    </a:xfrm>
                    <a:prstGeom prst="rect">
                      <a:avLst/>
                    </a:prstGeom>
                    <a:noFill/>
                    <a:ln>
                      <a:noFill/>
                    </a:ln>
                  </pic:spPr>
                </pic:pic>
              </a:graphicData>
            </a:graphic>
          </wp:inline>
        </w:drawing>
      </w:r>
    </w:p>
    <w:p>
      <w:pPr>
        <w:pStyle w:val="32"/>
        <w:rPr>
          <w:color w:val="auto"/>
        </w:rPr>
        <w:sectPr>
          <w:footerReference r:id="rId13" w:type="default"/>
          <w:pgSz w:w="11906" w:h="16838"/>
          <w:pgMar w:top="1440" w:right="1800" w:bottom="1440" w:left="1800" w:header="851" w:footer="851" w:gutter="0"/>
          <w:pgNumType w:fmt="numberInDash"/>
          <w:cols w:space="720" w:num="1"/>
          <w:docGrid w:linePitch="312" w:charSpace="0"/>
        </w:sectPr>
      </w:pPr>
    </w:p>
    <w:p>
      <w:pPr>
        <w:pStyle w:val="3"/>
        <w:rPr>
          <w:color w:val="auto"/>
        </w:rPr>
      </w:pPr>
      <w:r>
        <w:rPr>
          <w:rFonts w:hint="eastAsia"/>
          <w:color w:val="auto"/>
        </w:rPr>
        <w:t>附件2建设单位营业执照</w:t>
      </w:r>
    </w:p>
    <w:p>
      <w:pPr>
        <w:ind w:firstLine="0" w:firstLineChars="0"/>
        <w:rPr>
          <w:rFonts w:eastAsia="黑体"/>
          <w:color w:val="auto"/>
        </w:rPr>
      </w:pPr>
      <w:r>
        <w:rPr>
          <w:color w:val="auto"/>
        </w:rPr>
        <w:drawing>
          <wp:inline distT="0" distB="0" distL="0" distR="0">
            <wp:extent cx="7422515" cy="5424170"/>
            <wp:effectExtent l="0" t="0" r="5080" b="6985"/>
            <wp:docPr id="28"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19"/>
                    <pic:cNvPicPr>
                      <a:picLocks noChangeAspect="true"/>
                    </pic:cNvPicPr>
                  </pic:nvPicPr>
                  <pic:blipFill>
                    <a:blip r:embed="rId49"/>
                    <a:stretch>
                      <a:fillRect/>
                    </a:stretch>
                  </pic:blipFill>
                  <pic:spPr>
                    <a:xfrm rot="-5400000">
                      <a:off x="0" y="0"/>
                      <a:ext cx="7422515" cy="5424170"/>
                    </a:xfrm>
                    <a:prstGeom prst="rect">
                      <a:avLst/>
                    </a:prstGeom>
                    <a:noFill/>
                    <a:ln>
                      <a:noFill/>
                    </a:ln>
                  </pic:spPr>
                </pic:pic>
              </a:graphicData>
            </a:graphic>
          </wp:inline>
        </w:drawing>
      </w:r>
    </w:p>
    <w:p>
      <w:pPr>
        <w:pStyle w:val="3"/>
        <w:rPr>
          <w:color w:val="auto"/>
        </w:rPr>
      </w:pPr>
      <w:r>
        <w:rPr>
          <w:rFonts w:hint="eastAsia"/>
          <w:color w:val="auto"/>
        </w:rPr>
        <w:t>附件3现有项目的环保手续履行情况</w:t>
      </w:r>
    </w:p>
    <w:p>
      <w:pPr>
        <w:ind w:firstLine="0" w:firstLineChars="0"/>
        <w:rPr>
          <w:color w:val="auto"/>
        </w:rPr>
      </w:pPr>
      <w:r>
        <w:rPr>
          <w:color w:val="auto"/>
        </w:rPr>
        <w:drawing>
          <wp:inline distT="0" distB="0" distL="114300" distR="114300">
            <wp:extent cx="5365115" cy="7972425"/>
            <wp:effectExtent l="0" t="0" r="6985" b="9525"/>
            <wp:docPr id="23"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true"/>
                    </pic:cNvPicPr>
                  </pic:nvPicPr>
                  <pic:blipFill>
                    <a:blip r:embed="rId50"/>
                    <a:stretch>
                      <a:fillRect/>
                    </a:stretch>
                  </pic:blipFill>
                  <pic:spPr>
                    <a:xfrm>
                      <a:off x="0" y="0"/>
                      <a:ext cx="5365115" cy="7972425"/>
                    </a:xfrm>
                    <a:prstGeom prst="rect">
                      <a:avLst/>
                    </a:prstGeom>
                    <a:noFill/>
                    <a:ln>
                      <a:noFill/>
                    </a:ln>
                  </pic:spPr>
                </pic:pic>
              </a:graphicData>
            </a:graphic>
          </wp:inline>
        </w:drawing>
      </w:r>
      <w:r>
        <w:rPr>
          <w:color w:val="auto"/>
        </w:rPr>
        <w:drawing>
          <wp:inline distT="0" distB="0" distL="114300" distR="114300">
            <wp:extent cx="5284470" cy="8305165"/>
            <wp:effectExtent l="0" t="0" r="11430" b="635"/>
            <wp:docPr id="24"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4"/>
                    <pic:cNvPicPr>
                      <a:picLocks noChangeAspect="true"/>
                    </pic:cNvPicPr>
                  </pic:nvPicPr>
                  <pic:blipFill>
                    <a:blip r:embed="rId51"/>
                    <a:stretch>
                      <a:fillRect/>
                    </a:stretch>
                  </pic:blipFill>
                  <pic:spPr>
                    <a:xfrm>
                      <a:off x="0" y="0"/>
                      <a:ext cx="5284470" cy="8305165"/>
                    </a:xfrm>
                    <a:prstGeom prst="rect">
                      <a:avLst/>
                    </a:prstGeom>
                    <a:noFill/>
                    <a:ln>
                      <a:noFill/>
                    </a:ln>
                  </pic:spPr>
                </pic:pic>
              </a:graphicData>
            </a:graphic>
          </wp:inline>
        </w:drawing>
      </w:r>
      <w:r>
        <w:rPr>
          <w:color w:val="auto"/>
        </w:rPr>
        <w:drawing>
          <wp:inline distT="0" distB="0" distL="114300" distR="114300">
            <wp:extent cx="5233670" cy="7905750"/>
            <wp:effectExtent l="0" t="0" r="5080" b="0"/>
            <wp:docPr id="25"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5"/>
                    <pic:cNvPicPr>
                      <a:picLocks noChangeAspect="true"/>
                    </pic:cNvPicPr>
                  </pic:nvPicPr>
                  <pic:blipFill>
                    <a:blip r:embed="rId52"/>
                    <a:stretch>
                      <a:fillRect/>
                    </a:stretch>
                  </pic:blipFill>
                  <pic:spPr>
                    <a:xfrm>
                      <a:off x="0" y="0"/>
                      <a:ext cx="5233670" cy="7905750"/>
                    </a:xfrm>
                    <a:prstGeom prst="rect">
                      <a:avLst/>
                    </a:prstGeom>
                    <a:noFill/>
                    <a:ln>
                      <a:noFill/>
                    </a:ln>
                  </pic:spPr>
                </pic:pic>
              </a:graphicData>
            </a:graphic>
          </wp:inline>
        </w:drawing>
      </w:r>
      <w:r>
        <w:rPr>
          <w:color w:val="auto"/>
        </w:rPr>
        <w:drawing>
          <wp:inline distT="0" distB="0" distL="114300" distR="114300">
            <wp:extent cx="5282565" cy="7724140"/>
            <wp:effectExtent l="0" t="0" r="13335" b="10160"/>
            <wp:docPr id="26"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6"/>
                    <pic:cNvPicPr>
                      <a:picLocks noChangeAspect="true"/>
                    </pic:cNvPicPr>
                  </pic:nvPicPr>
                  <pic:blipFill>
                    <a:blip r:embed="rId53"/>
                    <a:stretch>
                      <a:fillRect/>
                    </a:stretch>
                  </pic:blipFill>
                  <pic:spPr>
                    <a:xfrm>
                      <a:off x="0" y="0"/>
                      <a:ext cx="5282565" cy="7724140"/>
                    </a:xfrm>
                    <a:prstGeom prst="rect">
                      <a:avLst/>
                    </a:prstGeom>
                    <a:noFill/>
                    <a:ln>
                      <a:noFill/>
                    </a:ln>
                  </pic:spPr>
                </pic:pic>
              </a:graphicData>
            </a:graphic>
          </wp:inline>
        </w:drawing>
      </w:r>
      <w:r>
        <w:rPr>
          <w:color w:val="auto"/>
        </w:rPr>
        <w:drawing>
          <wp:inline distT="0" distB="0" distL="114300" distR="114300">
            <wp:extent cx="5268595" cy="8070850"/>
            <wp:effectExtent l="0" t="0" r="8255" b="6350"/>
            <wp:docPr id="50" name="图片 50" descr="64f90b571e6419a35bbffbfd32c974e"/>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50" descr="64f90b571e6419a35bbffbfd32c974e"/>
                    <pic:cNvPicPr>
                      <a:picLocks noChangeAspect="true"/>
                    </pic:cNvPicPr>
                  </pic:nvPicPr>
                  <pic:blipFill>
                    <a:blip r:embed="rId54"/>
                    <a:stretch>
                      <a:fillRect/>
                    </a:stretch>
                  </pic:blipFill>
                  <pic:spPr>
                    <a:xfrm>
                      <a:off x="0" y="0"/>
                      <a:ext cx="5268595" cy="8070850"/>
                    </a:xfrm>
                    <a:prstGeom prst="rect">
                      <a:avLst/>
                    </a:prstGeom>
                  </pic:spPr>
                </pic:pic>
              </a:graphicData>
            </a:graphic>
          </wp:inline>
        </w:drawing>
      </w:r>
      <w:r>
        <w:rPr>
          <w:color w:val="auto"/>
        </w:rPr>
        <w:drawing>
          <wp:inline distT="0" distB="0" distL="114300" distR="114300">
            <wp:extent cx="5342255" cy="8124190"/>
            <wp:effectExtent l="0" t="0" r="10795" b="10160"/>
            <wp:docPr id="27"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true"/>
                    </pic:cNvPicPr>
                  </pic:nvPicPr>
                  <pic:blipFill>
                    <a:blip r:embed="rId55"/>
                    <a:stretch>
                      <a:fillRect/>
                    </a:stretch>
                  </pic:blipFill>
                  <pic:spPr>
                    <a:xfrm>
                      <a:off x="0" y="0"/>
                      <a:ext cx="5342255" cy="8124190"/>
                    </a:xfrm>
                    <a:prstGeom prst="rect">
                      <a:avLst/>
                    </a:prstGeom>
                    <a:noFill/>
                    <a:ln>
                      <a:noFill/>
                    </a:ln>
                  </pic:spPr>
                </pic:pic>
              </a:graphicData>
            </a:graphic>
          </wp:inline>
        </w:drawing>
      </w:r>
      <w:r>
        <w:rPr>
          <w:color w:val="auto"/>
        </w:rPr>
        <w:drawing>
          <wp:inline distT="0" distB="0" distL="114300" distR="114300">
            <wp:extent cx="5234305" cy="7286625"/>
            <wp:effectExtent l="0" t="0" r="4445" b="9525"/>
            <wp:docPr id="56"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 name="图片 19"/>
                    <pic:cNvPicPr>
                      <a:picLocks noChangeAspect="true"/>
                    </pic:cNvPicPr>
                  </pic:nvPicPr>
                  <pic:blipFill>
                    <a:blip r:embed="rId56"/>
                    <a:stretch>
                      <a:fillRect/>
                    </a:stretch>
                  </pic:blipFill>
                  <pic:spPr>
                    <a:xfrm>
                      <a:off x="0" y="0"/>
                      <a:ext cx="5234305" cy="7286625"/>
                    </a:xfrm>
                    <a:prstGeom prst="rect">
                      <a:avLst/>
                    </a:prstGeom>
                    <a:noFill/>
                    <a:ln>
                      <a:noFill/>
                    </a:ln>
                  </pic:spPr>
                </pic:pic>
              </a:graphicData>
            </a:graphic>
          </wp:inline>
        </w:drawing>
      </w:r>
      <w:r>
        <w:rPr>
          <w:color w:val="auto"/>
        </w:rPr>
        <w:drawing>
          <wp:inline distT="0" distB="0" distL="114300" distR="114300">
            <wp:extent cx="5278755" cy="6991350"/>
            <wp:effectExtent l="0" t="0" r="17145" b="0"/>
            <wp:docPr id="57" name="图片 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 name="图片 20"/>
                    <pic:cNvPicPr>
                      <a:picLocks noChangeAspect="true"/>
                    </pic:cNvPicPr>
                  </pic:nvPicPr>
                  <pic:blipFill>
                    <a:blip r:embed="rId57"/>
                    <a:stretch>
                      <a:fillRect/>
                    </a:stretch>
                  </pic:blipFill>
                  <pic:spPr>
                    <a:xfrm>
                      <a:off x="0" y="0"/>
                      <a:ext cx="5278755" cy="6991350"/>
                    </a:xfrm>
                    <a:prstGeom prst="rect">
                      <a:avLst/>
                    </a:prstGeom>
                    <a:noFill/>
                    <a:ln>
                      <a:noFill/>
                    </a:ln>
                  </pic:spPr>
                </pic:pic>
              </a:graphicData>
            </a:graphic>
          </wp:inline>
        </w:drawing>
      </w:r>
      <w:r>
        <w:rPr>
          <w:color w:val="auto"/>
        </w:rPr>
        <w:drawing>
          <wp:inline distT="0" distB="0" distL="114300" distR="114300">
            <wp:extent cx="5067300" cy="7077075"/>
            <wp:effectExtent l="0" t="0" r="0" b="9525"/>
            <wp:docPr id="58" name="图片 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 name="图片 21"/>
                    <pic:cNvPicPr>
                      <a:picLocks noChangeAspect="true"/>
                    </pic:cNvPicPr>
                  </pic:nvPicPr>
                  <pic:blipFill>
                    <a:blip r:embed="rId58"/>
                    <a:stretch>
                      <a:fillRect/>
                    </a:stretch>
                  </pic:blipFill>
                  <pic:spPr>
                    <a:xfrm>
                      <a:off x="0" y="0"/>
                      <a:ext cx="5067300" cy="7077075"/>
                    </a:xfrm>
                    <a:prstGeom prst="rect">
                      <a:avLst/>
                    </a:prstGeom>
                    <a:noFill/>
                    <a:ln>
                      <a:noFill/>
                    </a:ln>
                  </pic:spPr>
                </pic:pic>
              </a:graphicData>
            </a:graphic>
          </wp:inline>
        </w:drawing>
      </w:r>
      <w:r>
        <w:rPr>
          <w:color w:val="auto"/>
        </w:rPr>
        <w:drawing>
          <wp:inline distT="0" distB="0" distL="114300" distR="114300">
            <wp:extent cx="5353050" cy="7153275"/>
            <wp:effectExtent l="0" t="0" r="0" b="9525"/>
            <wp:docPr id="59" name="图片 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 name="图片 22"/>
                    <pic:cNvPicPr>
                      <a:picLocks noChangeAspect="true"/>
                    </pic:cNvPicPr>
                  </pic:nvPicPr>
                  <pic:blipFill>
                    <a:blip r:embed="rId59"/>
                    <a:stretch>
                      <a:fillRect/>
                    </a:stretch>
                  </pic:blipFill>
                  <pic:spPr>
                    <a:xfrm>
                      <a:off x="0" y="0"/>
                      <a:ext cx="5353050" cy="7153275"/>
                    </a:xfrm>
                    <a:prstGeom prst="rect">
                      <a:avLst/>
                    </a:prstGeom>
                    <a:noFill/>
                    <a:ln>
                      <a:noFill/>
                    </a:ln>
                  </pic:spPr>
                </pic:pic>
              </a:graphicData>
            </a:graphic>
          </wp:inline>
        </w:drawing>
      </w:r>
    </w:p>
    <w:p>
      <w:pPr>
        <w:ind w:firstLine="0" w:firstLineChars="0"/>
        <w:rPr>
          <w:color w:val="auto"/>
        </w:rPr>
      </w:pPr>
      <w:r>
        <w:rPr>
          <w:color w:val="auto"/>
        </w:rPr>
        <w:drawing>
          <wp:inline distT="0" distB="0" distL="114300" distR="114300">
            <wp:extent cx="5270500" cy="7496810"/>
            <wp:effectExtent l="0" t="0" r="6350" b="8890"/>
            <wp:docPr id="8"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true"/>
                    </pic:cNvPicPr>
                  </pic:nvPicPr>
                  <pic:blipFill>
                    <a:blip r:embed="rId60"/>
                    <a:stretch>
                      <a:fillRect/>
                    </a:stretch>
                  </pic:blipFill>
                  <pic:spPr>
                    <a:xfrm>
                      <a:off x="0" y="0"/>
                      <a:ext cx="5270500" cy="7496810"/>
                    </a:xfrm>
                    <a:prstGeom prst="rect">
                      <a:avLst/>
                    </a:prstGeom>
                    <a:noFill/>
                    <a:ln>
                      <a:noFill/>
                    </a:ln>
                  </pic:spPr>
                </pic:pic>
              </a:graphicData>
            </a:graphic>
          </wp:inline>
        </w:drawing>
      </w:r>
      <w:r>
        <w:rPr>
          <w:color w:val="auto"/>
        </w:rPr>
        <w:drawing>
          <wp:inline distT="0" distB="0" distL="114300" distR="114300">
            <wp:extent cx="5274310" cy="7475855"/>
            <wp:effectExtent l="0" t="0" r="2540" b="10795"/>
            <wp:docPr id="37"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true"/>
                    </pic:cNvPicPr>
                  </pic:nvPicPr>
                  <pic:blipFill>
                    <a:blip r:embed="rId61"/>
                    <a:stretch>
                      <a:fillRect/>
                    </a:stretch>
                  </pic:blipFill>
                  <pic:spPr>
                    <a:xfrm>
                      <a:off x="0" y="0"/>
                      <a:ext cx="5274310" cy="7475855"/>
                    </a:xfrm>
                    <a:prstGeom prst="rect">
                      <a:avLst/>
                    </a:prstGeom>
                    <a:noFill/>
                    <a:ln>
                      <a:noFill/>
                    </a:ln>
                  </pic:spPr>
                </pic:pic>
              </a:graphicData>
            </a:graphic>
          </wp:inline>
        </w:drawing>
      </w:r>
      <w:r>
        <w:rPr>
          <w:color w:val="auto"/>
        </w:rPr>
        <w:drawing>
          <wp:inline distT="0" distB="0" distL="114300" distR="114300">
            <wp:extent cx="5273675" cy="7498080"/>
            <wp:effectExtent l="0" t="0" r="3175" b="7620"/>
            <wp:docPr id="39"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true"/>
                    </pic:cNvPicPr>
                  </pic:nvPicPr>
                  <pic:blipFill>
                    <a:blip r:embed="rId62"/>
                    <a:stretch>
                      <a:fillRect/>
                    </a:stretch>
                  </pic:blipFill>
                  <pic:spPr>
                    <a:xfrm>
                      <a:off x="0" y="0"/>
                      <a:ext cx="5273675" cy="7498080"/>
                    </a:xfrm>
                    <a:prstGeom prst="rect">
                      <a:avLst/>
                    </a:prstGeom>
                    <a:noFill/>
                    <a:ln>
                      <a:noFill/>
                    </a:ln>
                  </pic:spPr>
                </pic:pic>
              </a:graphicData>
            </a:graphic>
          </wp:inline>
        </w:drawing>
      </w:r>
      <w:r>
        <w:rPr>
          <w:color w:val="auto"/>
        </w:rPr>
        <w:drawing>
          <wp:inline distT="0" distB="0" distL="114300" distR="114300">
            <wp:extent cx="5272405" cy="7421245"/>
            <wp:effectExtent l="0" t="0" r="4445" b="8255"/>
            <wp:docPr id="53"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true"/>
                    </pic:cNvPicPr>
                  </pic:nvPicPr>
                  <pic:blipFill>
                    <a:blip r:embed="rId63"/>
                    <a:stretch>
                      <a:fillRect/>
                    </a:stretch>
                  </pic:blipFill>
                  <pic:spPr>
                    <a:xfrm>
                      <a:off x="0" y="0"/>
                      <a:ext cx="5272405" cy="7421245"/>
                    </a:xfrm>
                    <a:prstGeom prst="rect">
                      <a:avLst/>
                    </a:prstGeom>
                    <a:noFill/>
                    <a:ln>
                      <a:noFill/>
                    </a:ln>
                  </pic:spPr>
                </pic:pic>
              </a:graphicData>
            </a:graphic>
          </wp:inline>
        </w:drawing>
      </w:r>
    </w:p>
    <w:p>
      <w:pPr>
        <w:ind w:firstLine="0" w:firstLineChars="0"/>
        <w:rPr>
          <w:color w:val="auto"/>
        </w:rPr>
      </w:pPr>
    </w:p>
    <w:p>
      <w:pPr>
        <w:pStyle w:val="3"/>
        <w:rPr>
          <w:color w:val="auto"/>
        </w:rPr>
      </w:pPr>
      <w:r>
        <w:rPr>
          <w:rFonts w:hint="eastAsia"/>
          <w:color w:val="auto"/>
        </w:rPr>
        <w:t>附件4引用检测报告</w:t>
      </w:r>
    </w:p>
    <w:p>
      <w:pPr>
        <w:ind w:firstLine="0" w:firstLineChars="0"/>
        <w:rPr>
          <w:color w:val="auto"/>
        </w:rPr>
      </w:pPr>
      <w:r>
        <w:rPr>
          <w:color w:val="auto"/>
          <w:kern w:val="0"/>
          <w:szCs w:val="20"/>
        </w:rPr>
        <w:drawing>
          <wp:inline distT="0" distB="0" distL="114300" distR="114300">
            <wp:extent cx="7946390" cy="5271770"/>
            <wp:effectExtent l="0" t="0" r="5080" b="16510"/>
            <wp:docPr id="13" name="图片 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31"/>
                    <pic:cNvPicPr>
                      <a:picLocks noChangeAspect="true"/>
                    </pic:cNvPicPr>
                  </pic:nvPicPr>
                  <pic:blipFill>
                    <a:blip r:embed="rId64"/>
                    <a:stretch>
                      <a:fillRect/>
                    </a:stretch>
                  </pic:blipFill>
                  <pic:spPr>
                    <a:xfrm rot="-5400000">
                      <a:off x="0" y="0"/>
                      <a:ext cx="7946390" cy="5271770"/>
                    </a:xfrm>
                    <a:prstGeom prst="rect">
                      <a:avLst/>
                    </a:prstGeom>
                    <a:noFill/>
                    <a:ln>
                      <a:noFill/>
                    </a:ln>
                  </pic:spPr>
                </pic:pic>
              </a:graphicData>
            </a:graphic>
          </wp:inline>
        </w:drawing>
      </w:r>
      <w:r>
        <w:rPr>
          <w:color w:val="auto"/>
          <w:kern w:val="0"/>
          <w:szCs w:val="20"/>
        </w:rPr>
        <w:drawing>
          <wp:inline distT="0" distB="0" distL="114300" distR="114300">
            <wp:extent cx="8082280" cy="5282565"/>
            <wp:effectExtent l="0" t="0" r="13335" b="13970"/>
            <wp:docPr id="14" name="图片 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32"/>
                    <pic:cNvPicPr>
                      <a:picLocks noChangeAspect="true"/>
                    </pic:cNvPicPr>
                  </pic:nvPicPr>
                  <pic:blipFill>
                    <a:blip r:embed="rId65"/>
                    <a:stretch>
                      <a:fillRect/>
                    </a:stretch>
                  </pic:blipFill>
                  <pic:spPr>
                    <a:xfrm rot="-5400000">
                      <a:off x="0" y="0"/>
                      <a:ext cx="8082280" cy="5282565"/>
                    </a:xfrm>
                    <a:prstGeom prst="rect">
                      <a:avLst/>
                    </a:prstGeom>
                    <a:noFill/>
                    <a:ln>
                      <a:noFill/>
                    </a:ln>
                  </pic:spPr>
                </pic:pic>
              </a:graphicData>
            </a:graphic>
          </wp:inline>
        </w:drawing>
      </w:r>
      <w:r>
        <w:rPr>
          <w:color w:val="auto"/>
          <w:kern w:val="0"/>
          <w:szCs w:val="20"/>
        </w:rPr>
        <w:drawing>
          <wp:inline distT="0" distB="0" distL="114300" distR="114300">
            <wp:extent cx="8201660" cy="5271770"/>
            <wp:effectExtent l="0" t="0" r="5080" b="8890"/>
            <wp:docPr id="15" name="图片 3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33"/>
                    <pic:cNvPicPr>
                      <a:picLocks noChangeAspect="true"/>
                    </pic:cNvPicPr>
                  </pic:nvPicPr>
                  <pic:blipFill>
                    <a:blip r:embed="rId66"/>
                    <a:stretch>
                      <a:fillRect/>
                    </a:stretch>
                  </pic:blipFill>
                  <pic:spPr>
                    <a:xfrm rot="-5400000">
                      <a:off x="0" y="0"/>
                      <a:ext cx="8201660" cy="5271770"/>
                    </a:xfrm>
                    <a:prstGeom prst="rect">
                      <a:avLst/>
                    </a:prstGeom>
                    <a:noFill/>
                    <a:ln>
                      <a:noFill/>
                    </a:ln>
                  </pic:spPr>
                </pic:pic>
              </a:graphicData>
            </a:graphic>
          </wp:inline>
        </w:drawing>
      </w:r>
      <w:r>
        <w:rPr>
          <w:color w:val="auto"/>
          <w:kern w:val="0"/>
          <w:szCs w:val="20"/>
        </w:rPr>
        <w:drawing>
          <wp:inline distT="0" distB="0" distL="114300" distR="114300">
            <wp:extent cx="8225155" cy="5252085"/>
            <wp:effectExtent l="0" t="0" r="5715" b="4445"/>
            <wp:docPr id="16" name="图片 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34"/>
                    <pic:cNvPicPr>
                      <a:picLocks noChangeAspect="true"/>
                    </pic:cNvPicPr>
                  </pic:nvPicPr>
                  <pic:blipFill>
                    <a:blip r:embed="rId67"/>
                    <a:stretch>
                      <a:fillRect/>
                    </a:stretch>
                  </pic:blipFill>
                  <pic:spPr>
                    <a:xfrm rot="-5400000">
                      <a:off x="0" y="0"/>
                      <a:ext cx="8225155" cy="5252085"/>
                    </a:xfrm>
                    <a:prstGeom prst="rect">
                      <a:avLst/>
                    </a:prstGeom>
                    <a:noFill/>
                    <a:ln>
                      <a:noFill/>
                    </a:ln>
                  </pic:spPr>
                </pic:pic>
              </a:graphicData>
            </a:graphic>
          </wp:inline>
        </w:drawing>
      </w:r>
      <w:r>
        <w:rPr>
          <w:color w:val="auto"/>
          <w:kern w:val="0"/>
          <w:szCs w:val="20"/>
        </w:rPr>
        <w:drawing>
          <wp:inline distT="0" distB="0" distL="114300" distR="114300">
            <wp:extent cx="7696835" cy="5242560"/>
            <wp:effectExtent l="0" t="0" r="15240" b="18415"/>
            <wp:docPr id="17" name="图片 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35"/>
                    <pic:cNvPicPr>
                      <a:picLocks noChangeAspect="true"/>
                    </pic:cNvPicPr>
                  </pic:nvPicPr>
                  <pic:blipFill>
                    <a:blip r:embed="rId68"/>
                    <a:stretch>
                      <a:fillRect/>
                    </a:stretch>
                  </pic:blipFill>
                  <pic:spPr>
                    <a:xfrm rot="-5400000">
                      <a:off x="0" y="0"/>
                      <a:ext cx="7696835" cy="5242560"/>
                    </a:xfrm>
                    <a:prstGeom prst="rect">
                      <a:avLst/>
                    </a:prstGeom>
                    <a:noFill/>
                    <a:ln>
                      <a:noFill/>
                    </a:ln>
                  </pic:spPr>
                </pic:pic>
              </a:graphicData>
            </a:graphic>
          </wp:inline>
        </w:drawing>
      </w:r>
      <w:r>
        <w:rPr>
          <w:color w:val="auto"/>
          <w:kern w:val="0"/>
          <w:szCs w:val="20"/>
        </w:rPr>
        <w:drawing>
          <wp:inline distT="0" distB="0" distL="114300" distR="114300">
            <wp:extent cx="7828280" cy="5179695"/>
            <wp:effectExtent l="0" t="0" r="1905" b="1270"/>
            <wp:docPr id="18" name="图片 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36"/>
                    <pic:cNvPicPr>
                      <a:picLocks noChangeAspect="true"/>
                    </pic:cNvPicPr>
                  </pic:nvPicPr>
                  <pic:blipFill>
                    <a:blip r:embed="rId69"/>
                    <a:stretch>
                      <a:fillRect/>
                    </a:stretch>
                  </pic:blipFill>
                  <pic:spPr>
                    <a:xfrm rot="-5400000">
                      <a:off x="0" y="0"/>
                      <a:ext cx="7828280" cy="5179695"/>
                    </a:xfrm>
                    <a:prstGeom prst="rect">
                      <a:avLst/>
                    </a:prstGeom>
                    <a:noFill/>
                    <a:ln>
                      <a:noFill/>
                    </a:ln>
                  </pic:spPr>
                </pic:pic>
              </a:graphicData>
            </a:graphic>
          </wp:inline>
        </w:drawing>
      </w:r>
      <w:r>
        <w:rPr>
          <w:color w:val="auto"/>
          <w:kern w:val="0"/>
          <w:szCs w:val="20"/>
        </w:rPr>
        <w:drawing>
          <wp:inline distT="0" distB="0" distL="114300" distR="114300">
            <wp:extent cx="7879715" cy="5296535"/>
            <wp:effectExtent l="0" t="0" r="18415" b="6985"/>
            <wp:docPr id="19" name="图片 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37"/>
                    <pic:cNvPicPr>
                      <a:picLocks noChangeAspect="true"/>
                    </pic:cNvPicPr>
                  </pic:nvPicPr>
                  <pic:blipFill>
                    <a:blip r:embed="rId70"/>
                    <a:stretch>
                      <a:fillRect/>
                    </a:stretch>
                  </pic:blipFill>
                  <pic:spPr>
                    <a:xfrm rot="-5400000">
                      <a:off x="0" y="0"/>
                      <a:ext cx="7879715" cy="5296535"/>
                    </a:xfrm>
                    <a:prstGeom prst="rect">
                      <a:avLst/>
                    </a:prstGeom>
                    <a:noFill/>
                    <a:ln>
                      <a:noFill/>
                    </a:ln>
                  </pic:spPr>
                </pic:pic>
              </a:graphicData>
            </a:graphic>
          </wp:inline>
        </w:drawing>
      </w:r>
    </w:p>
    <w:p>
      <w:pPr>
        <w:ind w:firstLine="480"/>
        <w:rPr>
          <w:rFonts w:eastAsia="黑体"/>
          <w:color w:val="auto"/>
        </w:rPr>
      </w:pPr>
    </w:p>
    <w:p>
      <w:pPr>
        <w:ind w:firstLine="480"/>
        <w:rPr>
          <w:rFonts w:eastAsia="黑体"/>
          <w:color w:val="auto"/>
        </w:rPr>
      </w:pPr>
    </w:p>
    <w:p>
      <w:pPr>
        <w:ind w:firstLine="480"/>
        <w:rPr>
          <w:rFonts w:eastAsia="黑体"/>
          <w:color w:val="auto"/>
        </w:rPr>
      </w:pPr>
    </w:p>
    <w:p>
      <w:pPr>
        <w:pStyle w:val="3"/>
        <w:rPr>
          <w:color w:val="auto"/>
        </w:rPr>
      </w:pPr>
      <w:r>
        <w:rPr>
          <w:rFonts w:hint="eastAsia"/>
          <w:color w:val="auto"/>
        </w:rPr>
        <w:t>附件5天然气购买合同</w:t>
      </w:r>
    </w:p>
    <w:p>
      <w:pPr>
        <w:ind w:firstLine="0" w:firstLineChars="0"/>
        <w:jc w:val="center"/>
        <w:rPr>
          <w:color w:val="auto"/>
        </w:rPr>
      </w:pPr>
      <w:r>
        <w:rPr>
          <w:color w:val="auto"/>
          <w:spacing w:val="-1"/>
        </w:rPr>
        <w:drawing>
          <wp:inline distT="0" distB="0" distL="114300" distR="114300">
            <wp:extent cx="4679950" cy="7023735"/>
            <wp:effectExtent l="0" t="0" r="6350" b="5715"/>
            <wp:docPr id="42" name="图片 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56"/>
                    <pic:cNvPicPr>
                      <a:picLocks noChangeAspect="true"/>
                    </pic:cNvPicPr>
                  </pic:nvPicPr>
                  <pic:blipFill>
                    <a:blip r:embed="rId71"/>
                    <a:srcRect l="15385" t="9125" b="1099"/>
                    <a:stretch>
                      <a:fillRect/>
                    </a:stretch>
                  </pic:blipFill>
                  <pic:spPr>
                    <a:xfrm>
                      <a:off x="0" y="0"/>
                      <a:ext cx="4679950" cy="7023735"/>
                    </a:xfrm>
                    <a:prstGeom prst="rect">
                      <a:avLst/>
                    </a:prstGeom>
                    <a:noFill/>
                    <a:ln>
                      <a:noFill/>
                    </a:ln>
                  </pic:spPr>
                </pic:pic>
              </a:graphicData>
            </a:graphic>
          </wp:inline>
        </w:drawing>
      </w:r>
      <w:r>
        <w:rPr>
          <w:rFonts w:hint="eastAsia"/>
          <w:color w:val="auto"/>
          <w:spacing w:val="-1"/>
        </w:rPr>
        <w:drawing>
          <wp:inline distT="0" distB="0" distL="0" distR="0">
            <wp:extent cx="5144135" cy="7059930"/>
            <wp:effectExtent l="0" t="0" r="18415" b="7620"/>
            <wp:docPr id="43"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 name="图片 13"/>
                    <pic:cNvPicPr>
                      <a:picLocks noChangeAspect="true" noChangeArrowheads="true"/>
                    </pic:cNvPicPr>
                  </pic:nvPicPr>
                  <pic:blipFill>
                    <a:blip r:embed="rId72"/>
                    <a:srcRect l="15385" t="8479" b="1282"/>
                    <a:stretch>
                      <a:fillRect/>
                    </a:stretch>
                  </pic:blipFill>
                  <pic:spPr>
                    <a:xfrm>
                      <a:off x="0" y="0"/>
                      <a:ext cx="5144135" cy="7059930"/>
                    </a:xfrm>
                    <a:prstGeom prst="rect">
                      <a:avLst/>
                    </a:prstGeom>
                    <a:noFill/>
                    <a:ln>
                      <a:noFill/>
                    </a:ln>
                  </pic:spPr>
                </pic:pic>
              </a:graphicData>
            </a:graphic>
          </wp:inline>
        </w:drawing>
      </w:r>
      <w:r>
        <w:rPr>
          <w:rFonts w:hint="eastAsia"/>
          <w:color w:val="auto"/>
          <w:spacing w:val="-1"/>
        </w:rPr>
        <w:drawing>
          <wp:inline distT="0" distB="0" distL="0" distR="0">
            <wp:extent cx="4679950" cy="7035165"/>
            <wp:effectExtent l="0" t="0" r="6350" b="13335"/>
            <wp:docPr id="44"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图片 14"/>
                    <pic:cNvPicPr>
                      <a:picLocks noChangeAspect="true" noChangeArrowheads="true"/>
                    </pic:cNvPicPr>
                  </pic:nvPicPr>
                  <pic:blipFill>
                    <a:blip r:embed="rId73"/>
                    <a:srcRect l="15256" t="8572" b="1369"/>
                    <a:stretch>
                      <a:fillRect/>
                    </a:stretch>
                  </pic:blipFill>
                  <pic:spPr>
                    <a:xfrm>
                      <a:off x="0" y="0"/>
                      <a:ext cx="4679950" cy="7035165"/>
                    </a:xfrm>
                    <a:prstGeom prst="rect">
                      <a:avLst/>
                    </a:prstGeom>
                    <a:noFill/>
                    <a:ln>
                      <a:noFill/>
                    </a:ln>
                  </pic:spPr>
                </pic:pic>
              </a:graphicData>
            </a:graphic>
          </wp:inline>
        </w:drawing>
      </w:r>
      <w:r>
        <w:rPr>
          <w:rFonts w:hint="eastAsia"/>
          <w:color w:val="auto"/>
          <w:spacing w:val="-1"/>
        </w:rPr>
        <w:drawing>
          <wp:inline distT="0" distB="0" distL="0" distR="0">
            <wp:extent cx="4679950" cy="7048500"/>
            <wp:effectExtent l="0" t="0" r="6350" b="0"/>
            <wp:docPr id="45"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15"/>
                    <pic:cNvPicPr>
                      <a:picLocks noChangeAspect="true" noChangeArrowheads="true"/>
                    </pic:cNvPicPr>
                  </pic:nvPicPr>
                  <pic:blipFill>
                    <a:blip r:embed="rId74"/>
                    <a:srcRect l="15254" t="8664" b="1103"/>
                    <a:stretch>
                      <a:fillRect/>
                    </a:stretch>
                  </pic:blipFill>
                  <pic:spPr>
                    <a:xfrm>
                      <a:off x="0" y="0"/>
                      <a:ext cx="4679950" cy="7048500"/>
                    </a:xfrm>
                    <a:prstGeom prst="rect">
                      <a:avLst/>
                    </a:prstGeom>
                    <a:noFill/>
                    <a:ln>
                      <a:noFill/>
                    </a:ln>
                  </pic:spPr>
                </pic:pic>
              </a:graphicData>
            </a:graphic>
          </wp:inline>
        </w:drawing>
      </w:r>
    </w:p>
    <w:p>
      <w:pPr>
        <w:ind w:firstLine="480"/>
        <w:rPr>
          <w:rFonts w:eastAsia="黑体"/>
          <w:color w:val="auto"/>
        </w:rPr>
      </w:pPr>
    </w:p>
    <w:p>
      <w:pPr>
        <w:ind w:firstLine="480"/>
        <w:rPr>
          <w:rFonts w:eastAsia="黑体"/>
          <w:color w:val="auto"/>
        </w:rPr>
      </w:pPr>
    </w:p>
    <w:p>
      <w:pPr>
        <w:ind w:firstLine="480"/>
        <w:rPr>
          <w:rFonts w:eastAsia="黑体"/>
          <w:color w:val="auto"/>
        </w:rPr>
      </w:pPr>
    </w:p>
    <w:p>
      <w:pPr>
        <w:ind w:firstLine="480"/>
        <w:rPr>
          <w:rFonts w:eastAsia="黑体"/>
          <w:color w:val="auto"/>
        </w:rPr>
      </w:pPr>
    </w:p>
    <w:p>
      <w:pPr>
        <w:ind w:firstLine="480"/>
        <w:rPr>
          <w:rFonts w:eastAsia="黑体"/>
          <w:color w:val="auto"/>
        </w:rPr>
      </w:pPr>
    </w:p>
    <w:p>
      <w:pPr>
        <w:pStyle w:val="3"/>
        <w:rPr>
          <w:color w:val="auto"/>
        </w:rPr>
      </w:pPr>
      <w:r>
        <w:rPr>
          <w:rFonts w:hint="eastAsia"/>
          <w:color w:val="auto"/>
        </w:rPr>
        <w:t>附件6排污许可登记回执</w:t>
      </w:r>
    </w:p>
    <w:p>
      <w:pPr>
        <w:ind w:firstLine="0" w:firstLineChars="0"/>
        <w:rPr>
          <w:color w:val="auto"/>
        </w:rPr>
      </w:pPr>
      <w:r>
        <w:rPr>
          <w:color w:val="auto"/>
        </w:rPr>
        <w:drawing>
          <wp:inline distT="0" distB="0" distL="114300" distR="114300">
            <wp:extent cx="5610860" cy="7139940"/>
            <wp:effectExtent l="0" t="0" r="8890" b="3810"/>
            <wp:docPr id="32"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15"/>
                    <pic:cNvPicPr>
                      <a:picLocks noChangeAspect="true"/>
                    </pic:cNvPicPr>
                  </pic:nvPicPr>
                  <pic:blipFill>
                    <a:blip r:embed="rId75"/>
                    <a:stretch>
                      <a:fillRect/>
                    </a:stretch>
                  </pic:blipFill>
                  <pic:spPr>
                    <a:xfrm>
                      <a:off x="0" y="0"/>
                      <a:ext cx="5610860" cy="7139940"/>
                    </a:xfrm>
                    <a:prstGeom prst="rect">
                      <a:avLst/>
                    </a:prstGeom>
                    <a:noFill/>
                    <a:ln>
                      <a:noFill/>
                    </a:ln>
                  </pic:spPr>
                </pic:pic>
              </a:graphicData>
            </a:graphic>
          </wp:inline>
        </w:drawing>
      </w:r>
    </w:p>
    <w:p>
      <w:pPr>
        <w:ind w:firstLine="0" w:firstLineChars="0"/>
        <w:rPr>
          <w:color w:val="auto"/>
        </w:rPr>
      </w:pPr>
    </w:p>
    <w:p>
      <w:pPr>
        <w:ind w:firstLine="0" w:firstLineChars="0"/>
        <w:rPr>
          <w:color w:val="auto"/>
        </w:rPr>
      </w:pPr>
    </w:p>
    <w:p>
      <w:pPr>
        <w:ind w:firstLine="0" w:firstLineChars="0"/>
        <w:rPr>
          <w:color w:val="auto"/>
        </w:rPr>
      </w:pPr>
    </w:p>
    <w:p>
      <w:pPr>
        <w:ind w:firstLine="480"/>
        <w:rPr>
          <w:rFonts w:eastAsia="黑体"/>
          <w:color w:val="auto"/>
        </w:rPr>
      </w:pPr>
    </w:p>
    <w:p>
      <w:pPr>
        <w:pStyle w:val="3"/>
        <w:rPr>
          <w:color w:val="auto"/>
        </w:rPr>
      </w:pPr>
      <w:r>
        <w:rPr>
          <w:rFonts w:hint="eastAsia"/>
          <w:color w:val="auto"/>
        </w:rPr>
        <w:t>附件7文物审查意见</w:t>
      </w:r>
    </w:p>
    <w:p>
      <w:pPr>
        <w:ind w:firstLine="0" w:firstLineChars="0"/>
        <w:rPr>
          <w:color w:val="auto"/>
        </w:rPr>
      </w:pPr>
      <w:r>
        <w:rPr>
          <w:color w:val="auto"/>
        </w:rPr>
        <w:drawing>
          <wp:inline distT="0" distB="0" distL="114300" distR="114300">
            <wp:extent cx="5610860" cy="7423785"/>
            <wp:effectExtent l="0" t="0" r="8890" b="5715"/>
            <wp:docPr id="33"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16"/>
                    <pic:cNvPicPr>
                      <a:picLocks noChangeAspect="true"/>
                    </pic:cNvPicPr>
                  </pic:nvPicPr>
                  <pic:blipFill>
                    <a:blip r:embed="rId76"/>
                    <a:stretch>
                      <a:fillRect/>
                    </a:stretch>
                  </pic:blipFill>
                  <pic:spPr>
                    <a:xfrm>
                      <a:off x="0" y="0"/>
                      <a:ext cx="5610860" cy="7423785"/>
                    </a:xfrm>
                    <a:prstGeom prst="rect">
                      <a:avLst/>
                    </a:prstGeom>
                    <a:noFill/>
                    <a:ln>
                      <a:noFill/>
                    </a:ln>
                  </pic:spPr>
                </pic:pic>
              </a:graphicData>
            </a:graphic>
          </wp:inline>
        </w:drawing>
      </w:r>
    </w:p>
    <w:p>
      <w:pPr>
        <w:ind w:firstLine="480"/>
        <w:rPr>
          <w:rFonts w:eastAsia="黑体"/>
          <w:color w:val="auto"/>
        </w:rPr>
      </w:pPr>
    </w:p>
    <w:p>
      <w:pPr>
        <w:ind w:firstLine="480"/>
        <w:rPr>
          <w:rFonts w:eastAsia="黑体"/>
          <w:color w:val="auto"/>
        </w:rPr>
      </w:pPr>
    </w:p>
    <w:p>
      <w:pPr>
        <w:pStyle w:val="32"/>
        <w:rPr>
          <w:rFonts w:ascii="Times New Roman" w:hAnsi="Times New Roman" w:eastAsia="黑体" w:cs="Times New Roman"/>
          <w:color w:val="auto"/>
        </w:rPr>
      </w:pPr>
    </w:p>
    <w:p>
      <w:pPr>
        <w:pStyle w:val="30"/>
        <w:spacing w:before="120" w:after="120"/>
        <w:ind w:firstLine="560"/>
        <w:rPr>
          <w:rFonts w:eastAsia="黑体"/>
          <w:color w:val="auto"/>
        </w:rPr>
      </w:pPr>
    </w:p>
    <w:p>
      <w:pPr>
        <w:pStyle w:val="3"/>
        <w:rPr>
          <w:color w:val="auto"/>
        </w:rPr>
      </w:pPr>
      <w:r>
        <w:rPr>
          <w:rFonts w:hint="eastAsia"/>
          <w:color w:val="auto"/>
        </w:rPr>
        <w:t>附件8土地手续</w:t>
      </w:r>
    </w:p>
    <w:p>
      <w:pPr>
        <w:ind w:firstLine="0" w:firstLineChars="0"/>
        <w:jc w:val="center"/>
        <w:rPr>
          <w:color w:val="auto"/>
        </w:rPr>
      </w:pPr>
      <w:r>
        <w:rPr>
          <w:color w:val="auto"/>
        </w:rPr>
        <w:drawing>
          <wp:inline distT="0" distB="0" distL="114300" distR="114300">
            <wp:extent cx="4333875" cy="5972175"/>
            <wp:effectExtent l="0" t="0" r="9525" b="9525"/>
            <wp:docPr id="20"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true"/>
                    </pic:cNvPicPr>
                  </pic:nvPicPr>
                  <pic:blipFill>
                    <a:blip r:embed="rId77"/>
                    <a:stretch>
                      <a:fillRect/>
                    </a:stretch>
                  </pic:blipFill>
                  <pic:spPr>
                    <a:xfrm>
                      <a:off x="0" y="0"/>
                      <a:ext cx="4333875" cy="5972175"/>
                    </a:xfrm>
                    <a:prstGeom prst="rect">
                      <a:avLst/>
                    </a:prstGeom>
                    <a:noFill/>
                    <a:ln>
                      <a:noFill/>
                    </a:ln>
                  </pic:spPr>
                </pic:pic>
              </a:graphicData>
            </a:graphic>
          </wp:inline>
        </w:drawing>
      </w:r>
    </w:p>
    <w:p>
      <w:pPr>
        <w:pStyle w:val="32"/>
        <w:rPr>
          <w:rFonts w:ascii="Times New Roman" w:hAnsi="Times New Roman" w:eastAsia="黑体" w:cs="Times New Roman"/>
          <w:color w:val="auto"/>
        </w:rPr>
      </w:pPr>
    </w:p>
    <w:p>
      <w:pPr>
        <w:pStyle w:val="30"/>
        <w:spacing w:before="120" w:after="120"/>
        <w:ind w:firstLine="56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pStyle w:val="3"/>
        <w:rPr>
          <w:color w:val="auto"/>
        </w:rPr>
      </w:pPr>
      <w:r>
        <w:rPr>
          <w:rFonts w:hint="eastAsia"/>
          <w:color w:val="auto"/>
        </w:rPr>
        <w:t>附件9中国专利公布公告</w:t>
      </w:r>
    </w:p>
    <w:p>
      <w:pPr>
        <w:ind w:firstLine="0" w:firstLineChars="0"/>
        <w:rPr>
          <w:color w:val="auto"/>
        </w:rPr>
      </w:pPr>
      <w:r>
        <w:rPr>
          <w:color w:val="auto"/>
        </w:rPr>
        <w:drawing>
          <wp:inline distT="0" distB="0" distL="114300" distR="114300">
            <wp:extent cx="5261610" cy="3342005"/>
            <wp:effectExtent l="0" t="0" r="15240" b="10795"/>
            <wp:docPr id="11"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true"/>
                    </pic:cNvPicPr>
                  </pic:nvPicPr>
                  <pic:blipFill>
                    <a:blip r:embed="rId78"/>
                    <a:stretch>
                      <a:fillRect/>
                    </a:stretch>
                  </pic:blipFill>
                  <pic:spPr>
                    <a:xfrm>
                      <a:off x="0" y="0"/>
                      <a:ext cx="5261610" cy="3342005"/>
                    </a:xfrm>
                    <a:prstGeom prst="rect">
                      <a:avLst/>
                    </a:prstGeom>
                    <a:noFill/>
                    <a:ln>
                      <a:noFill/>
                    </a:ln>
                  </pic:spPr>
                </pic:pic>
              </a:graphicData>
            </a:graphic>
          </wp:inline>
        </w:drawing>
      </w:r>
      <w:r>
        <w:rPr>
          <w:color w:val="auto"/>
        </w:rPr>
        <w:drawing>
          <wp:inline distT="0" distB="0" distL="114300" distR="114300">
            <wp:extent cx="5265420" cy="3265170"/>
            <wp:effectExtent l="0" t="0" r="11430" b="11430"/>
            <wp:docPr id="75" name="图片 7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true"/>
                    </pic:cNvPicPr>
                  </pic:nvPicPr>
                  <pic:blipFill>
                    <a:blip r:embed="rId79"/>
                    <a:srcRect b="10262"/>
                    <a:stretch>
                      <a:fillRect/>
                    </a:stretch>
                  </pic:blipFill>
                  <pic:spPr>
                    <a:xfrm>
                      <a:off x="0" y="0"/>
                      <a:ext cx="5265420" cy="3265170"/>
                    </a:xfrm>
                    <a:prstGeom prst="rect">
                      <a:avLst/>
                    </a:prstGeom>
                    <a:noFill/>
                    <a:ln>
                      <a:noFill/>
                    </a:ln>
                  </pic:spPr>
                </pic:pic>
              </a:graphicData>
            </a:graphic>
          </wp:inline>
        </w:drawing>
      </w:r>
      <w:r>
        <w:rPr>
          <w:color w:val="auto"/>
        </w:rPr>
        <w:drawing>
          <wp:inline distT="0" distB="0" distL="114300" distR="114300">
            <wp:extent cx="5264150" cy="2938145"/>
            <wp:effectExtent l="0" t="0" r="12700" b="14605"/>
            <wp:docPr id="76" name="图片 7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true"/>
                    </pic:cNvPicPr>
                  </pic:nvPicPr>
                  <pic:blipFill>
                    <a:blip r:embed="rId80"/>
                    <a:srcRect t="2570" b="11478"/>
                    <a:stretch>
                      <a:fillRect/>
                    </a:stretch>
                  </pic:blipFill>
                  <pic:spPr>
                    <a:xfrm>
                      <a:off x="0" y="0"/>
                      <a:ext cx="5264150" cy="2938145"/>
                    </a:xfrm>
                    <a:prstGeom prst="rect">
                      <a:avLst/>
                    </a:prstGeom>
                    <a:noFill/>
                    <a:ln>
                      <a:noFill/>
                    </a:ln>
                  </pic:spPr>
                </pic:pic>
              </a:graphicData>
            </a:graphic>
          </wp:inline>
        </w:drawing>
      </w:r>
      <w:r>
        <w:rPr>
          <w:color w:val="auto"/>
        </w:rPr>
        <w:drawing>
          <wp:inline distT="0" distB="0" distL="114300" distR="114300">
            <wp:extent cx="5262880" cy="2809875"/>
            <wp:effectExtent l="0" t="0" r="13970" b="9525"/>
            <wp:docPr id="77" name="图片 7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true"/>
                    </pic:cNvPicPr>
                  </pic:nvPicPr>
                  <pic:blipFill>
                    <a:blip r:embed="rId81"/>
                    <a:srcRect t="3151" b="9399"/>
                    <a:stretch>
                      <a:fillRect/>
                    </a:stretch>
                  </pic:blipFill>
                  <pic:spPr>
                    <a:xfrm>
                      <a:off x="0" y="0"/>
                      <a:ext cx="5262880" cy="2809875"/>
                    </a:xfrm>
                    <a:prstGeom prst="rect">
                      <a:avLst/>
                    </a:prstGeom>
                    <a:noFill/>
                    <a:ln>
                      <a:noFill/>
                    </a:ln>
                  </pic:spPr>
                </pic:pic>
              </a:graphicData>
            </a:graphic>
          </wp:inline>
        </w:drawing>
      </w:r>
      <w:r>
        <w:rPr>
          <w:color w:val="auto"/>
        </w:rPr>
        <w:drawing>
          <wp:inline distT="0" distB="0" distL="114300" distR="114300">
            <wp:extent cx="5273040" cy="2799080"/>
            <wp:effectExtent l="0" t="0" r="3810" b="1270"/>
            <wp:docPr id="79" name="图片 7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true"/>
                    </pic:cNvPicPr>
                  </pic:nvPicPr>
                  <pic:blipFill>
                    <a:blip r:embed="rId82"/>
                    <a:srcRect t="2670" b="10912"/>
                    <a:stretch>
                      <a:fillRect/>
                    </a:stretch>
                  </pic:blipFill>
                  <pic:spPr>
                    <a:xfrm>
                      <a:off x="0" y="0"/>
                      <a:ext cx="5273040" cy="2799080"/>
                    </a:xfrm>
                    <a:prstGeom prst="rect">
                      <a:avLst/>
                    </a:prstGeom>
                    <a:noFill/>
                    <a:ln>
                      <a:noFill/>
                    </a:ln>
                  </pic:spPr>
                </pic:pic>
              </a:graphicData>
            </a:graphic>
          </wp:inline>
        </w:drawing>
      </w:r>
    </w:p>
    <w:p>
      <w:pPr>
        <w:ind w:firstLine="480"/>
        <w:rPr>
          <w:color w:val="auto"/>
        </w:rPr>
      </w:pPr>
    </w:p>
    <w:p>
      <w:pPr>
        <w:ind w:firstLine="480"/>
        <w:rPr>
          <w:color w:val="auto"/>
        </w:rPr>
        <w:sectPr>
          <w:pgSz w:w="11906" w:h="16838"/>
          <w:pgMar w:top="1440" w:right="1800" w:bottom="1440" w:left="1800" w:header="851" w:footer="851" w:gutter="0"/>
          <w:pgNumType w:fmt="numberInDash"/>
          <w:cols w:space="720" w:num="1"/>
          <w:docGrid w:linePitch="312" w:charSpace="0"/>
        </w:sectPr>
      </w:pPr>
    </w:p>
    <w:p>
      <w:pPr>
        <w:pStyle w:val="3"/>
        <w:rPr>
          <w:color w:val="auto"/>
        </w:rPr>
      </w:pPr>
      <w:r>
        <w:rPr>
          <w:rFonts w:hint="eastAsia"/>
          <w:color w:val="auto"/>
        </w:rPr>
        <w:t>附图1鄂尔多斯市环境管控单元图</w:t>
      </w:r>
    </w:p>
    <w:p>
      <w:pPr>
        <w:ind w:firstLine="0" w:firstLineChars="0"/>
        <w:rPr>
          <w:rFonts w:eastAsia="黑体"/>
          <w:color w:val="auto"/>
        </w:rPr>
      </w:pPr>
      <w:r>
        <w:rPr>
          <w:color w:val="auto"/>
          <w:sz w:val="21"/>
        </w:rPr>
        <mc:AlternateContent>
          <mc:Choice Requires="wps">
            <w:drawing>
              <wp:anchor distT="0" distB="0" distL="114300" distR="114300" simplePos="0" relativeHeight="251664384" behindDoc="0" locked="0" layoutInCell="1" allowOverlap="1">
                <wp:simplePos x="0" y="0"/>
                <wp:positionH relativeFrom="column">
                  <wp:posOffset>4836160</wp:posOffset>
                </wp:positionH>
                <wp:positionV relativeFrom="paragraph">
                  <wp:posOffset>2620010</wp:posOffset>
                </wp:positionV>
                <wp:extent cx="840105" cy="300355"/>
                <wp:effectExtent l="136525" t="5080" r="13970" b="208915"/>
                <wp:wrapNone/>
                <wp:docPr id="6" name="自选图形 13"/>
                <wp:cNvGraphicFramePr/>
                <a:graphic xmlns:a="http://schemas.openxmlformats.org/drawingml/2006/main">
                  <a:graphicData uri="http://schemas.microsoft.com/office/word/2010/wordprocessingShape">
                    <wps:wsp>
                      <wps:cNvSpPr/>
                      <wps:spPr>
                        <a:xfrm>
                          <a:off x="0" y="0"/>
                          <a:ext cx="840105" cy="300355"/>
                        </a:xfrm>
                        <a:prstGeom prst="wedgeRectCallout">
                          <a:avLst>
                            <a:gd name="adj1" fmla="val -62394"/>
                            <a:gd name="adj2" fmla="val 110361"/>
                          </a:avLst>
                        </a:prstGeom>
                        <a:solidFill>
                          <a:srgbClr val="FFFFFF"/>
                        </a:solidFill>
                        <a:ln w="9525" cap="flat" cmpd="sng">
                          <a:solidFill>
                            <a:srgbClr val="000000"/>
                          </a:solidFill>
                          <a:prstDash val="solid"/>
                          <a:miter/>
                          <a:headEnd type="none" w="med" len="med"/>
                          <a:tailEnd type="none" w="med" len="med"/>
                        </a:ln>
                      </wps:spPr>
                      <wps:txbx>
                        <w:txbxContent>
                          <w:p>
                            <w:pPr>
                              <w:ind w:firstLine="0" w:firstLineChars="0"/>
                            </w:pPr>
                            <w:r>
                              <w:rPr>
                                <w:rFonts w:hint="eastAsia"/>
                              </w:rPr>
                              <w:t>项目位置</w:t>
                            </w:r>
                          </w:p>
                        </w:txbxContent>
                      </wps:txbx>
                      <wps:bodyPr wrap="square" upright="true"/>
                    </wps:wsp>
                  </a:graphicData>
                </a:graphic>
              </wp:anchor>
            </w:drawing>
          </mc:Choice>
          <mc:Fallback>
            <w:pict>
              <v:shape id="自选图形 13" o:spid="_x0000_s1026" o:spt="61" type="#_x0000_t61" style="position:absolute;left:0pt;margin-left:380.8pt;margin-top:206.3pt;height:23.65pt;width:66.15pt;z-index:251664384;mso-width-relative:page;mso-height-relative:page;" fillcolor="#FFFFFF" filled="t" stroked="t" coordsize="21600,21600" o:gfxdata="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WAAAAZHJzL1BLAQIUABQAAAAIAIdO4kBjIDMo2QAAAAsBAAAPAAAAAAAAAAEAIAAAADgA&#10;AABkcnMvZG93bnJldi54bWxQSwECFAAUAAAACACHTuJAkbRNzSsCAABRBAAADgAAAAAAAAABACAA&#10;AAA+AQAAZHJzL2Uyb0RvYy54bWxQSwUGAAAAAAYABgBZAQAA2wUAAAAA&#10;" adj="0,34638">
                <v:fill on="t" focussize="0,0"/>
                <v:stroke color="#000000" joinstyle="miter"/>
                <v:imagedata o:title=""/>
                <o:lock v:ext="edit" aspectratio="f"/>
                <v:textbox>
                  <w:txbxContent>
                    <w:p>
                      <w:pPr>
                        <w:ind w:firstLine="0" w:firstLineChars="0"/>
                      </w:pPr>
                      <w:r>
                        <w:rPr>
                          <w:rFonts w:hint="eastAsia"/>
                        </w:rPr>
                        <w:t>项目位置</w:t>
                      </w:r>
                    </w:p>
                  </w:txbxContent>
                </v:textbox>
              </v:shape>
            </w:pict>
          </mc:Fallback>
        </mc:AlternateContent>
      </w:r>
      <w:r>
        <w:rPr>
          <w:color w:val="auto"/>
        </w:rPr>
        <w:drawing>
          <wp:inline distT="0" distB="0" distL="114300" distR="114300">
            <wp:extent cx="8590280" cy="5370195"/>
            <wp:effectExtent l="0" t="0" r="1270" b="1905"/>
            <wp:docPr id="29"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14"/>
                    <pic:cNvPicPr>
                      <a:picLocks noChangeAspect="true"/>
                    </pic:cNvPicPr>
                  </pic:nvPicPr>
                  <pic:blipFill>
                    <a:blip r:embed="rId83"/>
                    <a:stretch>
                      <a:fillRect/>
                    </a:stretch>
                  </pic:blipFill>
                  <pic:spPr>
                    <a:xfrm>
                      <a:off x="0" y="0"/>
                      <a:ext cx="8590280" cy="5370195"/>
                    </a:xfrm>
                    <a:prstGeom prst="rect">
                      <a:avLst/>
                    </a:prstGeom>
                    <a:noFill/>
                    <a:ln>
                      <a:noFill/>
                    </a:ln>
                  </pic:spPr>
                </pic:pic>
              </a:graphicData>
            </a:graphic>
          </wp:inline>
        </w:drawing>
      </w:r>
    </w:p>
    <w:p>
      <w:pPr>
        <w:pStyle w:val="3"/>
        <w:rPr>
          <w:color w:val="auto"/>
        </w:rPr>
      </w:pPr>
      <w:r>
        <w:rPr>
          <w:rFonts w:hint="eastAsia"/>
          <w:color w:val="auto"/>
        </w:rPr>
        <w:t>附图2项目地理位置图</w:t>
      </w:r>
    </w:p>
    <w:p>
      <w:pPr>
        <w:ind w:firstLine="0" w:firstLineChars="0"/>
        <w:rPr>
          <w:rFonts w:eastAsia="黑体"/>
          <w:color w:val="auto"/>
        </w:rPr>
      </w:pPr>
      <w:r>
        <w:rPr>
          <w:color w:val="auto"/>
        </w:rPr>
        <mc:AlternateContent>
          <mc:Choice Requires="wps">
            <w:drawing>
              <wp:anchor distT="0" distB="0" distL="114300" distR="114300" simplePos="0" relativeHeight="251689984" behindDoc="0" locked="0" layoutInCell="1" allowOverlap="1">
                <wp:simplePos x="0" y="0"/>
                <wp:positionH relativeFrom="column">
                  <wp:posOffset>4524375</wp:posOffset>
                </wp:positionH>
                <wp:positionV relativeFrom="paragraph">
                  <wp:posOffset>3128010</wp:posOffset>
                </wp:positionV>
                <wp:extent cx="866775" cy="351790"/>
                <wp:effectExtent l="12700" t="12700" r="15875" b="168910"/>
                <wp:wrapNone/>
                <wp:docPr id="40" name="圆角矩形标注 40"/>
                <wp:cNvGraphicFramePr/>
                <a:graphic xmlns:a="http://schemas.openxmlformats.org/drawingml/2006/main">
                  <a:graphicData uri="http://schemas.microsoft.com/office/word/2010/wordprocessingShape">
                    <wps:wsp>
                      <wps:cNvSpPr/>
                      <wps:spPr>
                        <a:xfrm>
                          <a:off x="5715000" y="4297045"/>
                          <a:ext cx="866775" cy="351790"/>
                        </a:xfrm>
                        <a:prstGeom prst="wedgeRoundRectCallout">
                          <a:avLst>
                            <a:gd name="adj1" fmla="val -47216"/>
                            <a:gd name="adj2" fmla="val 89530"/>
                            <a:gd name="adj3" fmla="val 16667"/>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spacing w:line="240" w:lineRule="auto"/>
                              <w:ind w:firstLine="0" w:firstLineChars="0"/>
                              <w:rPr>
                                <w:b/>
                                <w:bCs/>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b/>
                                <w:bCs/>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项目位置</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2" type="#_x0000_t62" style="position:absolute;left:0pt;margin-left:356.25pt;margin-top:246.3pt;height:27.7pt;width:68.25pt;z-index:251689984;v-text-anchor:middle;mso-width-relative:page;mso-height-relative:page;" filled="f" stroked="t" coordsize="21600,21600" o:gfxdata="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BYAAABkcnMvUEsBAhQAFAAAAAgAh07iQJmw6JHaAAAACwEA&#10;AA8AAAAAAAAAAQAgAAAAOAAAAGRycy9kb3ducmV2LnhtbFBLAQIUABQAAAAIAIdO4kArdLX2rQIA&#10;ACAFAAAOAAAAAAAAAAEAIAAAAD8BAABkcnMvZTJvRG9jLnhtbFBLBQYAAAAABgAGAFkBAABeBgAA&#10;AAA=&#10;" adj="601,30138,14400">
                <v:fill on="f" focussize="0,0"/>
                <v:stroke weight="2pt" color="#000000 [3213]" joinstyle="round"/>
                <v:imagedata o:title=""/>
                <o:lock v:ext="edit" aspectratio="f"/>
                <v:textbox>
                  <w:txbxContent>
                    <w:p>
                      <w:pPr>
                        <w:spacing w:line="240" w:lineRule="auto"/>
                        <w:ind w:firstLine="0" w:firstLineChars="0"/>
                        <w:rPr>
                          <w:b/>
                          <w:bCs/>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b/>
                          <w:bCs/>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项目位置</w:t>
                      </w:r>
                    </w:p>
                  </w:txbxContent>
                </v:textbox>
              </v:shape>
            </w:pict>
          </mc:Fallback>
        </mc:AlternateContent>
      </w:r>
      <w:r>
        <w:rPr>
          <w:color w:val="auto"/>
        </w:rPr>
        <w:drawing>
          <wp:inline distT="0" distB="0" distL="114300" distR="114300">
            <wp:extent cx="8400415" cy="5463540"/>
            <wp:effectExtent l="0" t="0" r="635" b="3810"/>
            <wp:docPr id="36"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true"/>
                    </pic:cNvPicPr>
                  </pic:nvPicPr>
                  <pic:blipFill>
                    <a:blip r:embed="rId84"/>
                    <a:stretch>
                      <a:fillRect/>
                    </a:stretch>
                  </pic:blipFill>
                  <pic:spPr>
                    <a:xfrm>
                      <a:off x="0" y="0"/>
                      <a:ext cx="8400415" cy="5463540"/>
                    </a:xfrm>
                    <a:prstGeom prst="rect">
                      <a:avLst/>
                    </a:prstGeom>
                    <a:noFill/>
                    <a:ln>
                      <a:noFill/>
                    </a:ln>
                  </pic:spPr>
                </pic:pic>
              </a:graphicData>
            </a:graphic>
          </wp:inline>
        </w:drawing>
      </w:r>
    </w:p>
    <w:p>
      <w:pPr>
        <w:pStyle w:val="3"/>
        <w:rPr>
          <w:color w:val="auto"/>
        </w:rPr>
      </w:pPr>
      <w:r>
        <w:rPr>
          <w:rFonts w:hint="eastAsia"/>
          <w:color w:val="auto"/>
        </w:rPr>
        <w:t>附图3项目敏感目标图</w:t>
      </w:r>
    </w:p>
    <w:p>
      <w:pPr>
        <w:ind w:firstLine="0" w:firstLineChars="0"/>
        <w:jc w:val="center"/>
        <w:rPr>
          <w:color w:val="auto"/>
        </w:rPr>
        <w:sectPr>
          <w:pgSz w:w="16838" w:h="11906" w:orient="landscape"/>
          <w:pgMar w:top="1440" w:right="1800" w:bottom="1440" w:left="1800" w:header="851" w:footer="851" w:gutter="0"/>
          <w:pgNumType w:fmt="numberInDash"/>
          <w:cols w:space="720" w:num="1"/>
          <w:docGrid w:linePitch="312" w:charSpace="0"/>
        </w:sectPr>
      </w:pPr>
      <w:r>
        <w:rPr>
          <w:color w:val="auto"/>
        </w:rPr>
        <w:drawing>
          <wp:anchor distT="0" distB="0" distL="114300" distR="114300" simplePos="0" relativeHeight="251680768" behindDoc="0" locked="0" layoutInCell="1" allowOverlap="1">
            <wp:simplePos x="0" y="0"/>
            <wp:positionH relativeFrom="column">
              <wp:posOffset>6194425</wp:posOffset>
            </wp:positionH>
            <wp:positionV relativeFrom="paragraph">
              <wp:posOffset>15875</wp:posOffset>
            </wp:positionV>
            <wp:extent cx="1092200" cy="1214120"/>
            <wp:effectExtent l="0" t="0" r="12700" b="5080"/>
            <wp:wrapNone/>
            <wp:docPr id="113"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3" name="图片 1"/>
                    <pic:cNvPicPr>
                      <a:picLocks noChangeAspect="true"/>
                    </pic:cNvPicPr>
                  </pic:nvPicPr>
                  <pic:blipFill>
                    <a:blip r:embed="rId26"/>
                    <a:stretch>
                      <a:fillRect/>
                    </a:stretch>
                  </pic:blipFill>
                  <pic:spPr>
                    <a:xfrm>
                      <a:off x="0" y="0"/>
                      <a:ext cx="1092200" cy="1214120"/>
                    </a:xfrm>
                    <a:prstGeom prst="rect">
                      <a:avLst/>
                    </a:prstGeom>
                    <a:noFill/>
                    <a:ln>
                      <a:noFill/>
                    </a:ln>
                  </pic:spPr>
                </pic:pic>
              </a:graphicData>
            </a:graphic>
          </wp:anchor>
        </w:drawing>
      </w:r>
      <w:r>
        <w:rPr>
          <w:color w:val="auto"/>
        </w:rPr>
        <w:drawing>
          <wp:inline distT="0" distB="0" distL="114300" distR="114300">
            <wp:extent cx="6225540" cy="5170170"/>
            <wp:effectExtent l="0" t="0" r="3810" b="11430"/>
            <wp:docPr id="22" name="图片 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 name="图片 30"/>
                    <pic:cNvPicPr>
                      <a:picLocks noChangeAspect="true"/>
                    </pic:cNvPicPr>
                  </pic:nvPicPr>
                  <pic:blipFill>
                    <a:blip r:embed="rId85"/>
                    <a:stretch>
                      <a:fillRect/>
                    </a:stretch>
                  </pic:blipFill>
                  <pic:spPr>
                    <a:xfrm>
                      <a:off x="0" y="0"/>
                      <a:ext cx="6225540" cy="5170170"/>
                    </a:xfrm>
                    <a:prstGeom prst="rect">
                      <a:avLst/>
                    </a:prstGeom>
                    <a:noFill/>
                    <a:ln>
                      <a:noFill/>
                    </a:ln>
                  </pic:spPr>
                </pic:pic>
              </a:graphicData>
            </a:graphic>
          </wp:inline>
        </w:drawing>
      </w:r>
    </w:p>
    <w:p>
      <w:pPr>
        <w:pStyle w:val="3"/>
        <w:rPr>
          <w:color w:val="auto"/>
        </w:rPr>
      </w:pPr>
      <w:r>
        <w:rPr>
          <w:color w:val="auto"/>
        </w:rPr>
        <w:drawing>
          <wp:anchor distT="0" distB="0" distL="114300" distR="114300" simplePos="0" relativeHeight="251679744" behindDoc="0" locked="0" layoutInCell="1" allowOverlap="1">
            <wp:simplePos x="0" y="0"/>
            <wp:positionH relativeFrom="column">
              <wp:posOffset>7392670</wp:posOffset>
            </wp:positionH>
            <wp:positionV relativeFrom="paragraph">
              <wp:posOffset>189865</wp:posOffset>
            </wp:positionV>
            <wp:extent cx="1092200" cy="1214120"/>
            <wp:effectExtent l="0" t="0" r="12700" b="5080"/>
            <wp:wrapNone/>
            <wp:docPr id="112"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2" name="图片 1"/>
                    <pic:cNvPicPr>
                      <a:picLocks noChangeAspect="true"/>
                    </pic:cNvPicPr>
                  </pic:nvPicPr>
                  <pic:blipFill>
                    <a:blip r:embed="rId26"/>
                    <a:stretch>
                      <a:fillRect/>
                    </a:stretch>
                  </pic:blipFill>
                  <pic:spPr>
                    <a:xfrm>
                      <a:off x="0" y="0"/>
                      <a:ext cx="1092200" cy="1214120"/>
                    </a:xfrm>
                    <a:prstGeom prst="rect">
                      <a:avLst/>
                    </a:prstGeom>
                    <a:noFill/>
                    <a:ln>
                      <a:noFill/>
                    </a:ln>
                  </pic:spPr>
                </pic:pic>
              </a:graphicData>
            </a:graphic>
          </wp:anchor>
        </w:drawing>
      </w:r>
      <w:r>
        <w:rPr>
          <w:rFonts w:hint="eastAsia"/>
          <w:color w:val="auto"/>
        </w:rPr>
        <w:t>附图4现有工程平面布置图</w:t>
      </w:r>
    </w:p>
    <w:p>
      <w:pPr>
        <w:ind w:firstLine="0" w:firstLineChars="0"/>
        <w:jc w:val="center"/>
        <w:rPr>
          <w:color w:val="auto"/>
        </w:rPr>
      </w:pPr>
      <w:r>
        <w:rPr>
          <w:color w:val="auto"/>
        </w:rPr>
        <mc:AlternateContent>
          <mc:Choice Requires="wps">
            <w:drawing>
              <wp:anchor distT="0" distB="0" distL="114300" distR="114300" simplePos="0" relativeHeight="251698176" behindDoc="0" locked="0" layoutInCell="1" allowOverlap="1">
                <wp:simplePos x="0" y="0"/>
                <wp:positionH relativeFrom="column">
                  <wp:posOffset>4160520</wp:posOffset>
                </wp:positionH>
                <wp:positionV relativeFrom="paragraph">
                  <wp:posOffset>2056765</wp:posOffset>
                </wp:positionV>
                <wp:extent cx="702310" cy="209550"/>
                <wp:effectExtent l="4445" t="4445" r="17145" b="128905"/>
                <wp:wrapNone/>
                <wp:docPr id="120" name="圆角矩形标注 120"/>
                <wp:cNvGraphicFramePr/>
                <a:graphic xmlns:a="http://schemas.openxmlformats.org/drawingml/2006/main">
                  <a:graphicData uri="http://schemas.microsoft.com/office/word/2010/wordprocessingShape">
                    <wps:wsp>
                      <wps:cNvSpPr/>
                      <wps:spPr>
                        <a:xfrm>
                          <a:off x="0" y="0"/>
                          <a:ext cx="702310" cy="209550"/>
                        </a:xfrm>
                        <a:prstGeom prst="wedgeRoundRectCallout">
                          <a:avLst>
                            <a:gd name="adj1" fmla="val 15641"/>
                            <a:gd name="adj2" fmla="val 102121"/>
                            <a:gd name="adj3" fmla="val 16667"/>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spacing w:line="240" w:lineRule="auto"/>
                              <w:ind w:firstLine="0" w:firstLineChars="0"/>
                              <w:rPr>
                                <w:sz w:val="13"/>
                                <w:szCs w:val="13"/>
                              </w:rPr>
                            </w:pPr>
                            <w:r>
                              <w:rPr>
                                <w:rFonts w:hint="eastAsia"/>
                                <w:sz w:val="13"/>
                                <w:szCs w:val="13"/>
                              </w:rPr>
                              <w:t>煤泥堆存区</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2" type="#_x0000_t62" style="position:absolute;left:0pt;margin-left:327.6pt;margin-top:161.95pt;height:16.5pt;width:55.3pt;z-index:251698176;v-text-anchor:middle;mso-width-relative:page;mso-height-relative:page;" filled="f" stroked="t" coordsize="21600,21600" o:gfxdata="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FgAAAGRycy9QSwECFAAUAAAACACHTuJAHb0nYNkAAAALAQAADwAAAAAAAAABACAAAAA4AAAA&#10;ZHJzL2Rvd25yZXYueG1sUEsBAhQAFAAAAAgAh07iQOu9OTibAgAAFQUAAA4AAAAAAAAAAQAgAAAA&#10;PgEAAGRycy9lMm9Eb2MueG1sUEsFBgAAAAAGAAYAWQEAAEsGAAAAAA==&#10;" adj="14178,32858,14400">
                <v:fill on="f" focussize="0,0"/>
                <v:stroke weight="0.5pt" color="#000000 [3213]" joinstyle="round"/>
                <v:imagedata o:title=""/>
                <o:lock v:ext="edit" aspectratio="f"/>
                <v:textbox>
                  <w:txbxContent>
                    <w:p>
                      <w:pPr>
                        <w:spacing w:line="240" w:lineRule="auto"/>
                        <w:ind w:firstLine="0" w:firstLineChars="0"/>
                        <w:rPr>
                          <w:sz w:val="13"/>
                          <w:szCs w:val="13"/>
                        </w:rPr>
                      </w:pPr>
                      <w:r>
                        <w:rPr>
                          <w:rFonts w:hint="eastAsia"/>
                          <w:sz w:val="13"/>
                          <w:szCs w:val="13"/>
                        </w:rPr>
                        <w:t>煤泥堆存区</w:t>
                      </w:r>
                    </w:p>
                  </w:txbxContent>
                </v:textbox>
              </v:shape>
            </w:pict>
          </mc:Fallback>
        </mc:AlternateContent>
      </w:r>
      <w:r>
        <w:rPr>
          <w:color w:val="auto"/>
        </w:rPr>
        <mc:AlternateContent>
          <mc:Choice Requires="wps">
            <w:drawing>
              <wp:anchor distT="0" distB="0" distL="114300" distR="114300" simplePos="0" relativeHeight="251701248" behindDoc="0" locked="0" layoutInCell="1" allowOverlap="1">
                <wp:simplePos x="0" y="0"/>
                <wp:positionH relativeFrom="column">
                  <wp:posOffset>4965700</wp:posOffset>
                </wp:positionH>
                <wp:positionV relativeFrom="paragraph">
                  <wp:posOffset>2185670</wp:posOffset>
                </wp:positionV>
                <wp:extent cx="655955" cy="254000"/>
                <wp:effectExtent l="196850" t="4445" r="4445" b="8255"/>
                <wp:wrapNone/>
                <wp:docPr id="123" name="圆角矩形标注 123"/>
                <wp:cNvGraphicFramePr/>
                <a:graphic xmlns:a="http://schemas.openxmlformats.org/drawingml/2006/main">
                  <a:graphicData uri="http://schemas.microsoft.com/office/word/2010/wordprocessingShape">
                    <wps:wsp>
                      <wps:cNvSpPr/>
                      <wps:spPr>
                        <a:xfrm>
                          <a:off x="0" y="0"/>
                          <a:ext cx="655955" cy="254000"/>
                        </a:xfrm>
                        <a:prstGeom prst="wedgeRoundRectCallout">
                          <a:avLst>
                            <a:gd name="adj1" fmla="val -79270"/>
                            <a:gd name="adj2" fmla="val 31818"/>
                            <a:gd name="adj3" fmla="val 16667"/>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spacing w:line="240" w:lineRule="auto"/>
                              <w:ind w:firstLine="0" w:firstLineChars="0"/>
                              <w:rPr>
                                <w:sz w:val="13"/>
                                <w:szCs w:val="13"/>
                              </w:rPr>
                            </w:pPr>
                            <w:r>
                              <w:rPr>
                                <w:rFonts w:hint="eastAsia"/>
                                <w:sz w:val="13"/>
                                <w:szCs w:val="13"/>
                              </w:rPr>
                              <w:t>矸石堆存区</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2" type="#_x0000_t62" style="position:absolute;left:0pt;margin-left:391pt;margin-top:172.1pt;height:20pt;width:51.65pt;z-index:251701248;v-text-anchor:middle;mso-width-relative:page;mso-height-relative:page;" filled="f" stroked="t" coordsize="21600,21600" o:gfxdata="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FgAAAGRycy9QSwECFAAUAAAACACHTuJAFzZ+pNsAAAALAQAADwAAAAAAAAAB&#10;ACAAAAA4AAAAZHJzL2Rvd25yZXYueG1sUEsBAhQAFAAAAAgAh07iQE+kbleiAgAAFQUAAA4AAAAA&#10;AAAAAQAgAAAAQAEAAGRycy9lMm9Eb2MueG1sUEsFBgAAAAAGAAYAWQEAAFQGAAAAAA==&#10;" adj="0,17673,14400">
                <v:fill on="f" focussize="0,0"/>
                <v:stroke weight="0.5pt" color="#000000 [3213]" joinstyle="round"/>
                <v:imagedata o:title=""/>
                <o:lock v:ext="edit" aspectratio="f"/>
                <v:textbox>
                  <w:txbxContent>
                    <w:p>
                      <w:pPr>
                        <w:spacing w:line="240" w:lineRule="auto"/>
                        <w:ind w:firstLine="0" w:firstLineChars="0"/>
                        <w:rPr>
                          <w:sz w:val="13"/>
                          <w:szCs w:val="13"/>
                        </w:rPr>
                      </w:pPr>
                      <w:r>
                        <w:rPr>
                          <w:rFonts w:hint="eastAsia"/>
                          <w:sz w:val="13"/>
                          <w:szCs w:val="13"/>
                        </w:rPr>
                        <w:t>矸石堆存区</w:t>
                      </w:r>
                    </w:p>
                  </w:txbxContent>
                </v:textbox>
              </v:shape>
            </w:pict>
          </mc:Fallback>
        </mc:AlternateContent>
      </w:r>
      <w:r>
        <w:rPr>
          <w:color w:val="auto"/>
        </w:rPr>
        <mc:AlternateContent>
          <mc:Choice Requires="wps">
            <w:drawing>
              <wp:anchor distT="0" distB="0" distL="114300" distR="114300" simplePos="0" relativeHeight="251700224" behindDoc="0" locked="0" layoutInCell="1" allowOverlap="1">
                <wp:simplePos x="0" y="0"/>
                <wp:positionH relativeFrom="column">
                  <wp:posOffset>4693285</wp:posOffset>
                </wp:positionH>
                <wp:positionV relativeFrom="paragraph">
                  <wp:posOffset>2472055</wp:posOffset>
                </wp:positionV>
                <wp:extent cx="157480" cy="19685"/>
                <wp:effectExtent l="635" t="4445" r="13335" b="13970"/>
                <wp:wrapNone/>
                <wp:docPr id="122" name="直接连接符 122"/>
                <wp:cNvGraphicFramePr/>
                <a:graphic xmlns:a="http://schemas.openxmlformats.org/drawingml/2006/main">
                  <a:graphicData uri="http://schemas.microsoft.com/office/word/2010/wordprocessingShape">
                    <wps:wsp>
                      <wps:cNvCnPr/>
                      <wps:spPr>
                        <a:xfrm>
                          <a:off x="0" y="0"/>
                          <a:ext cx="157480" cy="19685"/>
                        </a:xfrm>
                        <a:prstGeom prst="line">
                          <a:avLst/>
                        </a:prstGeom>
                        <a:ln w="6350">
                          <a:solidFill>
                            <a:srgbClr val="C0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69.55pt;margin-top:194.65pt;height:1.55pt;width:12.4pt;z-index:251700224;mso-width-relative:page;mso-height-relative:page;" filled="f" stroked="t" coordsize="21600,21600" o:gfxdata="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BYAAABkcnMvUEsBAhQAFAAAAAgAh07iQIukx7rbAAAACwEAAA8AAAAA&#10;AAAAAQAgAAAAOAAAAGRycy9kb3ducmV2LnhtbFBLAQIUABQAAAAIAIdO4kAOzJrOwgEAAFMDAAAO&#10;AAAAAAAAAAEAIAAAAEABAABkcnMvZTJvRG9jLnhtbFBLBQYAAAAABgAGAFkBAAB0BQAAAAA=&#10;">
                <v:fill on="f" focussize="0,0"/>
                <v:stroke weight="0.5pt" color="#C00000 [3204]" joinstyle="round"/>
                <v:imagedata o:title=""/>
                <o:lock v:ext="edit" aspectratio="f"/>
              </v:line>
            </w:pict>
          </mc:Fallback>
        </mc:AlternateContent>
      </w:r>
      <w:r>
        <w:rPr>
          <w:color w:val="auto"/>
        </w:rPr>
        <mc:AlternateContent>
          <mc:Choice Requires="wps">
            <w:drawing>
              <wp:anchor distT="0" distB="0" distL="114300" distR="114300" simplePos="0" relativeHeight="251699200" behindDoc="0" locked="0" layoutInCell="1" allowOverlap="1">
                <wp:simplePos x="0" y="0"/>
                <wp:positionH relativeFrom="column">
                  <wp:posOffset>4852670</wp:posOffset>
                </wp:positionH>
                <wp:positionV relativeFrom="paragraph">
                  <wp:posOffset>2335530</wp:posOffset>
                </wp:positionV>
                <wp:extent cx="47625" cy="161925"/>
                <wp:effectExtent l="4445" t="1270" r="5080" b="8255"/>
                <wp:wrapNone/>
                <wp:docPr id="121" name="直接连接符 121"/>
                <wp:cNvGraphicFramePr/>
                <a:graphic xmlns:a="http://schemas.openxmlformats.org/drawingml/2006/main">
                  <a:graphicData uri="http://schemas.microsoft.com/office/word/2010/wordprocessingShape">
                    <wps:wsp>
                      <wps:cNvCnPr/>
                      <wps:spPr>
                        <a:xfrm flipV="true">
                          <a:off x="0" y="0"/>
                          <a:ext cx="47625" cy="161925"/>
                        </a:xfrm>
                        <a:prstGeom prst="line">
                          <a:avLst/>
                        </a:prstGeom>
                        <a:ln w="6350">
                          <a:solidFill>
                            <a:srgbClr val="C0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82.1pt;margin-top:183.9pt;height:12.75pt;width:3.75pt;z-index:251699200;mso-width-relative:page;mso-height-relative:page;" filled="f" stroked="t" coordsize="21600,21600" o:gfxdata="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WAAAAZHJzL1BLAQIUABQAAAAIAIdO4kDaZd7L2wAA&#10;AAsBAAAPAAAAAAAAAAEAIAAAADgAAABkcnMvZG93bnJldi54bWxQSwECFAAUAAAACACHTuJAcdYE&#10;QMwBAABgAwAADgAAAAAAAAABACAAAABAAQAAZHJzL2Uyb0RvYy54bWxQSwUGAAAAAAYABgBZAQAA&#10;fgUAAAAA&#10;">
                <v:fill on="f" focussize="0,0"/>
                <v:stroke weight="0.5pt" color="#C00000 [3204]" joinstyle="round"/>
                <v:imagedata o:title=""/>
                <o:lock v:ext="edit" aspectratio="f"/>
              </v:line>
            </w:pict>
          </mc:Fallback>
        </mc:AlternateContent>
      </w:r>
      <w:r>
        <w:rPr>
          <w:color w:val="auto"/>
        </w:rPr>
        <mc:AlternateContent>
          <mc:Choice Requires="wps">
            <w:drawing>
              <wp:anchor distT="0" distB="0" distL="114300" distR="114300" simplePos="0" relativeHeight="251695104" behindDoc="0" locked="0" layoutInCell="1" allowOverlap="1">
                <wp:simplePos x="0" y="0"/>
                <wp:positionH relativeFrom="column">
                  <wp:posOffset>6513195</wp:posOffset>
                </wp:positionH>
                <wp:positionV relativeFrom="paragraph">
                  <wp:posOffset>2522855</wp:posOffset>
                </wp:positionV>
                <wp:extent cx="757555" cy="273050"/>
                <wp:effectExtent l="370840" t="4445" r="14605" b="8255"/>
                <wp:wrapNone/>
                <wp:docPr id="73" name="圆角矩形标注 73"/>
                <wp:cNvGraphicFramePr/>
                <a:graphic xmlns:a="http://schemas.openxmlformats.org/drawingml/2006/main">
                  <a:graphicData uri="http://schemas.microsoft.com/office/word/2010/wordprocessingShape">
                    <wps:wsp>
                      <wps:cNvSpPr/>
                      <wps:spPr>
                        <a:xfrm>
                          <a:off x="0" y="0"/>
                          <a:ext cx="757555" cy="273050"/>
                        </a:xfrm>
                        <a:prstGeom prst="wedgeRoundRectCallout">
                          <a:avLst>
                            <a:gd name="adj1" fmla="val -98354"/>
                            <a:gd name="adj2" fmla="val -8866"/>
                            <a:gd name="adj3" fmla="val 16667"/>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spacing w:line="240" w:lineRule="auto"/>
                              <w:ind w:firstLine="0" w:firstLineChars="0"/>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准备车间</w:t>
                            </w:r>
                          </w:p>
                          <w:p>
                            <w:pPr>
                              <w:spacing w:line="240" w:lineRule="auto"/>
                              <w:ind w:firstLine="0" w:firstLineChars="0"/>
                              <w:rPr>
                                <w:sz w:val="21"/>
                                <w:szCs w:val="21"/>
                              </w:rPr>
                            </w:pP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2" type="#_x0000_t62" style="position:absolute;left:0pt;margin-left:512.85pt;margin-top:198.65pt;height:21.5pt;width:59.65pt;z-index:251695104;v-text-anchor:middle;mso-width-relative:page;mso-height-relative:page;" filled="f" stroked="t" coordsize="21600,21600" o:gfxdata="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WAAAAZHJzL1BLAQIUABQAAAAIAIdO4kAuhw7p3QAAAA0BAAAPAAAAAAAAAAEA&#10;IAAAADgAAABkcnMvZG93bnJldi54bWxQSwECFAAUAAAACACHTuJAvKfMn58CAAATBQAADgAAAAAA&#10;AAABACAAAABCAQAAZHJzL2Uyb0RvYy54bWxQSwUGAAAAAAYABgBZAQAAUwYAAAAA&#10;" adj="0,8885,14400">
                <v:fill on="f" focussize="0,0"/>
                <v:stroke weight="0.5pt" color="#000000 [3213]" joinstyle="round"/>
                <v:imagedata o:title=""/>
                <o:lock v:ext="edit" aspectratio="f"/>
                <v:textbox>
                  <w:txbxContent>
                    <w:p>
                      <w:pPr>
                        <w:spacing w:line="240" w:lineRule="auto"/>
                        <w:ind w:firstLine="0" w:firstLineChars="0"/>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准备车间</w:t>
                      </w:r>
                    </w:p>
                    <w:p>
                      <w:pPr>
                        <w:spacing w:line="240" w:lineRule="auto"/>
                        <w:ind w:firstLine="0" w:firstLineChars="0"/>
                        <w:rPr>
                          <w:sz w:val="21"/>
                          <w:szCs w:val="21"/>
                        </w:rPr>
                      </w:pPr>
                    </w:p>
                  </w:txbxContent>
                </v:textbox>
              </v:shape>
            </w:pict>
          </mc:Fallback>
        </mc:AlternateContent>
      </w:r>
      <w:r>
        <w:rPr>
          <w:color w:val="auto"/>
        </w:rPr>
        <mc:AlternateContent>
          <mc:Choice Requires="wps">
            <w:drawing>
              <wp:anchor distT="0" distB="0" distL="114300" distR="114300" simplePos="0" relativeHeight="251697152" behindDoc="0" locked="0" layoutInCell="1" allowOverlap="1">
                <wp:simplePos x="0" y="0"/>
                <wp:positionH relativeFrom="column">
                  <wp:posOffset>4684395</wp:posOffset>
                </wp:positionH>
                <wp:positionV relativeFrom="paragraph">
                  <wp:posOffset>2315210</wp:posOffset>
                </wp:positionV>
                <wp:extent cx="47625" cy="161925"/>
                <wp:effectExtent l="4445" t="1270" r="5080" b="8255"/>
                <wp:wrapNone/>
                <wp:docPr id="119" name="直接连接符 119"/>
                <wp:cNvGraphicFramePr/>
                <a:graphic xmlns:a="http://schemas.openxmlformats.org/drawingml/2006/main">
                  <a:graphicData uri="http://schemas.microsoft.com/office/word/2010/wordprocessingShape">
                    <wps:wsp>
                      <wps:cNvCnPr/>
                      <wps:spPr>
                        <a:xfrm flipV="true">
                          <a:off x="0" y="0"/>
                          <a:ext cx="47625" cy="161925"/>
                        </a:xfrm>
                        <a:prstGeom prst="line">
                          <a:avLst/>
                        </a:prstGeom>
                        <a:ln w="6350">
                          <a:solidFill>
                            <a:srgbClr val="C0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68.85pt;margin-top:182.3pt;height:12.75pt;width:3.75pt;z-index:251697152;mso-width-relative:page;mso-height-relative:page;" filled="f" stroked="t" coordsize="21600,21600" o:gfxdata="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WAAAAZHJzL1BLAQIUABQAAAAIAIdO4kAFAoEK2wAA&#10;AAsBAAAPAAAAAAAAAAEAIAAAADgAAABkcnMvZG93bnJldi54bWxQSwECFAAUAAAACACHTuJA+QY7&#10;LcwBAABgAwAADgAAAAAAAAABACAAAABAAQAAZHJzL2Uyb0RvYy54bWxQSwUGAAAAAAYABgBZAQAA&#10;fgUAAAAA&#10;">
                <v:fill on="f" focussize="0,0"/>
                <v:stroke weight="0.5pt" color="#C00000 [3204]" joinstyle="round"/>
                <v:imagedata o:title=""/>
                <o:lock v:ext="edit" aspectratio="f"/>
              </v:line>
            </w:pict>
          </mc:Fallback>
        </mc:AlternateContent>
      </w:r>
      <w:r>
        <w:rPr>
          <w:color w:val="auto"/>
        </w:rPr>
        <mc:AlternateContent>
          <mc:Choice Requires="wps">
            <w:drawing>
              <wp:anchor distT="0" distB="0" distL="114300" distR="114300" simplePos="0" relativeHeight="251696128" behindDoc="0" locked="0" layoutInCell="1" allowOverlap="1">
                <wp:simplePos x="0" y="0"/>
                <wp:positionH relativeFrom="column">
                  <wp:posOffset>4556125</wp:posOffset>
                </wp:positionH>
                <wp:positionV relativeFrom="paragraph">
                  <wp:posOffset>2448560</wp:posOffset>
                </wp:positionV>
                <wp:extent cx="142875" cy="23495"/>
                <wp:effectExtent l="635" t="4445" r="8890" b="10160"/>
                <wp:wrapNone/>
                <wp:docPr id="118" name="直接连接符 118"/>
                <wp:cNvGraphicFramePr/>
                <a:graphic xmlns:a="http://schemas.openxmlformats.org/drawingml/2006/main">
                  <a:graphicData uri="http://schemas.microsoft.com/office/word/2010/wordprocessingShape">
                    <wps:wsp>
                      <wps:cNvCnPr/>
                      <wps:spPr>
                        <a:xfrm>
                          <a:off x="5699125" y="3560445"/>
                          <a:ext cx="142875" cy="23495"/>
                        </a:xfrm>
                        <a:prstGeom prst="line">
                          <a:avLst/>
                        </a:prstGeom>
                        <a:ln w="6350">
                          <a:solidFill>
                            <a:srgbClr val="C0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58.75pt;margin-top:192.8pt;height:1.85pt;width:11.25pt;z-index:251696128;mso-width-relative:page;mso-height-relative:page;" filled="f" stroked="t" coordsize="21600,21600" o:gfxdata="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BYAAABkcnMvUEsBAhQAFAAAAAgAh07iQNIS&#10;iYDaAAAACwEAAA8AAAAAAAAAAQAgAAAAOAAAAGRycy9kb3ducmV2LnhtbFBLAQIUABQAAAAIAIdO&#10;4kCtpS1V0gEAAF8DAAAOAAAAAAAAAAEAIAAAAD8BAABkcnMvZTJvRG9jLnhtbFBLBQYAAAAABgAG&#10;AFkBAACDBQAAAAA=&#10;">
                <v:fill on="f" focussize="0,0"/>
                <v:stroke weight="0.5pt" color="#C00000 [3204]" joinstyle="round"/>
                <v:imagedata o:title=""/>
                <o:lock v:ext="edit" aspectratio="f"/>
              </v:line>
            </w:pict>
          </mc:Fallback>
        </mc:AlternateContent>
      </w:r>
      <w:r>
        <w:rPr>
          <w:color w:val="auto"/>
        </w:rPr>
        <mc:AlternateContent>
          <mc:Choice Requires="wps">
            <w:drawing>
              <wp:anchor distT="0" distB="0" distL="114300" distR="114300" simplePos="0" relativeHeight="251694080" behindDoc="0" locked="0" layoutInCell="1" allowOverlap="1">
                <wp:simplePos x="0" y="0"/>
                <wp:positionH relativeFrom="column">
                  <wp:posOffset>5483225</wp:posOffset>
                </wp:positionH>
                <wp:positionV relativeFrom="paragraph">
                  <wp:posOffset>2694940</wp:posOffset>
                </wp:positionV>
                <wp:extent cx="683895" cy="69215"/>
                <wp:effectExtent l="635" t="4445" r="1270" b="21590"/>
                <wp:wrapNone/>
                <wp:docPr id="71" name="直接连接符 71"/>
                <wp:cNvGraphicFramePr/>
                <a:graphic xmlns:a="http://schemas.openxmlformats.org/drawingml/2006/main">
                  <a:graphicData uri="http://schemas.microsoft.com/office/word/2010/wordprocessingShape">
                    <wps:wsp>
                      <wps:cNvCnPr/>
                      <wps:spPr>
                        <a:xfrm>
                          <a:off x="6626225" y="3806825"/>
                          <a:ext cx="683895" cy="69215"/>
                        </a:xfrm>
                        <a:prstGeom prst="line">
                          <a:avLst/>
                        </a:prstGeom>
                        <a:ln w="6350">
                          <a:solidFill>
                            <a:srgbClr val="C0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31.75pt;margin-top:212.2pt;height:5.45pt;width:53.85pt;z-index:251694080;mso-width-relative:page;mso-height-relative:page;" filled="f" stroked="t" coordsize="21600,21600" o:gfxdata="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BYAAABkcnMvUEsBAhQAFAAAAAgAh07iQLPPyEHb&#10;AAAACwEAAA8AAAAAAAAAAQAgAAAAOAAAAGRycy9kb3ducmV2LnhtbFBLAQIUABQAAAAIAIdO4kD8&#10;6c1dzgEAAF0DAAAOAAAAAAAAAAEAIAAAAEABAABkcnMvZTJvRG9jLnhtbFBLBQYAAAAABgAGAFkB&#10;AACABQAAAAA=&#10;">
                <v:fill on="f" focussize="0,0"/>
                <v:stroke weight="0.5pt" color="#C00000 [3204]" joinstyle="round"/>
                <v:imagedata o:title=""/>
                <o:lock v:ext="edit" aspectratio="f"/>
              </v:line>
            </w:pict>
          </mc:Fallback>
        </mc:AlternateContent>
      </w:r>
      <w:r>
        <w:rPr>
          <w:color w:val="auto"/>
        </w:rPr>
        <mc:AlternateContent>
          <mc:Choice Requires="wps">
            <w:drawing>
              <wp:anchor distT="0" distB="0" distL="114300" distR="114300" simplePos="0" relativeHeight="251693056" behindDoc="0" locked="0" layoutInCell="1" allowOverlap="1">
                <wp:simplePos x="0" y="0"/>
                <wp:positionH relativeFrom="column">
                  <wp:posOffset>4544060</wp:posOffset>
                </wp:positionH>
                <wp:positionV relativeFrom="paragraph">
                  <wp:posOffset>3764915</wp:posOffset>
                </wp:positionV>
                <wp:extent cx="844550" cy="347345"/>
                <wp:effectExtent l="5080" t="372745" r="7620" b="22860"/>
                <wp:wrapNone/>
                <wp:docPr id="70" name="圆角矩形标注 70"/>
                <wp:cNvGraphicFramePr/>
                <a:graphic xmlns:a="http://schemas.openxmlformats.org/drawingml/2006/main">
                  <a:graphicData uri="http://schemas.microsoft.com/office/word/2010/wordprocessingShape">
                    <wps:wsp>
                      <wps:cNvSpPr/>
                      <wps:spPr>
                        <a:xfrm>
                          <a:off x="0" y="0"/>
                          <a:ext cx="844550" cy="347345"/>
                        </a:xfrm>
                        <a:prstGeom prst="wedgeRoundRectCallout">
                          <a:avLst>
                            <a:gd name="adj1" fmla="val -17763"/>
                            <a:gd name="adj2" fmla="val -156032"/>
                            <a:gd name="adj3" fmla="val 16667"/>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spacing w:line="240" w:lineRule="auto"/>
                              <w:ind w:firstLine="0" w:firstLineChars="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洗煤车间</w:t>
                            </w:r>
                          </w:p>
                          <w:p>
                            <w:pPr>
                              <w:ind w:firstLine="0" w:firstLineChars="0"/>
                            </w:pP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2" type="#_x0000_t62" style="position:absolute;left:0pt;margin-left:357.8pt;margin-top:296.45pt;height:27.35pt;width:66.5pt;z-index:251693056;v-text-anchor:middle;mso-width-relative:page;mso-height-relative:page;" filled="f" stroked="t" coordsize="21600,21600" o:gfxdata="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WAAAAZHJzL1BLAQIUABQAAAAIAIdO4kCv+Axy2QAAAAsBAAAPAAAAAAAAAAEAIAAAADgA&#10;AABkcnMvZG93bnJldi54bWxQSwECFAAUAAAACACHTuJAs/Vkk50CAAAVBQAADgAAAAAAAAABACAA&#10;AAA+AQAAZHJzL2Uyb0RvYy54bWxQSwUGAAAAAAYABgBZAQAATQYAAAAA&#10;" adj="6963,0,14400">
                <v:fill on="f" focussize="0,0"/>
                <v:stroke weight="0.5pt" color="#000000 [3213]" joinstyle="round"/>
                <v:imagedata o:title=""/>
                <o:lock v:ext="edit" aspectratio="f"/>
                <v:textbox>
                  <w:txbxContent>
                    <w:p>
                      <w:pPr>
                        <w:spacing w:line="240" w:lineRule="auto"/>
                        <w:ind w:firstLine="0" w:firstLineChars="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洗煤车间</w:t>
                      </w:r>
                    </w:p>
                    <w:p>
                      <w:pPr>
                        <w:ind w:firstLine="0" w:firstLineChars="0"/>
                      </w:pPr>
                    </w:p>
                  </w:txbxContent>
                </v:textbox>
              </v:shape>
            </w:pict>
          </mc:Fallback>
        </mc:AlternateContent>
      </w:r>
      <w:r>
        <w:rPr>
          <w:color w:val="auto"/>
        </w:rPr>
        <mc:AlternateContent>
          <mc:Choice Requires="wps">
            <w:drawing>
              <wp:anchor distT="0" distB="0" distL="114300" distR="114300" simplePos="0" relativeHeight="251692032" behindDoc="0" locked="0" layoutInCell="1" allowOverlap="1">
                <wp:simplePos x="0" y="0"/>
                <wp:positionH relativeFrom="column">
                  <wp:posOffset>2936875</wp:posOffset>
                </wp:positionH>
                <wp:positionV relativeFrom="paragraph">
                  <wp:posOffset>3257550</wp:posOffset>
                </wp:positionV>
                <wp:extent cx="1273810" cy="347345"/>
                <wp:effectExtent l="5080" t="4445" r="473710" b="10160"/>
                <wp:wrapNone/>
                <wp:docPr id="55" name="圆角矩形标注 55"/>
                <wp:cNvGraphicFramePr/>
                <a:graphic xmlns:a="http://schemas.openxmlformats.org/drawingml/2006/main">
                  <a:graphicData uri="http://schemas.microsoft.com/office/word/2010/wordprocessingShape">
                    <wps:wsp>
                      <wps:cNvSpPr/>
                      <wps:spPr>
                        <a:xfrm>
                          <a:off x="4755515" y="4360545"/>
                          <a:ext cx="1273810" cy="347345"/>
                        </a:xfrm>
                        <a:prstGeom prst="wedgeRoundRectCallout">
                          <a:avLst>
                            <a:gd name="adj1" fmla="val 85749"/>
                            <a:gd name="adj2" fmla="val -26439"/>
                            <a:gd name="adj3" fmla="val 16667"/>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spacing w:line="240" w:lineRule="auto"/>
                              <w:ind w:firstLine="0" w:firstLineChars="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2#全封闭煤棚</w:t>
                            </w:r>
                          </w:p>
                          <w:p>
                            <w:pPr>
                              <w:ind w:firstLine="0" w:firstLineChars="0"/>
                            </w:pP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2" type="#_x0000_t62" style="position:absolute;left:0pt;margin-left:231.25pt;margin-top:256.5pt;height:27.35pt;width:100.3pt;z-index:251692032;v-text-anchor:middle;mso-width-relative:page;mso-height-relative:page;" filled="f" stroked="t" coordsize="21600,21600" o:gfxdata="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FgAAAGRycy9QSwECFAAUAAAACACHTuJAAqi/4twAAAALAQAA&#10;DwAAAAAAAAABACAAAAA4AAAAZHJzL2Rvd25yZXYueG1sUEsBAhQAFAAAAAgAh07iQLEzkoKqAgAA&#10;IAUAAA4AAAAAAAAAAQAgAAAAQQEAAGRycy9lMm9Eb2MueG1sUEsFBgAAAAAGAAYAWQEAAF0GAAAA&#10;AA==&#10;" adj="29322,5089,14400">
                <v:fill on="f" focussize="0,0"/>
                <v:stroke weight="0.5pt" color="#000000 [3213]" joinstyle="round"/>
                <v:imagedata o:title=""/>
                <o:lock v:ext="edit" aspectratio="f"/>
                <v:textbox>
                  <w:txbxContent>
                    <w:p>
                      <w:pPr>
                        <w:spacing w:line="240" w:lineRule="auto"/>
                        <w:ind w:firstLine="0" w:firstLineChars="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2#全封闭煤棚</w:t>
                      </w:r>
                    </w:p>
                    <w:p>
                      <w:pPr>
                        <w:ind w:firstLine="0" w:firstLineChars="0"/>
                      </w:pPr>
                    </w:p>
                  </w:txbxContent>
                </v:textbox>
              </v:shape>
            </w:pict>
          </mc:Fallback>
        </mc:AlternateContent>
      </w:r>
      <w:r>
        <w:rPr>
          <w:color w:val="auto"/>
        </w:rPr>
        <mc:AlternateContent>
          <mc:Choice Requires="wps">
            <w:drawing>
              <wp:anchor distT="0" distB="0" distL="114300" distR="114300" simplePos="0" relativeHeight="251691008" behindDoc="0" locked="0" layoutInCell="1" allowOverlap="1">
                <wp:simplePos x="0" y="0"/>
                <wp:positionH relativeFrom="column">
                  <wp:posOffset>4712335</wp:posOffset>
                </wp:positionH>
                <wp:positionV relativeFrom="paragraph">
                  <wp:posOffset>3213735</wp:posOffset>
                </wp:positionV>
                <wp:extent cx="407035" cy="277495"/>
                <wp:effectExtent l="3175" t="4445" r="8890" b="3810"/>
                <wp:wrapNone/>
                <wp:docPr id="30" name="任意多边形 30"/>
                <wp:cNvGraphicFramePr/>
                <a:graphic xmlns:a="http://schemas.openxmlformats.org/drawingml/2006/main">
                  <a:graphicData uri="http://schemas.microsoft.com/office/word/2010/wordprocessingShape">
                    <wps:wsp>
                      <wps:cNvSpPr/>
                      <wps:spPr>
                        <a:xfrm>
                          <a:off x="5855335" y="4325620"/>
                          <a:ext cx="407035" cy="277495"/>
                        </a:xfrm>
                        <a:custGeom>
                          <a:avLst/>
                          <a:gdLst>
                            <a:gd name="connisteX0" fmla="*/ 0 w 407035"/>
                            <a:gd name="connsiteY0" fmla="*/ 225425 h 277495"/>
                            <a:gd name="connisteX1" fmla="*/ 251460 w 407035"/>
                            <a:gd name="connsiteY1" fmla="*/ 0 h 277495"/>
                            <a:gd name="connisteX2" fmla="*/ 407035 w 407035"/>
                            <a:gd name="connsiteY2" fmla="*/ 95250 h 277495"/>
                            <a:gd name="connisteX3" fmla="*/ 346710 w 407035"/>
                            <a:gd name="connsiteY3" fmla="*/ 173355 h 277495"/>
                            <a:gd name="connisteX4" fmla="*/ 251460 w 407035"/>
                            <a:gd name="connsiteY4" fmla="*/ 138430 h 277495"/>
                            <a:gd name="connisteX5" fmla="*/ 121285 w 407035"/>
                            <a:gd name="connsiteY5" fmla="*/ 277495 h 2774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407035" h="277495">
                              <a:moveTo>
                                <a:pt x="0" y="225425"/>
                              </a:moveTo>
                              <a:lnTo>
                                <a:pt x="251460" y="0"/>
                              </a:lnTo>
                              <a:lnTo>
                                <a:pt x="407035" y="95250"/>
                              </a:lnTo>
                              <a:lnTo>
                                <a:pt x="346710" y="173355"/>
                              </a:lnTo>
                              <a:lnTo>
                                <a:pt x="251460" y="138430"/>
                              </a:lnTo>
                              <a:lnTo>
                                <a:pt x="121285" y="277495"/>
                              </a:lnTo>
                            </a:path>
                          </a:pathLst>
                        </a:custGeom>
                        <a:noFill/>
                        <a:ln w="6350">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71.05pt;margin-top:253.05pt;height:21.85pt;width:32.05pt;z-index:251691008;mso-width-relative:page;mso-height-relative:page;" filled="f" stroked="t" coordsize="407035,277495" o:gfxdata="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" path="m0,225425l251460,0,407035,95250,346710,173355,251460,138430,121285,277495e">
                <v:path o:connectlocs="0,225425;251460,0;407035,95250;346710,173355;251460,138430;121285,277495" o:connectangles="0,0,0,0,0,0"/>
                <v:fill on="f" focussize="0,0"/>
                <v:stroke weight="0.5pt" color="#C00000 [2404]" joinstyle="round"/>
                <v:imagedata o:title=""/>
                <o:lock v:ext="edit" aspectratio="f"/>
              </v:shape>
            </w:pict>
          </mc:Fallback>
        </mc:AlternateContent>
      </w:r>
      <w:r>
        <w:rPr>
          <w:color w:val="auto"/>
        </w:rPr>
        <mc:AlternateContent>
          <mc:Choice Requires="wps">
            <w:drawing>
              <wp:anchor distT="0" distB="0" distL="114300" distR="114300" simplePos="0" relativeHeight="251666432" behindDoc="0" locked="0" layoutInCell="1" allowOverlap="1">
                <wp:simplePos x="0" y="0"/>
                <wp:positionH relativeFrom="column">
                  <wp:posOffset>3937000</wp:posOffset>
                </wp:positionH>
                <wp:positionV relativeFrom="paragraph">
                  <wp:posOffset>3584575</wp:posOffset>
                </wp:positionV>
                <wp:extent cx="708660" cy="563245"/>
                <wp:effectExtent l="0" t="0" r="0" b="0"/>
                <wp:wrapNone/>
                <wp:docPr id="63" name="文本框 63"/>
                <wp:cNvGraphicFramePr/>
                <a:graphic xmlns:a="http://schemas.openxmlformats.org/drawingml/2006/main">
                  <a:graphicData uri="http://schemas.microsoft.com/office/word/2010/wordprocessingShape">
                    <wps:wsp>
                      <wps:cNvSpPr txBox="true"/>
                      <wps:spPr>
                        <a:xfrm>
                          <a:off x="0" y="0"/>
                          <a:ext cx="708660" cy="5632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480"/>
                            </w:pP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310pt;margin-top:282.25pt;height:44.35pt;width:55.8pt;z-index:251666432;mso-width-relative:page;mso-height-relative:page;" filled="f" stroked="f" coordsize="21600,21600" o:gfxdata="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FgAAAGRycy9QSwECFAAUAAAACACHTuJA2+/k39sAAAALAQAADwAAAAAAAAABACAAAAA4AAAAZHJz&#10;L2Rvd25yZXYueG1sUEsBAhQAFAAAAAgAh07iQLfJoAIkAgAAKwQAAA4AAAAAAAAAAQAgAAAAQAEA&#10;AGRycy9lMm9Eb2MueG1sUEsFBgAAAAAGAAYAWQEAANYFAAAAAA==&#10;">
                <v:fill on="f" focussize="0,0"/>
                <v:stroke on="f" weight="0.5pt"/>
                <v:imagedata o:title=""/>
                <o:lock v:ext="edit" aspectratio="f"/>
                <v:textbox>
                  <w:txbxContent>
                    <w:p>
                      <w:pPr>
                        <w:ind w:firstLine="480"/>
                      </w:pPr>
                    </w:p>
                  </w:txbxContent>
                </v:textbox>
              </v:shape>
            </w:pict>
          </mc:Fallback>
        </mc:AlternateContent>
      </w:r>
      <w:r>
        <w:rPr>
          <w:color w:val="auto"/>
        </w:rPr>
        <mc:AlternateContent>
          <mc:Choice Requires="wps">
            <w:drawing>
              <wp:anchor distT="0" distB="0" distL="114300" distR="114300" simplePos="0" relativeHeight="251685888" behindDoc="0" locked="0" layoutInCell="1" allowOverlap="1">
                <wp:simplePos x="0" y="0"/>
                <wp:positionH relativeFrom="column">
                  <wp:posOffset>4990465</wp:posOffset>
                </wp:positionH>
                <wp:positionV relativeFrom="paragraph">
                  <wp:posOffset>1792605</wp:posOffset>
                </wp:positionV>
                <wp:extent cx="930275" cy="279400"/>
                <wp:effectExtent l="0" t="0" r="0" b="0"/>
                <wp:wrapNone/>
                <wp:docPr id="99" name="文本框 99"/>
                <wp:cNvGraphicFramePr/>
                <a:graphic xmlns:a="http://schemas.openxmlformats.org/drawingml/2006/main">
                  <a:graphicData uri="http://schemas.microsoft.com/office/word/2010/wordprocessingShape">
                    <wps:wsp>
                      <wps:cNvSpPr txBox="true"/>
                      <wps:spPr>
                        <a:xfrm rot="19740000">
                          <a:off x="0" y="0"/>
                          <a:ext cx="930275" cy="279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rPr>
                                <w:b/>
                                <w:bCs/>
                                <w:sz w:val="21"/>
                                <w:szCs w:val="21"/>
                              </w:rPr>
                            </w:pPr>
                            <w:r>
                              <w:rPr>
                                <w:rFonts w:hint="eastAsia"/>
                                <w:b/>
                                <w:bCs/>
                                <w:sz w:val="21"/>
                                <w:szCs w:val="21"/>
                              </w:rPr>
                              <w:t>初期雨水池</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392.95pt;margin-top:141.15pt;height:22pt;width:73.25pt;rotation:-2031616f;z-index:251685888;mso-width-relative:page;mso-height-relative:page;" filled="f" stroked="f" coordsize="21600,21600" o:gfxdata="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WAAAAZHJzL1BLAQIUABQAAAAIAIdO4kARMZEQ3AAAAAsBAAAPAAAAAAAAAAEA&#10;IAAAADgAAABkcnMvZG93bnJldi54bWxQSwECFAAUAAAACACHTuJABkfGgS4CAAA6BAAADgAAAAAA&#10;AAABACAAAABBAQAAZHJzL2Uyb0RvYy54bWxQSwUGAAAAAAYABgBZAQAA4QUAAAAA&#10;">
                <v:fill on="f" focussize="0,0"/>
                <v:stroke on="f" weight="0.5pt"/>
                <v:imagedata o:title=""/>
                <o:lock v:ext="edit" aspectratio="f"/>
                <v:textbox>
                  <w:txbxContent>
                    <w:p>
                      <w:pPr>
                        <w:spacing w:line="240" w:lineRule="auto"/>
                        <w:ind w:firstLine="0" w:firstLineChars="0"/>
                        <w:rPr>
                          <w:b/>
                          <w:bCs/>
                          <w:sz w:val="21"/>
                          <w:szCs w:val="21"/>
                        </w:rPr>
                      </w:pPr>
                      <w:r>
                        <w:rPr>
                          <w:rFonts w:hint="eastAsia"/>
                          <w:b/>
                          <w:bCs/>
                          <w:sz w:val="21"/>
                          <w:szCs w:val="21"/>
                        </w:rPr>
                        <w:t>初期雨水池</w:t>
                      </w:r>
                    </w:p>
                  </w:txbxContent>
                </v:textbox>
              </v:shape>
            </w:pict>
          </mc:Fallback>
        </mc:AlternateContent>
      </w:r>
      <w:r>
        <w:rPr>
          <w:color w:val="auto"/>
        </w:rPr>
        <mc:AlternateContent>
          <mc:Choice Requires="wps">
            <w:drawing>
              <wp:anchor distT="0" distB="0" distL="114300" distR="114300" simplePos="0" relativeHeight="251684864" behindDoc="0" locked="0" layoutInCell="1" allowOverlap="1">
                <wp:simplePos x="0" y="0"/>
                <wp:positionH relativeFrom="column">
                  <wp:posOffset>5114290</wp:posOffset>
                </wp:positionH>
                <wp:positionV relativeFrom="paragraph">
                  <wp:posOffset>1970405</wp:posOffset>
                </wp:positionV>
                <wp:extent cx="257175" cy="171450"/>
                <wp:effectExtent l="36195" t="57785" r="49530" b="75565"/>
                <wp:wrapNone/>
                <wp:docPr id="98" name="矩形 98"/>
                <wp:cNvGraphicFramePr/>
                <a:graphic xmlns:a="http://schemas.openxmlformats.org/drawingml/2006/main">
                  <a:graphicData uri="http://schemas.microsoft.com/office/word/2010/wordprocessingShape">
                    <wps:wsp>
                      <wps:cNvSpPr/>
                      <wps:spPr>
                        <a:xfrm rot="1440000">
                          <a:off x="6257290" y="3082290"/>
                          <a:ext cx="257175" cy="17145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402.7pt;margin-top:155.15pt;height:13.5pt;width:20.25pt;rotation:1572864f;z-index:251684864;v-text-anchor:middle;mso-width-relative:page;mso-height-relative:page;" fillcolor="#4F81BD [3204]" filled="t" stroked="t" coordsize="21600,21600" o:gfxdata="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FgAAAGRycy9QSwECFAAUAAAACACHTuJAGoYglN0A&#10;AAALAQAADwAAAAAAAAABACAAAAA4AAAAZHJzL2Rvd25yZXYueG1sUEsBAhQAFAAAAAgAh07iQBEV&#10;qax2AgAA2wQAAA4AAAAAAAAAAQAgAAAAQgEAAGRycy9lMm9Eb2MueG1sUEsFBgAAAAAGAAYAWQEA&#10;ACoGAAAAAA==&#10;">
                <v:fill on="t" focussize="0,0"/>
                <v:stroke weight="2pt" color="#376092 [2404]" joinstyle="round"/>
                <v:imagedata o:title=""/>
                <o:lock v:ext="edit" aspectratio="f"/>
              </v:rect>
            </w:pict>
          </mc:Fallback>
        </mc:AlternateContent>
      </w:r>
      <w:r>
        <w:rPr>
          <w:color w:val="auto"/>
        </w:rPr>
        <mc:AlternateContent>
          <mc:Choice Requires="wps">
            <w:drawing>
              <wp:anchor distT="0" distB="0" distL="114300" distR="114300" simplePos="0" relativeHeight="251665408" behindDoc="0" locked="0" layoutInCell="1" allowOverlap="1">
                <wp:simplePos x="0" y="0"/>
                <wp:positionH relativeFrom="column">
                  <wp:posOffset>4555490</wp:posOffset>
                </wp:positionH>
                <wp:positionV relativeFrom="paragraph">
                  <wp:posOffset>2440940</wp:posOffset>
                </wp:positionV>
                <wp:extent cx="657860" cy="487680"/>
                <wp:effectExtent l="0" t="0" r="0" b="0"/>
                <wp:wrapNone/>
                <wp:docPr id="62" name="文本框 62"/>
                <wp:cNvGraphicFramePr/>
                <a:graphic xmlns:a="http://schemas.openxmlformats.org/drawingml/2006/main">
                  <a:graphicData uri="http://schemas.microsoft.com/office/word/2010/wordprocessingShape">
                    <wps:wsp>
                      <wps:cNvSpPr txBox="true"/>
                      <wps:spPr>
                        <a:xfrm>
                          <a:off x="7886065" y="3668395"/>
                          <a:ext cx="657860" cy="4876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rPr>
                                <w:b/>
                                <w:bCs/>
                              </w:rPr>
                            </w:pPr>
                            <w:r>
                              <w:rPr>
                                <w:rFonts w:hint="eastAsia"/>
                                <w:b/>
                                <w:bCs/>
                              </w:rPr>
                              <w:t>1#全封闭煤棚</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358.7pt;margin-top:192.2pt;height:38.4pt;width:51.8pt;z-index:251665408;mso-width-relative:page;mso-height-relative:page;" filled="f" stroked="f" coordsize="21600,21600" o:gfxdata="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FgAAAGRycy9QSwECFAAUAAAACACHTuJA/rnmvtwAAAALAQAADwAAAAAA&#10;AAABACAAAAA4AAAAZHJzL2Rvd25yZXYueG1sUEsBAhQAFAAAAAgAh07iQA2yTewyAgAANwQAAA4A&#10;AAAAAAAAAQAgAAAAQQEAAGRycy9lMm9Eb2MueG1sUEsFBgAAAAAGAAYAWQEAAOUFAAAAAA==&#10;">
                <v:fill on="f" focussize="0,0"/>
                <v:stroke on="f" weight="0.5pt"/>
                <v:imagedata o:title=""/>
                <o:lock v:ext="edit" aspectratio="f"/>
                <v:textbox>
                  <w:txbxContent>
                    <w:p>
                      <w:pPr>
                        <w:spacing w:line="240" w:lineRule="auto"/>
                        <w:ind w:firstLine="0" w:firstLineChars="0"/>
                        <w:rPr>
                          <w:b/>
                          <w:bCs/>
                        </w:rPr>
                      </w:pPr>
                      <w:r>
                        <w:rPr>
                          <w:rFonts w:hint="eastAsia"/>
                          <w:b/>
                          <w:bCs/>
                        </w:rPr>
                        <w:t>1#全封闭煤棚</w:t>
                      </w:r>
                    </w:p>
                  </w:txbxContent>
                </v:textbox>
              </v:shape>
            </w:pict>
          </mc:Fallback>
        </mc:AlternateContent>
      </w:r>
      <w:r>
        <w:rPr>
          <w:color w:val="auto"/>
        </w:rPr>
        <mc:AlternateContent>
          <mc:Choice Requires="wps">
            <w:drawing>
              <wp:anchor distT="0" distB="0" distL="114300" distR="114300" simplePos="0" relativeHeight="251669504" behindDoc="0" locked="0" layoutInCell="1" allowOverlap="1">
                <wp:simplePos x="0" y="0"/>
                <wp:positionH relativeFrom="column">
                  <wp:posOffset>2806065</wp:posOffset>
                </wp:positionH>
                <wp:positionV relativeFrom="paragraph">
                  <wp:posOffset>1953260</wp:posOffset>
                </wp:positionV>
                <wp:extent cx="842010" cy="554990"/>
                <wp:effectExtent l="0" t="0" r="0" b="0"/>
                <wp:wrapNone/>
                <wp:docPr id="66" name="文本框 66"/>
                <wp:cNvGraphicFramePr/>
                <a:graphic xmlns:a="http://schemas.openxmlformats.org/drawingml/2006/main">
                  <a:graphicData uri="http://schemas.microsoft.com/office/word/2010/wordprocessingShape">
                    <wps:wsp>
                      <wps:cNvSpPr txBox="true"/>
                      <wps:spPr>
                        <a:xfrm>
                          <a:off x="0" y="0"/>
                          <a:ext cx="842010" cy="5549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rPr>
                                <w:b/>
                                <w:bCs/>
                              </w:rPr>
                            </w:pPr>
                            <w:r>
                              <w:rPr>
                                <w:rFonts w:hint="eastAsia"/>
                                <w:b/>
                                <w:bCs/>
                              </w:rPr>
                              <w:t>4-3#全封闭煤棚</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20.95pt;margin-top:153.8pt;height:43.7pt;width:66.3pt;z-index:251669504;mso-width-relative:page;mso-height-relative:page;" filled="f" stroked="f" coordsize="21600,21600" o:gfxdata="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BBfMah3AAAAAsBAAAPAAAAAAAAAAEAIAAAADgAAABk&#10;cnMvZG93bnJldi54bWxQSwECFAAUAAAACACHTuJAGR2pwyUCAAArBAAADgAAAAAAAAABACAAAABB&#10;AQAAZHJzL2Uyb0RvYy54bWxQSwUGAAAAAAYABgBZAQAA2AUAAAAA&#10;">
                <v:fill on="f" focussize="0,0"/>
                <v:stroke on="f" weight="0.5pt"/>
                <v:imagedata o:title=""/>
                <o:lock v:ext="edit" aspectratio="f"/>
                <v:textbox>
                  <w:txbxContent>
                    <w:p>
                      <w:pPr>
                        <w:spacing w:line="240" w:lineRule="auto"/>
                        <w:ind w:firstLine="0" w:firstLineChars="0"/>
                        <w:rPr>
                          <w:b/>
                          <w:bCs/>
                        </w:rPr>
                      </w:pPr>
                      <w:r>
                        <w:rPr>
                          <w:rFonts w:hint="eastAsia"/>
                          <w:b/>
                          <w:bCs/>
                        </w:rPr>
                        <w:t>4-3#全封闭煤棚</w:t>
                      </w:r>
                    </w:p>
                  </w:txbxContent>
                </v:textbox>
              </v:shape>
            </w:pict>
          </mc:Fallback>
        </mc:AlternateContent>
      </w:r>
      <w:r>
        <w:rPr>
          <w:color w:val="auto"/>
        </w:rPr>
        <w:drawing>
          <wp:inline distT="0" distB="0" distL="114300" distR="114300">
            <wp:extent cx="8522970" cy="5043170"/>
            <wp:effectExtent l="0" t="0" r="11430" b="5080"/>
            <wp:docPr id="61" name="图片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 name="图片 24"/>
                    <pic:cNvPicPr>
                      <a:picLocks noChangeAspect="true"/>
                    </pic:cNvPicPr>
                  </pic:nvPicPr>
                  <pic:blipFill>
                    <a:blip r:embed="rId86"/>
                    <a:stretch>
                      <a:fillRect/>
                    </a:stretch>
                  </pic:blipFill>
                  <pic:spPr>
                    <a:xfrm>
                      <a:off x="0" y="0"/>
                      <a:ext cx="8522970" cy="5043170"/>
                    </a:xfrm>
                    <a:prstGeom prst="rect">
                      <a:avLst/>
                    </a:prstGeom>
                    <a:noFill/>
                    <a:ln>
                      <a:noFill/>
                    </a:ln>
                  </pic:spPr>
                </pic:pic>
              </a:graphicData>
            </a:graphic>
          </wp:inline>
        </w:drawing>
      </w:r>
      <w:r>
        <w:rPr>
          <w:color w:val="auto"/>
        </w:rPr>
        <mc:AlternateContent>
          <mc:Choice Requires="wps">
            <w:drawing>
              <wp:anchor distT="0" distB="0" distL="114300" distR="114300" simplePos="0" relativeHeight="251670528" behindDoc="0" locked="0" layoutInCell="1" allowOverlap="1">
                <wp:simplePos x="0" y="0"/>
                <wp:positionH relativeFrom="column">
                  <wp:posOffset>3868420</wp:posOffset>
                </wp:positionH>
                <wp:positionV relativeFrom="paragraph">
                  <wp:posOffset>1583055</wp:posOffset>
                </wp:positionV>
                <wp:extent cx="789305" cy="469900"/>
                <wp:effectExtent l="0" t="0" r="0" b="0"/>
                <wp:wrapNone/>
                <wp:docPr id="67" name="文本框 67"/>
                <wp:cNvGraphicFramePr/>
                <a:graphic xmlns:a="http://schemas.openxmlformats.org/drawingml/2006/main">
                  <a:graphicData uri="http://schemas.microsoft.com/office/word/2010/wordprocessingShape">
                    <wps:wsp>
                      <wps:cNvSpPr txBox="true"/>
                      <wps:spPr>
                        <a:xfrm>
                          <a:off x="0" y="0"/>
                          <a:ext cx="789305" cy="469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rPr>
                                <w:b/>
                                <w:bCs/>
                              </w:rPr>
                            </w:pPr>
                            <w:r>
                              <w:rPr>
                                <w:rFonts w:hint="eastAsia"/>
                                <w:b/>
                                <w:bCs/>
                              </w:rPr>
                              <w:t>4-1#全封闭煤棚</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304.6pt;margin-top:124.65pt;height:37pt;width:62.15pt;z-index:251670528;mso-width-relative:page;mso-height-relative:page;" filled="f" stroked="f" coordsize="21600,21600" o:gfxdata="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N95rkzcAAAACwEAAA8AAAAAAAAAAQAgAAAAOAAA&#10;AGRycy9kb3ducmV2LnhtbFBLAQIUABQAAAAIAIdO4kBh+WuOJwIAACsEAAAOAAAAAAAAAAEAIAAA&#10;AEEBAABkcnMvZTJvRG9jLnhtbFBLBQYAAAAABgAGAFkBAADaBQAAAAA=&#10;">
                <v:fill on="f" focussize="0,0"/>
                <v:stroke on="f" weight="0.5pt"/>
                <v:imagedata o:title=""/>
                <o:lock v:ext="edit" aspectratio="f"/>
                <v:textbox>
                  <w:txbxContent>
                    <w:p>
                      <w:pPr>
                        <w:spacing w:line="240" w:lineRule="auto"/>
                        <w:ind w:firstLine="0" w:firstLineChars="0"/>
                        <w:rPr>
                          <w:b/>
                          <w:bCs/>
                        </w:rPr>
                      </w:pPr>
                      <w:r>
                        <w:rPr>
                          <w:rFonts w:hint="eastAsia"/>
                          <w:b/>
                          <w:bCs/>
                        </w:rPr>
                        <w:t>4-1#全封闭煤棚</w:t>
                      </w:r>
                    </w:p>
                  </w:txbxContent>
                </v:textbox>
              </v:shape>
            </w:pict>
          </mc:Fallback>
        </mc:AlternateContent>
      </w:r>
      <w:r>
        <w:rPr>
          <w:color w:val="auto"/>
        </w:rPr>
        <mc:AlternateContent>
          <mc:Choice Requires="wps">
            <w:drawing>
              <wp:anchor distT="0" distB="0" distL="114300" distR="114300" simplePos="0" relativeHeight="251668480" behindDoc="0" locked="0" layoutInCell="1" allowOverlap="1">
                <wp:simplePos x="0" y="0"/>
                <wp:positionH relativeFrom="column">
                  <wp:posOffset>3776980</wp:posOffset>
                </wp:positionH>
                <wp:positionV relativeFrom="paragraph">
                  <wp:posOffset>2447925</wp:posOffset>
                </wp:positionV>
                <wp:extent cx="810260" cy="502920"/>
                <wp:effectExtent l="153670" t="0" r="0" b="0"/>
                <wp:wrapNone/>
                <wp:docPr id="65" name="文本框 65"/>
                <wp:cNvGraphicFramePr/>
                <a:graphic xmlns:a="http://schemas.openxmlformats.org/drawingml/2006/main">
                  <a:graphicData uri="http://schemas.microsoft.com/office/word/2010/wordprocessingShape">
                    <wps:wsp>
                      <wps:cNvSpPr txBox="true"/>
                      <wps:spPr>
                        <a:xfrm rot="17400000">
                          <a:off x="0" y="0"/>
                          <a:ext cx="810260" cy="5029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rPr>
                                <w:b/>
                                <w:bCs/>
                              </w:rPr>
                            </w:pPr>
                            <w:r>
                              <w:rPr>
                                <w:rFonts w:hint="eastAsia"/>
                                <w:b/>
                                <w:bCs/>
                              </w:rPr>
                              <w:t>4-2#全封闭煤棚</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97.4pt;margin-top:192.75pt;height:39.6pt;width:63.8pt;rotation:-4587520f;z-index:251668480;mso-width-relative:page;mso-height-relative:page;" filled="f" stroked="f" coordsize="21600,21600" o:gfxdata="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FgAAAGRycy9QSwECFAAUAAAACACHTuJA+jFWQtoAAAALAQAADwAAAAAAAAABACAA&#10;AAA4AAAAZHJzL2Rvd25yZXYueG1sUEsBAhQAFAAAAAgAh07iQNxgOmQuAgAAOgQAAA4AAAAAAAAA&#10;AQAgAAAAPwEAAGRycy9lMm9Eb2MueG1sUEsFBgAAAAAGAAYAWQEAAN8FAAAAAA==&#10;">
                <v:fill on="f" focussize="0,0"/>
                <v:stroke on="f" weight="0.5pt"/>
                <v:imagedata o:title=""/>
                <o:lock v:ext="edit" aspectratio="f"/>
                <v:textbox>
                  <w:txbxContent>
                    <w:p>
                      <w:pPr>
                        <w:spacing w:line="240" w:lineRule="auto"/>
                        <w:ind w:firstLine="0" w:firstLineChars="0"/>
                        <w:rPr>
                          <w:b/>
                          <w:bCs/>
                        </w:rPr>
                      </w:pPr>
                      <w:r>
                        <w:rPr>
                          <w:rFonts w:hint="eastAsia"/>
                          <w:b/>
                          <w:bCs/>
                        </w:rPr>
                        <w:t>4-2#全封闭煤棚</w:t>
                      </w:r>
                    </w:p>
                  </w:txbxContent>
                </v:textbox>
              </v:shape>
            </w:pict>
          </mc:Fallback>
        </mc:AlternateContent>
      </w:r>
      <w:r>
        <w:rPr>
          <w:color w:val="auto"/>
        </w:rPr>
        <mc:AlternateContent>
          <mc:Choice Requires="wps">
            <w:drawing>
              <wp:anchor distT="0" distB="0" distL="114300" distR="114300" simplePos="0" relativeHeight="251667456" behindDoc="0" locked="0" layoutInCell="1" allowOverlap="1">
                <wp:simplePos x="0" y="0"/>
                <wp:positionH relativeFrom="column">
                  <wp:posOffset>5364480</wp:posOffset>
                </wp:positionH>
                <wp:positionV relativeFrom="paragraph">
                  <wp:posOffset>3011805</wp:posOffset>
                </wp:positionV>
                <wp:extent cx="736600" cy="477520"/>
                <wp:effectExtent l="0" t="0" r="0" b="0"/>
                <wp:wrapNone/>
                <wp:docPr id="64" name="文本框 64"/>
                <wp:cNvGraphicFramePr/>
                <a:graphic xmlns:a="http://schemas.openxmlformats.org/drawingml/2006/main">
                  <a:graphicData uri="http://schemas.microsoft.com/office/word/2010/wordprocessingShape">
                    <wps:wsp>
                      <wps:cNvSpPr txBox="true"/>
                      <wps:spPr>
                        <a:xfrm>
                          <a:off x="0" y="0"/>
                          <a:ext cx="736600" cy="4775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rPr>
                                <w:b/>
                                <w:bCs/>
                              </w:rPr>
                            </w:pPr>
                            <w:r>
                              <w:rPr>
                                <w:rFonts w:hint="eastAsia"/>
                                <w:b/>
                                <w:bCs/>
                              </w:rPr>
                              <w:t>3#全封闭煤棚</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422.4pt;margin-top:237.15pt;height:37.6pt;width:58pt;z-index:251667456;mso-width-relative:page;mso-height-relative:page;" filled="f" stroked="f" coordsize="21600,21600" o:gfxdata="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Gt7sEndAAAACwEAAA8AAAAAAAAAAQAgAAAAOAAA&#10;AGRycy9kb3ducmV2LnhtbFBLAQIUABQAAAAIAIdO4kCprVt4JgIAACsEAAAOAAAAAAAAAAEAIAAA&#10;AEIBAABkcnMvZTJvRG9jLnhtbFBLBQYAAAAABgAGAFkBAADaBQAAAAA=&#10;">
                <v:fill on="f" focussize="0,0"/>
                <v:stroke on="f" weight="0.5pt"/>
                <v:imagedata o:title=""/>
                <o:lock v:ext="edit" aspectratio="f"/>
                <v:textbox>
                  <w:txbxContent>
                    <w:p>
                      <w:pPr>
                        <w:spacing w:line="240" w:lineRule="auto"/>
                        <w:ind w:firstLine="0" w:firstLineChars="0"/>
                        <w:rPr>
                          <w:b/>
                          <w:bCs/>
                        </w:rPr>
                      </w:pPr>
                      <w:r>
                        <w:rPr>
                          <w:rFonts w:hint="eastAsia"/>
                          <w:b/>
                          <w:bCs/>
                        </w:rPr>
                        <w:t>3#全封闭煤棚</w:t>
                      </w:r>
                    </w:p>
                  </w:txbxContent>
                </v:textbox>
              </v:shape>
            </w:pict>
          </mc:Fallback>
        </mc:AlternateContent>
      </w:r>
      <w:r>
        <w:rPr>
          <w:color w:val="auto"/>
        </w:rPr>
        <mc:AlternateContent>
          <mc:Choice Requires="wps">
            <w:drawing>
              <wp:anchor distT="0" distB="0" distL="114300" distR="114300" simplePos="0" relativeHeight="251672576" behindDoc="0" locked="0" layoutInCell="1" allowOverlap="1">
                <wp:simplePos x="0" y="0"/>
                <wp:positionH relativeFrom="column">
                  <wp:posOffset>5629275</wp:posOffset>
                </wp:positionH>
                <wp:positionV relativeFrom="paragraph">
                  <wp:posOffset>2343150</wp:posOffset>
                </wp:positionV>
                <wp:extent cx="657860" cy="315595"/>
                <wp:effectExtent l="0" t="0" r="0" b="0"/>
                <wp:wrapNone/>
                <wp:docPr id="69" name="文本框 69"/>
                <wp:cNvGraphicFramePr/>
                <a:graphic xmlns:a="http://schemas.openxmlformats.org/drawingml/2006/main">
                  <a:graphicData uri="http://schemas.microsoft.com/office/word/2010/wordprocessingShape">
                    <wps:wsp>
                      <wps:cNvSpPr txBox="true"/>
                      <wps:spPr>
                        <a:xfrm rot="420000">
                          <a:off x="0" y="0"/>
                          <a:ext cx="657860" cy="3155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rPr>
                                <w:b/>
                                <w:bCs/>
                              </w:rPr>
                            </w:pPr>
                            <w:r>
                              <w:rPr>
                                <w:rFonts w:hint="eastAsia"/>
                                <w:b/>
                                <w:bCs/>
                              </w:rPr>
                              <w:t>办公区</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443.25pt;margin-top:184.5pt;height:24.85pt;width:51.8pt;rotation:458752f;z-index:251672576;mso-width-relative:page;mso-height-relative:page;" filled="f" stroked="f" coordsize="21600,21600" o:gfxdata="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WAAAAZHJzL1BLAQIUABQAAAAIAIdO4kAojcV43gAAAAsBAAAPAAAAAAAAAAEA&#10;IAAAADgAAABkcnMvZG93bnJldi54bWxQSwECFAAUAAAACACHTuJAQBqvNiwCAAA4BAAADgAAAAAA&#10;AAABACAAAABDAQAAZHJzL2Uyb0RvYy54bWxQSwUGAAAAAAYABgBZAQAA4QUAAAAA&#10;">
                <v:fill on="f" focussize="0,0"/>
                <v:stroke on="f" weight="0.5pt"/>
                <v:imagedata o:title=""/>
                <o:lock v:ext="edit" aspectratio="f"/>
                <v:textbox>
                  <w:txbxContent>
                    <w:p>
                      <w:pPr>
                        <w:spacing w:line="240" w:lineRule="auto"/>
                        <w:ind w:firstLine="0" w:firstLineChars="0"/>
                        <w:rPr>
                          <w:b/>
                          <w:bCs/>
                        </w:rPr>
                      </w:pPr>
                      <w:r>
                        <w:rPr>
                          <w:rFonts w:hint="eastAsia"/>
                          <w:b/>
                          <w:bCs/>
                        </w:rPr>
                        <w:t>办公区</w:t>
                      </w:r>
                    </w:p>
                  </w:txbxContent>
                </v:textbox>
              </v:shape>
            </w:pict>
          </mc:Fallback>
        </mc:AlternateContent>
      </w:r>
      <w:r>
        <w:rPr>
          <w:color w:val="auto"/>
        </w:rPr>
        <mc:AlternateContent>
          <mc:Choice Requires="wps">
            <w:drawing>
              <wp:anchor distT="0" distB="0" distL="114300" distR="114300" simplePos="0" relativeHeight="251671552" behindDoc="0" locked="0" layoutInCell="1" allowOverlap="1">
                <wp:simplePos x="0" y="0"/>
                <wp:positionH relativeFrom="column">
                  <wp:posOffset>5435600</wp:posOffset>
                </wp:positionH>
                <wp:positionV relativeFrom="paragraph">
                  <wp:posOffset>2027555</wp:posOffset>
                </wp:positionV>
                <wp:extent cx="657860" cy="315595"/>
                <wp:effectExtent l="0" t="0" r="0" b="0"/>
                <wp:wrapNone/>
                <wp:docPr id="68" name="文本框 68"/>
                <wp:cNvGraphicFramePr/>
                <a:graphic xmlns:a="http://schemas.openxmlformats.org/drawingml/2006/main">
                  <a:graphicData uri="http://schemas.microsoft.com/office/word/2010/wordprocessingShape">
                    <wps:wsp>
                      <wps:cNvSpPr txBox="true"/>
                      <wps:spPr>
                        <a:xfrm rot="1080000">
                          <a:off x="0" y="0"/>
                          <a:ext cx="657860" cy="3155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rPr>
                                <w:b/>
                                <w:bCs/>
                              </w:rPr>
                            </w:pPr>
                            <w:r>
                              <w:rPr>
                                <w:rFonts w:hint="eastAsia"/>
                                <w:b/>
                                <w:bCs/>
                              </w:rPr>
                              <w:t>磅房</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428pt;margin-top:159.65pt;height:24.85pt;width:51.8pt;rotation:1179648f;z-index:251671552;mso-width-relative:page;mso-height-relative:page;" filled="f" stroked="f" coordsize="21600,21600" o:gfxdata="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FgAAAGRycy9QSwECFAAUAAAACACHTuJAvZehXtsAAAALAQAADwAAAAAAAAABACAA&#10;AAA4AAAAZHJzL2Rvd25yZXYueG1sUEsBAhQAFAAAAAgAh07iQIJw3KktAgAAOQQAAA4AAAAAAAAA&#10;AQAgAAAAQAEAAGRycy9lMm9Eb2MueG1sUEsFBgAAAAAGAAYAWQEAAN8FAAAAAA==&#10;">
                <v:fill on="f" focussize="0,0"/>
                <v:stroke on="f" weight="0.5pt"/>
                <v:imagedata o:title=""/>
                <o:lock v:ext="edit" aspectratio="f"/>
                <v:textbox>
                  <w:txbxContent>
                    <w:p>
                      <w:pPr>
                        <w:spacing w:line="240" w:lineRule="auto"/>
                        <w:ind w:firstLine="0" w:firstLineChars="0"/>
                        <w:rPr>
                          <w:b/>
                          <w:bCs/>
                        </w:rPr>
                      </w:pPr>
                      <w:r>
                        <w:rPr>
                          <w:rFonts w:hint="eastAsia"/>
                          <w:b/>
                          <w:bCs/>
                        </w:rPr>
                        <w:t>磅房</w:t>
                      </w:r>
                    </w:p>
                  </w:txbxContent>
                </v:textbox>
              </v:shape>
            </w:pict>
          </mc:Fallback>
        </mc:AlternateContent>
      </w:r>
    </w:p>
    <w:p>
      <w:pPr>
        <w:pStyle w:val="3"/>
        <w:rPr>
          <w:color w:val="auto"/>
        </w:rPr>
      </w:pPr>
      <w:r>
        <w:rPr>
          <w:rFonts w:hint="eastAsia"/>
          <w:color w:val="auto"/>
        </w:rPr>
        <w:t>附图5本次项目平面布置图</w:t>
      </w:r>
    </w:p>
    <w:p>
      <w:pPr>
        <w:ind w:firstLine="0" w:firstLineChars="0"/>
        <w:jc w:val="center"/>
        <w:rPr>
          <w:color w:val="auto"/>
        </w:rPr>
      </w:pPr>
      <w:r>
        <w:rPr>
          <w:color w:val="auto"/>
        </w:rPr>
        <w:drawing>
          <wp:inline distT="0" distB="0" distL="114300" distR="114300">
            <wp:extent cx="8453755" cy="5507990"/>
            <wp:effectExtent l="0" t="0" r="4445" b="16510"/>
            <wp:docPr id="4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true"/>
                    </pic:cNvPicPr>
                  </pic:nvPicPr>
                  <pic:blipFill>
                    <a:blip r:embed="rId87"/>
                    <a:srcRect r="886"/>
                    <a:stretch>
                      <a:fillRect/>
                    </a:stretch>
                  </pic:blipFill>
                  <pic:spPr>
                    <a:xfrm>
                      <a:off x="0" y="0"/>
                      <a:ext cx="8453755" cy="5507990"/>
                    </a:xfrm>
                    <a:prstGeom prst="rect">
                      <a:avLst/>
                    </a:prstGeom>
                    <a:noFill/>
                    <a:ln>
                      <a:noFill/>
                    </a:ln>
                  </pic:spPr>
                </pic:pic>
              </a:graphicData>
            </a:graphic>
          </wp:inline>
        </w:drawing>
      </w:r>
      <w:r>
        <w:rPr>
          <w:color w:val="auto"/>
        </w:rPr>
        <w:drawing>
          <wp:anchor distT="0" distB="0" distL="114300" distR="114300" simplePos="0" relativeHeight="251678720" behindDoc="0" locked="0" layoutInCell="1" allowOverlap="1">
            <wp:simplePos x="0" y="0"/>
            <wp:positionH relativeFrom="column">
              <wp:posOffset>7400290</wp:posOffset>
            </wp:positionH>
            <wp:positionV relativeFrom="paragraph">
              <wp:posOffset>32385</wp:posOffset>
            </wp:positionV>
            <wp:extent cx="1092200" cy="1214120"/>
            <wp:effectExtent l="0" t="0" r="12700" b="5080"/>
            <wp:wrapNone/>
            <wp:docPr id="95"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5" name="图片 1"/>
                    <pic:cNvPicPr>
                      <a:picLocks noChangeAspect="true"/>
                    </pic:cNvPicPr>
                  </pic:nvPicPr>
                  <pic:blipFill>
                    <a:blip r:embed="rId26"/>
                    <a:stretch>
                      <a:fillRect/>
                    </a:stretch>
                  </pic:blipFill>
                  <pic:spPr>
                    <a:xfrm>
                      <a:off x="0" y="0"/>
                      <a:ext cx="1092200" cy="1214120"/>
                    </a:xfrm>
                    <a:prstGeom prst="rect">
                      <a:avLst/>
                    </a:prstGeom>
                    <a:noFill/>
                    <a:ln>
                      <a:noFill/>
                    </a:ln>
                  </pic:spPr>
                </pic:pic>
              </a:graphicData>
            </a:graphic>
          </wp:anchor>
        </w:drawing>
      </w:r>
      <w:r>
        <w:rPr>
          <w:color w:val="auto"/>
        </w:rPr>
        <mc:AlternateContent>
          <mc:Choice Requires="wps">
            <w:drawing>
              <wp:anchor distT="0" distB="0" distL="114300" distR="114300" simplePos="0" relativeHeight="251677696" behindDoc="0" locked="0" layoutInCell="1" allowOverlap="1">
                <wp:simplePos x="0" y="0"/>
                <wp:positionH relativeFrom="column">
                  <wp:posOffset>1416050</wp:posOffset>
                </wp:positionH>
                <wp:positionV relativeFrom="paragraph">
                  <wp:posOffset>1920875</wp:posOffset>
                </wp:positionV>
                <wp:extent cx="353695" cy="1297305"/>
                <wp:effectExtent l="352425" t="0" r="360680" b="0"/>
                <wp:wrapNone/>
                <wp:docPr id="83" name="文本框 83"/>
                <wp:cNvGraphicFramePr/>
                <a:graphic xmlns:a="http://schemas.openxmlformats.org/drawingml/2006/main">
                  <a:graphicData uri="http://schemas.microsoft.com/office/word/2010/wordprocessingShape">
                    <wps:wsp>
                      <wps:cNvSpPr txBox="true"/>
                      <wps:spPr>
                        <a:xfrm rot="19440000">
                          <a:off x="2311400" y="3098165"/>
                          <a:ext cx="353695" cy="12973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pPr>
                            <w:r>
                              <w:rPr>
                                <w:rFonts w:hint="eastAsia"/>
                              </w:rPr>
                              <w:t>废水处理站</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111.5pt;margin-top:151.25pt;height:102.15pt;width:27.85pt;rotation:-2359296f;z-index:251677696;mso-width-relative:page;mso-height-relative:page;" fillcolor="#FFFFFF [3201]" filled="t" stroked="t" coordsize="21600,21600" o:gfxdata="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WAAAA&#10;ZHJzL1BLAQIUABQAAAAIAIdO4kBvIXLm2AAAAAsBAAAPAAAAAAAAAAEAIAAAADgAAABkcnMvZG93&#10;bnJldi54bWxQSwECFAAUAAAACACHTuJA7d4sa1wCAACYBAAADgAAAAAAAAABACAAAAA9AQAAZHJz&#10;L2Uyb0RvYy54bWxQSwUGAAAAAAYABgBZAQAACwYAAAAA&#10;">
                <v:fill on="t" focussize="0,0"/>
                <v:stroke weight="0.5pt" color="#000000 [3204]" joinstyle="round"/>
                <v:imagedata o:title=""/>
                <o:lock v:ext="edit" aspectratio="f"/>
                <v:textbox>
                  <w:txbxContent>
                    <w:p>
                      <w:pPr>
                        <w:spacing w:line="240" w:lineRule="auto"/>
                        <w:ind w:firstLine="0" w:firstLineChars="0"/>
                      </w:pPr>
                      <w:r>
                        <w:rPr>
                          <w:rFonts w:hint="eastAsia"/>
                        </w:rPr>
                        <w:t>废水处理站</w:t>
                      </w:r>
                    </w:p>
                  </w:txbxContent>
                </v:textbox>
              </v:shape>
            </w:pict>
          </mc:Fallback>
        </mc:AlternateContent>
      </w:r>
      <w:r>
        <w:rPr>
          <w:color w:val="auto"/>
        </w:rPr>
        <mc:AlternateContent>
          <mc:Choice Requires="wps">
            <w:drawing>
              <wp:anchor distT="0" distB="0" distL="114300" distR="114300" simplePos="0" relativeHeight="251687936" behindDoc="0" locked="0" layoutInCell="1" allowOverlap="1">
                <wp:simplePos x="0" y="0"/>
                <wp:positionH relativeFrom="column">
                  <wp:posOffset>3570605</wp:posOffset>
                </wp:positionH>
                <wp:positionV relativeFrom="paragraph">
                  <wp:posOffset>166370</wp:posOffset>
                </wp:positionV>
                <wp:extent cx="617855" cy="274955"/>
                <wp:effectExtent l="0" t="0" r="0" b="0"/>
                <wp:wrapNone/>
                <wp:docPr id="101" name="文本框 101"/>
                <wp:cNvGraphicFramePr/>
                <a:graphic xmlns:a="http://schemas.openxmlformats.org/drawingml/2006/main">
                  <a:graphicData uri="http://schemas.microsoft.com/office/word/2010/wordprocessingShape">
                    <wps:wsp>
                      <wps:cNvSpPr txBox="true"/>
                      <wps:spPr>
                        <a:xfrm>
                          <a:off x="0" y="0"/>
                          <a:ext cx="61785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sz w:val="18"/>
                                <w:szCs w:val="18"/>
                              </w:rPr>
                            </w:pPr>
                            <w:r>
                              <w:rPr>
                                <w:rFonts w:hint="eastAsia"/>
                                <w:sz w:val="18"/>
                                <w:szCs w:val="18"/>
                              </w:rPr>
                              <w:t>危废库</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81.15pt;margin-top:13.1pt;height:21.65pt;width:48.65pt;z-index:251687936;mso-width-relative:page;mso-height-relative:page;" filled="f" stroked="f" coordsize="21600,21600" o:gfxdata="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FgAAAGRycy9QSwECFAAUAAAACACHTuJAn9MybtoAAAAJAQAADwAAAAAAAAABACAAAAA4AAAAZHJz&#10;L2Rvd25yZXYueG1sUEsBAhQAFAAAAAgAh07iQI/rLzslAgAALQQAAA4AAAAAAAAAAQAgAAAAPwEA&#10;AGRycy9lMm9Eb2MueG1sUEsFBgAAAAAGAAYAWQEAANYFAAAAAA==&#10;">
                <v:fill on="f" focussize="0,0"/>
                <v:stroke on="f" weight="0.5pt"/>
                <v:imagedata o:title=""/>
                <o:lock v:ext="edit" aspectratio="f"/>
                <v:textbox>
                  <w:txbxContent>
                    <w:p>
                      <w:pPr>
                        <w:ind w:firstLine="0" w:firstLineChars="0"/>
                        <w:rPr>
                          <w:sz w:val="18"/>
                          <w:szCs w:val="18"/>
                        </w:rPr>
                      </w:pPr>
                      <w:r>
                        <w:rPr>
                          <w:rFonts w:hint="eastAsia"/>
                          <w:sz w:val="18"/>
                          <w:szCs w:val="18"/>
                        </w:rPr>
                        <w:t>危废库</w:t>
                      </w:r>
                    </w:p>
                  </w:txbxContent>
                </v:textbox>
              </v:shape>
            </w:pict>
          </mc:Fallback>
        </mc:AlternateContent>
      </w:r>
      <w:r>
        <w:rPr>
          <w:color w:val="auto"/>
        </w:rPr>
        <mc:AlternateContent>
          <mc:Choice Requires="wps">
            <w:drawing>
              <wp:anchor distT="0" distB="0" distL="114300" distR="114300" simplePos="0" relativeHeight="251686912" behindDoc="0" locked="0" layoutInCell="1" allowOverlap="1">
                <wp:simplePos x="0" y="0"/>
                <wp:positionH relativeFrom="column">
                  <wp:posOffset>3752215</wp:posOffset>
                </wp:positionH>
                <wp:positionV relativeFrom="paragraph">
                  <wp:posOffset>182245</wp:posOffset>
                </wp:positionV>
                <wp:extent cx="209550" cy="152400"/>
                <wp:effectExtent l="12700" t="12700" r="25400" b="25400"/>
                <wp:wrapNone/>
                <wp:docPr id="100" name="矩形 100"/>
                <wp:cNvGraphicFramePr/>
                <a:graphic xmlns:a="http://schemas.openxmlformats.org/drawingml/2006/main">
                  <a:graphicData uri="http://schemas.microsoft.com/office/word/2010/wordprocessingShape">
                    <wps:wsp>
                      <wps:cNvSpPr/>
                      <wps:spPr>
                        <a:xfrm>
                          <a:off x="4895215" y="1294130"/>
                          <a:ext cx="209550" cy="15240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95.45pt;margin-top:14.35pt;height:12pt;width:16.5pt;z-index:251686912;v-text-anchor:middle;mso-width-relative:page;mso-height-relative:page;" filled="f" stroked="t" coordsize="21600,21600" o:gfxdata="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zAEJU9kAAAAJAQAADwAAAAAAAAABACAAAAA4AAAAZHJzL2Rvd25yZXYueG1s&#10;UEsBAhQAFAAAAAgAh07iQIvs611TAgAAhAQAAA4AAAAAAAAAAQAgAAAAPgEAAGRycy9lMm9Eb2Mu&#10;eG1sUEsFBgAAAAAGAAYAWQEAAAMGAAAAAA==&#10;">
                <v:fill on="f" focussize="0,0"/>
                <v:stroke weight="2pt" color="#000000 [3213]" joinstyle="round"/>
                <v:imagedata o:title=""/>
                <o:lock v:ext="edit" aspectratio="f"/>
              </v:rect>
            </w:pict>
          </mc:Fallback>
        </mc:AlternateContent>
      </w:r>
      <w:r>
        <w:rPr>
          <w:color w:val="auto"/>
        </w:rPr>
        <mc:AlternateContent>
          <mc:Choice Requires="wps">
            <w:drawing>
              <wp:anchor distT="0" distB="0" distL="114300" distR="114300" simplePos="0" relativeHeight="251676672" behindDoc="0" locked="0" layoutInCell="1" allowOverlap="1">
                <wp:simplePos x="0" y="0"/>
                <wp:positionH relativeFrom="column">
                  <wp:posOffset>2456180</wp:posOffset>
                </wp:positionH>
                <wp:positionV relativeFrom="paragraph">
                  <wp:posOffset>375920</wp:posOffset>
                </wp:positionV>
                <wp:extent cx="617855" cy="274955"/>
                <wp:effectExtent l="0" t="0" r="0" b="0"/>
                <wp:wrapNone/>
                <wp:docPr id="60" name="文本框 60"/>
                <wp:cNvGraphicFramePr/>
                <a:graphic xmlns:a="http://schemas.openxmlformats.org/drawingml/2006/main">
                  <a:graphicData uri="http://schemas.microsoft.com/office/word/2010/wordprocessingShape">
                    <wps:wsp>
                      <wps:cNvSpPr txBox="true"/>
                      <wps:spPr>
                        <a:xfrm rot="19380000">
                          <a:off x="4019550" y="1564005"/>
                          <a:ext cx="61785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sz w:val="18"/>
                                <w:szCs w:val="18"/>
                              </w:rPr>
                            </w:pPr>
                            <w:r>
                              <w:rPr>
                                <w:rFonts w:hint="eastAsia"/>
                                <w:sz w:val="18"/>
                                <w:szCs w:val="18"/>
                              </w:rPr>
                              <w:t>办公室</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193.4pt;margin-top:29.6pt;height:21.65pt;width:48.65pt;rotation:-2424832f;z-index:251676672;mso-width-relative:page;mso-height-relative:page;" filled="f" stroked="f" coordsize="21600,21600" o:gfxdata="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WAAAAZHJzL1BLAQIUABQAAAAIAIdO4kB4t/Wn2gAAAAoBAAAP&#10;AAAAAAAAAAEAIAAAADgAAABkcnMvZG93bnJldi54bWxQSwECFAAUAAAACACHTuJA7uN/cTkCAABG&#10;BAAADgAAAAAAAAABACAAAAA/AQAAZHJzL2Uyb0RvYy54bWxQSwUGAAAAAAYABgBZAQAA6gUAAAAA&#10;">
                <v:fill on="f" focussize="0,0"/>
                <v:stroke on="f" weight="0.5pt"/>
                <v:imagedata o:title=""/>
                <o:lock v:ext="edit" aspectratio="f"/>
                <v:textbox>
                  <w:txbxContent>
                    <w:p>
                      <w:pPr>
                        <w:ind w:firstLine="0" w:firstLineChars="0"/>
                        <w:rPr>
                          <w:sz w:val="18"/>
                          <w:szCs w:val="18"/>
                        </w:rPr>
                      </w:pPr>
                      <w:r>
                        <w:rPr>
                          <w:rFonts w:hint="eastAsia"/>
                          <w:sz w:val="18"/>
                          <w:szCs w:val="18"/>
                        </w:rPr>
                        <w:t>办公室</w:t>
                      </w:r>
                    </w:p>
                  </w:txbxContent>
                </v:textbox>
              </v:shape>
            </w:pict>
          </mc:Fallback>
        </mc:AlternateContent>
      </w:r>
      <w:r>
        <w:rPr>
          <w:color w:val="auto"/>
        </w:rPr>
        <mc:AlternateContent>
          <mc:Choice Requires="wps">
            <w:drawing>
              <wp:anchor distT="0" distB="0" distL="114300" distR="114300" simplePos="0" relativeHeight="251675648" behindDoc="0" locked="0" layoutInCell="1" allowOverlap="1">
                <wp:simplePos x="0" y="0"/>
                <wp:positionH relativeFrom="column">
                  <wp:posOffset>2667635</wp:posOffset>
                </wp:positionH>
                <wp:positionV relativeFrom="paragraph">
                  <wp:posOffset>424180</wp:posOffset>
                </wp:positionV>
                <wp:extent cx="181610" cy="210820"/>
                <wp:effectExtent l="56515" t="45720" r="66675" b="48260"/>
                <wp:wrapNone/>
                <wp:docPr id="54" name="矩形 54"/>
                <wp:cNvGraphicFramePr/>
                <a:graphic xmlns:a="http://schemas.openxmlformats.org/drawingml/2006/main">
                  <a:graphicData uri="http://schemas.microsoft.com/office/word/2010/wordprocessingShape">
                    <wps:wsp>
                      <wps:cNvSpPr/>
                      <wps:spPr>
                        <a:xfrm rot="19500000">
                          <a:off x="0" y="0"/>
                          <a:ext cx="181610" cy="21082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10.05pt;margin-top:33.4pt;height:16.6pt;width:14.3pt;rotation:-2293760f;z-index:251675648;v-text-anchor:middle;mso-width-relative:page;mso-height-relative:page;" filled="f" stroked="t" coordsize="21600,21600" o:gfxdata="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WAAAAZHJzL1BLAQIU&#10;ABQAAAAIAIdO4kDNKZ4d2QAAAAoBAAAPAAAAAAAAAAEAIAAAADgAAABkcnMvZG93bnJldi54bWxQ&#10;SwECFAAUAAAACACHTuJA7skMrFICAACFBAAADgAAAAAAAAABACAAAAA+AQAAZHJzL2Uyb0RvYy54&#10;bWxQSwUGAAAAAAYABgBZAQAAAgYAAAAA&#10;">
                <v:fill on="f" focussize="0,0"/>
                <v:stroke weight="2pt" color="#000000 [3213]" joinstyle="round"/>
                <v:imagedata o:title=""/>
                <o:lock v:ext="edit" aspectratio="f"/>
              </v:rect>
            </w:pict>
          </mc:Fallback>
        </mc:AlternateContent>
      </w:r>
      <w:r>
        <w:rPr>
          <w:color w:val="auto"/>
        </w:rPr>
        <mc:AlternateContent>
          <mc:Choice Requires="wps">
            <w:drawing>
              <wp:anchor distT="0" distB="0" distL="114300" distR="114300" simplePos="0" relativeHeight="251673600" behindDoc="0" locked="0" layoutInCell="1" allowOverlap="1">
                <wp:simplePos x="0" y="0"/>
                <wp:positionH relativeFrom="column">
                  <wp:posOffset>5476875</wp:posOffset>
                </wp:positionH>
                <wp:positionV relativeFrom="paragraph">
                  <wp:posOffset>1143635</wp:posOffset>
                </wp:positionV>
                <wp:extent cx="996315" cy="243840"/>
                <wp:effectExtent l="0" t="0" r="13335" b="3810"/>
                <wp:wrapNone/>
                <wp:docPr id="5" name="文本框 5"/>
                <wp:cNvGraphicFramePr/>
                <a:graphic xmlns:a="http://schemas.openxmlformats.org/drawingml/2006/main">
                  <a:graphicData uri="http://schemas.microsoft.com/office/word/2010/wordprocessingShape">
                    <wps:wsp>
                      <wps:cNvSpPr txBox="true"/>
                      <wps:spPr>
                        <a:xfrm>
                          <a:off x="6676390" y="2355850"/>
                          <a:ext cx="996315" cy="2438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rPr>
                                <w:sz w:val="18"/>
                                <w:szCs w:val="18"/>
                              </w:rPr>
                            </w:pPr>
                            <w:r>
                              <w:rPr>
                                <w:rFonts w:hint="eastAsia"/>
                                <w:sz w:val="18"/>
                                <w:szCs w:val="18"/>
                              </w:rPr>
                              <w:t>4#-1全封闭煤棚</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431.25pt;margin-top:90.05pt;height:19.2pt;width:78.45pt;z-index:251673600;mso-width-relative:page;mso-height-relative:page;" fillcolor="#FFFFFF [3201]" filled="t" stroked="f" coordsize="21600,21600" o:gfxdata="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FgAAAGRycy9QSwECFAAUAAAACACHTuJAROJOsNYA&#10;AAAMAQAADwAAAAAAAAABACAAAAA4AAAAZHJzL2Rvd25yZXYueG1sUEsBAhQAFAAAAAgAh07iQAEi&#10;9bNEAgAAXgQAAA4AAAAAAAAAAQAgAAAAOwEAAGRycy9lMm9Eb2MueG1sUEsFBgAAAAAGAAYAWQEA&#10;APEFAAAAAA==&#10;">
                <v:fill on="t" focussize="0,0"/>
                <v:stroke on="f" weight="0.5pt"/>
                <v:imagedata o:title=""/>
                <o:lock v:ext="edit" aspectratio="f"/>
                <v:textbox>
                  <w:txbxContent>
                    <w:p>
                      <w:pPr>
                        <w:spacing w:line="240" w:lineRule="auto"/>
                        <w:ind w:firstLine="0" w:firstLineChars="0"/>
                        <w:rPr>
                          <w:sz w:val="18"/>
                          <w:szCs w:val="18"/>
                        </w:rPr>
                      </w:pPr>
                      <w:r>
                        <w:rPr>
                          <w:rFonts w:hint="eastAsia"/>
                          <w:sz w:val="18"/>
                          <w:szCs w:val="18"/>
                        </w:rPr>
                        <w:t>4#-1全封闭煤棚</w:t>
                      </w:r>
                    </w:p>
                  </w:txbxContent>
                </v:textbox>
              </v:shape>
            </w:pict>
          </mc:Fallback>
        </mc:AlternateContent>
      </w:r>
      <w:r>
        <w:rPr>
          <w:color w:val="auto"/>
        </w:rPr>
        <mc:AlternateContent>
          <mc:Choice Requires="wps">
            <w:drawing>
              <wp:anchor distT="0" distB="0" distL="114300" distR="114300" simplePos="0" relativeHeight="251674624" behindDoc="0" locked="0" layoutInCell="1" allowOverlap="1">
                <wp:simplePos x="0" y="0"/>
                <wp:positionH relativeFrom="column">
                  <wp:posOffset>2068830</wp:posOffset>
                </wp:positionH>
                <wp:positionV relativeFrom="paragraph">
                  <wp:posOffset>1783080</wp:posOffset>
                </wp:positionV>
                <wp:extent cx="1152525" cy="235585"/>
                <wp:effectExtent l="372745" t="0" r="382270" b="0"/>
                <wp:wrapNone/>
                <wp:docPr id="7" name="文本框 7"/>
                <wp:cNvGraphicFramePr/>
                <a:graphic xmlns:a="http://schemas.openxmlformats.org/drawingml/2006/main">
                  <a:graphicData uri="http://schemas.microsoft.com/office/word/2010/wordprocessingShape">
                    <wps:wsp>
                      <wps:cNvSpPr txBox="true"/>
                      <wps:spPr>
                        <a:xfrm rot="2700000">
                          <a:off x="0" y="0"/>
                          <a:ext cx="1152525" cy="2355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firstLine="0" w:firstLineChars="0"/>
                              <w:rPr>
                                <w:sz w:val="20"/>
                                <w:szCs w:val="20"/>
                              </w:rPr>
                            </w:pPr>
                            <w:r>
                              <w:rPr>
                                <w:rFonts w:hint="eastAsia"/>
                                <w:sz w:val="20"/>
                                <w:szCs w:val="20"/>
                              </w:rPr>
                              <w:t>4#-3全封闭煤棚</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162.9pt;margin-top:140.4pt;height:18.55pt;width:90.75pt;rotation:2949120f;z-index:251674624;mso-width-relative:page;mso-height-relative:page;" fillcolor="#FFFFFF [3201]" filled="t" stroked="f" coordsize="21600,21600" o:gfxdata="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FgAAAGRycy9QSwECFAAUAAAACACHTuJA4lQz&#10;VdwAAAALAQAADwAAAAAAAAABACAAAAA4AAAAZHJzL2Rvd25yZXYueG1sUEsBAhQAFAAAAAgAh07i&#10;QLX0/11BAgAAYQQAAA4AAAAAAAAAAQAgAAAAQQEAAGRycy9lMm9Eb2MueG1sUEsFBgAAAAAGAAYA&#10;WQEAAPQFAAAAAA==&#10;">
                <v:fill on="t" focussize="0,0"/>
                <v:stroke on="f" weight="0.5pt"/>
                <v:imagedata o:title=""/>
                <o:lock v:ext="edit" aspectratio="f"/>
                <v:textbox>
                  <w:txbxContent>
                    <w:p>
                      <w:pPr>
                        <w:spacing w:line="240" w:lineRule="auto"/>
                        <w:ind w:firstLine="0" w:firstLineChars="0"/>
                        <w:rPr>
                          <w:sz w:val="20"/>
                          <w:szCs w:val="20"/>
                        </w:rPr>
                      </w:pPr>
                      <w:r>
                        <w:rPr>
                          <w:rFonts w:hint="eastAsia"/>
                          <w:sz w:val="20"/>
                          <w:szCs w:val="20"/>
                        </w:rPr>
                        <w:t>4#-3全封闭煤棚</w:t>
                      </w:r>
                    </w:p>
                  </w:txbxContent>
                </v:textbox>
              </v:shape>
            </w:pict>
          </mc:Fallback>
        </mc:AlternateContent>
      </w:r>
    </w:p>
    <w:sectPr>
      <w:pgSz w:w="16838" w:h="11906" w:orient="landscape"/>
      <w:pgMar w:top="1440" w:right="1800" w:bottom="1440" w:left="1800" w:header="851" w:footer="851" w:gutter="0"/>
      <w:pgNumType w:fmt="numberInDash"/>
      <w:cols w:space="720" w:num="1"/>
      <w:docGrid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阿凡人" w:date="2025-11-19T16:43:42Z" w:initials="">
    <w:p w14:paraId="7BD5347C">
      <w:pPr>
        <w:pStyle w:val="9"/>
        <w:rPr>
          <w:rFonts w:hint="default" w:eastAsia="宋体"/>
          <w:lang w:val="en-US" w:eastAsia="zh-CN"/>
        </w:rPr>
      </w:pPr>
      <w:r>
        <w:rPr>
          <w:rFonts w:hint="eastAsia"/>
          <w:lang w:val="en-US" w:eastAsia="zh-CN"/>
        </w:rPr>
        <w:t>规划中有无本洗煤厂</w:t>
      </w:r>
    </w:p>
  </w:comment>
  <w:comment w:id="1" w:author="阿凡人" w:date="2025-11-19T16:44:28Z" w:initials="">
    <w:p w14:paraId="E9EB5E76">
      <w:pPr>
        <w:pStyle w:val="9"/>
        <w:rPr>
          <w:rFonts w:hint="default" w:eastAsia="宋体"/>
          <w:lang w:val="en-US" w:eastAsia="zh-CN"/>
        </w:rPr>
      </w:pPr>
      <w:r>
        <w:rPr>
          <w:rFonts w:hint="eastAsia"/>
          <w:lang w:val="en-US" w:eastAsia="zh-CN"/>
        </w:rPr>
        <w:t>具体哪一条</w:t>
      </w:r>
    </w:p>
  </w:comment>
  <w:comment w:id="2" w:author="阿凡人" w:date="2025-11-19T16:49:44Z" w:initials="">
    <w:p w14:paraId="F3FF424C">
      <w:pPr>
        <w:pStyle w:val="9"/>
        <w:rPr>
          <w:rFonts w:hint="default" w:eastAsia="宋体"/>
          <w:lang w:val="en-US" w:eastAsia="zh-CN"/>
        </w:rPr>
      </w:pPr>
      <w:r>
        <w:rPr>
          <w:rFonts w:hint="eastAsia"/>
          <w:lang w:val="en-US" w:eastAsia="zh-CN"/>
        </w:rPr>
        <w:t>完善项目由来，说明本项目评价内容，包括煤炭烘干，天然气锅炉，废水处理内容</w:t>
      </w:r>
    </w:p>
  </w:comment>
  <w:comment w:id="3" w:author="阿凡人" w:date="2025-11-19T17:01:54Z" w:initials="">
    <w:p w14:paraId="37DF3B61">
      <w:pPr>
        <w:pStyle w:val="9"/>
        <w:rPr>
          <w:rFonts w:hint="default" w:eastAsia="宋体"/>
          <w:lang w:val="en-US" w:eastAsia="zh-CN"/>
        </w:rPr>
      </w:pPr>
      <w:r>
        <w:rPr>
          <w:rFonts w:hint="eastAsia"/>
          <w:lang w:val="en-US" w:eastAsia="zh-CN"/>
        </w:rPr>
        <w:t>平面图上没有这些建设内容</w:t>
      </w:r>
    </w:p>
  </w:comment>
  <w:comment w:id="4" w:author="阿凡人" w:date="2025-11-19T17:08:12Z" w:initials="">
    <w:p w14:paraId="4FFD6565">
      <w:pPr>
        <w:pStyle w:val="9"/>
        <w:rPr>
          <w:rFonts w:hint="default" w:eastAsia="宋体"/>
          <w:lang w:val="en-US" w:eastAsia="zh-CN"/>
        </w:rPr>
      </w:pPr>
      <w:r>
        <w:rPr>
          <w:rFonts w:hint="eastAsia"/>
          <w:lang w:val="en-US" w:eastAsia="zh-CN"/>
        </w:rPr>
        <w:t>存储量和周转时间</w:t>
      </w:r>
    </w:p>
  </w:comment>
  <w:comment w:id="5" w:author="阿凡人" w:date="2025-11-19T17:12:11Z" w:initials="">
    <w:p w14:paraId="37DF0787">
      <w:pPr>
        <w:pStyle w:val="9"/>
        <w:rPr>
          <w:rFonts w:hint="default" w:eastAsia="宋体"/>
          <w:lang w:val="en-US" w:eastAsia="zh-CN"/>
        </w:rPr>
      </w:pPr>
      <w:r>
        <w:rPr>
          <w:rFonts w:hint="eastAsia"/>
          <w:lang w:val="en-US" w:eastAsia="zh-CN"/>
        </w:rPr>
        <w:t>在哪，平面图上没有</w:t>
      </w:r>
    </w:p>
  </w:comment>
  <w:comment w:id="6" w:author="阿凡人" w:date="2025-11-19T17:02:33Z" w:initials="">
    <w:p w14:paraId="D6FA9BFB">
      <w:pPr>
        <w:pStyle w:val="9"/>
        <w:rPr>
          <w:rFonts w:hint="eastAsia" w:eastAsia="宋体"/>
          <w:lang w:val="en-US" w:eastAsia="zh-CN"/>
        </w:rPr>
      </w:pPr>
      <w:r>
        <w:rPr>
          <w:rFonts w:hint="eastAsia"/>
          <w:lang w:val="en-US" w:eastAsia="zh-CN"/>
        </w:rPr>
        <w:t>有么</w:t>
      </w:r>
    </w:p>
  </w:comment>
  <w:comment w:id="7" w:author="阿凡人" w:date="2025-11-19T17:03:30Z" w:initials="">
    <w:p w14:paraId="9EFD5EC9">
      <w:pPr>
        <w:pStyle w:val="9"/>
        <w:rPr>
          <w:rFonts w:hint="default" w:eastAsia="宋体"/>
          <w:lang w:val="en-US" w:eastAsia="zh-CN"/>
        </w:rPr>
      </w:pPr>
      <w:r>
        <w:rPr>
          <w:rFonts w:hint="eastAsia"/>
          <w:lang w:val="en-US" w:eastAsia="zh-CN"/>
        </w:rPr>
        <w:t>全封闭</w:t>
      </w:r>
    </w:p>
  </w:comment>
  <w:comment w:id="8" w:author="阿凡人" w:date="2025-11-19T17:03:48Z" w:initials="">
    <w:p w14:paraId="CFF7B4A8">
      <w:pPr>
        <w:pStyle w:val="9"/>
        <w:rPr>
          <w:rFonts w:hint="default" w:eastAsia="宋体"/>
          <w:lang w:val="en-US" w:eastAsia="zh-CN"/>
        </w:rPr>
      </w:pPr>
      <w:r>
        <w:rPr>
          <w:rFonts w:hint="eastAsia"/>
          <w:lang w:val="en-US" w:eastAsia="zh-CN"/>
        </w:rPr>
        <w:t>在哪？冬季废水咋处理</w:t>
      </w:r>
    </w:p>
  </w:comment>
  <w:comment w:id="9" w:author="阿凡人" w:date="2025-11-19T17:13:22Z" w:initials="">
    <w:p w14:paraId="9EEFB7BD">
      <w:pPr>
        <w:pStyle w:val="9"/>
        <w:rPr>
          <w:rFonts w:hint="default" w:eastAsia="宋体"/>
          <w:lang w:val="en-US" w:eastAsia="zh-CN"/>
        </w:rPr>
      </w:pPr>
      <w:r>
        <w:rPr>
          <w:rFonts w:hint="eastAsia"/>
          <w:lang w:val="en-US" w:eastAsia="zh-CN"/>
        </w:rPr>
        <w:t>核实去向，与验收不一致</w:t>
      </w:r>
    </w:p>
  </w:comment>
  <w:comment w:id="10" w:author="阿凡人" w:date="2025-11-19T17:05:49Z" w:initials="">
    <w:p w14:paraId="FB665B76">
      <w:pPr>
        <w:pStyle w:val="9"/>
        <w:rPr>
          <w:rFonts w:hint="default" w:eastAsia="宋体"/>
          <w:lang w:val="en-US" w:eastAsia="zh-CN"/>
        </w:rPr>
      </w:pPr>
      <w:r>
        <w:rPr>
          <w:rFonts w:hint="eastAsia"/>
          <w:lang w:val="en-US" w:eastAsia="zh-CN"/>
        </w:rPr>
        <w:t>煤泥不烘干么？为什么只烘干20万吨的中煤，其余不烘干？万一都烘干排污量全部需要重新计算</w:t>
      </w:r>
    </w:p>
  </w:comment>
  <w:comment w:id="11" w:author="IKL" w:date="2025-12-22T14:47:09Z" w:initials="">
    <w:p w14:paraId="79F70F51">
      <w:pPr>
        <w:pStyle w:val="9"/>
        <w:rPr>
          <w:rFonts w:hint="default" w:eastAsia="宋体"/>
          <w:lang w:val="en-US" w:eastAsia="zh-CN"/>
        </w:rPr>
      </w:pPr>
      <w:r>
        <w:rPr>
          <w:rFonts w:hint="eastAsia"/>
          <w:lang w:val="en-US" w:eastAsia="zh-CN"/>
        </w:rPr>
        <w:t xml:space="preserve">和企业核实过，50万吨的规模全部烘干中煤掺混煤泥 </w:t>
      </w:r>
    </w:p>
  </w:comment>
  <w:comment w:id="12" w:author="阿凡人" w:date="2025-11-19T17:34:32Z" w:initials="">
    <w:p w14:paraId="E5657146">
      <w:pPr>
        <w:pStyle w:val="9"/>
        <w:rPr>
          <w:rFonts w:hint="default" w:eastAsia="宋体"/>
          <w:lang w:val="en-US" w:eastAsia="zh-CN"/>
        </w:rPr>
      </w:pPr>
      <w:r>
        <w:rPr>
          <w:rFonts w:hint="eastAsia"/>
          <w:lang w:val="en-US" w:eastAsia="zh-CN"/>
        </w:rPr>
        <w:t>本次不用评价</w:t>
      </w:r>
    </w:p>
  </w:comment>
  <w:comment w:id="13" w:author="阿凡人" w:date="2025-11-19T17:35:18Z" w:initials="">
    <w:p w14:paraId="53677C52">
      <w:pPr>
        <w:pStyle w:val="9"/>
        <w:rPr>
          <w:rFonts w:hint="eastAsia" w:eastAsia="宋体"/>
          <w:lang w:val="en-US" w:eastAsia="zh-CN"/>
        </w:rPr>
      </w:pPr>
      <w:r>
        <w:rPr>
          <w:rFonts w:hint="eastAsia"/>
          <w:lang w:val="en-US" w:eastAsia="zh-CN"/>
        </w:rPr>
        <w:t>不够</w:t>
      </w:r>
    </w:p>
  </w:comment>
  <w:comment w:id="14" w:author="IKL" w:date="2025-12-22T14:49:05Z" w:initials="">
    <w:p w14:paraId="9FE96895">
      <w:pPr>
        <w:pStyle w:val="9"/>
        <w:rPr>
          <w:rFonts w:hint="eastAsia" w:eastAsia="宋体"/>
          <w:lang w:val="en-US" w:eastAsia="zh-CN"/>
        </w:rPr>
      </w:pPr>
      <w:r>
        <w:rPr>
          <w:rFonts w:hint="eastAsia"/>
          <w:lang w:val="en-US" w:eastAsia="zh-CN"/>
        </w:rPr>
        <w:t>已修改</w:t>
      </w:r>
    </w:p>
  </w:comment>
  <w:comment w:id="15" w:author="阿凡人" w:date="2025-11-19T17:35:28Z" w:initials="">
    <w:p w14:paraId="DDD2511D">
      <w:pPr>
        <w:pStyle w:val="9"/>
        <w:rPr>
          <w:rFonts w:hint="default" w:eastAsia="宋体"/>
          <w:lang w:val="en-US" w:eastAsia="zh-CN"/>
        </w:rPr>
      </w:pPr>
      <w:r>
        <w:rPr>
          <w:rFonts w:hint="eastAsia"/>
          <w:lang w:val="en-US" w:eastAsia="zh-CN"/>
        </w:rPr>
        <w:t>太少了，一般3-7天</w:t>
      </w:r>
    </w:p>
  </w:comment>
  <w:comment w:id="16" w:author="阿凡人" w:date="2025-11-19T17:36:04Z" w:initials="">
    <w:p w14:paraId="AF9B0A3D">
      <w:pPr>
        <w:pStyle w:val="9"/>
        <w:rPr>
          <w:rFonts w:hint="default" w:eastAsia="宋体"/>
          <w:lang w:val="en-US" w:eastAsia="zh-CN"/>
        </w:rPr>
      </w:pPr>
      <w:r>
        <w:rPr>
          <w:rFonts w:hint="eastAsia"/>
          <w:lang w:val="en-US" w:eastAsia="zh-CN"/>
        </w:rPr>
        <w:t>原来没有？</w:t>
      </w:r>
    </w:p>
  </w:comment>
  <w:comment w:id="17" w:author="IKL" w:date="2025-12-22T14:49:29Z" w:initials="">
    <w:p w14:paraId="4FAB86D2">
      <w:pPr>
        <w:pStyle w:val="9"/>
        <w:rPr>
          <w:rFonts w:hint="default" w:eastAsia="宋体"/>
          <w:lang w:val="en-US" w:eastAsia="zh-CN"/>
        </w:rPr>
      </w:pPr>
      <w:r>
        <w:rPr>
          <w:rFonts w:hint="eastAsia"/>
          <w:lang w:val="en-US" w:eastAsia="zh-CN"/>
        </w:rPr>
        <w:t>原来有了，又新建了一块</w:t>
      </w:r>
    </w:p>
  </w:comment>
  <w:comment w:id="18" w:author="阿凡人" w:date="2025-11-19T17:36:37Z" w:initials="">
    <w:p w14:paraId="CFFF411A">
      <w:pPr>
        <w:pStyle w:val="9"/>
        <w:rPr>
          <w:rFonts w:hint="default" w:eastAsia="宋体"/>
          <w:lang w:val="en-US" w:eastAsia="zh-CN"/>
        </w:rPr>
      </w:pPr>
      <w:r>
        <w:rPr>
          <w:rFonts w:hint="eastAsia"/>
          <w:lang w:val="en-US" w:eastAsia="zh-CN"/>
        </w:rPr>
        <w:t>管道还是汽运，有无存储设施？</w:t>
      </w:r>
    </w:p>
  </w:comment>
  <w:comment w:id="19" w:author="阿凡人" w:date="2025-11-19T18:12:17Z" w:initials="">
    <w:p w14:paraId="EF7F4D58">
      <w:pPr>
        <w:pStyle w:val="9"/>
        <w:rPr>
          <w:rFonts w:hint="default" w:eastAsia="宋体"/>
          <w:lang w:val="en-US" w:eastAsia="zh-CN"/>
        </w:rPr>
      </w:pPr>
      <w:r>
        <w:rPr>
          <w:rFonts w:hint="eastAsia"/>
          <w:lang w:val="en-US" w:eastAsia="zh-CN"/>
        </w:rPr>
        <w:t>核实含水率，精煤经过压滤后含水率不会这么高，一般18-24%。处理好的离心+压滤含水率可以达到14左右</w:t>
      </w:r>
    </w:p>
  </w:comment>
  <w:comment w:id="20" w:author="阿凡人" w:date="2025-11-19T18:33:41Z" w:initials="">
    <w:p w14:paraId="77DFCF30">
      <w:pPr>
        <w:pStyle w:val="9"/>
        <w:rPr>
          <w:rFonts w:hint="default" w:eastAsia="宋体"/>
          <w:lang w:val="en-US" w:eastAsia="zh-CN"/>
        </w:rPr>
      </w:pPr>
      <w:r>
        <w:rPr>
          <w:rFonts w:hint="eastAsia"/>
          <w:lang w:val="en-US" w:eastAsia="zh-CN"/>
        </w:rPr>
        <w:t>不建议评价，本项目没有增加</w:t>
      </w:r>
    </w:p>
  </w:comment>
  <w:comment w:id="21" w:author="IKL" w:date="2025-12-22T15:01:11Z" w:initials="">
    <w:p w14:paraId="6FABBE12">
      <w:pPr>
        <w:pStyle w:val="9"/>
        <w:rPr>
          <w:rFonts w:hint="default"/>
          <w:lang w:val="en-US"/>
        </w:rPr>
      </w:pPr>
      <w:r>
        <w:rPr>
          <w:rFonts w:hint="default"/>
          <w:lang w:val="en-US" w:eastAsia="zh-CN"/>
        </w:rPr>
        <w:t>运输扬尘、汽车尾气</w:t>
      </w:r>
      <w:r>
        <w:rPr>
          <w:rFonts w:hint="eastAsia"/>
          <w:lang w:val="en-US" w:eastAsia="zh-CN"/>
        </w:rPr>
        <w:t>已删除</w:t>
      </w:r>
    </w:p>
  </w:comment>
  <w:comment w:id="22" w:author="阿凡人" w:date="2025-11-20T11:11:30Z" w:initials="">
    <w:p w14:paraId="1FFF1BB7">
      <w:pPr>
        <w:pStyle w:val="9"/>
        <w:rPr>
          <w:rFonts w:hint="default" w:eastAsia="宋体"/>
          <w:lang w:val="en-US" w:eastAsia="zh-CN"/>
        </w:rPr>
      </w:pPr>
      <w:r>
        <w:rPr>
          <w:rFonts w:hint="eastAsia"/>
          <w:lang w:val="en-US" w:eastAsia="zh-CN"/>
        </w:rPr>
        <w:t>超标50</w:t>
      </w:r>
    </w:p>
  </w:comment>
  <w:comment w:id="23" w:author="阿凡人" w:date="2025-11-19T18:37:04Z" w:initials="">
    <w:p w14:paraId="DCDFFC1C">
      <w:pPr>
        <w:pStyle w:val="9"/>
        <w:rPr>
          <w:rFonts w:hint="default" w:eastAsia="宋体"/>
          <w:lang w:val="en-US" w:eastAsia="zh-CN"/>
        </w:rPr>
      </w:pPr>
      <w:r>
        <w:rPr>
          <w:rFonts w:hint="eastAsia"/>
          <w:lang w:val="en-US" w:eastAsia="zh-CN"/>
        </w:rPr>
        <w:t>不统一</w:t>
      </w:r>
    </w:p>
  </w:comment>
  <w:comment w:id="24" w:author="IKL" w:date="2025-12-22T15:05:49Z" w:initials="">
    <w:p w14:paraId="FFDEE6D3">
      <w:pPr>
        <w:pStyle w:val="9"/>
        <w:rPr>
          <w:rFonts w:hint="eastAsia" w:eastAsia="宋体"/>
          <w:lang w:val="en-US" w:eastAsia="zh-CN"/>
        </w:rPr>
      </w:pPr>
      <w:r>
        <w:rPr>
          <w:rFonts w:hint="eastAsia"/>
          <w:lang w:val="en-US" w:eastAsia="zh-CN"/>
        </w:rPr>
        <w:t>已修改</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7BD5347C" w15:done="0"/>
  <w15:commentEx w15:paraId="E9EB5E76" w15:done="0"/>
  <w15:commentEx w15:paraId="F3FF424C" w15:done="0"/>
  <w15:commentEx w15:paraId="37DF3B61" w15:done="0"/>
  <w15:commentEx w15:paraId="4FFD6565" w15:done="0"/>
  <w15:commentEx w15:paraId="37DF0787" w15:done="0"/>
  <w15:commentEx w15:paraId="D6FA9BFB" w15:done="0"/>
  <w15:commentEx w15:paraId="9EFD5EC9" w15:done="0"/>
  <w15:commentEx w15:paraId="CFF7B4A8" w15:done="0"/>
  <w15:commentEx w15:paraId="9EEFB7BD" w15:done="0"/>
  <w15:commentEx w15:paraId="FB665B76" w15:done="0"/>
  <w15:commentEx w15:paraId="79F70F51" w15:done="0" w15:paraIdParent="FB665B76"/>
  <w15:commentEx w15:paraId="E5657146" w15:done="0"/>
  <w15:commentEx w15:paraId="53677C52" w15:done="0"/>
  <w15:commentEx w15:paraId="9FE96895" w15:done="0" w15:paraIdParent="53677C52"/>
  <w15:commentEx w15:paraId="DDD2511D" w15:done="0"/>
  <w15:commentEx w15:paraId="AF9B0A3D" w15:done="0"/>
  <w15:commentEx w15:paraId="4FAB86D2" w15:done="0" w15:paraIdParent="AF9B0A3D"/>
  <w15:commentEx w15:paraId="CFFF411A" w15:done="0"/>
  <w15:commentEx w15:paraId="EF7F4D58" w15:done="0"/>
  <w15:commentEx w15:paraId="77DFCF30" w15:done="0"/>
  <w15:commentEx w15:paraId="6FABBE12" w15:done="0" w15:paraIdParent="77DFCF30"/>
  <w15:commentEx w15:paraId="1FFF1BB7" w15:done="0"/>
  <w15:commentEx w15:paraId="DCDFFC1C" w15:done="0"/>
  <w15:commentEx w15:paraId="FFDEE6D3" w15:done="0" w15:paraIdParent="DCDFFC1C"/>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Nimbus Roman No9 L"/>
    <w:panose1 w:val="02020603050405020304"/>
    <w:charset w:val="86"/>
    <w:family w:val="auto"/>
    <w:pitch w:val="default"/>
    <w:sig w:usb0="00000000" w:usb1="00000000" w:usb2="00000009" w:usb3="00000000" w:csb0="400001FF" w:csb1="FFFF0000"/>
  </w:font>
  <w:font w:name="宋体">
    <w:altName w:val="方正书宋_GBK"/>
    <w:panose1 w:val="02010600030101010101"/>
    <w:charset w:val="0D"/>
    <w:family w:val="auto"/>
    <w:pitch w:val="default"/>
    <w:sig w:usb0="00000000" w:usb1="0000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Arial Unicode MS">
    <w:altName w:val="Nimbus Roman No9 L"/>
    <w:panose1 w:val="020B0604020202020204"/>
    <w:charset w:val="86"/>
    <w:family w:val="swiss"/>
    <w:pitch w:val="default"/>
    <w:sig w:usb0="00000000" w:usb1="00000000" w:usb2="0000003F" w:usb3="00000000" w:csb0="603F01FF" w:csb1="FFFF0000"/>
  </w:font>
  <w:font w:name="等线">
    <w:altName w:val="汉仪中宋简"/>
    <w:panose1 w:val="02010600030101010101"/>
    <w:charset w:val="86"/>
    <w:family w:val="auto"/>
    <w:pitch w:val="default"/>
    <w:sig w:usb0="00000000" w:usb1="00000000" w:usb2="00000016" w:usb3="00000000" w:csb0="0004000F" w:csb1="00000000"/>
  </w:font>
  <w:font w:name="方正小标宋_GBK">
    <w:panose1 w:val="03000509000000000000"/>
    <w:charset w:val="86"/>
    <w:family w:val="script"/>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HGB1_CNKI">
    <w:altName w:val="仿宋"/>
    <w:panose1 w:val="00000000000000000000"/>
    <w:charset w:val="86"/>
    <w:family w:val="auto"/>
    <w:pitch w:val="default"/>
    <w:sig w:usb0="00000000" w:usb1="00000000" w:usb2="00000010" w:usb3="00000000" w:csb0="00040003" w:csb1="00000000"/>
  </w:font>
  <w:font w:name="方正书宋_GBK">
    <w:panose1 w:val="02000000000000000000"/>
    <w:charset w:val="86"/>
    <w:family w:val="auto"/>
    <w:pitch w:val="default"/>
    <w:sig w:usb0="00000001" w:usb1="08000000" w:usb2="00000000" w:usb3="00000000" w:csb0="00040000" w:csb1="00000000"/>
  </w:font>
  <w:font w:name="Nimbus Roman No9 L">
    <w:panose1 w:val="00000000000000000000"/>
    <w:charset w:val="00"/>
    <w:family w:val="auto"/>
    <w:pitch w:val="default"/>
    <w:sig w:usb0="00000000" w:usb1="00000000" w:usb2="00000000" w:usb3="00000000" w:csb0="00000000" w:csb1="00000000"/>
  </w:font>
  <w:font w:name="DejaVu Sans">
    <w:panose1 w:val="020B0603030804020204"/>
    <w:charset w:val="00"/>
    <w:family w:val="auto"/>
    <w:pitch w:val="default"/>
    <w:sig w:usb0="E7006EFF" w:usb1="D200FDFF" w:usb2="0A246029" w:usb3="0400200C" w:csb0="600001FF" w:csb1="DFFF0000"/>
  </w:font>
  <w:font w:name="Microsoft YaHei">
    <w:altName w:val="黑体"/>
    <w:panose1 w:val="00000000000000000000"/>
    <w:charset w:val="00"/>
    <w:family w:val="auto"/>
    <w:pitch w:val="default"/>
    <w:sig w:usb0="00000000" w:usb1="00000000" w:usb2="00000000" w:usb3="00000000" w:csb0="00000000" w:csb1="00000000"/>
  </w:font>
  <w:font w:name="Tahoma">
    <w:altName w:val="Droid Sans"/>
    <w:panose1 w:val="00000000000000000000"/>
    <w:charset w:val="00"/>
    <w:family w:val="auto"/>
    <w:pitch w:val="default"/>
    <w:sig w:usb0="00000000" w:usb1="00000000" w:usb2="00000000" w:usb3="00000000" w:csb0="00000000" w:csb1="00000000"/>
  </w:font>
  <w:font w:name="方正宋体S-超大字符集">
    <w:panose1 w:val="02000000000000000000"/>
    <w:charset w:val="86"/>
    <w:family w:val="auto"/>
    <w:pitch w:val="default"/>
    <w:sig w:usb0="00000001" w:usb1="08000000" w:usb2="00000000" w:usb3="00000000" w:csb0="00040000" w:csb1="00000000"/>
  </w:font>
  <w:font w:name="Arial">
    <w:altName w:val="Nimbus Roman No9 L"/>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46"/>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ind w:firstLine="0" w:firstLineChars="0"/>
                          </w:pPr>
                          <w:r>
                            <w:fldChar w:fldCharType="begin"/>
                          </w:r>
                          <w:r>
                            <w:instrText xml:space="preserve"> PAGE  \* MERGEFORMAT </w:instrText>
                          </w:r>
                          <w:r>
                            <w:fldChar w:fldCharType="separate"/>
                          </w:r>
                          <w:r>
                            <w:t>- 1 -</w:t>
                          </w:r>
                          <w:r>
                            <w:fldChar w:fldCharType="end"/>
                          </w: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BYAAABkcnMvUEsBAhQAFAAAAAgAh07iQLNJ&#10;WO7QAAAABQEAAA8AAAAAAAAAAQAgAAAAOAAAAGRycy9kb3ducmV2LnhtbFBLAQIUABQAAAAIAIdO&#10;4kDF+AfxFQIAABsEAAAOAAAAAAAAAAEAIAAAADUBAABkcnMvZTJvRG9jLnhtbFBLBQYAAAAABgAG&#10;AFkBAAC8BQAAAAA=&#10;">
              <v:fill on="f" focussize="0,0"/>
              <v:stroke on="f" weight="0.5pt"/>
              <v:imagedata o:title=""/>
              <o:lock v:ext="edit" aspectratio="f"/>
              <v:textbox inset="0mm,0mm,0mm,0mm" style="mso-fit-shape-to-text:t;">
                <w:txbxContent>
                  <w:p>
                    <w:pPr>
                      <w:pStyle w:val="15"/>
                      <w:ind w:firstLine="0" w:firstLineChars="0"/>
                    </w:pPr>
                    <w:r>
                      <w:fldChar w:fldCharType="begin"/>
                    </w:r>
                    <w:r>
                      <w:instrText xml:space="preserve"> PAGE  \* MERGEFORMAT </w:instrText>
                    </w:r>
                    <w:r>
                      <w:fldChar w:fldCharType="separate"/>
                    </w:r>
                    <w:r>
                      <w:t>- 1 -</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7" name="文本框 47"/>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ind w:firstLine="360"/>
                          </w:pPr>
                          <w:r>
                            <w:fldChar w:fldCharType="begin"/>
                          </w:r>
                          <w:r>
                            <w:instrText xml:space="preserve"> PAGE  \* MERGEFORMAT </w:instrText>
                          </w:r>
                          <w:r>
                            <w:fldChar w:fldCharType="separate"/>
                          </w:r>
                          <w:r>
                            <w:t>- 22 -</w:t>
                          </w:r>
                          <w:r>
                            <w:fldChar w:fldCharType="end"/>
                          </w: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WAAAAZHJzL1BLAQIUABQAAAAIAIdO4kCz&#10;SVju0AAAAAUBAAAPAAAAAAAAAAEAIAAAADgAAABkcnMvZG93bnJldi54bWxQSwECFAAUAAAACACH&#10;TuJAdcnpcRYCAAAbBAAADgAAAAAAAAABACAAAAA1AQAAZHJzL2Uyb0RvYy54bWxQSwUGAAAAAAYA&#10;BgBZAQAAvQUAAAAA&#10;">
              <v:fill on="f" focussize="0,0"/>
              <v:stroke on="f" weight="0.5pt"/>
              <v:imagedata o:title=""/>
              <o:lock v:ext="edit" aspectratio="f"/>
              <v:textbox inset="0mm,0mm,0mm,0mm" style="mso-fit-shape-to-text:t;">
                <w:txbxContent>
                  <w:p>
                    <w:pPr>
                      <w:pStyle w:val="15"/>
                      <w:ind w:firstLine="360"/>
                    </w:pPr>
                    <w:r>
                      <w:fldChar w:fldCharType="begin"/>
                    </w:r>
                    <w:r>
                      <w:instrText xml:space="preserve"> PAGE  \* MERGEFORMAT </w:instrText>
                    </w:r>
                    <w:r>
                      <w:fldChar w:fldCharType="separate"/>
                    </w:r>
                    <w:r>
                      <w:t>- 22 -</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ind w:firstLine="360"/>
                          </w:pPr>
                          <w:r>
                            <w:fldChar w:fldCharType="begin"/>
                          </w:r>
                          <w:r>
                            <w:instrText xml:space="preserve"> PAGE  \* MERGEFORMAT </w:instrText>
                          </w:r>
                          <w:r>
                            <w:fldChar w:fldCharType="separate"/>
                          </w:r>
                          <w:r>
                            <w:t>- 75 -</w:t>
                          </w:r>
                          <w:r>
                            <w:fldChar w:fldCharType="end"/>
                          </w: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BYAAABkcnMvUEsBAhQAFAAAAAgAh07iQLNJ&#10;WO7QAAAABQEAAA8AAAAAAAAAAQAgAAAAOAAAAGRycy9kb3ducmV2LnhtbFBLAQIUABQAAAAIAIdO&#10;4kDhydaZFQIAABsEAAAOAAAAAAAAAAEAIAAAADUBAABkcnMvZTJvRG9jLnhtbFBLBQYAAAAABgAG&#10;AFkBAAC8BQAAAAA=&#10;">
              <v:fill on="f" focussize="0,0"/>
              <v:stroke on="f" weight="0.5pt"/>
              <v:imagedata o:title=""/>
              <o:lock v:ext="edit" aspectratio="f"/>
              <v:textbox inset="0mm,0mm,0mm,0mm" style="mso-fit-shape-to-text:t;">
                <w:txbxContent>
                  <w:p>
                    <w:pPr>
                      <w:pStyle w:val="15"/>
                      <w:ind w:firstLine="360"/>
                    </w:pPr>
                    <w:r>
                      <w:fldChar w:fldCharType="begin"/>
                    </w:r>
                    <w:r>
                      <w:instrText xml:space="preserve"> PAGE  \* MERGEFORMAT </w:instrText>
                    </w:r>
                    <w:r>
                      <w:fldChar w:fldCharType="separate"/>
                    </w:r>
                    <w:r>
                      <w:t>- 75 -</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9" name="文本框 49"/>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ind w:firstLine="360"/>
                          </w:pPr>
                          <w:r>
                            <w:fldChar w:fldCharType="begin"/>
                          </w:r>
                          <w:r>
                            <w:instrText xml:space="preserve"> PAGE  \* MERGEFORMAT </w:instrText>
                          </w:r>
                          <w:r>
                            <w:fldChar w:fldCharType="separate"/>
                          </w:r>
                          <w:r>
                            <w:t>- 77 -</w:t>
                          </w:r>
                          <w:r>
                            <w:fldChar w:fldCharType="end"/>
                          </w: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WAAAAZHJzL1BLAQIUABQAAAAIAIdO4kCz&#10;SVju0AAAAAUBAAAPAAAAAAAAAAEAIAAAADgAAABkcnMvZG93bnJldi54bWxQSwECFAAUAAAACACH&#10;TuJAUfg4GRYCAAAbBAAADgAAAAAAAAABACAAAAA1AQAAZHJzL2Uyb0RvYy54bWxQSwUGAAAAAAYA&#10;BgBZAQAAvQUAAAAA&#10;">
              <v:fill on="f" focussize="0,0"/>
              <v:stroke on="f" weight="0.5pt"/>
              <v:imagedata o:title=""/>
              <o:lock v:ext="edit" aspectratio="f"/>
              <v:textbox inset="0mm,0mm,0mm,0mm" style="mso-fit-shape-to-text:t;">
                <w:txbxContent>
                  <w:p>
                    <w:pPr>
                      <w:pStyle w:val="15"/>
                      <w:ind w:firstLine="360"/>
                    </w:pPr>
                    <w:r>
                      <w:fldChar w:fldCharType="begin"/>
                    </w:r>
                    <w:r>
                      <w:instrText xml:space="preserve"> PAGE  \* MERGEFORMAT </w:instrText>
                    </w:r>
                    <w:r>
                      <w:fldChar w:fldCharType="separate"/>
                    </w:r>
                    <w:r>
                      <w:t>- 77 -</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top w:val="none" w:color="auto" w:sz="0" w:space="1"/>
        <w:left w:val="none" w:color="auto" w:sz="0" w:space="4"/>
        <w:bottom w:val="none" w:color="auto" w:sz="0" w:space="1"/>
        <w:right w:val="none" w:color="auto" w:sz="0" w:space="4"/>
      </w:pBdr>
      <w:spacing w:line="240" w:lineRule="auto"/>
      <w:ind w:firstLine="0" w:firstLineChars="0"/>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top w:val="none" w:color="auto" w:sz="0" w:space="1"/>
        <w:left w:val="none" w:color="auto" w:sz="0" w:space="4"/>
        <w:bottom w:val="none" w:color="auto" w:sz="0" w:space="1"/>
        <w:right w:val="none" w:color="auto" w:sz="0" w:space="4"/>
      </w:pBdr>
      <w:spacing w:line="240" w:lineRule="auto"/>
      <w:ind w:firstLine="0" w:firstLineChars="0"/>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D69CDFF"/>
    <w:multiLevelType w:val="singleLevel"/>
    <w:tmpl w:val="5D69CDFF"/>
    <w:lvl w:ilvl="0" w:tentative="0">
      <w:start w:val="3"/>
      <w:numFmt w:val="decimal"/>
      <w:suff w:val="nothing"/>
      <w:lvlText w:val="（%1）"/>
      <w:lvlJc w:val="left"/>
    </w:lvl>
  </w:abstractNum>
  <w:num w:numId="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阿凡人">
    <w15:presenceInfo w15:providerId="WPS Office" w15:userId="1078675342"/>
  </w15:person>
  <w15:person w15:author="IKL">
    <w15:presenceInfo w15:providerId="WPS Office" w15:userId="295709726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false"/>
  <w:bordersDoNotSurroundFooter w:val="false"/>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true"/>
  <w:characterSpacingControl w:val="compressPunctuation"/>
  <w:noLineBreaksAfter w:lang="zh-CN" w:val="([{·‘“〈《「『【〔〖（．［｛￡￥"/>
  <w:noLineBreaksBefore w:lang="zh-CN" w:val="!),.:;?]}¨·ˇˉ―‖’”…∶、。〃々〉》」』】〕〗！＂＇），．：；？］｀｜｝～￠"/>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QyZWY4NzczNWEzNjAxOTdkOWVjYTQ2MWQ0OTUwZDMifQ=="/>
  </w:docVars>
  <w:rsids>
    <w:rsidRoot w:val="00A14947"/>
    <w:rsid w:val="000060B3"/>
    <w:rsid w:val="0004364B"/>
    <w:rsid w:val="00061B1F"/>
    <w:rsid w:val="000733C4"/>
    <w:rsid w:val="00074783"/>
    <w:rsid w:val="0008070B"/>
    <w:rsid w:val="000810AC"/>
    <w:rsid w:val="00081A02"/>
    <w:rsid w:val="00082231"/>
    <w:rsid w:val="00092D38"/>
    <w:rsid w:val="0009377B"/>
    <w:rsid w:val="00093D4E"/>
    <w:rsid w:val="000A20C9"/>
    <w:rsid w:val="000B058F"/>
    <w:rsid w:val="000B4467"/>
    <w:rsid w:val="000B4DB9"/>
    <w:rsid w:val="000C09AC"/>
    <w:rsid w:val="000C767F"/>
    <w:rsid w:val="000D5A44"/>
    <w:rsid w:val="000E3ED2"/>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D2077"/>
    <w:rsid w:val="007E4BD2"/>
    <w:rsid w:val="00801393"/>
    <w:rsid w:val="00802F88"/>
    <w:rsid w:val="0081293E"/>
    <w:rsid w:val="00815465"/>
    <w:rsid w:val="00816543"/>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03FF3"/>
    <w:rsid w:val="00B1295A"/>
    <w:rsid w:val="00B20A45"/>
    <w:rsid w:val="00B22C5C"/>
    <w:rsid w:val="00B24F30"/>
    <w:rsid w:val="00B31ABF"/>
    <w:rsid w:val="00B33BE3"/>
    <w:rsid w:val="00B53B5D"/>
    <w:rsid w:val="00B6055E"/>
    <w:rsid w:val="00B6317D"/>
    <w:rsid w:val="00B7723F"/>
    <w:rsid w:val="00B80534"/>
    <w:rsid w:val="00B8378B"/>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1754"/>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C58D2"/>
    <w:rsid w:val="00FD0236"/>
    <w:rsid w:val="00FD18F4"/>
    <w:rsid w:val="00FD54DB"/>
    <w:rsid w:val="00FD619F"/>
    <w:rsid w:val="01290F7E"/>
    <w:rsid w:val="013701DC"/>
    <w:rsid w:val="015D1E09"/>
    <w:rsid w:val="01B56C18"/>
    <w:rsid w:val="01ED2F0D"/>
    <w:rsid w:val="026477C9"/>
    <w:rsid w:val="02697903"/>
    <w:rsid w:val="02F96569"/>
    <w:rsid w:val="02FA2532"/>
    <w:rsid w:val="030F3530"/>
    <w:rsid w:val="03174F3D"/>
    <w:rsid w:val="03CE2105"/>
    <w:rsid w:val="03D251BA"/>
    <w:rsid w:val="03EA7B21"/>
    <w:rsid w:val="03F83C47"/>
    <w:rsid w:val="059648AF"/>
    <w:rsid w:val="05B6336E"/>
    <w:rsid w:val="05F83EAE"/>
    <w:rsid w:val="063E7D85"/>
    <w:rsid w:val="064F0674"/>
    <w:rsid w:val="07293586"/>
    <w:rsid w:val="07295285"/>
    <w:rsid w:val="075B401E"/>
    <w:rsid w:val="07636392"/>
    <w:rsid w:val="076E3F95"/>
    <w:rsid w:val="07770C56"/>
    <w:rsid w:val="092217DD"/>
    <w:rsid w:val="093A7294"/>
    <w:rsid w:val="0A263993"/>
    <w:rsid w:val="0A2D3AC2"/>
    <w:rsid w:val="0AA755DF"/>
    <w:rsid w:val="0B120D44"/>
    <w:rsid w:val="0B516A8B"/>
    <w:rsid w:val="0BD27BF6"/>
    <w:rsid w:val="0C370182"/>
    <w:rsid w:val="0C3B3C7D"/>
    <w:rsid w:val="0C7F2B13"/>
    <w:rsid w:val="0C9F5335"/>
    <w:rsid w:val="0CAB2EAE"/>
    <w:rsid w:val="0D1343DB"/>
    <w:rsid w:val="0D621C7D"/>
    <w:rsid w:val="0E3C6C2C"/>
    <w:rsid w:val="0E73034D"/>
    <w:rsid w:val="0EDE449E"/>
    <w:rsid w:val="0F13775A"/>
    <w:rsid w:val="0F5F45FE"/>
    <w:rsid w:val="0F9A112B"/>
    <w:rsid w:val="0FF8790C"/>
    <w:rsid w:val="106D2F64"/>
    <w:rsid w:val="10B63710"/>
    <w:rsid w:val="10DA2E48"/>
    <w:rsid w:val="10F10820"/>
    <w:rsid w:val="111C2F7A"/>
    <w:rsid w:val="1134630E"/>
    <w:rsid w:val="114C4538"/>
    <w:rsid w:val="11665CA1"/>
    <w:rsid w:val="11BC7F56"/>
    <w:rsid w:val="11D82F67"/>
    <w:rsid w:val="135D36D1"/>
    <w:rsid w:val="13951726"/>
    <w:rsid w:val="13E406B7"/>
    <w:rsid w:val="14396509"/>
    <w:rsid w:val="14DD2C3C"/>
    <w:rsid w:val="157C6D63"/>
    <w:rsid w:val="16087E1D"/>
    <w:rsid w:val="1636770B"/>
    <w:rsid w:val="17701D14"/>
    <w:rsid w:val="17735226"/>
    <w:rsid w:val="182E55B2"/>
    <w:rsid w:val="1830159B"/>
    <w:rsid w:val="189F624C"/>
    <w:rsid w:val="18A93985"/>
    <w:rsid w:val="1A1C66C0"/>
    <w:rsid w:val="1A42393B"/>
    <w:rsid w:val="1AAD45DE"/>
    <w:rsid w:val="1B046F80"/>
    <w:rsid w:val="1B3267B5"/>
    <w:rsid w:val="1B40161D"/>
    <w:rsid w:val="1B441859"/>
    <w:rsid w:val="1B6606B1"/>
    <w:rsid w:val="1BC54FD5"/>
    <w:rsid w:val="1C54700F"/>
    <w:rsid w:val="1C5E7925"/>
    <w:rsid w:val="1CFD070F"/>
    <w:rsid w:val="1D5F6196"/>
    <w:rsid w:val="1D6132A5"/>
    <w:rsid w:val="1D8E0CB2"/>
    <w:rsid w:val="1D8E56D5"/>
    <w:rsid w:val="1DAB4918"/>
    <w:rsid w:val="1E7A43DA"/>
    <w:rsid w:val="1ED96D1D"/>
    <w:rsid w:val="1F221592"/>
    <w:rsid w:val="1FE7539E"/>
    <w:rsid w:val="20254BF1"/>
    <w:rsid w:val="20671BE0"/>
    <w:rsid w:val="20963CB8"/>
    <w:rsid w:val="20A81A1B"/>
    <w:rsid w:val="20B07FB6"/>
    <w:rsid w:val="20B646FB"/>
    <w:rsid w:val="213B74B1"/>
    <w:rsid w:val="215A2310"/>
    <w:rsid w:val="21DE318A"/>
    <w:rsid w:val="21EF5B80"/>
    <w:rsid w:val="22576990"/>
    <w:rsid w:val="22796B9E"/>
    <w:rsid w:val="22F47480"/>
    <w:rsid w:val="23CB5F1C"/>
    <w:rsid w:val="23D34A58"/>
    <w:rsid w:val="23DE1C48"/>
    <w:rsid w:val="23DF5784"/>
    <w:rsid w:val="240210CD"/>
    <w:rsid w:val="24266E50"/>
    <w:rsid w:val="24731DC3"/>
    <w:rsid w:val="24822A0F"/>
    <w:rsid w:val="24BF09F7"/>
    <w:rsid w:val="252D53FE"/>
    <w:rsid w:val="258F5689"/>
    <w:rsid w:val="25CB455E"/>
    <w:rsid w:val="25EC2D81"/>
    <w:rsid w:val="27165388"/>
    <w:rsid w:val="27310117"/>
    <w:rsid w:val="275816B8"/>
    <w:rsid w:val="277057A2"/>
    <w:rsid w:val="27DB7BEF"/>
    <w:rsid w:val="285A5748"/>
    <w:rsid w:val="2870214A"/>
    <w:rsid w:val="28E026ED"/>
    <w:rsid w:val="29206EB8"/>
    <w:rsid w:val="29210994"/>
    <w:rsid w:val="29595666"/>
    <w:rsid w:val="29874881"/>
    <w:rsid w:val="29E325E0"/>
    <w:rsid w:val="2A452503"/>
    <w:rsid w:val="2BA936A8"/>
    <w:rsid w:val="2C315A5A"/>
    <w:rsid w:val="2C3B2A22"/>
    <w:rsid w:val="2C4B1C25"/>
    <w:rsid w:val="2C587A8E"/>
    <w:rsid w:val="2D9E56F5"/>
    <w:rsid w:val="2E2B2A1C"/>
    <w:rsid w:val="2E667F96"/>
    <w:rsid w:val="2E8226AB"/>
    <w:rsid w:val="2FD065E6"/>
    <w:rsid w:val="2FD96870"/>
    <w:rsid w:val="30580BC9"/>
    <w:rsid w:val="311E2ED7"/>
    <w:rsid w:val="313C3C3D"/>
    <w:rsid w:val="315619EE"/>
    <w:rsid w:val="315C449C"/>
    <w:rsid w:val="31B21A1E"/>
    <w:rsid w:val="31B82709"/>
    <w:rsid w:val="31D05482"/>
    <w:rsid w:val="32400B34"/>
    <w:rsid w:val="329E6876"/>
    <w:rsid w:val="32DB376D"/>
    <w:rsid w:val="333015F2"/>
    <w:rsid w:val="334B6320"/>
    <w:rsid w:val="33D934D4"/>
    <w:rsid w:val="33FE2F6A"/>
    <w:rsid w:val="340E07E5"/>
    <w:rsid w:val="34235BF7"/>
    <w:rsid w:val="3491064E"/>
    <w:rsid w:val="358C5FA8"/>
    <w:rsid w:val="35C15DF1"/>
    <w:rsid w:val="36074A7F"/>
    <w:rsid w:val="36923549"/>
    <w:rsid w:val="36B75FBF"/>
    <w:rsid w:val="36BD0C45"/>
    <w:rsid w:val="37277974"/>
    <w:rsid w:val="37954EA3"/>
    <w:rsid w:val="37E00298"/>
    <w:rsid w:val="37FD1602"/>
    <w:rsid w:val="38B302F9"/>
    <w:rsid w:val="38F12CD3"/>
    <w:rsid w:val="38F94775"/>
    <w:rsid w:val="392971ED"/>
    <w:rsid w:val="39325651"/>
    <w:rsid w:val="397F4F63"/>
    <w:rsid w:val="3A872856"/>
    <w:rsid w:val="3A8B353F"/>
    <w:rsid w:val="3B3763D1"/>
    <w:rsid w:val="3BBA54EF"/>
    <w:rsid w:val="3C2F6E1E"/>
    <w:rsid w:val="3C4F64BA"/>
    <w:rsid w:val="3CDA245A"/>
    <w:rsid w:val="3D1E06B7"/>
    <w:rsid w:val="3EDA0523"/>
    <w:rsid w:val="3EEC1BB2"/>
    <w:rsid w:val="40275F3A"/>
    <w:rsid w:val="407A6407"/>
    <w:rsid w:val="4200449D"/>
    <w:rsid w:val="423A3BCC"/>
    <w:rsid w:val="424E57D2"/>
    <w:rsid w:val="42605623"/>
    <w:rsid w:val="42B26C49"/>
    <w:rsid w:val="433A6FE6"/>
    <w:rsid w:val="43480868"/>
    <w:rsid w:val="4350713C"/>
    <w:rsid w:val="436653E0"/>
    <w:rsid w:val="43C4431A"/>
    <w:rsid w:val="441B1DD7"/>
    <w:rsid w:val="444B6BFB"/>
    <w:rsid w:val="445C4C5B"/>
    <w:rsid w:val="44B951CC"/>
    <w:rsid w:val="44CD14E0"/>
    <w:rsid w:val="44F20B0B"/>
    <w:rsid w:val="450705BE"/>
    <w:rsid w:val="451F76A5"/>
    <w:rsid w:val="452E5F4C"/>
    <w:rsid w:val="45612018"/>
    <w:rsid w:val="458946E9"/>
    <w:rsid w:val="45A47C0E"/>
    <w:rsid w:val="46577FD6"/>
    <w:rsid w:val="46D955A7"/>
    <w:rsid w:val="47133957"/>
    <w:rsid w:val="47294311"/>
    <w:rsid w:val="47574ED5"/>
    <w:rsid w:val="47A07E0C"/>
    <w:rsid w:val="48163523"/>
    <w:rsid w:val="48201135"/>
    <w:rsid w:val="4870272E"/>
    <w:rsid w:val="48811FCD"/>
    <w:rsid w:val="49C5081B"/>
    <w:rsid w:val="49CC4DCB"/>
    <w:rsid w:val="49DC7715"/>
    <w:rsid w:val="49F337EA"/>
    <w:rsid w:val="4A023139"/>
    <w:rsid w:val="4A193C5A"/>
    <w:rsid w:val="4A7B576F"/>
    <w:rsid w:val="4A934476"/>
    <w:rsid w:val="4AF30483"/>
    <w:rsid w:val="4AF561A9"/>
    <w:rsid w:val="4B7F6018"/>
    <w:rsid w:val="4C4A0649"/>
    <w:rsid w:val="4C7E5ECA"/>
    <w:rsid w:val="4C876AA5"/>
    <w:rsid w:val="4D0E00FB"/>
    <w:rsid w:val="4D176606"/>
    <w:rsid w:val="4DE8262D"/>
    <w:rsid w:val="4DEC4FB0"/>
    <w:rsid w:val="4E075D8A"/>
    <w:rsid w:val="4EA508E7"/>
    <w:rsid w:val="4EC00FAD"/>
    <w:rsid w:val="4F5B040B"/>
    <w:rsid w:val="4F9843DC"/>
    <w:rsid w:val="4FC62A8C"/>
    <w:rsid w:val="4FE20F0D"/>
    <w:rsid w:val="4FE51552"/>
    <w:rsid w:val="504273BB"/>
    <w:rsid w:val="50504C4B"/>
    <w:rsid w:val="509C6E7C"/>
    <w:rsid w:val="5162104E"/>
    <w:rsid w:val="533F47B1"/>
    <w:rsid w:val="53A039CC"/>
    <w:rsid w:val="53A14C9F"/>
    <w:rsid w:val="53A1505A"/>
    <w:rsid w:val="54063E08"/>
    <w:rsid w:val="541E412B"/>
    <w:rsid w:val="54216F96"/>
    <w:rsid w:val="543437E8"/>
    <w:rsid w:val="54DD1CC8"/>
    <w:rsid w:val="54F73313"/>
    <w:rsid w:val="54F80955"/>
    <w:rsid w:val="54FE16CD"/>
    <w:rsid w:val="555170A7"/>
    <w:rsid w:val="5587536D"/>
    <w:rsid w:val="559B174B"/>
    <w:rsid w:val="55CE0CF4"/>
    <w:rsid w:val="56692FD1"/>
    <w:rsid w:val="5674515B"/>
    <w:rsid w:val="56B22A9C"/>
    <w:rsid w:val="57B72A76"/>
    <w:rsid w:val="57C3426C"/>
    <w:rsid w:val="57CE1F93"/>
    <w:rsid w:val="57D17515"/>
    <w:rsid w:val="58156E12"/>
    <w:rsid w:val="588743D1"/>
    <w:rsid w:val="5887701A"/>
    <w:rsid w:val="59A6233F"/>
    <w:rsid w:val="59C0439F"/>
    <w:rsid w:val="59E90E4A"/>
    <w:rsid w:val="5ABE2233"/>
    <w:rsid w:val="5B251C2B"/>
    <w:rsid w:val="5B94004E"/>
    <w:rsid w:val="5BDF5D95"/>
    <w:rsid w:val="5BF9095C"/>
    <w:rsid w:val="5BFE7528"/>
    <w:rsid w:val="5C0B5A6B"/>
    <w:rsid w:val="5E2467F1"/>
    <w:rsid w:val="5F1A2B43"/>
    <w:rsid w:val="5F225970"/>
    <w:rsid w:val="5F5C5FB8"/>
    <w:rsid w:val="5FA1715B"/>
    <w:rsid w:val="5FB837BB"/>
    <w:rsid w:val="5FFC08B7"/>
    <w:rsid w:val="602E77AC"/>
    <w:rsid w:val="6062696C"/>
    <w:rsid w:val="60B3565E"/>
    <w:rsid w:val="60CC405A"/>
    <w:rsid w:val="6162420F"/>
    <w:rsid w:val="616C7377"/>
    <w:rsid w:val="61952D71"/>
    <w:rsid w:val="61E215D8"/>
    <w:rsid w:val="621B3775"/>
    <w:rsid w:val="62364782"/>
    <w:rsid w:val="627B71A0"/>
    <w:rsid w:val="6394356A"/>
    <w:rsid w:val="63BA086D"/>
    <w:rsid w:val="63C61B2C"/>
    <w:rsid w:val="63D40BE9"/>
    <w:rsid w:val="63E94CAF"/>
    <w:rsid w:val="64102431"/>
    <w:rsid w:val="64A5243A"/>
    <w:rsid w:val="64F531DE"/>
    <w:rsid w:val="65105A67"/>
    <w:rsid w:val="65373578"/>
    <w:rsid w:val="6560650E"/>
    <w:rsid w:val="671F124A"/>
    <w:rsid w:val="677A33C6"/>
    <w:rsid w:val="67DF08A2"/>
    <w:rsid w:val="681E432C"/>
    <w:rsid w:val="681F6961"/>
    <w:rsid w:val="6860161E"/>
    <w:rsid w:val="68610A2F"/>
    <w:rsid w:val="687668FF"/>
    <w:rsid w:val="68805514"/>
    <w:rsid w:val="68CA309F"/>
    <w:rsid w:val="68F1306B"/>
    <w:rsid w:val="68F51670"/>
    <w:rsid w:val="692C1D3B"/>
    <w:rsid w:val="69316E2F"/>
    <w:rsid w:val="694E2071"/>
    <w:rsid w:val="69766163"/>
    <w:rsid w:val="697A3B33"/>
    <w:rsid w:val="69D44760"/>
    <w:rsid w:val="6A520EC7"/>
    <w:rsid w:val="6AF87E20"/>
    <w:rsid w:val="6B322639"/>
    <w:rsid w:val="6BAA11C7"/>
    <w:rsid w:val="6C636C38"/>
    <w:rsid w:val="6DB34098"/>
    <w:rsid w:val="6DB545B6"/>
    <w:rsid w:val="6DE02FB4"/>
    <w:rsid w:val="6E514CED"/>
    <w:rsid w:val="6EB563D5"/>
    <w:rsid w:val="6ED92677"/>
    <w:rsid w:val="6F225983"/>
    <w:rsid w:val="6F274F68"/>
    <w:rsid w:val="6F4162E7"/>
    <w:rsid w:val="6FFC5590"/>
    <w:rsid w:val="6FFF2F39"/>
    <w:rsid w:val="706D1DD0"/>
    <w:rsid w:val="70856B87"/>
    <w:rsid w:val="70D527EE"/>
    <w:rsid w:val="715B5300"/>
    <w:rsid w:val="71C9101E"/>
    <w:rsid w:val="71D27F8A"/>
    <w:rsid w:val="723366C9"/>
    <w:rsid w:val="72553024"/>
    <w:rsid w:val="72C914CF"/>
    <w:rsid w:val="72FA0C86"/>
    <w:rsid w:val="72FD2525"/>
    <w:rsid w:val="73122968"/>
    <w:rsid w:val="731F5D5E"/>
    <w:rsid w:val="733942F1"/>
    <w:rsid w:val="73C51AD5"/>
    <w:rsid w:val="73D32604"/>
    <w:rsid w:val="741E793C"/>
    <w:rsid w:val="745E3944"/>
    <w:rsid w:val="74711995"/>
    <w:rsid w:val="74FC2D4A"/>
    <w:rsid w:val="752D2029"/>
    <w:rsid w:val="758E689F"/>
    <w:rsid w:val="759529A3"/>
    <w:rsid w:val="76065B94"/>
    <w:rsid w:val="76142BC8"/>
    <w:rsid w:val="7635099D"/>
    <w:rsid w:val="772569B0"/>
    <w:rsid w:val="777464EC"/>
    <w:rsid w:val="77762421"/>
    <w:rsid w:val="77B56B1F"/>
    <w:rsid w:val="77D32E01"/>
    <w:rsid w:val="7803238B"/>
    <w:rsid w:val="780F09F4"/>
    <w:rsid w:val="783110A7"/>
    <w:rsid w:val="78546E4C"/>
    <w:rsid w:val="78A90480"/>
    <w:rsid w:val="7A364017"/>
    <w:rsid w:val="7A3F6C1D"/>
    <w:rsid w:val="7A56120A"/>
    <w:rsid w:val="7A8265E1"/>
    <w:rsid w:val="7B686D42"/>
    <w:rsid w:val="7B841746"/>
    <w:rsid w:val="7BF137E6"/>
    <w:rsid w:val="7C6C5AC7"/>
    <w:rsid w:val="7CC6544B"/>
    <w:rsid w:val="7CD54A39"/>
    <w:rsid w:val="7CFE0400"/>
    <w:rsid w:val="7D0239FF"/>
    <w:rsid w:val="7D553689"/>
    <w:rsid w:val="7D5E40CD"/>
    <w:rsid w:val="7D9E083C"/>
    <w:rsid w:val="7DCD56F2"/>
    <w:rsid w:val="7E790791"/>
    <w:rsid w:val="7F001CE7"/>
    <w:rsid w:val="7FE47E50"/>
    <w:rsid w:val="7FFCAD7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qFormat="1"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iPriority="99"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720"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1"/>
    <w:next w:val="1"/>
    <w:qFormat/>
    <w:locked/>
    <w:uiPriority w:val="99"/>
    <w:pPr>
      <w:keepNext/>
      <w:overflowPunct w:val="0"/>
      <w:snapToGrid w:val="0"/>
      <w:spacing w:line="240" w:lineRule="auto"/>
      <w:ind w:firstLine="0" w:firstLineChars="0"/>
      <w:outlineLvl w:val="0"/>
    </w:pPr>
    <w:rPr>
      <w:rFonts w:eastAsia="黑体"/>
      <w:b/>
      <w:bCs/>
      <w:color w:val="000000"/>
      <w:kern w:val="44"/>
      <w:szCs w:val="30"/>
    </w:rPr>
  </w:style>
  <w:style w:type="paragraph" w:styleId="4">
    <w:name w:val="heading 4"/>
    <w:basedOn w:val="1"/>
    <w:next w:val="1"/>
    <w:semiHidden/>
    <w:unhideWhenUsed/>
    <w:qFormat/>
    <w:locked/>
    <w:uiPriority w:val="0"/>
    <w:pPr>
      <w:spacing w:beforeAutospacing="1" w:afterAutospacing="1"/>
      <w:jc w:val="left"/>
      <w:outlineLvl w:val="3"/>
    </w:pPr>
    <w:rPr>
      <w:rFonts w:hint="eastAsia" w:ascii="宋体" w:hAnsi="宋体"/>
      <w:b/>
      <w:bCs/>
      <w:kern w:val="0"/>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2">
    <w:name w:val="Body Text First Indent"/>
    <w:basedOn w:val="1"/>
    <w:next w:val="1"/>
    <w:unhideWhenUsed/>
    <w:qFormat/>
    <w:locked/>
    <w:uiPriority w:val="99"/>
    <w:pPr>
      <w:spacing w:after="120" w:line="500" w:lineRule="exact"/>
      <w:ind w:firstLine="420" w:firstLineChars="100"/>
    </w:pPr>
    <w:rPr>
      <w:szCs w:val="22"/>
    </w:rPr>
  </w:style>
  <w:style w:type="paragraph" w:styleId="5">
    <w:name w:val="Normal Indent"/>
    <w:basedOn w:val="1"/>
    <w:next w:val="6"/>
    <w:qFormat/>
    <w:locked/>
    <w:uiPriority w:val="0"/>
    <w:pPr>
      <w:adjustRightInd w:val="0"/>
      <w:spacing w:line="320" w:lineRule="atLeast"/>
      <w:ind w:firstLine="420"/>
      <w:textAlignment w:val="baseline"/>
    </w:pPr>
    <w:rPr>
      <w:kern w:val="0"/>
      <w:sz w:val="21"/>
      <w:szCs w:val="20"/>
    </w:rPr>
  </w:style>
  <w:style w:type="paragraph" w:styleId="6">
    <w:name w:val="Body Text First Indent 2"/>
    <w:basedOn w:val="7"/>
    <w:next w:val="1"/>
    <w:qFormat/>
    <w:locked/>
    <w:uiPriority w:val="0"/>
    <w:pPr>
      <w:spacing w:line="240" w:lineRule="auto"/>
      <w:ind w:firstLine="420"/>
    </w:pPr>
    <w:rPr>
      <w:sz w:val="21"/>
      <w:szCs w:val="24"/>
    </w:rPr>
  </w:style>
  <w:style w:type="paragraph" w:styleId="7">
    <w:name w:val="Body Text Indent"/>
    <w:basedOn w:val="1"/>
    <w:next w:val="1"/>
    <w:link w:val="36"/>
    <w:qFormat/>
    <w:uiPriority w:val="0"/>
    <w:pPr>
      <w:spacing w:after="120"/>
      <w:ind w:left="420" w:leftChars="200"/>
    </w:pPr>
    <w:rPr>
      <w:kern w:val="0"/>
      <w:szCs w:val="20"/>
    </w:rPr>
  </w:style>
  <w:style w:type="paragraph" w:styleId="8">
    <w:name w:val="toa heading"/>
    <w:basedOn w:val="1"/>
    <w:next w:val="1"/>
    <w:qFormat/>
    <w:locked/>
    <w:uiPriority w:val="0"/>
    <w:pPr>
      <w:spacing w:before="120"/>
    </w:pPr>
    <w:rPr>
      <w:rFonts w:ascii="Arial" w:hAnsi="Arial"/>
    </w:rPr>
  </w:style>
  <w:style w:type="paragraph" w:styleId="9">
    <w:name w:val="annotation text"/>
    <w:basedOn w:val="1"/>
    <w:next w:val="1"/>
    <w:link w:val="34"/>
    <w:semiHidden/>
    <w:qFormat/>
    <w:uiPriority w:val="0"/>
    <w:pPr>
      <w:jc w:val="left"/>
    </w:pPr>
    <w:rPr>
      <w:kern w:val="0"/>
      <w:szCs w:val="20"/>
    </w:rPr>
  </w:style>
  <w:style w:type="paragraph" w:styleId="10">
    <w:name w:val="Body Text"/>
    <w:basedOn w:val="1"/>
    <w:next w:val="11"/>
    <w:link w:val="35"/>
    <w:qFormat/>
    <w:uiPriority w:val="0"/>
    <w:pPr>
      <w:widowControl/>
      <w:snapToGrid w:val="0"/>
      <w:spacing w:before="60" w:after="160" w:line="259" w:lineRule="auto"/>
      <w:ind w:right="113"/>
    </w:pPr>
    <w:rPr>
      <w:kern w:val="0"/>
      <w:sz w:val="18"/>
      <w:szCs w:val="20"/>
    </w:rPr>
  </w:style>
  <w:style w:type="paragraph" w:customStyle="1" w:styleId="11">
    <w:name w:val="xl27"/>
    <w:basedOn w:val="1"/>
    <w:next w:val="9"/>
    <w:qFormat/>
    <w:uiPriority w:val="0"/>
    <w:pPr>
      <w:widowControl/>
      <w:pBdr>
        <w:bottom w:val="single" w:color="auto" w:sz="4" w:space="0"/>
        <w:right w:val="single" w:color="auto" w:sz="4" w:space="0"/>
      </w:pBdr>
      <w:adjustRightInd w:val="0"/>
      <w:snapToGrid w:val="0"/>
      <w:spacing w:before="100" w:beforeAutospacing="1" w:after="100" w:afterAutospacing="1" w:line="500" w:lineRule="exact"/>
      <w:jc w:val="center"/>
    </w:pPr>
    <w:rPr>
      <w:rFonts w:eastAsia="Arial Unicode MS"/>
      <w:kern w:val="0"/>
      <w:szCs w:val="21"/>
    </w:rPr>
  </w:style>
  <w:style w:type="paragraph" w:styleId="12">
    <w:name w:val="Date"/>
    <w:basedOn w:val="1"/>
    <w:next w:val="1"/>
    <w:link w:val="37"/>
    <w:qFormat/>
    <w:uiPriority w:val="0"/>
    <w:pPr>
      <w:ind w:left="100" w:leftChars="2500"/>
    </w:pPr>
    <w:rPr>
      <w:kern w:val="0"/>
      <w:szCs w:val="20"/>
    </w:rPr>
  </w:style>
  <w:style w:type="paragraph" w:styleId="13">
    <w:name w:val="Body Text Indent 2"/>
    <w:basedOn w:val="1"/>
    <w:next w:val="1"/>
    <w:qFormat/>
    <w:locked/>
    <w:uiPriority w:val="0"/>
    <w:pPr>
      <w:spacing w:after="120" w:line="480" w:lineRule="auto"/>
      <w:ind w:left="420" w:leftChars="200"/>
    </w:pPr>
  </w:style>
  <w:style w:type="paragraph" w:styleId="14">
    <w:name w:val="Balloon Text"/>
    <w:basedOn w:val="1"/>
    <w:link w:val="38"/>
    <w:semiHidden/>
    <w:qFormat/>
    <w:uiPriority w:val="0"/>
    <w:rPr>
      <w:kern w:val="0"/>
      <w:sz w:val="18"/>
      <w:szCs w:val="20"/>
    </w:rPr>
  </w:style>
  <w:style w:type="paragraph" w:styleId="15">
    <w:name w:val="footer"/>
    <w:basedOn w:val="1"/>
    <w:link w:val="39"/>
    <w:qFormat/>
    <w:uiPriority w:val="99"/>
    <w:pPr>
      <w:tabs>
        <w:tab w:val="center" w:pos="4153"/>
        <w:tab w:val="right" w:pos="8306"/>
      </w:tabs>
      <w:snapToGrid w:val="0"/>
      <w:jc w:val="left"/>
    </w:pPr>
    <w:rPr>
      <w:kern w:val="0"/>
      <w:sz w:val="18"/>
      <w:szCs w:val="20"/>
    </w:rPr>
  </w:style>
  <w:style w:type="paragraph" w:styleId="16">
    <w:name w:val="header"/>
    <w:basedOn w:val="1"/>
    <w:link w:val="40"/>
    <w:qFormat/>
    <w:uiPriority w:val="0"/>
    <w:pPr>
      <w:pBdr>
        <w:bottom w:val="single" w:color="auto" w:sz="6" w:space="1"/>
      </w:pBdr>
      <w:tabs>
        <w:tab w:val="center" w:pos="4153"/>
        <w:tab w:val="right" w:pos="8306"/>
      </w:tabs>
      <w:snapToGrid w:val="0"/>
      <w:jc w:val="center"/>
    </w:pPr>
    <w:rPr>
      <w:kern w:val="0"/>
      <w:sz w:val="18"/>
      <w:szCs w:val="20"/>
    </w:rPr>
  </w:style>
  <w:style w:type="paragraph" w:styleId="17">
    <w:name w:val="toc 2"/>
    <w:basedOn w:val="1"/>
    <w:next w:val="1"/>
    <w:qFormat/>
    <w:locked/>
    <w:uiPriority w:val="0"/>
    <w:pPr>
      <w:ind w:left="420" w:leftChars="200"/>
    </w:pPr>
  </w:style>
  <w:style w:type="paragraph" w:styleId="18">
    <w:name w:val="Normal (Web)"/>
    <w:basedOn w:val="1"/>
    <w:link w:val="41"/>
    <w:qFormat/>
    <w:uiPriority w:val="0"/>
    <w:pPr>
      <w:widowControl/>
      <w:spacing w:before="100" w:beforeAutospacing="1" w:after="100" w:afterAutospacing="1"/>
      <w:jc w:val="left"/>
    </w:pPr>
    <w:rPr>
      <w:rFonts w:ascii="宋体" w:hAnsi="宋体"/>
      <w:kern w:val="0"/>
      <w:szCs w:val="20"/>
    </w:rPr>
  </w:style>
  <w:style w:type="paragraph" w:styleId="19">
    <w:name w:val="Title"/>
    <w:basedOn w:val="1"/>
    <w:next w:val="1"/>
    <w:qFormat/>
    <w:locked/>
    <w:uiPriority w:val="0"/>
    <w:pPr>
      <w:spacing w:before="60" w:after="60" w:line="576" w:lineRule="auto"/>
      <w:ind w:firstLine="0" w:firstLineChars="0"/>
      <w:jc w:val="left"/>
      <w:outlineLvl w:val="0"/>
    </w:pPr>
    <w:rPr>
      <w:b/>
      <w:bCs/>
      <w:sz w:val="36"/>
      <w:szCs w:val="32"/>
      <w:lang w:val="zh-CN"/>
    </w:rPr>
  </w:style>
  <w:style w:type="paragraph" w:styleId="20">
    <w:name w:val="annotation subject"/>
    <w:basedOn w:val="9"/>
    <w:next w:val="9"/>
    <w:link w:val="42"/>
    <w:semiHidden/>
    <w:qFormat/>
    <w:uiPriority w:val="0"/>
    <w:rPr>
      <w:b/>
    </w:rPr>
  </w:style>
  <w:style w:type="table" w:styleId="22">
    <w:name w:val="Table Grid"/>
    <w:basedOn w:val="2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locked/>
    <w:uiPriority w:val="0"/>
    <w:rPr>
      <w:b/>
    </w:rPr>
  </w:style>
  <w:style w:type="character" w:styleId="25">
    <w:name w:val="page number"/>
    <w:basedOn w:val="23"/>
    <w:qFormat/>
    <w:locked/>
    <w:uiPriority w:val="0"/>
  </w:style>
  <w:style w:type="character" w:styleId="26">
    <w:name w:val="Hyperlink"/>
    <w:basedOn w:val="23"/>
    <w:qFormat/>
    <w:locked/>
    <w:uiPriority w:val="0"/>
    <w:rPr>
      <w:color w:val="0000FF"/>
      <w:u w:val="single"/>
    </w:rPr>
  </w:style>
  <w:style w:type="character" w:styleId="27">
    <w:name w:val="annotation reference"/>
    <w:basedOn w:val="23"/>
    <w:semiHidden/>
    <w:qFormat/>
    <w:uiPriority w:val="0"/>
    <w:rPr>
      <w:sz w:val="21"/>
    </w:rPr>
  </w:style>
  <w:style w:type="paragraph" w:customStyle="1" w:styleId="28">
    <w:name w:val="Date1"/>
    <w:basedOn w:val="1"/>
    <w:next w:val="1"/>
    <w:qFormat/>
    <w:uiPriority w:val="0"/>
    <w:pPr>
      <w:adjustRightInd w:val="0"/>
      <w:textAlignment w:val="baseline"/>
    </w:pPr>
    <w:rPr>
      <w:szCs w:val="20"/>
    </w:rPr>
  </w:style>
  <w:style w:type="paragraph" w:customStyle="1" w:styleId="29">
    <w:name w:val="样式 正文文本缩进 + 行距: 1.5 倍行距"/>
    <w:basedOn w:val="1"/>
    <w:qFormat/>
    <w:uiPriority w:val="0"/>
    <w:pPr>
      <w:spacing w:after="120"/>
      <w:ind w:left="90" w:leftChars="32" w:firstLine="560"/>
    </w:pPr>
    <w:rPr>
      <w:rFonts w:cs="宋体"/>
    </w:rPr>
  </w:style>
  <w:style w:type="paragraph" w:customStyle="1" w:styleId="30">
    <w:name w:val="表格文字"/>
    <w:basedOn w:val="10"/>
    <w:next w:val="1"/>
    <w:qFormat/>
    <w:uiPriority w:val="0"/>
    <w:pPr>
      <w:adjustRightInd w:val="0"/>
      <w:spacing w:before="50" w:beforeLines="50" w:after="50" w:afterLines="50" w:line="420" w:lineRule="atLeast"/>
      <w:ind w:firstLine="640"/>
      <w:jc w:val="left"/>
      <w:textAlignment w:val="baseline"/>
    </w:pPr>
    <w:rPr>
      <w:rFonts w:eastAsia="Calibri"/>
      <w:sz w:val="28"/>
    </w:rPr>
  </w:style>
  <w:style w:type="paragraph" w:customStyle="1" w:styleId="31">
    <w:name w:val="A样式 小四 行距: 1.5 倍行距 首行缩进:  2 字符"/>
    <w:basedOn w:val="1"/>
    <w:qFormat/>
    <w:uiPriority w:val="0"/>
    <w:pPr>
      <w:ind w:firstLine="480"/>
    </w:pPr>
    <w:rPr>
      <w:rFonts w:cs="宋体"/>
      <w:szCs w:val="22"/>
    </w:rPr>
  </w:style>
  <w:style w:type="paragraph" w:customStyle="1" w:styleId="32">
    <w:name w:val="Default"/>
    <w:basedOn w:val="33"/>
    <w:next w:val="30"/>
    <w:qFormat/>
    <w:uiPriority w:val="0"/>
    <w:pPr>
      <w:adjustRightInd w:val="0"/>
    </w:pPr>
    <w:rPr>
      <w:rFonts w:ascii="宋体" w:hAnsi="Calibri" w:cs="宋体"/>
      <w:color w:val="000000"/>
      <w:lang w:val="en-US"/>
    </w:rPr>
  </w:style>
  <w:style w:type="paragraph" w:customStyle="1" w:styleId="33">
    <w:name w:val="文本"/>
    <w:basedOn w:val="1"/>
    <w:next w:val="1"/>
    <w:qFormat/>
    <w:uiPriority w:val="0"/>
    <w:pPr>
      <w:autoSpaceDE w:val="0"/>
      <w:autoSpaceDN w:val="0"/>
      <w:ind w:firstLine="480"/>
    </w:pPr>
    <w:rPr>
      <w:lang w:val="zh-CN"/>
    </w:rPr>
  </w:style>
  <w:style w:type="character" w:customStyle="1" w:styleId="34">
    <w:name w:val="批注文字 字符"/>
    <w:link w:val="9"/>
    <w:qFormat/>
    <w:locked/>
    <w:uiPriority w:val="0"/>
    <w:rPr>
      <w:rFonts w:ascii="Times New Roman" w:hAnsi="Times New Roman" w:eastAsia="宋体"/>
      <w:sz w:val="24"/>
    </w:rPr>
  </w:style>
  <w:style w:type="character" w:customStyle="1" w:styleId="35">
    <w:name w:val="正文文本 字符"/>
    <w:link w:val="10"/>
    <w:qFormat/>
    <w:locked/>
    <w:uiPriority w:val="0"/>
    <w:rPr>
      <w:sz w:val="18"/>
    </w:rPr>
  </w:style>
  <w:style w:type="character" w:customStyle="1" w:styleId="36">
    <w:name w:val="正文文本缩进 字符"/>
    <w:link w:val="7"/>
    <w:semiHidden/>
    <w:qFormat/>
    <w:locked/>
    <w:uiPriority w:val="0"/>
    <w:rPr>
      <w:rFonts w:ascii="Times New Roman" w:hAnsi="Times New Roman" w:eastAsia="宋体"/>
      <w:sz w:val="24"/>
    </w:rPr>
  </w:style>
  <w:style w:type="character" w:customStyle="1" w:styleId="37">
    <w:name w:val="日期 字符1"/>
    <w:link w:val="12"/>
    <w:qFormat/>
    <w:locked/>
    <w:uiPriority w:val="0"/>
    <w:rPr>
      <w:rFonts w:ascii="Times New Roman" w:hAnsi="Times New Roman" w:eastAsia="宋体"/>
      <w:sz w:val="24"/>
    </w:rPr>
  </w:style>
  <w:style w:type="character" w:customStyle="1" w:styleId="38">
    <w:name w:val="批注框文本 字符"/>
    <w:link w:val="14"/>
    <w:semiHidden/>
    <w:qFormat/>
    <w:locked/>
    <w:uiPriority w:val="0"/>
    <w:rPr>
      <w:rFonts w:ascii="Times New Roman" w:hAnsi="Times New Roman" w:eastAsia="宋体"/>
      <w:sz w:val="18"/>
    </w:rPr>
  </w:style>
  <w:style w:type="character" w:customStyle="1" w:styleId="39">
    <w:name w:val="页脚 字符1"/>
    <w:link w:val="15"/>
    <w:qFormat/>
    <w:locked/>
    <w:uiPriority w:val="99"/>
    <w:rPr>
      <w:sz w:val="18"/>
    </w:rPr>
  </w:style>
  <w:style w:type="character" w:customStyle="1" w:styleId="40">
    <w:name w:val="页眉 字符"/>
    <w:link w:val="16"/>
    <w:qFormat/>
    <w:locked/>
    <w:uiPriority w:val="0"/>
    <w:rPr>
      <w:sz w:val="18"/>
    </w:rPr>
  </w:style>
  <w:style w:type="character" w:customStyle="1" w:styleId="41">
    <w:name w:val="普通(网站) 字符"/>
    <w:link w:val="18"/>
    <w:qFormat/>
    <w:locked/>
    <w:uiPriority w:val="0"/>
    <w:rPr>
      <w:rFonts w:ascii="宋体" w:hAnsi="宋体" w:eastAsia="宋体"/>
      <w:sz w:val="24"/>
    </w:rPr>
  </w:style>
  <w:style w:type="character" w:customStyle="1" w:styleId="42">
    <w:name w:val="批注主题 字符"/>
    <w:link w:val="20"/>
    <w:semiHidden/>
    <w:qFormat/>
    <w:locked/>
    <w:uiPriority w:val="0"/>
    <w:rPr>
      <w:rFonts w:ascii="Times New Roman" w:hAnsi="Times New Roman" w:eastAsia="宋体"/>
      <w:b/>
      <w:kern w:val="2"/>
      <w:sz w:val="24"/>
    </w:rPr>
  </w:style>
  <w:style w:type="character" w:customStyle="1" w:styleId="43">
    <w:name w:val="页脚 字符"/>
    <w:basedOn w:val="23"/>
    <w:qFormat/>
    <w:uiPriority w:val="99"/>
  </w:style>
  <w:style w:type="character" w:customStyle="1" w:styleId="44">
    <w:name w:val="正文文本 字符1"/>
    <w:semiHidden/>
    <w:qFormat/>
    <w:uiPriority w:val="0"/>
    <w:rPr>
      <w:rFonts w:ascii="Times New Roman" w:hAnsi="Times New Roman" w:eastAsia="宋体"/>
      <w:sz w:val="24"/>
    </w:rPr>
  </w:style>
  <w:style w:type="character" w:customStyle="1" w:styleId="45">
    <w:name w:val="表格 Char"/>
    <w:link w:val="46"/>
    <w:qFormat/>
    <w:locked/>
    <w:uiPriority w:val="0"/>
    <w:rPr>
      <w:rFonts w:ascii="宋体"/>
      <w:sz w:val="21"/>
    </w:rPr>
  </w:style>
  <w:style w:type="paragraph" w:customStyle="1" w:styleId="46">
    <w:name w:val="表格"/>
    <w:basedOn w:val="1"/>
    <w:next w:val="1"/>
    <w:link w:val="45"/>
    <w:qFormat/>
    <w:uiPriority w:val="0"/>
    <w:pPr>
      <w:adjustRightInd w:val="0"/>
      <w:snapToGrid w:val="0"/>
      <w:spacing w:beforeLines="10" w:afterLines="10" w:line="259" w:lineRule="auto"/>
      <w:jc w:val="center"/>
    </w:pPr>
    <w:rPr>
      <w:rFonts w:ascii="宋体"/>
      <w:kern w:val="0"/>
      <w:szCs w:val="20"/>
    </w:rPr>
  </w:style>
  <w:style w:type="character" w:customStyle="1" w:styleId="47">
    <w:name w:val="日期 字符"/>
    <w:semiHidden/>
    <w:qFormat/>
    <w:uiPriority w:val="0"/>
    <w:rPr>
      <w:rFonts w:ascii="Times New Roman" w:hAnsi="Times New Roman" w:eastAsia="宋体"/>
      <w:sz w:val="24"/>
    </w:rPr>
  </w:style>
  <w:style w:type="character" w:customStyle="1" w:styleId="48">
    <w:name w:val="批注文字 字符1"/>
    <w:semiHidden/>
    <w:qFormat/>
    <w:uiPriority w:val="0"/>
    <w:rPr>
      <w:rFonts w:ascii="Times New Roman" w:hAnsi="Times New Roman" w:eastAsia="宋体"/>
      <w:sz w:val="24"/>
    </w:rPr>
  </w:style>
  <w:style w:type="paragraph" w:customStyle="1" w:styleId="49">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0">
    <w:name w:val="普通(网站)2"/>
    <w:basedOn w:val="1"/>
    <w:qFormat/>
    <w:uiPriority w:val="0"/>
    <w:pPr>
      <w:widowControl/>
      <w:spacing w:before="100" w:beforeAutospacing="1" w:after="100" w:afterAutospacing="1"/>
      <w:jc w:val="left"/>
    </w:pPr>
    <w:rPr>
      <w:rFonts w:ascii="宋体" w:hAnsi="宋体"/>
      <w:szCs w:val="20"/>
    </w:rPr>
  </w:style>
  <w:style w:type="paragraph" w:customStyle="1" w:styleId="51">
    <w:name w:val="李-正文"/>
    <w:basedOn w:val="1"/>
    <w:qFormat/>
    <w:uiPriority w:val="0"/>
    <w:pPr>
      <w:ind w:firstLine="560"/>
    </w:pPr>
  </w:style>
  <w:style w:type="paragraph" w:customStyle="1" w:styleId="52">
    <w:name w:val="p0"/>
    <w:basedOn w:val="1"/>
    <w:qFormat/>
    <w:uiPriority w:val="0"/>
    <w:pPr>
      <w:widowControl/>
    </w:pPr>
    <w:rPr>
      <w:kern w:val="0"/>
    </w:rPr>
  </w:style>
  <w:style w:type="character" w:customStyle="1" w:styleId="53">
    <w:name w:val="表文字 Char Char Char Char Char Char"/>
    <w:qFormat/>
    <w:uiPriority w:val="0"/>
    <w:rPr>
      <w:rFonts w:eastAsia="宋体"/>
      <w:kern w:val="2"/>
      <w:sz w:val="21"/>
      <w:szCs w:val="21"/>
      <w:lang w:val="en-US" w:eastAsia="zh-CN" w:bidi="ar-SA"/>
    </w:rPr>
  </w:style>
  <w:style w:type="paragraph" w:customStyle="1" w:styleId="54">
    <w:name w:val="龙正文表格"/>
    <w:basedOn w:val="1"/>
    <w:qFormat/>
    <w:uiPriority w:val="0"/>
    <w:pPr>
      <w:autoSpaceDE w:val="0"/>
      <w:autoSpaceDN w:val="0"/>
      <w:adjustRightInd w:val="0"/>
      <w:jc w:val="center"/>
    </w:pPr>
    <w:rPr>
      <w:rFonts w:hAnsi="宋体"/>
      <w:kern w:val="0"/>
      <w:szCs w:val="21"/>
    </w:rPr>
  </w:style>
  <w:style w:type="paragraph" w:customStyle="1" w:styleId="55">
    <w:name w:val="小标题"/>
    <w:basedOn w:val="56"/>
    <w:qFormat/>
    <w:uiPriority w:val="0"/>
    <w:pPr>
      <w:spacing w:line="480" w:lineRule="exact"/>
      <w:ind w:firstLine="0" w:firstLineChars="0"/>
      <w:jc w:val="left"/>
    </w:pPr>
    <w:rPr>
      <w:b/>
      <w:color w:val="000000"/>
    </w:rPr>
  </w:style>
  <w:style w:type="paragraph" w:customStyle="1" w:styleId="56">
    <w:name w:val="列表段落1"/>
    <w:basedOn w:val="1"/>
    <w:qFormat/>
    <w:uiPriority w:val="99"/>
    <w:pPr>
      <w:ind w:firstLine="420"/>
    </w:pPr>
  </w:style>
  <w:style w:type="paragraph" w:customStyle="1" w:styleId="57">
    <w:name w:val="样式 样式 样式 四号 左侧:  1.53 厘米 + 首行缩进:  2 字符 + 居中 左侧:  2 字符 首行缩进:  2..."/>
    <w:basedOn w:val="58"/>
    <w:qFormat/>
    <w:uiPriority w:val="0"/>
    <w:pPr>
      <w:jc w:val="center"/>
    </w:pPr>
  </w:style>
  <w:style w:type="paragraph" w:customStyle="1" w:styleId="58">
    <w:name w:val="样式 样式 四号 左侧:  1.53 厘米 + 首行缩进:  2 字符"/>
    <w:basedOn w:val="59"/>
    <w:qFormat/>
    <w:uiPriority w:val="0"/>
    <w:pPr>
      <w:ind w:left="200" w:leftChars="200"/>
    </w:pPr>
    <w:rPr>
      <w:szCs w:val="20"/>
    </w:rPr>
  </w:style>
  <w:style w:type="paragraph" w:customStyle="1" w:styleId="59">
    <w:name w:val="样式 四号 左侧:  1.53 厘米"/>
    <w:basedOn w:val="1"/>
    <w:qFormat/>
    <w:uiPriority w:val="0"/>
    <w:pPr>
      <w:adjustRightInd w:val="0"/>
    </w:pPr>
    <w:rPr>
      <w:w w:val="90"/>
      <w:sz w:val="28"/>
      <w:szCs w:val="28"/>
    </w:rPr>
  </w:style>
  <w:style w:type="paragraph" w:customStyle="1" w:styleId="60">
    <w:name w:val="报告表样式"/>
    <w:basedOn w:val="1"/>
    <w:qFormat/>
    <w:uiPriority w:val="0"/>
    <w:pPr>
      <w:adjustRightInd w:val="0"/>
      <w:snapToGrid w:val="0"/>
      <w:ind w:firstLine="200"/>
    </w:pPr>
    <w:rPr>
      <w:kern w:val="0"/>
      <w:sz w:val="28"/>
      <w:szCs w:val="28"/>
    </w:rPr>
  </w:style>
  <w:style w:type="paragraph" w:customStyle="1" w:styleId="61">
    <w:name w:val="Other|1"/>
    <w:basedOn w:val="1"/>
    <w:qFormat/>
    <w:uiPriority w:val="0"/>
    <w:pPr>
      <w:spacing w:line="276" w:lineRule="exact"/>
    </w:pPr>
    <w:rPr>
      <w:rFonts w:ascii="宋体" w:hAnsi="宋体" w:cs="宋体"/>
      <w:lang w:val="zh-TW" w:eastAsia="zh-TW" w:bidi="zh-TW"/>
    </w:rPr>
  </w:style>
  <w:style w:type="table" w:customStyle="1" w:styleId="62">
    <w:name w:val="网格型1"/>
    <w:basedOn w:val="2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63">
    <w:name w:val="Table Paragraph"/>
    <w:basedOn w:val="1"/>
    <w:qFormat/>
    <w:uiPriority w:val="1"/>
    <w:pPr>
      <w:autoSpaceDE w:val="0"/>
      <w:autoSpaceDN w:val="0"/>
      <w:jc w:val="center"/>
    </w:pPr>
    <w:rPr>
      <w:rFonts w:ascii="宋体" w:hAnsi="宋体" w:cs="宋体"/>
      <w:kern w:val="0"/>
      <w:sz w:val="22"/>
      <w:szCs w:val="22"/>
      <w:lang w:val="zh-CN" w:bidi="zh-CN"/>
    </w:rPr>
  </w:style>
  <w:style w:type="paragraph" w:customStyle="1" w:styleId="64">
    <w:name w:val="11111"/>
    <w:basedOn w:val="1"/>
    <w:next w:val="1"/>
    <w:qFormat/>
    <w:uiPriority w:val="0"/>
    <w:pPr>
      <w:ind w:firstLine="200"/>
    </w:pPr>
    <w:rPr>
      <w:rFonts w:hAnsi="宋体" w:cs="宋体"/>
    </w:rPr>
  </w:style>
  <w:style w:type="table" w:customStyle="1" w:styleId="65">
    <w:name w:val="Table Normal"/>
    <w:unhideWhenUsed/>
    <w:qFormat/>
    <w:uiPriority w:val="0"/>
    <w:tblPr>
      <w:tblCellMar>
        <w:top w:w="0" w:type="dxa"/>
        <w:left w:w="0" w:type="dxa"/>
        <w:bottom w:w="0" w:type="dxa"/>
        <w:right w:w="0" w:type="dxa"/>
      </w:tblCellMar>
    </w:tblPr>
  </w:style>
  <w:style w:type="table" w:customStyle="1" w:styleId="66">
    <w:name w:val="TableGrid"/>
    <w:basedOn w:val="21"/>
    <w:qFormat/>
    <w:uiPriority w:val="0"/>
    <w:rPr>
      <w:rFonts w:hint="eastAsia" w:ascii="等线" w:hAnsi="等线" w:eastAsia="等线" w:cs="等线"/>
      <w:kern w:val="2"/>
      <w:sz w:val="21"/>
      <w:szCs w:val="22"/>
    </w:rPr>
    <w:tblPr>
      <w:tblCellMar>
        <w:left w:w="0" w:type="dxa"/>
        <w:right w:w="0" w:type="dxa"/>
      </w:tblCellMar>
    </w:tblPr>
  </w:style>
  <w:style w:type="paragraph" w:customStyle="1" w:styleId="67">
    <w:name w:val="0正文"/>
    <w:qFormat/>
    <w:uiPriority w:val="0"/>
    <w:pPr>
      <w:widowControl w:val="0"/>
      <w:spacing w:line="360" w:lineRule="auto"/>
      <w:ind w:firstLine="720" w:firstLineChars="200"/>
    </w:pPr>
    <w:rPr>
      <w:rFonts w:ascii="Times New Roman" w:hAnsi="Times New Roman" w:eastAsia="宋体" w:cs="Times New Roman"/>
      <w:sz w:val="24"/>
      <w:szCs w:val="22"/>
      <w:lang w:val="en-US" w:eastAsia="zh-CN" w:bidi="ar-SA"/>
    </w:rPr>
  </w:style>
  <w:style w:type="paragraph" w:customStyle="1" w:styleId="68">
    <w:name w:val="表头"/>
    <w:basedOn w:val="1"/>
    <w:next w:val="1"/>
    <w:qFormat/>
    <w:uiPriority w:val="0"/>
    <w:pPr>
      <w:jc w:val="center"/>
    </w:pPr>
    <w:rPr>
      <w:rFonts w:eastAsia="黑体" w:cstheme="minorBidi"/>
      <w:szCs w:val="22"/>
    </w:rPr>
  </w:style>
  <w:style w:type="paragraph" w:customStyle="1" w:styleId="69">
    <w:name w:val="表格内容"/>
    <w:basedOn w:val="1"/>
    <w:qFormat/>
    <w:uiPriority w:val="0"/>
    <w:pPr>
      <w:spacing w:line="240" w:lineRule="auto"/>
    </w:pPr>
    <w:rPr>
      <w:sz w:val="21"/>
      <w:szCs w:val="21"/>
    </w:rPr>
  </w:style>
  <w:style w:type="table" w:customStyle="1" w:styleId="70">
    <w:name w:val="样式1"/>
    <w:basedOn w:val="21"/>
    <w:qFormat/>
    <w:uiPriority w:val="99"/>
    <w:pPr>
      <w:jc w:val="center"/>
    </w:pPr>
    <w:rPr>
      <w:sz w:val="21"/>
    </w:rPr>
    <w:tblPr>
      <w:jc w:val="center"/>
      <w:tblBorders>
        <w:top w:val="thinThickSmallGap" w:color="auto" w:sz="12" w:space="0"/>
        <w:bottom w:val="thickThinSmallGap" w:color="auto" w:sz="12" w:space="0"/>
        <w:insideH w:val="single" w:color="auto" w:sz="4" w:space="0"/>
        <w:insideV w:val="single" w:color="auto" w:sz="4" w:space="0"/>
      </w:tblBorders>
    </w:tblPr>
    <w:trPr>
      <w:jc w:val="center"/>
    </w:trPr>
    <w:tcPr>
      <w:vAlign w:val="center"/>
    </w:tcPr>
    <w:tblStylePr w:type="firstRow">
      <w:rPr>
        <w:b/>
      </w:rPr>
    </w:tblStylePr>
  </w:style>
  <w:style w:type="paragraph" w:customStyle="1" w:styleId="71">
    <w:name w:val="正文标准样式"/>
    <w:basedOn w:val="1"/>
    <w:qFormat/>
    <w:uiPriority w:val="0"/>
    <w:pPr>
      <w:adjustRightInd w:val="0"/>
      <w:spacing w:line="300" w:lineRule="auto"/>
      <w:ind w:firstLine="482"/>
      <w:textAlignment w:val="baseline"/>
    </w:pPr>
    <w:rPr>
      <w:kern w:val="0"/>
    </w:rPr>
  </w:style>
  <w:style w:type="paragraph" w:customStyle="1" w:styleId="72">
    <w:name w:val="图标YYH"/>
    <w:basedOn w:val="1"/>
    <w:qFormat/>
    <w:uiPriority w:val="0"/>
    <w:pPr>
      <w:jc w:val="center"/>
    </w:pPr>
    <w:rPr>
      <w:b/>
    </w:rPr>
  </w:style>
  <w:style w:type="paragraph" w:customStyle="1" w:styleId="73">
    <w:name w:val="Table Text"/>
    <w:basedOn w:val="1"/>
    <w:semiHidden/>
    <w:qFormat/>
    <w:uiPriority w:val="0"/>
    <w:rPr>
      <w:rFonts w:ascii="宋体" w:hAnsi="宋体" w:cs="宋体"/>
      <w:lang w:eastAsia="en-US"/>
    </w:rPr>
  </w:style>
  <w:style w:type="paragraph" w:customStyle="1" w:styleId="74">
    <w:name w:val="表格标题"/>
    <w:basedOn w:val="1"/>
    <w:qFormat/>
    <w:uiPriority w:val="0"/>
    <w:pPr>
      <w:jc w:val="center"/>
    </w:pPr>
    <w:rPr>
      <w:rFonts w:eastAsia="黑体"/>
      <w:bCs/>
      <w:szCs w:val="21"/>
    </w:rPr>
  </w:style>
  <w:style w:type="character" w:customStyle="1" w:styleId="75">
    <w:name w:val="新表格标题 Char"/>
    <w:link w:val="76"/>
    <w:qFormat/>
    <w:uiPriority w:val="0"/>
    <w:rPr>
      <w:b/>
    </w:rPr>
  </w:style>
  <w:style w:type="paragraph" w:customStyle="1" w:styleId="76">
    <w:name w:val="新表格标题"/>
    <w:basedOn w:val="5"/>
    <w:link w:val="75"/>
    <w:qFormat/>
    <w:uiPriority w:val="0"/>
    <w:pPr>
      <w:tabs>
        <w:tab w:val="left" w:pos="5837"/>
      </w:tabs>
      <w:spacing w:beforeLines="50" w:afterLines="50" w:line="360" w:lineRule="auto"/>
      <w:ind w:firstLine="0" w:firstLineChars="0"/>
      <w:jc w:val="center"/>
    </w:pPr>
    <w:rPr>
      <w:b/>
    </w:rPr>
  </w:style>
  <w:style w:type="character" w:customStyle="1" w:styleId="77">
    <w:name w:val="font121"/>
    <w:basedOn w:val="23"/>
    <w:qFormat/>
    <w:uiPriority w:val="0"/>
    <w:rPr>
      <w:rFonts w:hint="default" w:ascii="Times New Roman" w:hAnsi="Times New Roman" w:cs="Times New Roman"/>
      <w:color w:val="000000"/>
      <w:sz w:val="20"/>
      <w:szCs w:val="20"/>
      <w:u w:val="none"/>
      <w:vertAlign w:val="superscript"/>
    </w:rPr>
  </w:style>
  <w:style w:type="character" w:customStyle="1" w:styleId="78">
    <w:name w:val="font51"/>
    <w:basedOn w:val="23"/>
    <w:qFormat/>
    <w:uiPriority w:val="0"/>
    <w:rPr>
      <w:rFonts w:hint="default" w:ascii="Times New Roman" w:hAnsi="Times New Roman" w:cs="Times New Roman"/>
      <w:color w:val="000000"/>
      <w:sz w:val="18"/>
      <w:szCs w:val="18"/>
      <w:u w:val="none"/>
    </w:rPr>
  </w:style>
  <w:style w:type="character" w:customStyle="1" w:styleId="79">
    <w:name w:val="font131"/>
    <w:basedOn w:val="23"/>
    <w:qFormat/>
    <w:uiPriority w:val="0"/>
    <w:rPr>
      <w:rFonts w:ascii="Arial" w:hAnsi="Arial" w:cs="Arial"/>
      <w:color w:val="000000"/>
      <w:sz w:val="18"/>
      <w:szCs w:val="18"/>
      <w:u w:val="none"/>
    </w:rPr>
  </w:style>
  <w:style w:type="character" w:customStyle="1" w:styleId="80">
    <w:name w:val="font141"/>
    <w:basedOn w:val="23"/>
    <w:qFormat/>
    <w:uiPriority w:val="0"/>
    <w:rPr>
      <w:rFonts w:hint="default" w:ascii="Times New Roman" w:hAnsi="Times New Roman" w:cs="Times New Roman"/>
      <w:color w:val="000000"/>
      <w:sz w:val="18"/>
      <w:szCs w:val="18"/>
      <w:u w:val="none"/>
      <w:vertAlign w:val="superscript"/>
    </w:rPr>
  </w:style>
  <w:style w:type="character" w:customStyle="1" w:styleId="81">
    <w:name w:val="font151"/>
    <w:basedOn w:val="23"/>
    <w:qFormat/>
    <w:uiPriority w:val="0"/>
    <w:rPr>
      <w:rFonts w:hint="default" w:ascii="Times New Roman" w:hAnsi="Times New Roman" w:cs="Times New Roman"/>
      <w:color w:val="000000"/>
      <w:sz w:val="14"/>
      <w:szCs w:val="14"/>
      <w:u w:val="none"/>
    </w:rPr>
  </w:style>
  <w:style w:type="character" w:customStyle="1" w:styleId="82">
    <w:name w:val="font161"/>
    <w:basedOn w:val="23"/>
    <w:qFormat/>
    <w:uiPriority w:val="0"/>
    <w:rPr>
      <w:rFonts w:hint="default" w:ascii="Times New Roman" w:hAnsi="Times New Roman" w:cs="Times New Roman"/>
      <w:color w:val="000000"/>
      <w:sz w:val="21"/>
      <w:szCs w:val="21"/>
      <w:u w:val="none"/>
      <w:vertAlign w:val="superscript"/>
    </w:rPr>
  </w:style>
</w:styles>
</file>

<file path=word/_rels/document.xml.rels><?xml version="1.0" encoding="UTF-8" standalone="yes"?>
<Relationships xmlns="http://schemas.openxmlformats.org/package/2006/relationships"><Relationship Id="rId91" Type="http://schemas.microsoft.com/office/2011/relationships/people" Target="people.xml"/><Relationship Id="rId90" Type="http://schemas.openxmlformats.org/officeDocument/2006/relationships/fontTable" Target="fontTable.xml"/><Relationship Id="rId9" Type="http://schemas.openxmlformats.org/officeDocument/2006/relationships/footer" Target="footer2.xml"/><Relationship Id="rId89" Type="http://schemas.openxmlformats.org/officeDocument/2006/relationships/numbering" Target="numbering.xml"/><Relationship Id="rId88" Type="http://schemas.openxmlformats.org/officeDocument/2006/relationships/customXml" Target="../customXml/item1.xml"/><Relationship Id="rId87" Type="http://schemas.openxmlformats.org/officeDocument/2006/relationships/image" Target="media/image72.png"/><Relationship Id="rId86" Type="http://schemas.openxmlformats.org/officeDocument/2006/relationships/image" Target="media/image71.png"/><Relationship Id="rId85" Type="http://schemas.openxmlformats.org/officeDocument/2006/relationships/image" Target="media/image70.png"/><Relationship Id="rId84" Type="http://schemas.openxmlformats.org/officeDocument/2006/relationships/image" Target="media/image69.png"/><Relationship Id="rId83" Type="http://schemas.openxmlformats.org/officeDocument/2006/relationships/image" Target="media/image68.png"/><Relationship Id="rId82" Type="http://schemas.openxmlformats.org/officeDocument/2006/relationships/image" Target="media/image67.png"/><Relationship Id="rId81" Type="http://schemas.openxmlformats.org/officeDocument/2006/relationships/image" Target="media/image66.png"/><Relationship Id="rId80" Type="http://schemas.openxmlformats.org/officeDocument/2006/relationships/image" Target="media/image65.png"/><Relationship Id="rId8" Type="http://schemas.openxmlformats.org/officeDocument/2006/relationships/footer" Target="footer1.xml"/><Relationship Id="rId79" Type="http://schemas.openxmlformats.org/officeDocument/2006/relationships/image" Target="media/image64.png"/><Relationship Id="rId78" Type="http://schemas.openxmlformats.org/officeDocument/2006/relationships/image" Target="media/image63.png"/><Relationship Id="rId77" Type="http://schemas.openxmlformats.org/officeDocument/2006/relationships/image" Target="media/image62.png"/><Relationship Id="rId76" Type="http://schemas.openxmlformats.org/officeDocument/2006/relationships/image" Target="media/image61.png"/><Relationship Id="rId75" Type="http://schemas.openxmlformats.org/officeDocument/2006/relationships/image" Target="media/image60.png"/><Relationship Id="rId74" Type="http://schemas.openxmlformats.org/officeDocument/2006/relationships/image" Target="media/image59.jpeg"/><Relationship Id="rId73" Type="http://schemas.openxmlformats.org/officeDocument/2006/relationships/image" Target="media/image58.jpeg"/><Relationship Id="rId72" Type="http://schemas.openxmlformats.org/officeDocument/2006/relationships/image" Target="media/image57.jpeg"/><Relationship Id="rId71" Type="http://schemas.openxmlformats.org/officeDocument/2006/relationships/image" Target="media/image56.jpeg"/><Relationship Id="rId70" Type="http://schemas.openxmlformats.org/officeDocument/2006/relationships/image" Target="media/image55.jpeg"/><Relationship Id="rId7" Type="http://schemas.openxmlformats.org/officeDocument/2006/relationships/header" Target="header1.xml"/><Relationship Id="rId69" Type="http://schemas.openxmlformats.org/officeDocument/2006/relationships/image" Target="media/image54.jpeg"/><Relationship Id="rId68" Type="http://schemas.openxmlformats.org/officeDocument/2006/relationships/image" Target="media/image53.jpeg"/><Relationship Id="rId67" Type="http://schemas.openxmlformats.org/officeDocument/2006/relationships/image" Target="media/image52.jpeg"/><Relationship Id="rId66" Type="http://schemas.openxmlformats.org/officeDocument/2006/relationships/image" Target="media/image51.jpeg"/><Relationship Id="rId65" Type="http://schemas.openxmlformats.org/officeDocument/2006/relationships/image" Target="media/image50.jpeg"/><Relationship Id="rId64" Type="http://schemas.openxmlformats.org/officeDocument/2006/relationships/image" Target="media/image49.jpeg"/><Relationship Id="rId63" Type="http://schemas.openxmlformats.org/officeDocument/2006/relationships/image" Target="media/image48.png"/><Relationship Id="rId62" Type="http://schemas.openxmlformats.org/officeDocument/2006/relationships/image" Target="media/image47.png"/><Relationship Id="rId61" Type="http://schemas.openxmlformats.org/officeDocument/2006/relationships/image" Target="media/image46.png"/><Relationship Id="rId60" Type="http://schemas.openxmlformats.org/officeDocument/2006/relationships/image" Target="media/image45.png"/><Relationship Id="rId6" Type="http://schemas.openxmlformats.org/officeDocument/2006/relationships/endnotes" Target="endnotes.xml"/><Relationship Id="rId59" Type="http://schemas.openxmlformats.org/officeDocument/2006/relationships/image" Target="media/image44.png"/><Relationship Id="rId58" Type="http://schemas.openxmlformats.org/officeDocument/2006/relationships/image" Target="media/image43.png"/><Relationship Id="rId57" Type="http://schemas.openxmlformats.org/officeDocument/2006/relationships/image" Target="media/image42.png"/><Relationship Id="rId56" Type="http://schemas.openxmlformats.org/officeDocument/2006/relationships/image" Target="media/image41.png"/><Relationship Id="rId55" Type="http://schemas.openxmlformats.org/officeDocument/2006/relationships/image" Target="media/image40.png"/><Relationship Id="rId54" Type="http://schemas.openxmlformats.org/officeDocument/2006/relationships/image" Target="media/image39.jpeg"/><Relationship Id="rId53" Type="http://schemas.openxmlformats.org/officeDocument/2006/relationships/image" Target="media/image38.png"/><Relationship Id="rId52" Type="http://schemas.openxmlformats.org/officeDocument/2006/relationships/image" Target="media/image37.png"/><Relationship Id="rId51" Type="http://schemas.openxmlformats.org/officeDocument/2006/relationships/image" Target="media/image36.png"/><Relationship Id="rId50" Type="http://schemas.openxmlformats.org/officeDocument/2006/relationships/image" Target="media/image35.png"/><Relationship Id="rId5" Type="http://schemas.openxmlformats.org/officeDocument/2006/relationships/footnotes" Target="footnotes.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jpeg"/><Relationship Id="rId46" Type="http://schemas.openxmlformats.org/officeDocument/2006/relationships/image" Target="media/image31.jpeg"/><Relationship Id="rId45" Type="http://schemas.openxmlformats.org/officeDocument/2006/relationships/image" Target="media/image30.jpeg"/><Relationship Id="rId44" Type="http://schemas.openxmlformats.org/officeDocument/2006/relationships/image" Target="media/image29.jpeg"/><Relationship Id="rId43" Type="http://schemas.openxmlformats.org/officeDocument/2006/relationships/image" Target="media/image28.jpeg"/><Relationship Id="rId42" Type="http://schemas.openxmlformats.org/officeDocument/2006/relationships/image" Target="media/image27.png"/><Relationship Id="rId41" Type="http://schemas.openxmlformats.org/officeDocument/2006/relationships/image" Target="media/image26.jpeg"/><Relationship Id="rId40" Type="http://schemas.openxmlformats.org/officeDocument/2006/relationships/image" Target="media/image25.jpeg"/><Relationship Id="rId4" Type="http://schemas.microsoft.com/office/2011/relationships/commentsExtended" Target="commentsExtended.xml"/><Relationship Id="rId39" Type="http://schemas.openxmlformats.org/officeDocument/2006/relationships/image" Target="media/image24.jpe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comments" Target="comments.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emf"/><Relationship Id="rId22" Type="http://schemas.openxmlformats.org/officeDocument/2006/relationships/oleObject" Target="embeddings/oleObject1.bin"/><Relationship Id="rId21" Type="http://schemas.openxmlformats.org/officeDocument/2006/relationships/image" Target="media/image7.emf"/><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footer" Target="footer3.xml"/><Relationship Id="rId10" Type="http://schemas.openxmlformats.org/officeDocument/2006/relationships/header" Target="header2.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home/greatwall/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extobjs>
    <extobj name="ECB019B1-382A-4266-B25C-5B523AA43C14-1">
      <extobjdata type="ECB019B1-382A-4266-B25C-5B523AA43C14" data="ewoJIkZpbGVJZCIgOiAiNDcyNDI3NzM3MDMwIiwKCSJHcm91cElkIiA6ICIxOTY1NTU4NTUiLAoJIkltYWdlIiA6ICJpVkJPUncwS0dnb0FBQUFOU1VoRVVnQUFCSDRBQUFLdENBWUFBQUJSejZtaUFBQUFBWE5TUjBJQXJzNGM2UUFBSUFCSlJFRlVlSnpzM1hsNFZkWFovdkg3MlNjaFlaNUhRYWxGeFpRaDUwU3IxcUhVV2djSXdWcjF0YmEyMWRaNWFCM3E3TStoYUxXdEE2L1dhbXVkWHEwS3JUSWpPTlNpdFU3SlNjQlNxU2lJa1lSQkNIT0djL2J6K3lPRElRT0VJV1R3KzdrdXJweXoxdHByUHhzNVhKNmJ2ZGFX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2JKL3dOdEI3MFFVVGdJWmdBQUFBQkpSVTVFcmtKZ2dnPT0iLAoJIlRoZW1lIiA6ICIiLAoJIlR5cGUiIDogImZsb3ciLAoJIlVzZXJJZCIgOiAiMjc1NjE3MTcwIiwKCSJWZXJzaW9uIiA6ICI3MyIKfQo="/>
    </extobj>
    <extobj name="ECB019B1-382A-4266-B25C-5B523AA43C14-2">
      <extobjdata type="ECB019B1-382A-4266-B25C-5B523AA43C14" data="ewoJIkZpbGVJZCIgOiAiNDY1OTQ1MDI0NDc1IiwKCSJHcm91cElkIiA6ICIxOTY1NTU4NTUiLAoJIkltYWdlIiA6ICJpVkJPUncwS0dnb0FBQUFOU1VoRVVnQUFBK29BQUFDY0NBWUFBQURvRFZHVEFBQUFBWE5TUjBJQXJzNGM2UUFBSUFCSlJFRlVlSnpzM1hsY1ZOWDdCL0RQdVRPTWJLS29tQkM0aFlvb01IZlFJcGMwTFpjRUs4TTFkeTNNTW5OZit1VytLNlltdVdTYWl1YStscnU1NEs3TURLS29ZVWFCUzRxQWdNb3lNK2YzQnpQem5ZRVpHQlFVOVhtL1hyeUVlOC9kUnU3bFBtZDVEa0F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TRCSC9BUXNmMTlLYm5ESkRBQUFBQUVsRlRrU3VRbUNDIiwKCSJUaGVtZSIgOiAiIiwKCSJUeXBlIiA6ICJmbG93IiwKCSJVc2VySWQiIDogIjI3NTYxNzE3MCIsCgkiVmVyc2lvbiIgOiAiNDI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127</Pages>
  <Words>52682</Words>
  <Characters>58927</Characters>
  <Lines>446</Lines>
  <Paragraphs>125</Paragraphs>
  <TotalTime>0</TotalTime>
  <ScaleCrop>false</ScaleCrop>
  <LinksUpToDate>false</LinksUpToDate>
  <CharactersWithSpaces>58946</CharactersWithSpaces>
  <Application>WPS Office_11.8.2.10386_F1E327BC-269C-435d-A152-05C5408002CA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2020-12-24T09:29:00Z</dcterms:created>
  <dc:creator>lhj</dc:creator>
  <cp:lastModifiedBy>greatwall</cp:lastModifiedBy>
  <cp:lastPrinted>2025-12-04T14:07:00Z</cp:lastPrinted>
  <dcterms:modified xsi:type="dcterms:W3CDTF">2025-12-24T17:34:35Z</dcterms:modified>
  <dc:title>附件2</dc:title>
  <cp:revision>38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2052-11.8.2.10386</vt:lpwstr>
  </property>
  <property fmtid="{D5CDD505-2E9C-101B-9397-08002B2CF9AE}" pid="3" name="ICV">
    <vt:lpwstr>BD1B15FF79B84F36AAA3CFD7589940AA_13</vt:lpwstr>
  </property>
  <property fmtid="{D5CDD505-2E9C-101B-9397-08002B2CF9AE}" pid="4" name="KSOTemplateDocerSaveRecord">
    <vt:lpwstr>eyJoZGlkIjoiMzQyZWY4NzczNWEzNjAxOTdkOWVjYTQ2MWQ0OTUwZDMiLCJ1c2VySWQiOiIyNzU2MTcxNzAifQ==</vt:lpwstr>
  </property>
</Properties>
</file>