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A7996B">
      <w:pPr>
        <w:ind w:firstLine="0" w:firstLineChars="0"/>
        <w:jc w:val="center"/>
        <w:rPr>
          <w:rFonts w:hint="default" w:ascii="Times New Roman" w:hAnsi="Times New Roman" w:eastAsia="宋体" w:cs="Times New Roman"/>
          <w:color w:val="auto"/>
          <w:sz w:val="40"/>
          <w:szCs w:val="40"/>
        </w:rPr>
        <w:sectPr>
          <w:headerReference r:id="rId6" w:type="first"/>
          <w:footerReference r:id="rId8" w:type="first"/>
          <w:headerReference r:id="rId5" w:type="default"/>
          <w:footerReference r:id="rId7" w:type="default"/>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26" w:charSpace="0"/>
        </w:sectPr>
      </w:pPr>
      <w:bookmarkStart w:id="0" w:name="_Toc144507124"/>
      <w:r>
        <w:rPr>
          <w:rFonts w:hint="default" w:ascii="Times New Roman" w:hAnsi="Times New Roman" w:eastAsia="宋体" w:cs="Times New Roman"/>
          <w:bCs/>
          <w:color w:val="auto"/>
          <w:sz w:val="72"/>
          <w:szCs w:val="72"/>
          <w:lang w:eastAsia="zh-CN"/>
        </w:rPr>
        <w:drawing>
          <wp:anchor distT="0" distB="0" distL="114300" distR="114300" simplePos="0" relativeHeight="251663360" behindDoc="0" locked="0" layoutInCell="1" allowOverlap="1">
            <wp:simplePos x="0" y="0"/>
            <wp:positionH relativeFrom="column">
              <wp:posOffset>-594995</wp:posOffset>
            </wp:positionH>
            <wp:positionV relativeFrom="paragraph">
              <wp:posOffset>-593090</wp:posOffset>
            </wp:positionV>
            <wp:extent cx="6732905" cy="9260840"/>
            <wp:effectExtent l="0" t="0" r="10795" b="16510"/>
            <wp:wrapNone/>
            <wp:docPr id="5" name="图片 5" descr="d85ece8c8aa32978cfb4c31bd83fd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85ece8c8aa32978cfb4c31bd83fde66"/>
                    <pic:cNvPicPr>
                      <a:picLocks noChangeAspect="1"/>
                    </pic:cNvPicPr>
                  </pic:nvPicPr>
                  <pic:blipFill>
                    <a:blip r:embed="rId12"/>
                    <a:stretch>
                      <a:fillRect/>
                    </a:stretch>
                  </pic:blipFill>
                  <pic:spPr>
                    <a:xfrm>
                      <a:off x="0" y="0"/>
                      <a:ext cx="6732905" cy="9260840"/>
                    </a:xfrm>
                    <a:prstGeom prst="rect">
                      <a:avLst/>
                    </a:prstGeom>
                  </pic:spPr>
                </pic:pic>
              </a:graphicData>
            </a:graphic>
          </wp:anchor>
        </w:drawing>
      </w:r>
    </w:p>
    <w:p w14:paraId="3BD8D6C2">
      <w:pPr>
        <w:ind w:firstLine="0" w:firstLineChars="0"/>
        <w:jc w:val="center"/>
        <w:rPr>
          <w:rFonts w:hint="default" w:ascii="Times New Roman" w:hAnsi="Times New Roman" w:eastAsia="宋体" w:cs="Times New Roman"/>
          <w:color w:val="auto"/>
          <w:sz w:val="40"/>
          <w:szCs w:val="40"/>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26" w:charSpace="0"/>
        </w:sectPr>
      </w:pPr>
      <w:r>
        <w:rPr>
          <w:rFonts w:hint="default" w:ascii="Times New Roman" w:hAnsi="Times New Roman" w:eastAsia="宋体" w:cs="Times New Roman"/>
          <w:color w:val="auto"/>
          <w:sz w:val="40"/>
          <w:szCs w:val="40"/>
          <w:lang w:eastAsia="zh-CN"/>
        </w:rPr>
        <w:drawing>
          <wp:anchor distT="0" distB="0" distL="114300" distR="114300" simplePos="0" relativeHeight="251672576" behindDoc="0" locked="0" layoutInCell="1" allowOverlap="1">
            <wp:simplePos x="0" y="0"/>
            <wp:positionH relativeFrom="column">
              <wp:posOffset>0</wp:posOffset>
            </wp:positionH>
            <wp:positionV relativeFrom="paragraph">
              <wp:posOffset>86360</wp:posOffset>
            </wp:positionV>
            <wp:extent cx="5272405" cy="7475855"/>
            <wp:effectExtent l="0" t="0" r="4445" b="10795"/>
            <wp:wrapNone/>
            <wp:docPr id="1" name="图片 1" descr="d7c61879cce254b5cec13e04628b9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7c61879cce254b5cec13e04628b9dbd"/>
                    <pic:cNvPicPr>
                      <a:picLocks noChangeAspect="1"/>
                    </pic:cNvPicPr>
                  </pic:nvPicPr>
                  <pic:blipFill>
                    <a:blip r:embed="rId13"/>
                    <a:stretch>
                      <a:fillRect/>
                    </a:stretch>
                  </pic:blipFill>
                  <pic:spPr>
                    <a:xfrm>
                      <a:off x="0" y="0"/>
                      <a:ext cx="5272405" cy="7475855"/>
                    </a:xfrm>
                    <a:prstGeom prst="rect">
                      <a:avLst/>
                    </a:prstGeom>
                  </pic:spPr>
                </pic:pic>
              </a:graphicData>
            </a:graphic>
          </wp:anchor>
        </w:drawing>
      </w:r>
    </w:p>
    <w:p w14:paraId="348F5BCE">
      <w:pPr>
        <w:ind w:firstLine="0" w:firstLineChars="0"/>
        <w:jc w:val="center"/>
        <w:rPr>
          <w:rFonts w:hint="default" w:ascii="Times New Roman" w:hAnsi="Times New Roman" w:eastAsia="宋体" w:cs="Times New Roman"/>
          <w:color w:val="auto"/>
          <w:sz w:val="40"/>
          <w:szCs w:val="40"/>
        </w:rPr>
        <w:sectPr>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26" w:charSpace="0"/>
        </w:sectPr>
      </w:pPr>
      <w:r>
        <w:rPr>
          <w:rFonts w:hint="default" w:ascii="Times New Roman" w:hAnsi="Times New Roman" w:eastAsia="宋体" w:cs="Times New Roman"/>
          <w:color w:val="auto"/>
        </w:rPr>
        <w:drawing>
          <wp:inline distT="0" distB="0" distL="114300" distR="114300">
            <wp:extent cx="5275580" cy="7496810"/>
            <wp:effectExtent l="0" t="0" r="1270" b="8890"/>
            <wp:docPr id="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
                    <pic:cNvPicPr>
                      <a:picLocks noChangeAspect="1"/>
                    </pic:cNvPicPr>
                  </pic:nvPicPr>
                  <pic:blipFill>
                    <a:blip r:embed="rId14"/>
                    <a:stretch>
                      <a:fillRect/>
                    </a:stretch>
                  </pic:blipFill>
                  <pic:spPr>
                    <a:xfrm>
                      <a:off x="0" y="0"/>
                      <a:ext cx="5275580" cy="7496810"/>
                    </a:xfrm>
                    <a:prstGeom prst="rect">
                      <a:avLst/>
                    </a:prstGeom>
                    <a:noFill/>
                    <a:ln>
                      <a:noFill/>
                    </a:ln>
                  </pic:spPr>
                </pic:pic>
              </a:graphicData>
            </a:graphic>
          </wp:inline>
        </w:drawing>
      </w:r>
    </w:p>
    <w:p w14:paraId="14D93B9D">
      <w:pPr>
        <w:ind w:firstLine="0" w:firstLineChars="0"/>
        <w:jc w:val="center"/>
        <w:rPr>
          <w:rFonts w:hint="default" w:ascii="Times New Roman" w:hAnsi="Times New Roman" w:eastAsia="宋体" w:cs="Times New Roman"/>
          <w:color w:val="auto"/>
          <w:sz w:val="40"/>
          <w:szCs w:val="40"/>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26" w:charSpace="0"/>
        </w:sectPr>
      </w:pPr>
      <w:r>
        <w:rPr>
          <w:rFonts w:hint="default" w:ascii="Times New Roman" w:hAnsi="Times New Roman" w:eastAsia="宋体" w:cs="Times New Roman"/>
          <w:color w:val="auto"/>
          <w:sz w:val="40"/>
          <w:szCs w:val="40"/>
          <w:lang w:eastAsia="zh-CN"/>
        </w:rPr>
        <w:drawing>
          <wp:anchor distT="0" distB="0" distL="114300" distR="114300" simplePos="0" relativeHeight="251662336" behindDoc="1" locked="0" layoutInCell="1" allowOverlap="1">
            <wp:simplePos x="0" y="0"/>
            <wp:positionH relativeFrom="column">
              <wp:posOffset>-24765</wp:posOffset>
            </wp:positionH>
            <wp:positionV relativeFrom="paragraph">
              <wp:posOffset>151130</wp:posOffset>
            </wp:positionV>
            <wp:extent cx="5267960" cy="7452360"/>
            <wp:effectExtent l="0" t="0" r="8890" b="15240"/>
            <wp:wrapTight wrapText="bothSides">
              <wp:wrapPolygon>
                <wp:start x="0" y="0"/>
                <wp:lineTo x="0" y="21534"/>
                <wp:lineTo x="21558" y="21534"/>
                <wp:lineTo x="21558" y="0"/>
                <wp:lineTo x="0" y="0"/>
              </wp:wrapPolygon>
            </wp:wrapTight>
            <wp:docPr id="6" name="图片 6" descr="编制单位承诺书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编制单位承诺书_01(1)"/>
                    <pic:cNvPicPr>
                      <a:picLocks noChangeAspect="1"/>
                    </pic:cNvPicPr>
                  </pic:nvPicPr>
                  <pic:blipFill>
                    <a:blip r:embed="rId15"/>
                    <a:stretch>
                      <a:fillRect/>
                    </a:stretch>
                  </pic:blipFill>
                  <pic:spPr>
                    <a:xfrm>
                      <a:off x="0" y="0"/>
                      <a:ext cx="5267960" cy="7452360"/>
                    </a:xfrm>
                    <a:prstGeom prst="rect">
                      <a:avLst/>
                    </a:prstGeom>
                  </pic:spPr>
                </pic:pic>
              </a:graphicData>
            </a:graphic>
          </wp:anchor>
        </w:drawing>
      </w:r>
    </w:p>
    <w:p w14:paraId="6BE1F21C">
      <w:pPr>
        <w:ind w:firstLine="0" w:firstLineChars="0"/>
        <w:jc w:val="center"/>
        <w:rPr>
          <w:rFonts w:hint="default" w:ascii="Times New Roman" w:hAnsi="Times New Roman" w:eastAsia="宋体" w:cs="Times New Roman"/>
          <w:color w:val="auto"/>
          <w:sz w:val="40"/>
          <w:szCs w:val="40"/>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26" w:charSpace="0"/>
        </w:sectPr>
      </w:pPr>
      <w:r>
        <w:rPr>
          <w:color w:val="auto"/>
          <w:sz w:val="40"/>
        </w:rPr>
        <mc:AlternateContent>
          <mc:Choice Requires="wps">
            <w:drawing>
              <wp:anchor distT="0" distB="0" distL="114300" distR="114300" simplePos="0" relativeHeight="251673600" behindDoc="0" locked="0" layoutInCell="1" allowOverlap="1">
                <wp:simplePos x="0" y="0"/>
                <wp:positionH relativeFrom="column">
                  <wp:posOffset>2529205</wp:posOffset>
                </wp:positionH>
                <wp:positionV relativeFrom="paragraph">
                  <wp:posOffset>1746885</wp:posOffset>
                </wp:positionV>
                <wp:extent cx="1285875" cy="213995"/>
                <wp:effectExtent l="6350" t="6350" r="22225" b="8255"/>
                <wp:wrapNone/>
                <wp:docPr id="58" name="矩形 58"/>
                <wp:cNvGraphicFramePr/>
                <a:graphic xmlns:a="http://schemas.openxmlformats.org/drawingml/2006/main">
                  <a:graphicData uri="http://schemas.microsoft.com/office/word/2010/wordprocessingShape">
                    <wps:wsp>
                      <wps:cNvSpPr/>
                      <wps:spPr>
                        <a:xfrm>
                          <a:off x="3672205" y="2661285"/>
                          <a:ext cx="1285875" cy="21399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9.15pt;margin-top:137.55pt;height:16.85pt;width:101.25pt;z-index:251673600;v-text-anchor:middle;mso-width-relative:page;mso-height-relative:page;" fillcolor="#FFFFFF [3212]" filled="t" stroked="t" coordsize="21600,21600" o:gfxdata="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2O+tcAAAALAQAADwAAAAAAAAABACAAAAAiAAAA&#10;ZHJzL2Rvd25yZXYueG1sUEsBAhQAFAAAAAgAh07iQGSdMf16AgAAAgUAAA4AAAAAAAAAAQAgAAAA&#10;JgEAAGRycy9lMm9Eb2MueG1sUEsFBgAAAAAGAAYAWQEAABIGA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sz w:val="40"/>
          <w:szCs w:val="40"/>
          <w:lang w:eastAsia="zh-CN"/>
        </w:rPr>
        <w:drawing>
          <wp:anchor distT="0" distB="0" distL="114300" distR="114300" simplePos="0" relativeHeight="251669504" behindDoc="0" locked="0" layoutInCell="1" allowOverlap="1">
            <wp:simplePos x="0" y="0"/>
            <wp:positionH relativeFrom="column">
              <wp:posOffset>0</wp:posOffset>
            </wp:positionH>
            <wp:positionV relativeFrom="paragraph">
              <wp:posOffset>95885</wp:posOffset>
            </wp:positionV>
            <wp:extent cx="5267960" cy="7452360"/>
            <wp:effectExtent l="0" t="0" r="8890" b="15240"/>
            <wp:wrapNone/>
            <wp:docPr id="25" name="图片 25" descr="编制人员承诺书--郝利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编制人员承诺书--郝利斌_01"/>
                    <pic:cNvPicPr>
                      <a:picLocks noChangeAspect="1"/>
                    </pic:cNvPicPr>
                  </pic:nvPicPr>
                  <pic:blipFill>
                    <a:blip r:embed="rId16"/>
                    <a:stretch>
                      <a:fillRect/>
                    </a:stretch>
                  </pic:blipFill>
                  <pic:spPr>
                    <a:xfrm>
                      <a:off x="0" y="0"/>
                      <a:ext cx="5267960" cy="7452360"/>
                    </a:xfrm>
                    <a:prstGeom prst="rect">
                      <a:avLst/>
                    </a:prstGeom>
                  </pic:spPr>
                </pic:pic>
              </a:graphicData>
            </a:graphic>
          </wp:anchor>
        </w:drawing>
      </w:r>
    </w:p>
    <w:p w14:paraId="0820F8D5">
      <w:pPr>
        <w:ind w:firstLine="0" w:firstLineChars="0"/>
        <w:jc w:val="center"/>
        <w:rPr>
          <w:rFonts w:hint="default" w:ascii="Times New Roman" w:hAnsi="Times New Roman" w:eastAsia="宋体" w:cs="Times New Roman"/>
          <w:color w:val="auto"/>
          <w:sz w:val="40"/>
          <w:szCs w:val="40"/>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titlePg/>
          <w:docGrid w:type="lines" w:linePitch="326" w:charSpace="0"/>
        </w:sectPr>
      </w:pPr>
      <w:r>
        <w:rPr>
          <w:color w:val="auto"/>
          <w:sz w:val="40"/>
        </w:rPr>
        <mc:AlternateContent>
          <mc:Choice Requires="wps">
            <w:drawing>
              <wp:anchor distT="0" distB="0" distL="114300" distR="114300" simplePos="0" relativeHeight="251674624" behindDoc="0" locked="0" layoutInCell="1" allowOverlap="1">
                <wp:simplePos x="0" y="0"/>
                <wp:positionH relativeFrom="column">
                  <wp:posOffset>2473325</wp:posOffset>
                </wp:positionH>
                <wp:positionV relativeFrom="paragraph">
                  <wp:posOffset>1722755</wp:posOffset>
                </wp:positionV>
                <wp:extent cx="1285875" cy="213995"/>
                <wp:effectExtent l="6350" t="6350" r="22225" b="8255"/>
                <wp:wrapNone/>
                <wp:docPr id="59" name="矩形 59"/>
                <wp:cNvGraphicFramePr/>
                <a:graphic xmlns:a="http://schemas.openxmlformats.org/drawingml/2006/main">
                  <a:graphicData uri="http://schemas.microsoft.com/office/word/2010/wordprocessingShape">
                    <wps:wsp>
                      <wps:cNvSpPr/>
                      <wps:spPr>
                        <a:xfrm>
                          <a:off x="0" y="0"/>
                          <a:ext cx="1285875" cy="213995"/>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4.75pt;margin-top:135.65pt;height:16.85pt;width:101.25pt;z-index:251674624;v-text-anchor:middle;mso-width-relative:page;mso-height-relative:page;" fillcolor="#FFFFFF [3212]" filled="t" stroked="t" coordsize="21600,21600" o:gfxdata="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oJc2X2AAAAAsBAAAPAAAAAAAAAAEAIAAAACIAAABkcnMvZG93bnJl&#10;di54bWxQSwECFAAUAAAACACHTuJAJam5GG8CAAD2BAAADgAAAAAAAAABACAAAAAnAQAAZHJzL2Uy&#10;b0RvYy54bWxQSwUGAAAAAAYABgBZAQAACAY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sz w:val="40"/>
          <w:szCs w:val="40"/>
          <w:lang w:eastAsia="zh-CN"/>
        </w:rPr>
        <w:drawing>
          <wp:anchor distT="0" distB="0" distL="114300" distR="114300" simplePos="0" relativeHeight="251670528" behindDoc="0" locked="0" layoutInCell="1" allowOverlap="1">
            <wp:simplePos x="0" y="0"/>
            <wp:positionH relativeFrom="column">
              <wp:posOffset>-95250</wp:posOffset>
            </wp:positionH>
            <wp:positionV relativeFrom="paragraph">
              <wp:posOffset>82550</wp:posOffset>
            </wp:positionV>
            <wp:extent cx="5267960" cy="7452360"/>
            <wp:effectExtent l="0" t="0" r="8890" b="15240"/>
            <wp:wrapNone/>
            <wp:docPr id="26" name="图片 26" descr="编制人员承诺书--吴晋芳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编制人员承诺书--吴晋芳_01"/>
                    <pic:cNvPicPr>
                      <a:picLocks noChangeAspect="1"/>
                    </pic:cNvPicPr>
                  </pic:nvPicPr>
                  <pic:blipFill>
                    <a:blip r:embed="rId17"/>
                    <a:stretch>
                      <a:fillRect/>
                    </a:stretch>
                  </pic:blipFill>
                  <pic:spPr>
                    <a:xfrm>
                      <a:off x="0" y="0"/>
                      <a:ext cx="5267960" cy="7452360"/>
                    </a:xfrm>
                    <a:prstGeom prst="rect">
                      <a:avLst/>
                    </a:prstGeom>
                  </pic:spPr>
                </pic:pic>
              </a:graphicData>
            </a:graphic>
          </wp:anchor>
        </w:drawing>
      </w:r>
    </w:p>
    <w:p w14:paraId="515FC01B">
      <w:pPr>
        <w:ind w:firstLine="0" w:firstLineChars="0"/>
        <w:jc w:val="center"/>
        <w:rPr>
          <w:rFonts w:hint="default" w:ascii="Times New Roman" w:hAnsi="Times New Roman" w:eastAsia="宋体" w:cs="Times New Roman"/>
          <w:color w:val="auto"/>
          <w:sz w:val="40"/>
          <w:szCs w:val="40"/>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titlePg/>
          <w:docGrid w:type="lines" w:linePitch="326" w:charSpace="0"/>
        </w:sectPr>
      </w:pPr>
      <w:r>
        <w:rPr>
          <w:rFonts w:hint="default" w:ascii="Times New Roman" w:hAnsi="Times New Roman" w:eastAsia="宋体" w:cs="Times New Roman"/>
          <w:color w:val="auto"/>
          <w:sz w:val="40"/>
          <w:szCs w:val="40"/>
          <w:lang w:eastAsia="zh-CN"/>
        </w:rPr>
        <w:drawing>
          <wp:anchor distT="0" distB="0" distL="114300" distR="114300" simplePos="0" relativeHeight="251671552" behindDoc="0" locked="0" layoutInCell="1" allowOverlap="1">
            <wp:simplePos x="0" y="0"/>
            <wp:positionH relativeFrom="column">
              <wp:posOffset>1442085</wp:posOffset>
            </wp:positionH>
            <wp:positionV relativeFrom="paragraph">
              <wp:posOffset>-2135505</wp:posOffset>
            </wp:positionV>
            <wp:extent cx="6435725" cy="9126855"/>
            <wp:effectExtent l="0" t="0" r="17145" b="3175"/>
            <wp:wrapNone/>
            <wp:docPr id="27" name="图片 27" descr="环森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环森营业执照"/>
                    <pic:cNvPicPr>
                      <a:picLocks noChangeAspect="1"/>
                    </pic:cNvPicPr>
                  </pic:nvPicPr>
                  <pic:blipFill>
                    <a:blip r:embed="rId18"/>
                    <a:stretch>
                      <a:fillRect/>
                    </a:stretch>
                  </pic:blipFill>
                  <pic:spPr>
                    <a:xfrm rot="5400000">
                      <a:off x="0" y="0"/>
                      <a:ext cx="6435725" cy="9126855"/>
                    </a:xfrm>
                    <a:prstGeom prst="rect">
                      <a:avLst/>
                    </a:prstGeom>
                  </pic:spPr>
                </pic:pic>
              </a:graphicData>
            </a:graphic>
          </wp:anchor>
        </w:drawing>
      </w:r>
    </w:p>
    <w:p w14:paraId="531B23DD">
      <w:pPr>
        <w:ind w:firstLine="0" w:firstLineChars="0"/>
        <w:jc w:val="center"/>
        <w:rPr>
          <w:rFonts w:hint="default" w:ascii="Times New Roman" w:hAnsi="Times New Roman" w:eastAsia="宋体" w:cs="Times New Roman"/>
          <w:color w:val="auto"/>
          <w:sz w:val="40"/>
          <w:szCs w:val="40"/>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titlePg/>
          <w:docGrid w:type="lines" w:linePitch="326" w:charSpace="0"/>
        </w:sectPr>
      </w:pPr>
      <w:r>
        <w:rPr>
          <w:color w:val="auto"/>
          <w:sz w:val="40"/>
        </w:rPr>
        <mc:AlternateContent>
          <mc:Choice Requires="wps">
            <w:drawing>
              <wp:anchor distT="0" distB="0" distL="114300" distR="114300" simplePos="0" relativeHeight="251675648" behindDoc="0" locked="0" layoutInCell="1" allowOverlap="1">
                <wp:simplePos x="0" y="0"/>
                <wp:positionH relativeFrom="column">
                  <wp:posOffset>6294120</wp:posOffset>
                </wp:positionH>
                <wp:positionV relativeFrom="paragraph">
                  <wp:posOffset>2613660</wp:posOffset>
                </wp:positionV>
                <wp:extent cx="1773555" cy="248920"/>
                <wp:effectExtent l="6350" t="6350" r="10795" b="11430"/>
                <wp:wrapNone/>
                <wp:docPr id="62" name="矩形 62"/>
                <wp:cNvGraphicFramePr/>
                <a:graphic xmlns:a="http://schemas.openxmlformats.org/drawingml/2006/main">
                  <a:graphicData uri="http://schemas.microsoft.com/office/word/2010/wordprocessingShape">
                    <wps:wsp>
                      <wps:cNvSpPr/>
                      <wps:spPr>
                        <a:xfrm>
                          <a:off x="0" y="0"/>
                          <a:ext cx="1773555" cy="24892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5.6pt;margin-top:205.8pt;height:19.6pt;width:139.65pt;z-index:251675648;v-text-anchor:middle;mso-width-relative:page;mso-height-relative:page;" fillcolor="#FFFFFF [3212]" filled="t" stroked="t" coordsize="21600,21600" o:gfxdata="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HH93ZLZAAAADAEAAA8AAAAAAAAAAQAgAAAAIgAAAGRycy9k&#10;b3ducmV2LnhtbFBLAQIUABQAAAAIAIdO4kD8C0hvcwIAAPYEAAAOAAAAAAAAAAEAIAAAACgBAABk&#10;cnMvZTJvRG9jLnhtbFBLBQYAAAAABgAGAFkBAAANBgAAAAA=&#10;">
                <v:fill on="t" focussize="0,0"/>
                <v:stroke weight="1pt" color="#000000 [3213]" miterlimit="8" joinstyle="miter"/>
                <v:imagedata o:title=""/>
                <o:lock v:ext="edit" aspectratio="f"/>
              </v:rect>
            </w:pict>
          </mc:Fallback>
        </mc:AlternateContent>
      </w:r>
      <w:r>
        <w:rPr>
          <w:color w:val="auto"/>
        </w:rPr>
        <w:drawing>
          <wp:anchor distT="0" distB="0" distL="114300" distR="114300" simplePos="0" relativeHeight="251671552" behindDoc="0" locked="0" layoutInCell="1" allowOverlap="1">
            <wp:simplePos x="0" y="0"/>
            <wp:positionH relativeFrom="column">
              <wp:posOffset>-652780</wp:posOffset>
            </wp:positionH>
            <wp:positionV relativeFrom="paragraph">
              <wp:posOffset>-939165</wp:posOffset>
            </wp:positionV>
            <wp:extent cx="10172700" cy="7229475"/>
            <wp:effectExtent l="0" t="0" r="0" b="9525"/>
            <wp:wrapNone/>
            <wp:docPr id="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4"/>
                    <pic:cNvPicPr>
                      <a:picLocks noChangeAspect="1"/>
                    </pic:cNvPicPr>
                  </pic:nvPicPr>
                  <pic:blipFill>
                    <a:blip r:embed="rId19"/>
                    <a:stretch>
                      <a:fillRect/>
                    </a:stretch>
                  </pic:blipFill>
                  <pic:spPr>
                    <a:xfrm>
                      <a:off x="0" y="0"/>
                      <a:ext cx="10172700" cy="7229475"/>
                    </a:xfrm>
                    <a:prstGeom prst="rect">
                      <a:avLst/>
                    </a:prstGeom>
                    <a:noFill/>
                    <a:ln>
                      <a:noFill/>
                    </a:ln>
                  </pic:spPr>
                </pic:pic>
              </a:graphicData>
            </a:graphic>
          </wp:anchor>
        </w:drawing>
      </w:r>
    </w:p>
    <w:bookmarkEnd w:id="0"/>
    <w:p w14:paraId="2824FF6D">
      <w:pPr>
        <w:pStyle w:val="2"/>
        <w:ind w:firstLine="161" w:firstLineChars="50"/>
        <w:jc w:val="center"/>
        <w:rPr>
          <w:rFonts w:hint="default" w:ascii="Times New Roman" w:hAnsi="Times New Roman" w:eastAsia="宋体" w:cs="Times New Roman"/>
          <w:color w:val="auto"/>
        </w:rPr>
      </w:pPr>
      <w:bookmarkStart w:id="1" w:name="_Toc144507125"/>
      <w:r>
        <w:rPr>
          <w:rFonts w:hint="default" w:ascii="Times New Roman" w:hAnsi="Times New Roman" w:eastAsia="宋体" w:cs="Times New Roman"/>
          <w:color w:val="auto"/>
        </w:rPr>
        <w:t>一、建设项目基本情况</w:t>
      </w:r>
      <w:bookmarkEnd w:id="1"/>
    </w:p>
    <w:tbl>
      <w:tblPr>
        <w:tblStyle w:val="25"/>
        <w:tblW w:w="91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213"/>
        <w:gridCol w:w="2123"/>
        <w:gridCol w:w="1645"/>
        <w:gridCol w:w="4197"/>
      </w:tblGrid>
      <w:tr w14:paraId="13C1A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36" w:hRule="atLeast"/>
          <w:jc w:val="center"/>
        </w:trPr>
        <w:tc>
          <w:tcPr>
            <w:tcW w:w="1213" w:type="dxa"/>
            <w:tcMar>
              <w:top w:w="16" w:type="dxa"/>
              <w:left w:w="16" w:type="dxa"/>
              <w:right w:w="16" w:type="dxa"/>
            </w:tcMar>
            <w:vAlign w:val="center"/>
          </w:tcPr>
          <w:p w14:paraId="4CB8FD27">
            <w:pPr>
              <w:spacing w:line="240" w:lineRule="auto"/>
              <w:ind w:firstLine="0" w:firstLineChars="0"/>
              <w:jc w:val="center"/>
              <w:rPr>
                <w:rFonts w:hint="default" w:ascii="Times New Roman" w:hAnsi="Times New Roman" w:eastAsia="宋体" w:cs="Times New Roman"/>
                <w:b/>
                <w:bCs/>
                <w:color w:val="auto"/>
              </w:rPr>
            </w:pPr>
            <w:r>
              <w:rPr>
                <w:rFonts w:hint="default" w:ascii="Times New Roman" w:hAnsi="Times New Roman" w:eastAsia="宋体" w:cs="Times New Roman"/>
                <w:color w:val="auto"/>
              </w:rPr>
              <w:t>建设项目名称</w:t>
            </w:r>
          </w:p>
        </w:tc>
        <w:tc>
          <w:tcPr>
            <w:tcW w:w="7965" w:type="dxa"/>
            <w:gridSpan w:val="3"/>
            <w:vAlign w:val="center"/>
          </w:tcPr>
          <w:p w14:paraId="07F67505">
            <w:pPr>
              <w:ind w:firstLine="480"/>
              <w:jc w:val="center"/>
              <w:outlineLvl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白家海子煤矿矸石覆岩离层注浆充填项目</w:t>
            </w:r>
          </w:p>
        </w:tc>
      </w:tr>
      <w:tr w14:paraId="4342AD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1213" w:type="dxa"/>
            <w:tcMar>
              <w:top w:w="16" w:type="dxa"/>
              <w:left w:w="16" w:type="dxa"/>
              <w:right w:w="16" w:type="dxa"/>
            </w:tcMar>
            <w:vAlign w:val="center"/>
          </w:tcPr>
          <w:p w14:paraId="225BE0AC">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项目代码</w:t>
            </w:r>
          </w:p>
        </w:tc>
        <w:tc>
          <w:tcPr>
            <w:tcW w:w="7965" w:type="dxa"/>
            <w:gridSpan w:val="3"/>
            <w:vAlign w:val="center"/>
          </w:tcPr>
          <w:p w14:paraId="6515A0ED">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2508-150626-60-01-786962</w:t>
            </w:r>
          </w:p>
        </w:tc>
      </w:tr>
      <w:tr w14:paraId="437AC4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52" w:hRule="atLeast"/>
          <w:jc w:val="center"/>
        </w:trPr>
        <w:tc>
          <w:tcPr>
            <w:tcW w:w="1213" w:type="dxa"/>
            <w:tcMar>
              <w:top w:w="16" w:type="dxa"/>
              <w:left w:w="16" w:type="dxa"/>
              <w:right w:w="16" w:type="dxa"/>
            </w:tcMar>
            <w:vAlign w:val="center"/>
          </w:tcPr>
          <w:p w14:paraId="68C2BADB">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建设单位联系人</w:t>
            </w:r>
          </w:p>
        </w:tc>
        <w:tc>
          <w:tcPr>
            <w:tcW w:w="2123" w:type="dxa"/>
            <w:vAlign w:val="center"/>
          </w:tcPr>
          <w:p w14:paraId="6BAF425C">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乔平</w:t>
            </w:r>
          </w:p>
        </w:tc>
        <w:tc>
          <w:tcPr>
            <w:tcW w:w="1645" w:type="dxa"/>
            <w:vAlign w:val="center"/>
          </w:tcPr>
          <w:p w14:paraId="45070A34">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联系方式</w:t>
            </w:r>
          </w:p>
        </w:tc>
        <w:tc>
          <w:tcPr>
            <w:tcW w:w="4197" w:type="dxa"/>
            <w:vAlign w:val="center"/>
          </w:tcPr>
          <w:p w14:paraId="2BF94E5B">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15804840790</w:t>
            </w:r>
          </w:p>
        </w:tc>
      </w:tr>
      <w:tr w14:paraId="3D6F57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7" w:hRule="atLeast"/>
          <w:jc w:val="center"/>
        </w:trPr>
        <w:tc>
          <w:tcPr>
            <w:tcW w:w="1213" w:type="dxa"/>
            <w:tcMar>
              <w:top w:w="16" w:type="dxa"/>
              <w:left w:w="16" w:type="dxa"/>
              <w:right w:w="16" w:type="dxa"/>
            </w:tcMar>
            <w:vAlign w:val="center"/>
          </w:tcPr>
          <w:p w14:paraId="7F01F04E">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建设地点</w:t>
            </w:r>
          </w:p>
        </w:tc>
        <w:tc>
          <w:tcPr>
            <w:tcW w:w="7965" w:type="dxa"/>
            <w:gridSpan w:val="3"/>
            <w:vAlign w:val="center"/>
          </w:tcPr>
          <w:p w14:paraId="54859499">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内蒙古自治区鄂尔多斯市乌审旗嘎鲁图镇神水台村内蒙古鄂尔多斯联海煤业有限公司白家海子煤矿井田范围内（注浆站位于矿井工业场地南侧）</w:t>
            </w:r>
          </w:p>
        </w:tc>
      </w:tr>
      <w:tr w14:paraId="3D5D29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1213" w:type="dxa"/>
            <w:tcMar>
              <w:top w:w="16" w:type="dxa"/>
              <w:left w:w="16" w:type="dxa"/>
              <w:right w:w="16" w:type="dxa"/>
            </w:tcMar>
            <w:vAlign w:val="center"/>
          </w:tcPr>
          <w:p w14:paraId="1DB45F0F">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地理坐标</w:t>
            </w:r>
          </w:p>
        </w:tc>
        <w:tc>
          <w:tcPr>
            <w:tcW w:w="7965" w:type="dxa"/>
            <w:gridSpan w:val="3"/>
            <w:vAlign w:val="center"/>
          </w:tcPr>
          <w:p w14:paraId="1C7834F6">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注浆站中心坐标（</w:t>
            </w:r>
            <w:r>
              <w:rPr>
                <w:rFonts w:hint="default" w:ascii="Times New Roman" w:hAnsi="Times New Roman" w:eastAsia="宋体" w:cs="Times New Roman"/>
                <w:color w:val="auto"/>
                <w:lang w:val="en-US" w:eastAsia="zh-CN"/>
              </w:rPr>
              <w:t>N：38</w:t>
            </w:r>
            <w:r>
              <w:rPr>
                <w:rFonts w:hint="default" w:ascii="Times New Roman" w:hAnsi="Times New Roman" w:eastAsia="宋体" w:cs="Times New Roman"/>
                <w:color w:val="auto"/>
              </w:rPr>
              <w:t>度</w:t>
            </w:r>
            <w:r>
              <w:rPr>
                <w:rFonts w:hint="default" w:ascii="Times New Roman" w:hAnsi="Times New Roman" w:eastAsia="宋体" w:cs="Times New Roman"/>
                <w:color w:val="auto"/>
                <w:lang w:val="en-US" w:eastAsia="zh-CN"/>
              </w:rPr>
              <w:t>21</w:t>
            </w:r>
            <w:r>
              <w:rPr>
                <w:rFonts w:hint="default" w:ascii="Times New Roman" w:hAnsi="Times New Roman" w:eastAsia="宋体" w:cs="Times New Roman"/>
                <w:color w:val="auto"/>
              </w:rPr>
              <w:t>分</w:t>
            </w:r>
            <w:r>
              <w:rPr>
                <w:rFonts w:hint="default" w:ascii="Times New Roman" w:hAnsi="Times New Roman" w:eastAsia="宋体" w:cs="Times New Roman"/>
                <w:color w:val="auto"/>
                <w:lang w:val="en-US" w:eastAsia="zh-CN"/>
              </w:rPr>
              <w:t>43.936</w:t>
            </w:r>
            <w:r>
              <w:rPr>
                <w:rFonts w:hint="default" w:ascii="Times New Roman" w:hAnsi="Times New Roman" w:eastAsia="宋体" w:cs="Times New Roman"/>
                <w:color w:val="auto"/>
              </w:rPr>
              <w:t>秒，E：</w:t>
            </w:r>
            <w:r>
              <w:rPr>
                <w:rFonts w:hint="default" w:ascii="Times New Roman" w:hAnsi="Times New Roman" w:eastAsia="宋体" w:cs="Times New Roman"/>
                <w:color w:val="auto"/>
                <w:lang w:val="en-US" w:eastAsia="zh-CN"/>
              </w:rPr>
              <w:t>108</w:t>
            </w:r>
            <w:r>
              <w:rPr>
                <w:rFonts w:hint="default" w:ascii="Times New Roman" w:hAnsi="Times New Roman" w:eastAsia="宋体" w:cs="Times New Roman"/>
                <w:color w:val="auto"/>
              </w:rPr>
              <w:t>度</w:t>
            </w:r>
            <w:r>
              <w:rPr>
                <w:rFonts w:hint="default" w:ascii="Times New Roman" w:hAnsi="Times New Roman" w:eastAsia="宋体" w:cs="Times New Roman"/>
                <w:color w:val="auto"/>
                <w:lang w:val="en-US" w:eastAsia="zh-CN"/>
              </w:rPr>
              <w:t>56</w:t>
            </w:r>
            <w:r>
              <w:rPr>
                <w:rFonts w:hint="default" w:ascii="Times New Roman" w:hAnsi="Times New Roman" w:eastAsia="宋体" w:cs="Times New Roman"/>
                <w:color w:val="auto"/>
              </w:rPr>
              <w:t>分</w:t>
            </w:r>
            <w:r>
              <w:rPr>
                <w:rFonts w:hint="default" w:ascii="Times New Roman" w:hAnsi="Times New Roman" w:eastAsia="宋体" w:cs="Times New Roman"/>
                <w:color w:val="auto"/>
                <w:sz w:val="24"/>
                <w:lang w:val="en-US" w:eastAsia="zh-CN"/>
              </w:rPr>
              <w:t>33.374</w:t>
            </w:r>
            <w:r>
              <w:rPr>
                <w:rFonts w:hint="default" w:ascii="Times New Roman" w:hAnsi="Times New Roman" w:eastAsia="宋体" w:cs="Times New Roman"/>
                <w:color w:val="auto"/>
              </w:rPr>
              <w:t>秒），</w:t>
            </w:r>
          </w:p>
          <w:p w14:paraId="3DD7059B">
            <w:pPr>
              <w:spacing w:line="240" w:lineRule="auto"/>
              <w:ind w:firstLine="0" w:firstLineChars="0"/>
              <w:jc w:val="both"/>
              <w:rPr>
                <w:rFonts w:hint="default" w:ascii="Times New Roman" w:hAnsi="Times New Roman" w:eastAsia="宋体" w:cs="Times New Roman"/>
                <w:color w:val="auto"/>
              </w:rPr>
            </w:pPr>
            <w:r>
              <w:rPr>
                <w:rFonts w:hint="default" w:ascii="Times New Roman" w:hAnsi="Times New Roman" w:eastAsia="宋体" w:cs="Times New Roman"/>
                <w:color w:val="auto"/>
              </w:rPr>
              <w:t>项目注浆主管线坐标（</w:t>
            </w:r>
            <w:r>
              <w:rPr>
                <w:rFonts w:hint="default" w:ascii="Times New Roman" w:hAnsi="Times New Roman" w:eastAsia="宋体" w:cs="Times New Roman"/>
                <w:color w:val="auto"/>
                <w:lang w:val="en-US" w:eastAsia="zh-CN"/>
              </w:rPr>
              <w:t>N：</w:t>
            </w:r>
            <w:r>
              <w:rPr>
                <w:rFonts w:hint="default" w:ascii="Times New Roman" w:hAnsi="Times New Roman" w:eastAsia="宋体" w:cs="Times New Roman"/>
                <w:color w:val="auto"/>
              </w:rPr>
              <w:t>38 度</w:t>
            </w:r>
            <w:r>
              <w:rPr>
                <w:rFonts w:hint="default" w:ascii="Times New Roman" w:hAnsi="Times New Roman" w:eastAsia="宋体" w:cs="Times New Roman"/>
                <w:color w:val="auto"/>
                <w:lang w:val="en-US" w:eastAsia="zh-CN"/>
              </w:rPr>
              <w:t>21</w:t>
            </w:r>
            <w:r>
              <w:rPr>
                <w:rFonts w:hint="default" w:ascii="Times New Roman" w:hAnsi="Times New Roman" w:eastAsia="宋体" w:cs="Times New Roman"/>
                <w:color w:val="auto"/>
              </w:rPr>
              <w:t>分</w:t>
            </w:r>
            <w:r>
              <w:rPr>
                <w:rFonts w:hint="default" w:ascii="Times New Roman" w:hAnsi="Times New Roman" w:eastAsia="宋体" w:cs="Times New Roman"/>
                <w:color w:val="auto"/>
                <w:lang w:val="en-US" w:eastAsia="zh-CN"/>
              </w:rPr>
              <w:t>43.897</w:t>
            </w:r>
            <w:r>
              <w:rPr>
                <w:rFonts w:hint="default" w:ascii="Times New Roman" w:hAnsi="Times New Roman" w:eastAsia="宋体" w:cs="Times New Roman"/>
                <w:color w:val="auto"/>
              </w:rPr>
              <w:t xml:space="preserve"> 秒，E：108 度 </w:t>
            </w:r>
            <w:r>
              <w:rPr>
                <w:rFonts w:hint="default" w:ascii="Times New Roman" w:hAnsi="Times New Roman" w:eastAsia="宋体" w:cs="Times New Roman"/>
                <w:color w:val="auto"/>
                <w:lang w:val="en-US" w:eastAsia="zh-CN"/>
              </w:rPr>
              <w:t>57</w:t>
            </w:r>
            <w:r>
              <w:rPr>
                <w:rFonts w:hint="default" w:ascii="Times New Roman" w:hAnsi="Times New Roman" w:eastAsia="宋体" w:cs="Times New Roman"/>
                <w:color w:val="auto"/>
              </w:rPr>
              <w:t xml:space="preserve">分 </w:t>
            </w:r>
            <w:r>
              <w:rPr>
                <w:rFonts w:hint="default" w:ascii="Times New Roman" w:hAnsi="Times New Roman" w:eastAsia="宋体" w:cs="Times New Roman"/>
                <w:color w:val="auto"/>
                <w:lang w:val="en-US" w:eastAsia="zh-CN"/>
              </w:rPr>
              <w:t>18.549</w:t>
            </w:r>
            <w:r>
              <w:rPr>
                <w:rFonts w:hint="default" w:ascii="Times New Roman" w:hAnsi="Times New Roman" w:eastAsia="宋体" w:cs="Times New Roman"/>
                <w:color w:val="auto"/>
              </w:rPr>
              <w:t>秒）起，（</w:t>
            </w:r>
            <w:r>
              <w:rPr>
                <w:rFonts w:hint="default" w:ascii="Times New Roman" w:hAnsi="Times New Roman" w:eastAsia="宋体" w:cs="Times New Roman"/>
                <w:color w:val="auto"/>
                <w:lang w:val="en-US" w:eastAsia="zh-CN"/>
              </w:rPr>
              <w:t>N：</w:t>
            </w:r>
            <w:r>
              <w:rPr>
                <w:rFonts w:hint="default" w:ascii="Times New Roman" w:hAnsi="Times New Roman" w:eastAsia="宋体" w:cs="Times New Roman"/>
                <w:color w:val="auto"/>
              </w:rPr>
              <w:t xml:space="preserve">38 度 </w:t>
            </w:r>
            <w:r>
              <w:rPr>
                <w:rFonts w:hint="default" w:ascii="Times New Roman" w:hAnsi="Times New Roman" w:eastAsia="宋体" w:cs="Times New Roman"/>
                <w:color w:val="auto"/>
                <w:lang w:val="en-US" w:eastAsia="zh-CN"/>
              </w:rPr>
              <w:t>23</w:t>
            </w:r>
            <w:r>
              <w:rPr>
                <w:rFonts w:hint="default" w:ascii="Times New Roman" w:hAnsi="Times New Roman" w:eastAsia="宋体" w:cs="Times New Roman"/>
                <w:color w:val="auto"/>
              </w:rPr>
              <w:t>分</w:t>
            </w:r>
            <w:r>
              <w:rPr>
                <w:rFonts w:hint="default" w:ascii="Times New Roman" w:hAnsi="Times New Roman" w:eastAsia="宋体" w:cs="Times New Roman"/>
                <w:color w:val="auto"/>
                <w:lang w:val="en-US" w:eastAsia="zh-CN"/>
              </w:rPr>
              <w:t>52.949</w:t>
            </w:r>
            <w:r>
              <w:rPr>
                <w:rFonts w:hint="default" w:ascii="Times New Roman" w:hAnsi="Times New Roman" w:eastAsia="宋体" w:cs="Times New Roman"/>
                <w:color w:val="auto"/>
              </w:rPr>
              <w:t>秒，E：</w:t>
            </w:r>
            <w:r>
              <w:rPr>
                <w:rFonts w:hint="default" w:ascii="Times New Roman" w:hAnsi="Times New Roman" w:eastAsia="宋体" w:cs="Times New Roman"/>
                <w:color w:val="auto"/>
                <w:lang w:val="en-US" w:eastAsia="zh-CN"/>
              </w:rPr>
              <w:t>108</w:t>
            </w:r>
            <w:r>
              <w:rPr>
                <w:rFonts w:hint="default" w:ascii="Times New Roman" w:hAnsi="Times New Roman" w:eastAsia="宋体" w:cs="Times New Roman"/>
                <w:color w:val="auto"/>
              </w:rPr>
              <w:t xml:space="preserve">度 </w:t>
            </w:r>
            <w:r>
              <w:rPr>
                <w:rFonts w:hint="default" w:ascii="Times New Roman" w:hAnsi="Times New Roman" w:eastAsia="宋体" w:cs="Times New Roman"/>
                <w:color w:val="auto"/>
                <w:lang w:val="en-US" w:eastAsia="zh-CN"/>
              </w:rPr>
              <w:t>57</w:t>
            </w:r>
            <w:r>
              <w:rPr>
                <w:rFonts w:hint="default" w:ascii="Times New Roman" w:hAnsi="Times New Roman" w:eastAsia="宋体" w:cs="Times New Roman"/>
                <w:color w:val="auto"/>
              </w:rPr>
              <w:t xml:space="preserve">分 </w:t>
            </w:r>
            <w:r>
              <w:rPr>
                <w:rFonts w:hint="default" w:ascii="Times New Roman" w:hAnsi="Times New Roman" w:eastAsia="宋体" w:cs="Times New Roman"/>
                <w:color w:val="auto"/>
                <w:lang w:val="en-US" w:eastAsia="zh-CN"/>
              </w:rPr>
              <w:t>18.549</w:t>
            </w:r>
            <w:r>
              <w:rPr>
                <w:rFonts w:hint="default" w:ascii="Times New Roman" w:hAnsi="Times New Roman" w:eastAsia="宋体" w:cs="Times New Roman"/>
                <w:color w:val="auto"/>
              </w:rPr>
              <w:t>秒）终</w:t>
            </w:r>
          </w:p>
        </w:tc>
      </w:tr>
      <w:tr w14:paraId="439D07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737" w:hRule="atLeast"/>
          <w:jc w:val="center"/>
        </w:trPr>
        <w:tc>
          <w:tcPr>
            <w:tcW w:w="1213" w:type="dxa"/>
            <w:tcMar>
              <w:top w:w="16" w:type="dxa"/>
              <w:left w:w="16" w:type="dxa"/>
              <w:right w:w="16" w:type="dxa"/>
            </w:tcMar>
            <w:vAlign w:val="center"/>
          </w:tcPr>
          <w:p w14:paraId="7291890A">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国民经济</w:t>
            </w:r>
          </w:p>
          <w:p w14:paraId="24CC436C">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行业类别</w:t>
            </w:r>
          </w:p>
        </w:tc>
        <w:tc>
          <w:tcPr>
            <w:tcW w:w="2123" w:type="dxa"/>
            <w:vAlign w:val="center"/>
          </w:tcPr>
          <w:p w14:paraId="06549B12">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N7723</w:t>
            </w:r>
          </w:p>
          <w:p w14:paraId="01CF54AC">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固体废物治理</w:t>
            </w:r>
          </w:p>
        </w:tc>
        <w:tc>
          <w:tcPr>
            <w:tcW w:w="1645" w:type="dxa"/>
            <w:vAlign w:val="center"/>
          </w:tcPr>
          <w:p w14:paraId="22F0A6F1">
            <w:pPr>
              <w:spacing w:line="240" w:lineRule="auto"/>
              <w:ind w:firstLine="0" w:firstLineChars="0"/>
              <w:jc w:val="center"/>
              <w:rPr>
                <w:rFonts w:hint="default" w:ascii="Times New Roman" w:hAnsi="Times New Roman" w:eastAsia="宋体" w:cs="Times New Roman"/>
                <w:b w:val="0"/>
                <w:bCs w:val="0"/>
                <w:color w:val="auto"/>
                <w:kern w:val="2"/>
                <w:sz w:val="24"/>
                <w:szCs w:val="24"/>
              </w:rPr>
            </w:pPr>
            <w:bookmarkStart w:id="2" w:name="_Hlk49843745"/>
            <w:r>
              <w:rPr>
                <w:rFonts w:hint="default" w:ascii="Times New Roman" w:hAnsi="Times New Roman" w:eastAsia="宋体" w:cs="Times New Roman"/>
                <w:b w:val="0"/>
                <w:bCs w:val="0"/>
                <w:color w:val="auto"/>
                <w:kern w:val="2"/>
                <w:sz w:val="24"/>
                <w:szCs w:val="24"/>
              </w:rPr>
              <w:t>建设项目</w:t>
            </w:r>
          </w:p>
          <w:p w14:paraId="40CD7983">
            <w:pPr>
              <w:spacing w:line="240" w:lineRule="auto"/>
              <w:ind w:firstLine="0" w:firstLineChars="0"/>
              <w:jc w:val="center"/>
              <w:rPr>
                <w:rFonts w:hint="default" w:ascii="Times New Roman" w:hAnsi="Times New Roman" w:eastAsia="宋体" w:cs="Times New Roman"/>
                <w:b w:val="0"/>
                <w:bCs w:val="0"/>
                <w:color w:val="auto"/>
                <w:kern w:val="2"/>
                <w:sz w:val="24"/>
                <w:szCs w:val="24"/>
              </w:rPr>
            </w:pPr>
            <w:r>
              <w:rPr>
                <w:rFonts w:hint="default" w:ascii="Times New Roman" w:hAnsi="Times New Roman" w:eastAsia="宋体" w:cs="Times New Roman"/>
                <w:b w:val="0"/>
                <w:bCs w:val="0"/>
                <w:color w:val="auto"/>
                <w:kern w:val="2"/>
                <w:sz w:val="24"/>
                <w:szCs w:val="24"/>
              </w:rPr>
              <w:t>行业类别</w:t>
            </w:r>
            <w:bookmarkEnd w:id="2"/>
          </w:p>
        </w:tc>
        <w:tc>
          <w:tcPr>
            <w:tcW w:w="4197" w:type="dxa"/>
            <w:vAlign w:val="center"/>
          </w:tcPr>
          <w:p w14:paraId="40D94BDF">
            <w:pPr>
              <w:spacing w:line="240" w:lineRule="auto"/>
              <w:ind w:firstLine="0" w:firstLineChars="0"/>
              <w:jc w:val="center"/>
              <w:rPr>
                <w:rFonts w:hint="default" w:ascii="Times New Roman" w:hAnsi="Times New Roman" w:eastAsia="宋体" w:cs="Times New Roman"/>
                <w:b w:val="0"/>
                <w:bCs w:val="0"/>
                <w:color w:val="auto"/>
                <w:kern w:val="2"/>
                <w:sz w:val="24"/>
                <w:szCs w:val="24"/>
              </w:rPr>
            </w:pPr>
            <w:r>
              <w:rPr>
                <w:rFonts w:hint="default" w:ascii="Times New Roman" w:hAnsi="Times New Roman" w:eastAsia="宋体" w:cs="Times New Roman"/>
                <w:b w:val="0"/>
                <w:bCs w:val="0"/>
                <w:color w:val="auto"/>
                <w:kern w:val="2"/>
                <w:sz w:val="24"/>
                <w:szCs w:val="24"/>
              </w:rPr>
              <w:t>四十七、生态保护和环境治理业—103一般工业固体废物（含污水处理污泥）、建筑施工废弃物处置及综合利用</w:t>
            </w:r>
          </w:p>
        </w:tc>
      </w:tr>
      <w:tr w14:paraId="786FF6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79" w:hRule="atLeast"/>
          <w:jc w:val="center"/>
        </w:trPr>
        <w:tc>
          <w:tcPr>
            <w:tcW w:w="1213" w:type="dxa"/>
            <w:tcMar>
              <w:top w:w="16" w:type="dxa"/>
              <w:left w:w="16" w:type="dxa"/>
              <w:right w:w="16" w:type="dxa"/>
            </w:tcMar>
            <w:vAlign w:val="center"/>
          </w:tcPr>
          <w:p w14:paraId="2C91FD14">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建设性质</w:t>
            </w:r>
          </w:p>
        </w:tc>
        <w:tc>
          <w:tcPr>
            <w:tcW w:w="2123" w:type="dxa"/>
            <w:vAlign w:val="center"/>
          </w:tcPr>
          <w:p w14:paraId="66992D09">
            <w:pPr>
              <w:spacing w:line="240" w:lineRule="auto"/>
              <w:ind w:firstLine="120" w:firstLineChars="5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新建（迁建）</w:t>
            </w:r>
          </w:p>
          <w:p w14:paraId="1EB64CE2">
            <w:pPr>
              <w:spacing w:line="240" w:lineRule="auto"/>
              <w:ind w:firstLine="120" w:firstLineChars="5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改建</w:t>
            </w:r>
          </w:p>
          <w:p w14:paraId="56D8D876">
            <w:pPr>
              <w:spacing w:line="240" w:lineRule="auto"/>
              <w:ind w:firstLine="120" w:firstLineChars="50"/>
              <w:rPr>
                <w:rFonts w:hint="default" w:ascii="Times New Roman" w:hAnsi="Times New Roman" w:eastAsia="宋体" w:cs="Times New Roman"/>
                <w:color w:val="auto"/>
              </w:rPr>
            </w:pPr>
            <w:r>
              <w:rPr>
                <w:rFonts w:hint="default" w:ascii="Times New Roman" w:hAnsi="Times New Roman" w:eastAsia="宋体" w:cs="Times New Roman"/>
                <w:color w:val="auto"/>
              </w:rPr>
              <w:t>□扩建</w:t>
            </w:r>
          </w:p>
          <w:p w14:paraId="77E6057A">
            <w:pPr>
              <w:spacing w:line="240" w:lineRule="auto"/>
              <w:ind w:firstLine="120" w:firstLineChars="50"/>
              <w:rPr>
                <w:rFonts w:hint="default" w:ascii="Times New Roman" w:hAnsi="Times New Roman" w:eastAsia="宋体" w:cs="Times New Roman"/>
                <w:color w:val="auto"/>
              </w:rPr>
            </w:pPr>
            <w:r>
              <w:rPr>
                <w:rFonts w:hint="default" w:ascii="Times New Roman" w:hAnsi="Times New Roman" w:eastAsia="宋体" w:cs="Times New Roman"/>
                <w:color w:val="auto"/>
              </w:rPr>
              <w:t>□技术改造</w:t>
            </w:r>
          </w:p>
        </w:tc>
        <w:tc>
          <w:tcPr>
            <w:tcW w:w="1645" w:type="dxa"/>
            <w:vAlign w:val="center"/>
          </w:tcPr>
          <w:p w14:paraId="3330D668">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建设项目</w:t>
            </w:r>
          </w:p>
          <w:p w14:paraId="6BA81395">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申报情形</w:t>
            </w:r>
          </w:p>
        </w:tc>
        <w:tc>
          <w:tcPr>
            <w:tcW w:w="4197" w:type="dxa"/>
            <w:vAlign w:val="center"/>
          </w:tcPr>
          <w:p w14:paraId="05113E03">
            <w:pPr>
              <w:spacing w:line="240" w:lineRule="auto"/>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首次申报项目</w:t>
            </w:r>
          </w:p>
          <w:p w14:paraId="7306BEE6">
            <w:pPr>
              <w:spacing w:line="240" w:lineRule="auto"/>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□不予批准后再次申报项目</w:t>
            </w:r>
          </w:p>
          <w:p w14:paraId="43079CD7">
            <w:pPr>
              <w:spacing w:line="240" w:lineRule="auto"/>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超五年重新审核项目</w:t>
            </w:r>
          </w:p>
          <w:p w14:paraId="6358D9AF">
            <w:pPr>
              <w:spacing w:line="240" w:lineRule="auto"/>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□重大变动重新报批项目</w:t>
            </w:r>
          </w:p>
        </w:tc>
      </w:tr>
      <w:tr w14:paraId="62C2E6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97" w:hRule="atLeast"/>
          <w:jc w:val="center"/>
        </w:trPr>
        <w:tc>
          <w:tcPr>
            <w:tcW w:w="1213" w:type="dxa"/>
            <w:tcMar>
              <w:top w:w="16" w:type="dxa"/>
              <w:left w:w="16" w:type="dxa"/>
              <w:right w:w="16" w:type="dxa"/>
            </w:tcMar>
            <w:vAlign w:val="center"/>
          </w:tcPr>
          <w:p w14:paraId="255F6A4A">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项目审批（核准/备案）部门（选填）</w:t>
            </w:r>
          </w:p>
        </w:tc>
        <w:tc>
          <w:tcPr>
            <w:tcW w:w="2123" w:type="dxa"/>
            <w:vAlign w:val="center"/>
          </w:tcPr>
          <w:p w14:paraId="445B3D13">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乌审旗能源局</w:t>
            </w:r>
          </w:p>
        </w:tc>
        <w:tc>
          <w:tcPr>
            <w:tcW w:w="1645" w:type="dxa"/>
            <w:vAlign w:val="center"/>
          </w:tcPr>
          <w:p w14:paraId="50A6FB15">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项目审批</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核准/</w:t>
            </w:r>
          </w:p>
          <w:p w14:paraId="61E4BDB2">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备案</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文号（选填）</w:t>
            </w:r>
          </w:p>
        </w:tc>
        <w:tc>
          <w:tcPr>
            <w:tcW w:w="4197" w:type="dxa"/>
            <w:vAlign w:val="center"/>
          </w:tcPr>
          <w:p w14:paraId="6BF3A8A3">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2508-150626-60-01-786962</w:t>
            </w:r>
          </w:p>
        </w:tc>
      </w:tr>
      <w:tr w14:paraId="7F325E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7" w:hRule="atLeast"/>
          <w:jc w:val="center"/>
        </w:trPr>
        <w:tc>
          <w:tcPr>
            <w:tcW w:w="1213" w:type="dxa"/>
            <w:tcMar>
              <w:top w:w="16" w:type="dxa"/>
              <w:left w:w="16" w:type="dxa"/>
              <w:right w:w="16" w:type="dxa"/>
            </w:tcMar>
            <w:vAlign w:val="center"/>
          </w:tcPr>
          <w:p w14:paraId="10F4D3E3">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总投资（万元）</w:t>
            </w:r>
          </w:p>
        </w:tc>
        <w:tc>
          <w:tcPr>
            <w:tcW w:w="2123" w:type="dxa"/>
            <w:vAlign w:val="center"/>
          </w:tcPr>
          <w:p w14:paraId="43A5E3CF">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4824</w:t>
            </w:r>
          </w:p>
        </w:tc>
        <w:tc>
          <w:tcPr>
            <w:tcW w:w="1645" w:type="dxa"/>
            <w:tcMar>
              <w:top w:w="16" w:type="dxa"/>
              <w:left w:w="16" w:type="dxa"/>
              <w:right w:w="16" w:type="dxa"/>
            </w:tcMar>
            <w:vAlign w:val="center"/>
          </w:tcPr>
          <w:p w14:paraId="668657FF">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环保投资（万元）</w:t>
            </w:r>
          </w:p>
        </w:tc>
        <w:tc>
          <w:tcPr>
            <w:tcW w:w="4197" w:type="dxa"/>
            <w:vAlign w:val="center"/>
          </w:tcPr>
          <w:p w14:paraId="57A93334">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2"/>
                <w:sz w:val="24"/>
                <w:szCs w:val="24"/>
                <w:lang w:val="en-US" w:eastAsia="zh-CN" w:bidi="ar"/>
              </w:rPr>
              <w:t>210</w:t>
            </w:r>
          </w:p>
        </w:tc>
      </w:tr>
      <w:tr w14:paraId="55C163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7" w:hRule="atLeast"/>
          <w:jc w:val="center"/>
        </w:trPr>
        <w:tc>
          <w:tcPr>
            <w:tcW w:w="1213" w:type="dxa"/>
            <w:tcMar>
              <w:top w:w="16" w:type="dxa"/>
              <w:left w:w="16" w:type="dxa"/>
              <w:right w:w="16" w:type="dxa"/>
            </w:tcMar>
            <w:vAlign w:val="center"/>
          </w:tcPr>
          <w:p w14:paraId="090F9D57">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环保投资占比（%）</w:t>
            </w:r>
          </w:p>
        </w:tc>
        <w:tc>
          <w:tcPr>
            <w:tcW w:w="2123" w:type="dxa"/>
            <w:vAlign w:val="center"/>
          </w:tcPr>
          <w:p w14:paraId="377F8CC6">
            <w:pPr>
              <w:spacing w:line="240" w:lineRule="auto"/>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4.35</w:t>
            </w:r>
          </w:p>
        </w:tc>
        <w:tc>
          <w:tcPr>
            <w:tcW w:w="1645" w:type="dxa"/>
            <w:tcMar>
              <w:top w:w="16" w:type="dxa"/>
              <w:left w:w="16" w:type="dxa"/>
              <w:right w:w="16" w:type="dxa"/>
            </w:tcMar>
            <w:vAlign w:val="center"/>
          </w:tcPr>
          <w:p w14:paraId="494937C8">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施工工期</w:t>
            </w:r>
          </w:p>
        </w:tc>
        <w:tc>
          <w:tcPr>
            <w:tcW w:w="4197" w:type="dxa"/>
            <w:vAlign w:val="center"/>
          </w:tcPr>
          <w:p w14:paraId="6A5F71A8">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个月</w:t>
            </w:r>
          </w:p>
        </w:tc>
      </w:tr>
      <w:tr w14:paraId="51120F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02" w:hRule="atLeast"/>
          <w:jc w:val="center"/>
        </w:trPr>
        <w:tc>
          <w:tcPr>
            <w:tcW w:w="1213" w:type="dxa"/>
            <w:tcMar>
              <w:top w:w="16" w:type="dxa"/>
              <w:left w:w="16" w:type="dxa"/>
              <w:right w:w="16" w:type="dxa"/>
            </w:tcMar>
            <w:vAlign w:val="center"/>
          </w:tcPr>
          <w:p w14:paraId="6D309F70">
            <w:pPr>
              <w:spacing w:line="240" w:lineRule="auto"/>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是否开工建设</w:t>
            </w:r>
          </w:p>
        </w:tc>
        <w:tc>
          <w:tcPr>
            <w:tcW w:w="2123" w:type="dxa"/>
            <w:vAlign w:val="center"/>
          </w:tcPr>
          <w:p w14:paraId="068CE2D4">
            <w:pPr>
              <w:spacing w:line="240" w:lineRule="auto"/>
              <w:ind w:firstLine="120" w:firstLineChars="5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sym w:font="Wingdings 2" w:char="0052"/>
            </w:r>
            <w:r>
              <w:rPr>
                <w:rFonts w:hint="default" w:ascii="Times New Roman" w:hAnsi="Times New Roman" w:eastAsia="宋体" w:cs="Times New Roman"/>
                <w:color w:val="auto"/>
              </w:rPr>
              <w:t>否</w:t>
            </w:r>
          </w:p>
          <w:p w14:paraId="1C895B5B">
            <w:pPr>
              <w:spacing w:line="240" w:lineRule="auto"/>
              <w:ind w:firstLine="120" w:firstLineChars="5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sym w:font="Wingdings 2" w:char="00A3"/>
            </w:r>
            <w:r>
              <w:rPr>
                <w:rFonts w:hint="default" w:ascii="Times New Roman" w:hAnsi="Times New Roman" w:eastAsia="宋体" w:cs="Times New Roman"/>
                <w:color w:val="auto"/>
              </w:rPr>
              <w:t>是</w:t>
            </w:r>
            <w:r>
              <w:rPr>
                <w:rFonts w:hint="default" w:ascii="Times New Roman" w:hAnsi="Times New Roman" w:eastAsia="宋体" w:cs="Times New Roman"/>
                <w:color w:val="auto"/>
                <w:lang w:eastAsia="zh-CN"/>
              </w:rPr>
              <w:t>：</w:t>
            </w:r>
          </w:p>
        </w:tc>
        <w:tc>
          <w:tcPr>
            <w:tcW w:w="1645" w:type="dxa"/>
            <w:tcMar>
              <w:top w:w="16" w:type="dxa"/>
              <w:left w:w="16" w:type="dxa"/>
              <w:right w:w="16" w:type="dxa"/>
            </w:tcMar>
            <w:vAlign w:val="center"/>
          </w:tcPr>
          <w:p w14:paraId="3A789FD5">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用地面积（m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p>
        </w:tc>
        <w:tc>
          <w:tcPr>
            <w:tcW w:w="4197" w:type="dxa"/>
            <w:vAlign w:val="center"/>
          </w:tcPr>
          <w:p w14:paraId="1001CF3E">
            <w:pPr>
              <w:spacing w:line="240" w:lineRule="auto"/>
              <w:ind w:firstLine="0" w:firstLineChars="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13166.33（永久占地870.33，临时占地</w:t>
            </w:r>
            <w:r>
              <w:rPr>
                <w:rFonts w:hint="eastAsia" w:cs="Times New Roman"/>
                <w:color w:val="auto"/>
                <w:sz w:val="24"/>
                <w:szCs w:val="24"/>
                <w:lang w:val="en-US" w:eastAsia="zh-CN"/>
              </w:rPr>
              <w:t>12296</w:t>
            </w:r>
            <w:r>
              <w:rPr>
                <w:rFonts w:hint="eastAsia"/>
                <w:color w:val="auto"/>
                <w:sz w:val="24"/>
                <w:szCs w:val="24"/>
                <w:lang w:eastAsia="zh-CN"/>
              </w:rPr>
              <w:t>）</w:t>
            </w:r>
          </w:p>
        </w:tc>
      </w:tr>
      <w:tr w14:paraId="1665EE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213" w:type="dxa"/>
            <w:vAlign w:val="center"/>
          </w:tcPr>
          <w:p w14:paraId="7776E850">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专项评价设置情况</w:t>
            </w:r>
          </w:p>
        </w:tc>
        <w:tc>
          <w:tcPr>
            <w:tcW w:w="7965" w:type="dxa"/>
            <w:gridSpan w:val="3"/>
            <w:vAlign w:val="center"/>
          </w:tcPr>
          <w:p w14:paraId="26B81840">
            <w:pPr>
              <w:widowControl w:val="0"/>
              <w:autoSpaceDE w:val="0"/>
              <w:autoSpaceDN w:val="0"/>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无，具体专项评价判定见下表。</w:t>
            </w:r>
          </w:p>
          <w:p w14:paraId="3D7396B2">
            <w:pPr>
              <w:widowControl w:val="0"/>
              <w:autoSpaceDE w:val="0"/>
              <w:autoSpaceDN w:val="0"/>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4"/>
                <w:highlight w:val="none"/>
                <w:lang w:val="en-US" w:eastAsia="zh-CN"/>
              </w:rPr>
            </w:pPr>
            <w:r>
              <w:rPr>
                <w:rFonts w:hint="default" w:ascii="Times New Roman" w:hAnsi="Times New Roman" w:eastAsia="宋体" w:cs="Times New Roman"/>
                <w:b/>
                <w:bCs/>
                <w:color w:val="auto"/>
                <w:kern w:val="2"/>
                <w:sz w:val="21"/>
                <w:szCs w:val="24"/>
                <w:highlight w:val="none"/>
                <w:lang w:val="en-US" w:eastAsia="zh-CN"/>
              </w:rPr>
              <w:t>表1-1  专项评价设置原则表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3163"/>
              <w:gridCol w:w="1968"/>
              <w:gridCol w:w="1290"/>
            </w:tblGrid>
            <w:tr w14:paraId="4723D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850" w:type="pct"/>
                  <w:tcBorders>
                    <w:top w:val="single" w:color="auto" w:sz="4" w:space="0"/>
                    <w:left w:val="single" w:color="auto" w:sz="4" w:space="0"/>
                    <w:bottom w:val="single" w:color="auto" w:sz="4" w:space="0"/>
                    <w:right w:val="single" w:color="auto" w:sz="4" w:space="0"/>
                  </w:tcBorders>
                  <w:noWrap w:val="0"/>
                  <w:vAlign w:val="center"/>
                </w:tcPr>
                <w:p w14:paraId="278A1F53">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snapToGrid/>
                      <w:color w:val="auto"/>
                      <w:kern w:val="0"/>
                      <w:sz w:val="21"/>
                      <w:szCs w:val="21"/>
                      <w:highlight w:val="none"/>
                      <w:lang w:val="en-US" w:eastAsia="zh-CN" w:bidi="ar"/>
                    </w:rPr>
                    <w:t>专项评价的类别</w:t>
                  </w:r>
                </w:p>
              </w:tc>
              <w:tc>
                <w:tcPr>
                  <w:tcW w:w="2043" w:type="pct"/>
                  <w:tcBorders>
                    <w:top w:val="single" w:color="auto" w:sz="4" w:space="0"/>
                    <w:left w:val="single" w:color="auto" w:sz="4" w:space="0"/>
                    <w:bottom w:val="single" w:color="auto" w:sz="4" w:space="0"/>
                    <w:right w:val="single" w:color="auto" w:sz="4" w:space="0"/>
                  </w:tcBorders>
                  <w:noWrap w:val="0"/>
                  <w:vAlign w:val="center"/>
                </w:tcPr>
                <w:p w14:paraId="13E4A93F">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snapToGrid/>
                      <w:color w:val="auto"/>
                      <w:kern w:val="0"/>
                      <w:sz w:val="21"/>
                      <w:szCs w:val="21"/>
                      <w:highlight w:val="none"/>
                      <w:lang w:val="en-US" w:eastAsia="zh-CN" w:bidi="ar"/>
                    </w:rPr>
                    <w:t>设置原则</w:t>
                  </w:r>
                </w:p>
              </w:tc>
              <w:tc>
                <w:tcPr>
                  <w:tcW w:w="1271" w:type="pct"/>
                  <w:tcBorders>
                    <w:top w:val="single" w:color="auto" w:sz="4" w:space="0"/>
                    <w:left w:val="single" w:color="auto" w:sz="4" w:space="0"/>
                    <w:bottom w:val="single" w:color="auto" w:sz="4" w:space="0"/>
                    <w:right w:val="single" w:color="auto" w:sz="4" w:space="0"/>
                  </w:tcBorders>
                  <w:noWrap w:val="0"/>
                  <w:vAlign w:val="center"/>
                </w:tcPr>
                <w:p w14:paraId="38FD1FF2">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snapToGrid/>
                      <w:color w:val="auto"/>
                      <w:kern w:val="0"/>
                      <w:sz w:val="21"/>
                      <w:szCs w:val="21"/>
                      <w:highlight w:val="none"/>
                      <w:lang w:val="en-US" w:eastAsia="zh-CN" w:bidi="ar"/>
                    </w:rPr>
                    <w:t>本项目情况</w:t>
                  </w:r>
                </w:p>
              </w:tc>
              <w:tc>
                <w:tcPr>
                  <w:tcW w:w="833" w:type="pct"/>
                  <w:tcBorders>
                    <w:top w:val="single" w:color="auto" w:sz="4" w:space="0"/>
                    <w:left w:val="single" w:color="auto" w:sz="4" w:space="0"/>
                    <w:bottom w:val="single" w:color="auto" w:sz="4" w:space="0"/>
                    <w:right w:val="single" w:color="auto" w:sz="4" w:space="0"/>
                  </w:tcBorders>
                  <w:noWrap w:val="0"/>
                  <w:vAlign w:val="center"/>
                </w:tcPr>
                <w:p w14:paraId="4BA6D4B7">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snapToGrid/>
                      <w:color w:val="auto"/>
                      <w:kern w:val="0"/>
                      <w:sz w:val="21"/>
                      <w:szCs w:val="21"/>
                      <w:highlight w:val="none"/>
                      <w:lang w:val="en-US" w:eastAsia="zh-CN" w:bidi="ar"/>
                    </w:rPr>
                    <w:t>是否设置专项评价</w:t>
                  </w:r>
                </w:p>
              </w:tc>
            </w:tr>
            <w:tr w14:paraId="6B871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850" w:type="pct"/>
                  <w:tcBorders>
                    <w:top w:val="single" w:color="auto" w:sz="4" w:space="0"/>
                    <w:left w:val="single" w:color="auto" w:sz="4" w:space="0"/>
                    <w:bottom w:val="single" w:color="auto" w:sz="4" w:space="0"/>
                    <w:right w:val="single" w:color="auto" w:sz="4" w:space="0"/>
                  </w:tcBorders>
                  <w:noWrap w:val="0"/>
                  <w:vAlign w:val="center"/>
                </w:tcPr>
                <w:p w14:paraId="59CC54BD">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大气</w:t>
                  </w:r>
                </w:p>
              </w:tc>
              <w:tc>
                <w:tcPr>
                  <w:tcW w:w="2043" w:type="pct"/>
                  <w:tcBorders>
                    <w:top w:val="single" w:color="auto" w:sz="4" w:space="0"/>
                    <w:left w:val="single" w:color="auto" w:sz="4" w:space="0"/>
                    <w:bottom w:val="single" w:color="auto" w:sz="4" w:space="0"/>
                    <w:right w:val="single" w:color="auto" w:sz="4" w:space="0"/>
                  </w:tcBorders>
                  <w:noWrap w:val="0"/>
                  <w:vAlign w:val="center"/>
                </w:tcPr>
                <w:p w14:paraId="2CD9D60A">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排放废气含有毒有害污染物、二噁英、苯并[a]芘、氰化物、氯气且厂界外500米范围内有环境空气保护目标的建设项目</w:t>
                  </w:r>
                </w:p>
              </w:tc>
              <w:tc>
                <w:tcPr>
                  <w:tcW w:w="1271" w:type="pct"/>
                  <w:tcBorders>
                    <w:top w:val="single" w:color="auto" w:sz="4" w:space="0"/>
                    <w:left w:val="single" w:color="auto" w:sz="4" w:space="0"/>
                    <w:bottom w:val="single" w:color="auto" w:sz="4" w:space="0"/>
                    <w:right w:val="single" w:color="auto" w:sz="4" w:space="0"/>
                  </w:tcBorders>
                  <w:noWrap w:val="0"/>
                  <w:vAlign w:val="center"/>
                </w:tcPr>
                <w:p w14:paraId="74E21F1A">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本项目排放废气不涉及以上有毒有害气体</w:t>
                  </w:r>
                </w:p>
              </w:tc>
              <w:tc>
                <w:tcPr>
                  <w:tcW w:w="833" w:type="pct"/>
                  <w:tcBorders>
                    <w:top w:val="single" w:color="auto" w:sz="4" w:space="0"/>
                    <w:left w:val="single" w:color="auto" w:sz="4" w:space="0"/>
                    <w:bottom w:val="single" w:color="auto" w:sz="4" w:space="0"/>
                    <w:right w:val="single" w:color="auto" w:sz="4" w:space="0"/>
                  </w:tcBorders>
                  <w:noWrap w:val="0"/>
                  <w:vAlign w:val="center"/>
                </w:tcPr>
                <w:p w14:paraId="76532478">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否</w:t>
                  </w:r>
                </w:p>
              </w:tc>
            </w:tr>
            <w:tr w14:paraId="3775C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850" w:type="pct"/>
                  <w:tcBorders>
                    <w:top w:val="single" w:color="auto" w:sz="4" w:space="0"/>
                    <w:left w:val="single" w:color="auto" w:sz="4" w:space="0"/>
                    <w:bottom w:val="single" w:color="auto" w:sz="4" w:space="0"/>
                    <w:right w:val="single" w:color="auto" w:sz="4" w:space="0"/>
                  </w:tcBorders>
                  <w:noWrap w:val="0"/>
                  <w:vAlign w:val="center"/>
                </w:tcPr>
                <w:p w14:paraId="30E4E9BB">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地表水</w:t>
                  </w:r>
                </w:p>
              </w:tc>
              <w:tc>
                <w:tcPr>
                  <w:tcW w:w="2043" w:type="pct"/>
                  <w:tcBorders>
                    <w:top w:val="single" w:color="auto" w:sz="4" w:space="0"/>
                    <w:left w:val="single" w:color="auto" w:sz="4" w:space="0"/>
                    <w:bottom w:val="single" w:color="auto" w:sz="4" w:space="0"/>
                    <w:right w:val="single" w:color="auto" w:sz="4" w:space="0"/>
                  </w:tcBorders>
                  <w:noWrap w:val="0"/>
                  <w:vAlign w:val="center"/>
                </w:tcPr>
                <w:p w14:paraId="0A4377C6">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新增工业废水直排建设项目（槽罐车外送污水处理厂的除外）；新增废水直排的污水集中处理厂</w:t>
                  </w:r>
                </w:p>
              </w:tc>
              <w:tc>
                <w:tcPr>
                  <w:tcW w:w="1271" w:type="pct"/>
                  <w:tcBorders>
                    <w:top w:val="single" w:color="auto" w:sz="4" w:space="0"/>
                    <w:left w:val="single" w:color="auto" w:sz="4" w:space="0"/>
                    <w:bottom w:val="single" w:color="auto" w:sz="4" w:space="0"/>
                    <w:right w:val="single" w:color="auto" w:sz="4" w:space="0"/>
                  </w:tcBorders>
                  <w:noWrap w:val="0"/>
                  <w:vAlign w:val="center"/>
                </w:tcPr>
                <w:p w14:paraId="690672DD">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本项目废水不外排</w:t>
                  </w:r>
                </w:p>
              </w:tc>
              <w:tc>
                <w:tcPr>
                  <w:tcW w:w="833" w:type="pct"/>
                  <w:tcBorders>
                    <w:top w:val="single" w:color="auto" w:sz="4" w:space="0"/>
                    <w:left w:val="single" w:color="auto" w:sz="4" w:space="0"/>
                    <w:bottom w:val="single" w:color="auto" w:sz="4" w:space="0"/>
                    <w:right w:val="single" w:color="auto" w:sz="4" w:space="0"/>
                  </w:tcBorders>
                  <w:noWrap w:val="0"/>
                  <w:vAlign w:val="center"/>
                </w:tcPr>
                <w:p w14:paraId="18B6B172">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否</w:t>
                  </w:r>
                </w:p>
              </w:tc>
            </w:tr>
            <w:tr w14:paraId="28C54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850" w:type="pct"/>
                  <w:tcBorders>
                    <w:top w:val="single" w:color="auto" w:sz="4" w:space="0"/>
                    <w:left w:val="single" w:color="auto" w:sz="4" w:space="0"/>
                    <w:bottom w:val="single" w:color="auto" w:sz="4" w:space="0"/>
                    <w:right w:val="single" w:color="auto" w:sz="4" w:space="0"/>
                  </w:tcBorders>
                  <w:noWrap w:val="0"/>
                  <w:vAlign w:val="center"/>
                </w:tcPr>
                <w:p w14:paraId="4529077E">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环境风险</w:t>
                  </w:r>
                </w:p>
              </w:tc>
              <w:tc>
                <w:tcPr>
                  <w:tcW w:w="2043" w:type="pct"/>
                  <w:tcBorders>
                    <w:top w:val="single" w:color="auto" w:sz="4" w:space="0"/>
                    <w:left w:val="single" w:color="auto" w:sz="4" w:space="0"/>
                    <w:bottom w:val="single" w:color="auto" w:sz="4" w:space="0"/>
                    <w:right w:val="single" w:color="auto" w:sz="4" w:space="0"/>
                  </w:tcBorders>
                  <w:noWrap w:val="0"/>
                  <w:vAlign w:val="center"/>
                </w:tcPr>
                <w:p w14:paraId="50C15EBD">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有毒有害和易燃易爆危险物质存储量超过临界量的建设项目</w:t>
                  </w:r>
                </w:p>
              </w:tc>
              <w:tc>
                <w:tcPr>
                  <w:tcW w:w="1271" w:type="pct"/>
                  <w:tcBorders>
                    <w:top w:val="single" w:color="auto" w:sz="4" w:space="0"/>
                    <w:left w:val="single" w:color="auto" w:sz="4" w:space="0"/>
                    <w:bottom w:val="single" w:color="auto" w:sz="4" w:space="0"/>
                    <w:right w:val="single" w:color="auto" w:sz="4" w:space="0"/>
                  </w:tcBorders>
                  <w:noWrap w:val="0"/>
                  <w:vAlign w:val="center"/>
                </w:tcPr>
                <w:p w14:paraId="3CA35441">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本项目不涉及</w:t>
                  </w:r>
                </w:p>
              </w:tc>
              <w:tc>
                <w:tcPr>
                  <w:tcW w:w="833" w:type="pct"/>
                  <w:tcBorders>
                    <w:top w:val="single" w:color="auto" w:sz="4" w:space="0"/>
                    <w:left w:val="single" w:color="auto" w:sz="4" w:space="0"/>
                    <w:bottom w:val="single" w:color="auto" w:sz="4" w:space="0"/>
                    <w:right w:val="single" w:color="auto" w:sz="4" w:space="0"/>
                  </w:tcBorders>
                  <w:noWrap w:val="0"/>
                  <w:vAlign w:val="center"/>
                </w:tcPr>
                <w:p w14:paraId="1110263D">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否</w:t>
                  </w:r>
                </w:p>
              </w:tc>
            </w:tr>
            <w:tr w14:paraId="0E347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850" w:type="pct"/>
                  <w:tcBorders>
                    <w:top w:val="single" w:color="auto" w:sz="4" w:space="0"/>
                    <w:left w:val="single" w:color="auto" w:sz="4" w:space="0"/>
                    <w:bottom w:val="single" w:color="auto" w:sz="4" w:space="0"/>
                    <w:right w:val="single" w:color="auto" w:sz="4" w:space="0"/>
                  </w:tcBorders>
                  <w:noWrap w:val="0"/>
                  <w:vAlign w:val="center"/>
                </w:tcPr>
                <w:p w14:paraId="3714DB77">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生态</w:t>
                  </w:r>
                </w:p>
              </w:tc>
              <w:tc>
                <w:tcPr>
                  <w:tcW w:w="2043" w:type="pct"/>
                  <w:tcBorders>
                    <w:top w:val="single" w:color="auto" w:sz="4" w:space="0"/>
                    <w:left w:val="single" w:color="auto" w:sz="4" w:space="0"/>
                    <w:bottom w:val="single" w:color="auto" w:sz="4" w:space="0"/>
                    <w:right w:val="single" w:color="auto" w:sz="4" w:space="0"/>
                  </w:tcBorders>
                  <w:noWrap w:val="0"/>
                  <w:vAlign w:val="center"/>
                </w:tcPr>
                <w:p w14:paraId="1C9C4BD9">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取水口下游500米范围内有重要水生生物的自然产卵场、索饵场、越冬场和洄游通道的新增河道取水的污染类建设项目</w:t>
                  </w:r>
                </w:p>
              </w:tc>
              <w:tc>
                <w:tcPr>
                  <w:tcW w:w="1271" w:type="pct"/>
                  <w:tcBorders>
                    <w:top w:val="single" w:color="auto" w:sz="4" w:space="0"/>
                    <w:left w:val="single" w:color="auto" w:sz="4" w:space="0"/>
                    <w:bottom w:val="single" w:color="auto" w:sz="4" w:space="0"/>
                    <w:right w:val="single" w:color="auto" w:sz="4" w:space="0"/>
                  </w:tcBorders>
                  <w:noWrap w:val="0"/>
                  <w:vAlign w:val="center"/>
                </w:tcPr>
                <w:p w14:paraId="65294FC2">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本项目不涉及</w:t>
                  </w:r>
                </w:p>
              </w:tc>
              <w:tc>
                <w:tcPr>
                  <w:tcW w:w="833" w:type="pct"/>
                  <w:tcBorders>
                    <w:top w:val="single" w:color="auto" w:sz="4" w:space="0"/>
                    <w:left w:val="single" w:color="auto" w:sz="4" w:space="0"/>
                    <w:bottom w:val="single" w:color="auto" w:sz="4" w:space="0"/>
                    <w:right w:val="single" w:color="auto" w:sz="4" w:space="0"/>
                  </w:tcBorders>
                  <w:noWrap w:val="0"/>
                  <w:vAlign w:val="center"/>
                </w:tcPr>
                <w:p w14:paraId="2A90BEBD">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否</w:t>
                  </w:r>
                </w:p>
              </w:tc>
            </w:tr>
            <w:tr w14:paraId="5DC01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850" w:type="pct"/>
                  <w:tcBorders>
                    <w:top w:val="single" w:color="auto" w:sz="4" w:space="0"/>
                    <w:left w:val="single" w:color="auto" w:sz="4" w:space="0"/>
                    <w:bottom w:val="single" w:color="auto" w:sz="4" w:space="0"/>
                    <w:right w:val="single" w:color="auto" w:sz="4" w:space="0"/>
                  </w:tcBorders>
                  <w:noWrap w:val="0"/>
                  <w:vAlign w:val="center"/>
                </w:tcPr>
                <w:p w14:paraId="7A3C58E2">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海洋</w:t>
                  </w:r>
                </w:p>
              </w:tc>
              <w:tc>
                <w:tcPr>
                  <w:tcW w:w="2043" w:type="pct"/>
                  <w:tcBorders>
                    <w:top w:val="single" w:color="auto" w:sz="4" w:space="0"/>
                    <w:left w:val="single" w:color="auto" w:sz="4" w:space="0"/>
                    <w:bottom w:val="single" w:color="auto" w:sz="4" w:space="0"/>
                    <w:right w:val="single" w:color="auto" w:sz="4" w:space="0"/>
                  </w:tcBorders>
                  <w:noWrap w:val="0"/>
                  <w:vAlign w:val="center"/>
                </w:tcPr>
                <w:p w14:paraId="1D8D4274">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both"/>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直接向海排放污染物的海洋工程建设项目</w:t>
                  </w:r>
                </w:p>
              </w:tc>
              <w:tc>
                <w:tcPr>
                  <w:tcW w:w="1271" w:type="pct"/>
                  <w:tcBorders>
                    <w:top w:val="single" w:color="auto" w:sz="4" w:space="0"/>
                    <w:left w:val="single" w:color="auto" w:sz="4" w:space="0"/>
                    <w:bottom w:val="single" w:color="auto" w:sz="4" w:space="0"/>
                    <w:right w:val="single" w:color="auto" w:sz="4" w:space="0"/>
                  </w:tcBorders>
                  <w:noWrap w:val="0"/>
                  <w:vAlign w:val="center"/>
                </w:tcPr>
                <w:p w14:paraId="52E17269">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本项目不涉及</w:t>
                  </w:r>
                </w:p>
              </w:tc>
              <w:tc>
                <w:tcPr>
                  <w:tcW w:w="833" w:type="pct"/>
                  <w:tcBorders>
                    <w:top w:val="single" w:color="auto" w:sz="4" w:space="0"/>
                    <w:left w:val="single" w:color="auto" w:sz="4" w:space="0"/>
                    <w:bottom w:val="single" w:color="auto" w:sz="4" w:space="0"/>
                    <w:right w:val="single" w:color="auto" w:sz="4" w:space="0"/>
                  </w:tcBorders>
                  <w:noWrap w:val="0"/>
                  <w:vAlign w:val="center"/>
                </w:tcPr>
                <w:p w14:paraId="22C7A859">
                  <w:pPr>
                    <w:keepNext w:val="0"/>
                    <w:keepLines w:val="0"/>
                    <w:pageBreakBefore w:val="0"/>
                    <w:widowControl w:val="0"/>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0"/>
                      <w:sz w:val="21"/>
                      <w:szCs w:val="21"/>
                      <w:highlight w:val="none"/>
                      <w:lang w:val="en-US" w:eastAsia="zh-CN" w:bidi="ar"/>
                    </w:rPr>
                    <w:t>否</w:t>
                  </w:r>
                </w:p>
              </w:tc>
            </w:tr>
          </w:tbl>
          <w:p w14:paraId="29FFF720">
            <w:pPr>
              <w:ind w:firstLine="480"/>
              <w:rPr>
                <w:rFonts w:hint="default" w:ascii="Times New Roman" w:hAnsi="Times New Roman" w:eastAsia="宋体" w:cs="Times New Roman"/>
                <w:color w:val="auto"/>
                <w:sz w:val="24"/>
                <w:szCs w:val="24"/>
              </w:rPr>
            </w:pPr>
          </w:p>
        </w:tc>
      </w:tr>
      <w:tr w14:paraId="081E6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1213" w:type="dxa"/>
            <w:vAlign w:val="center"/>
          </w:tcPr>
          <w:p w14:paraId="5EE70560">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规划情况</w:t>
            </w:r>
          </w:p>
        </w:tc>
        <w:tc>
          <w:tcPr>
            <w:tcW w:w="7965" w:type="dxa"/>
            <w:gridSpan w:val="3"/>
            <w:vAlign w:val="center"/>
          </w:tcPr>
          <w:p w14:paraId="5AEF5BF0">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2017年3月1日，</w:t>
            </w:r>
            <w:r>
              <w:rPr>
                <w:rFonts w:hint="default" w:ascii="Times New Roman" w:hAnsi="Times New Roman" w:eastAsia="宋体" w:cs="Times New Roman"/>
                <w:color w:val="auto"/>
                <w:sz w:val="24"/>
                <w:szCs w:val="24"/>
              </w:rPr>
              <w:t>国家发展和改革委员会《内蒙古自治区鄂尔多斯纳林河煤炭矿区总体规划》（发改能源﹝20</w:t>
            </w:r>
            <w:r>
              <w:rPr>
                <w:rFonts w:hint="default" w:ascii="Times New Roman" w:hAnsi="Times New Roman" w:eastAsia="宋体" w:cs="Times New Roman"/>
                <w:color w:val="auto"/>
                <w:sz w:val="24"/>
                <w:szCs w:val="24"/>
                <w:lang w:val="en-US" w:eastAsia="zh-CN"/>
              </w:rPr>
              <w:t>17</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404</w:t>
            </w:r>
            <w:r>
              <w:rPr>
                <w:rFonts w:hint="default" w:ascii="Times New Roman" w:hAnsi="Times New Roman" w:eastAsia="宋体" w:cs="Times New Roman"/>
                <w:color w:val="auto"/>
                <w:sz w:val="24"/>
                <w:szCs w:val="24"/>
              </w:rPr>
              <w:t>号）</w:t>
            </w:r>
          </w:p>
        </w:tc>
      </w:tr>
      <w:tr w14:paraId="662A3C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2" w:hRule="atLeast"/>
          <w:jc w:val="center"/>
        </w:trPr>
        <w:tc>
          <w:tcPr>
            <w:tcW w:w="1213" w:type="dxa"/>
            <w:vAlign w:val="center"/>
          </w:tcPr>
          <w:p w14:paraId="37C79DCD">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规划环境影响评价情况</w:t>
            </w:r>
          </w:p>
        </w:tc>
        <w:tc>
          <w:tcPr>
            <w:tcW w:w="7965" w:type="dxa"/>
            <w:gridSpan w:val="3"/>
            <w:vAlign w:val="center"/>
          </w:tcPr>
          <w:p w14:paraId="43948424">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中华人民共和国环境保护部《关于内蒙古自治区鄂尔多斯纳林河煤炭矿区总体规划环境影响报告书的审查意见》（环审﹝20</w:t>
            </w:r>
            <w:r>
              <w:rPr>
                <w:rFonts w:hint="default" w:ascii="Times New Roman" w:hAnsi="Times New Roman" w:eastAsia="宋体" w:cs="Times New Roman"/>
                <w:color w:val="auto"/>
                <w:sz w:val="24"/>
                <w:szCs w:val="24"/>
                <w:lang w:val="en-US" w:eastAsia="zh-CN"/>
              </w:rPr>
              <w:t>18</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rPr>
              <w:t>号）</w:t>
            </w:r>
          </w:p>
        </w:tc>
      </w:tr>
      <w:tr w14:paraId="2E8EB3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8" w:hRule="atLeast"/>
          <w:jc w:val="center"/>
        </w:trPr>
        <w:tc>
          <w:tcPr>
            <w:tcW w:w="1213" w:type="dxa"/>
            <w:vAlign w:val="center"/>
          </w:tcPr>
          <w:p w14:paraId="6D115DF3">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规划及规划环境影响评价符合性分析</w:t>
            </w:r>
          </w:p>
        </w:tc>
        <w:tc>
          <w:tcPr>
            <w:tcW w:w="7965" w:type="dxa"/>
            <w:gridSpan w:val="3"/>
            <w:vAlign w:val="center"/>
          </w:tcPr>
          <w:p w14:paraId="2818710E">
            <w:pPr>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《内蒙古自治区鄂尔多斯纳林河煤炭矿区总体规划》和《内蒙古自治区鄂尔多斯纳林河煤炭矿区总体规划环境影响报告书》提出：</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矿区掘进</w:t>
            </w:r>
            <w:r>
              <w:rPr>
                <w:rFonts w:hint="default" w:ascii="Times New Roman" w:hAnsi="Times New Roman" w:eastAsia="宋体" w:cs="Times New Roman"/>
                <w:color w:val="auto"/>
                <w:sz w:val="24"/>
                <w:szCs w:val="24"/>
                <w:lang w:eastAsia="zh-CN"/>
              </w:rPr>
              <w:t>矸石</w:t>
            </w:r>
            <w:r>
              <w:rPr>
                <w:rFonts w:hint="default" w:ascii="Times New Roman" w:hAnsi="Times New Roman" w:eastAsia="宋体" w:cs="Times New Roman"/>
                <w:color w:val="auto"/>
                <w:sz w:val="24"/>
                <w:szCs w:val="24"/>
              </w:rPr>
              <w:t>不上井；洗选</w:t>
            </w:r>
            <w:r>
              <w:rPr>
                <w:rFonts w:hint="default" w:ascii="Times New Roman" w:hAnsi="Times New Roman" w:eastAsia="宋体" w:cs="Times New Roman"/>
                <w:color w:val="auto"/>
                <w:sz w:val="24"/>
                <w:szCs w:val="24"/>
                <w:lang w:eastAsia="zh-CN"/>
              </w:rPr>
              <w:t>矸石</w:t>
            </w:r>
            <w:r>
              <w:rPr>
                <w:rFonts w:hint="default" w:ascii="Times New Roman" w:hAnsi="Times New Roman" w:eastAsia="宋体" w:cs="Times New Roman"/>
                <w:color w:val="auto"/>
                <w:sz w:val="24"/>
                <w:szCs w:val="24"/>
              </w:rPr>
              <w:t>综合利用于发电、制砖、填沟造地、筑坝造地等，也可考虑用于后期沉陷区治理，洗选</w:t>
            </w:r>
            <w:r>
              <w:rPr>
                <w:rFonts w:hint="default" w:ascii="Times New Roman" w:hAnsi="Times New Roman" w:eastAsia="宋体" w:cs="Times New Roman"/>
                <w:color w:val="auto"/>
                <w:sz w:val="24"/>
                <w:szCs w:val="24"/>
                <w:lang w:eastAsia="zh-CN"/>
              </w:rPr>
              <w:t>矸石</w:t>
            </w:r>
            <w:r>
              <w:rPr>
                <w:rFonts w:hint="default" w:ascii="Times New Roman" w:hAnsi="Times New Roman" w:eastAsia="宋体" w:cs="Times New Roman"/>
                <w:color w:val="auto"/>
                <w:sz w:val="24"/>
                <w:szCs w:val="24"/>
              </w:rPr>
              <w:t>利用率为100%。</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粉煤灰渣作为建筑材料生产原料，用于烧砖、制水泥，生产陶瓷，砌块及加气混凝土等。</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垃圾运往当地环卫部门指定的地方进行处置；煤泥压滤后掺入混煤中外销</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污泥压滤后作农耕肥料。</w:t>
            </w:r>
            <w:r>
              <w:rPr>
                <w:rFonts w:hint="default" w:ascii="Times New Roman" w:hAnsi="Times New Roman" w:eastAsia="宋体" w:cs="Times New Roman"/>
                <w:color w:val="auto"/>
                <w:sz w:val="24"/>
                <w:szCs w:val="24"/>
                <w:lang w:eastAsia="zh-CN"/>
              </w:rPr>
              <w:t>”</w:t>
            </w:r>
          </w:p>
          <w:p w14:paraId="4652AD30">
            <w:pPr>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本项目利用</w:t>
            </w:r>
            <w:r>
              <w:rPr>
                <w:rFonts w:hint="default" w:ascii="Times New Roman" w:hAnsi="Times New Roman" w:eastAsia="宋体" w:cs="Times New Roman"/>
                <w:color w:val="auto"/>
                <w:lang w:val="en-US" w:eastAsia="zh-CN"/>
              </w:rPr>
              <w:t>白家海子煤矿</w:t>
            </w:r>
            <w:r>
              <w:rPr>
                <w:rFonts w:hint="default" w:ascii="Times New Roman" w:hAnsi="Times New Roman" w:eastAsia="宋体" w:cs="Times New Roman"/>
                <w:color w:val="auto"/>
                <w:sz w:val="24"/>
                <w:szCs w:val="24"/>
              </w:rPr>
              <w:t>产生的煤矸石进行采空区离层充填利用，</w:t>
            </w:r>
            <w:r>
              <w:rPr>
                <w:rFonts w:hint="default" w:ascii="Times New Roman" w:hAnsi="Times New Roman" w:eastAsia="宋体" w:cs="Times New Roman"/>
                <w:color w:val="auto"/>
                <w:kern w:val="0"/>
                <w:sz w:val="24"/>
                <w:szCs w:val="24"/>
                <w:lang w:val="en-US" w:eastAsia="zh-CN" w:bidi="ar"/>
              </w:rPr>
              <w:t>目前，矿井地面主体土建工程已基本施工完成，井下正在进行东翼、北翼大巷掘进，预计2026年上半年完成项目竣工验收。白家海子煤矿投产后，年洗选矸石量约90万t/a，因此本项目</w:t>
            </w:r>
            <w:r>
              <w:rPr>
                <w:rFonts w:hint="default" w:ascii="Times New Roman" w:hAnsi="Times New Roman" w:eastAsia="宋体" w:cs="Times New Roman"/>
                <w:color w:val="auto"/>
                <w:sz w:val="24"/>
                <w:szCs w:val="24"/>
              </w:rPr>
              <w:t>处理矸石量为</w:t>
            </w:r>
            <w:r>
              <w:rPr>
                <w:rFonts w:hint="default" w:ascii="Times New Roman" w:hAnsi="Times New Roman" w:eastAsia="宋体" w:cs="Times New Roman"/>
                <w:color w:val="auto"/>
                <w:sz w:val="24"/>
                <w:szCs w:val="24"/>
                <w:lang w:val="en-US" w:eastAsia="zh-CN"/>
              </w:rPr>
              <w:t>90</w:t>
            </w:r>
            <w:r>
              <w:rPr>
                <w:rFonts w:hint="default" w:ascii="Times New Roman" w:hAnsi="Times New Roman" w:eastAsia="宋体" w:cs="Times New Roman"/>
                <w:color w:val="auto"/>
                <w:sz w:val="24"/>
                <w:szCs w:val="24"/>
              </w:rPr>
              <w:t>万吨，</w:t>
            </w:r>
            <w:r>
              <w:rPr>
                <w:rFonts w:hint="default" w:ascii="Times New Roman" w:hAnsi="Times New Roman" w:eastAsia="宋体" w:cs="Times New Roman"/>
                <w:color w:val="auto"/>
                <w:lang w:val="en-US" w:eastAsia="zh-CN"/>
              </w:rPr>
              <w:t>白家海子煤矿</w:t>
            </w:r>
            <w:r>
              <w:rPr>
                <w:rFonts w:hint="default" w:ascii="Times New Roman" w:hAnsi="Times New Roman" w:eastAsia="宋体" w:cs="Times New Roman"/>
                <w:color w:val="auto"/>
                <w:sz w:val="24"/>
                <w:szCs w:val="24"/>
              </w:rPr>
              <w:t>的煤矸石利用率达到100%，因此，本项目符合内蒙古自治区鄂尔多斯纳林河煤炭矿区总体规划及其规划环境影响报告书和审查意见的要求。</w:t>
            </w:r>
          </w:p>
        </w:tc>
      </w:tr>
      <w:tr w14:paraId="781F7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92" w:hRule="atLeast"/>
          <w:jc w:val="center"/>
        </w:trPr>
        <w:tc>
          <w:tcPr>
            <w:tcW w:w="1213" w:type="dxa"/>
            <w:vAlign w:val="center"/>
          </w:tcPr>
          <w:p w14:paraId="6ECA9BE2">
            <w:pPr>
              <w:spacing w:line="240" w:lineRule="auto"/>
              <w:ind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rPr>
              <w:t>其他符合性分析</w:t>
            </w:r>
          </w:p>
        </w:tc>
        <w:tc>
          <w:tcPr>
            <w:tcW w:w="7965" w:type="dxa"/>
            <w:gridSpan w:val="3"/>
            <w:vAlign w:val="top"/>
          </w:tcPr>
          <w:p w14:paraId="6BA14E14">
            <w:pPr>
              <w:keepNext w:val="0"/>
              <w:keepLines w:val="0"/>
              <w:pageBreakBefore w:val="0"/>
              <w:kinsoku/>
              <w:overflowPunct/>
              <w:topLinePunct w:val="0"/>
              <w:autoSpaceDE/>
              <w:autoSpaceDN/>
              <w:bidi w:val="0"/>
              <w:snapToGrid w:val="0"/>
              <w:ind w:firstLine="482"/>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产业政策符合性</w:t>
            </w:r>
          </w:p>
          <w:p w14:paraId="5EE5BABF">
            <w:pPr>
              <w:keepNext w:val="0"/>
              <w:keepLines w:val="0"/>
              <w:pageBreakBefore w:val="0"/>
              <w:widowControl w:val="0"/>
              <w:kinsoku/>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本项目为煤矸石充填项目，根据《产业结构调整指导目录</w:t>
            </w:r>
            <w:bookmarkStart w:id="3" w:name="_Hlk77084137"/>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24</w:t>
            </w:r>
            <w:r>
              <w:rPr>
                <w:rFonts w:hint="default" w:ascii="Times New Roman" w:hAnsi="Times New Roman" w:eastAsia="宋体" w:cs="Times New Roman"/>
                <w:color w:val="auto"/>
                <w:sz w:val="24"/>
                <w:szCs w:val="24"/>
              </w:rPr>
              <w:t>年本）</w:t>
            </w:r>
            <w:bookmarkEnd w:id="3"/>
            <w:r>
              <w:rPr>
                <w:rFonts w:hint="default" w:ascii="Times New Roman" w:hAnsi="Times New Roman" w:eastAsia="宋体" w:cs="Times New Roman"/>
                <w:color w:val="auto"/>
                <w:sz w:val="24"/>
                <w:szCs w:val="24"/>
              </w:rPr>
              <w:t>》</w:t>
            </w:r>
            <w:bookmarkStart w:id="4" w:name="_Hlk80714417"/>
            <w:r>
              <w:rPr>
                <w:rFonts w:hint="default" w:ascii="Times New Roman" w:hAnsi="Times New Roman" w:eastAsia="宋体" w:cs="Times New Roman"/>
                <w:color w:val="auto"/>
                <w:sz w:val="24"/>
                <w:szCs w:val="24"/>
              </w:rPr>
              <w:t>鼓励类第三项“煤炭”中第</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条“</w:t>
            </w:r>
            <w:r>
              <w:rPr>
                <w:rFonts w:hint="default" w:ascii="Times New Roman" w:hAnsi="Times New Roman" w:eastAsia="宋体" w:cs="Times New Roman"/>
                <w:color w:val="auto"/>
                <w:sz w:val="24"/>
                <w:szCs w:val="24"/>
                <w:lang w:val="en-US" w:eastAsia="zh-CN"/>
              </w:rPr>
              <w:t>3．矿山生态修复：地面沉陷区治理</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项目</w:t>
            </w:r>
            <w:r>
              <w:rPr>
                <w:rFonts w:hint="default" w:ascii="Times New Roman" w:hAnsi="Times New Roman" w:eastAsia="宋体" w:cs="Times New Roman"/>
                <w:color w:val="auto"/>
                <w:sz w:val="24"/>
                <w:szCs w:val="24"/>
              </w:rPr>
              <w:t>，符合国家产业政策要求。</w:t>
            </w:r>
            <w:bookmarkEnd w:id="4"/>
          </w:p>
          <w:p w14:paraId="6FF373E5">
            <w:pPr>
              <w:keepNext w:val="0"/>
              <w:keepLines w:val="0"/>
              <w:pageBreakBefore w:val="0"/>
              <w:widowControl w:val="0"/>
              <w:kinsoku/>
              <w:wordWrap w:val="0"/>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w:t>
            </w:r>
            <w:r>
              <w:rPr>
                <w:rFonts w:hint="default"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月</w:t>
            </w:r>
            <w:r>
              <w:rPr>
                <w:rFonts w:hint="default" w:ascii="Times New Roman" w:hAnsi="Times New Roman" w:eastAsia="宋体" w:cs="Times New Roman"/>
                <w:color w:val="auto"/>
                <w:sz w:val="24"/>
                <w:szCs w:val="24"/>
                <w:lang w:val="en-US" w:eastAsia="zh-CN"/>
              </w:rPr>
              <w:t>25</w:t>
            </w:r>
            <w:r>
              <w:rPr>
                <w:rFonts w:hint="default" w:ascii="Times New Roman" w:hAnsi="Times New Roman" w:eastAsia="宋体" w:cs="Times New Roman"/>
                <w:color w:val="auto"/>
                <w:sz w:val="24"/>
                <w:szCs w:val="24"/>
              </w:rPr>
              <w:t>日，乌审旗能源局对本项目准予备案，出具了项目备案告知书（项目代码</w:t>
            </w:r>
            <w:r>
              <w:rPr>
                <w:rFonts w:hint="default" w:ascii="Times New Roman" w:hAnsi="Times New Roman" w:eastAsia="宋体" w:cs="Times New Roman"/>
                <w:color w:val="auto"/>
                <w:lang w:val="en-US" w:eastAsia="zh-CN"/>
              </w:rPr>
              <w:t>2508-150626-60-01-786962</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因此，</w:t>
            </w:r>
            <w:r>
              <w:rPr>
                <w:rFonts w:hint="default" w:ascii="Times New Roman" w:hAnsi="Times New Roman" w:eastAsia="宋体" w:cs="Times New Roman"/>
                <w:color w:val="auto"/>
                <w:sz w:val="24"/>
                <w:szCs w:val="24"/>
              </w:rPr>
              <w:t>项目符合地方产业政策要求。</w:t>
            </w:r>
          </w:p>
          <w:p w14:paraId="6B427AB6">
            <w:pPr>
              <w:keepNext w:val="0"/>
              <w:keepLines w:val="0"/>
              <w:pageBreakBefore w:val="0"/>
              <w:kinsoku/>
              <w:overflowPunct/>
              <w:topLinePunct w:val="0"/>
              <w:autoSpaceDE/>
              <w:autoSpaceDN/>
              <w:bidi w:val="0"/>
              <w:snapToGrid w:val="0"/>
              <w:ind w:firstLine="482"/>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rPr>
              <w:t>选址合理性分析</w:t>
            </w:r>
          </w:p>
          <w:p w14:paraId="6B35DCB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lang w:val="en-US" w:eastAsia="zh-CN"/>
              </w:rPr>
              <w:t>本项目建设地点位于内蒙古自治区鄂尔多斯市乌审旗嘎鲁图镇神水台村内蒙古鄂尔多斯联海煤业有限公司白家海子煤矿井田范围内，</w:t>
            </w:r>
            <w:r>
              <w:rPr>
                <w:rFonts w:hint="default" w:ascii="Times New Roman" w:hAnsi="Times New Roman" w:eastAsia="宋体" w:cs="Times New Roman"/>
                <w:color w:val="auto"/>
                <w:sz w:val="24"/>
                <w:lang w:val="en-US" w:eastAsia="zh-CN"/>
              </w:rPr>
              <w:t>其中，</w:t>
            </w:r>
            <w:r>
              <w:rPr>
                <w:rFonts w:hint="default" w:ascii="Times New Roman" w:hAnsi="Times New Roman" w:eastAsia="宋体" w:cs="Times New Roman"/>
                <w:color w:val="auto"/>
                <w:lang w:val="en-US" w:eastAsia="zh-CN"/>
              </w:rPr>
              <w:t>注浆站位于矿井工业场地南侧，占地类型为工业用地，管线部分位于工业场地，部分位于井田范围，走向为从南至北，井田范围内管线属于架空方式，</w:t>
            </w:r>
            <w:r>
              <w:rPr>
                <w:rFonts w:hint="default" w:ascii="Times New Roman" w:hAnsi="Times New Roman" w:eastAsia="宋体" w:cs="Times New Roman"/>
                <w:color w:val="auto"/>
                <w:szCs w:val="24"/>
                <w:u w:val="none"/>
                <w:lang w:val="en-US" w:eastAsia="zh-CN"/>
              </w:rPr>
              <w:t>钻孔均位于</w:t>
            </w:r>
            <w:r>
              <w:rPr>
                <w:rFonts w:hint="default" w:ascii="Times New Roman" w:hAnsi="Times New Roman" w:eastAsia="宋体" w:cs="Times New Roman"/>
                <w:color w:val="auto"/>
                <w:kern w:val="0"/>
                <w:sz w:val="24"/>
                <w:szCs w:val="24"/>
                <w:lang w:val="en-US" w:eastAsia="zh-CN" w:bidi="ar"/>
              </w:rPr>
              <w:t xml:space="preserve"> 2201 首采工作面。</w:t>
            </w:r>
            <w:r>
              <w:rPr>
                <w:rFonts w:hint="default" w:ascii="Times New Roman" w:hAnsi="Times New Roman" w:eastAsia="宋体" w:cs="Times New Roman"/>
                <w:color w:val="auto"/>
                <w:sz w:val="24"/>
              </w:rPr>
              <w:t>根据现场勘察，矿田范围内不涉及自然保护区、风景名胜区、饮用水源保护区等法律法规明令禁止采矿和占用的区域。</w:t>
            </w:r>
          </w:p>
          <w:p w14:paraId="12D98353">
            <w:pPr>
              <w:keepNext w:val="0"/>
              <w:keepLines w:val="0"/>
              <w:pageBreakBefore w:val="0"/>
              <w:kinsoku/>
              <w:wordWrap/>
              <w:overflowPunct/>
              <w:topLinePunct w:val="0"/>
              <w:autoSpaceDE/>
              <w:autoSpaceDN/>
              <w:bidi w:val="0"/>
              <w:adjustRightInd/>
              <w:snapToGrid w:val="0"/>
              <w:spacing w:line="360" w:lineRule="auto"/>
              <w:ind w:firstLine="425"/>
              <w:jc w:val="both"/>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根据鄂尔多斯市生态环境局乌审旗分局文件关于核查白家海子井田采矿权范围是否涉及水源地保护区的复函，经核查，项目不在乌审旗水源地保护范围内，见附件5；</w:t>
            </w:r>
          </w:p>
          <w:p w14:paraId="78D1FFAF">
            <w:pPr>
              <w:keepNext w:val="0"/>
              <w:keepLines w:val="0"/>
              <w:pageBreakBefore w:val="0"/>
              <w:kinsoku/>
              <w:wordWrap/>
              <w:overflowPunct/>
              <w:topLinePunct w:val="0"/>
              <w:autoSpaceDE/>
              <w:autoSpaceDN/>
              <w:bidi w:val="0"/>
              <w:adjustRightInd/>
              <w:snapToGrid w:val="0"/>
              <w:spacing w:line="360" w:lineRule="auto"/>
              <w:ind w:firstLine="425"/>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乌审旗林业和草原局关于白家海子井田采矿范围内的林草情况及管控意见，经核查，矿区范围占用国家二级公益林3861.36公顷，地方公益林1541.02公顷，本项目注浆站位于矿井工业场地南侧，占地类型为工业用地，钻孔等均位于矿区范围内首采工作面，不涉及</w:t>
            </w:r>
            <w:r>
              <w:rPr>
                <w:rFonts w:hint="eastAsia" w:cs="Times New Roman"/>
                <w:color w:val="auto"/>
                <w:lang w:val="en-US" w:eastAsia="zh-CN"/>
              </w:rPr>
              <w:t>国家</w:t>
            </w:r>
            <w:r>
              <w:rPr>
                <w:rFonts w:hint="default" w:ascii="Times New Roman" w:hAnsi="Times New Roman" w:eastAsia="宋体" w:cs="Times New Roman"/>
                <w:color w:val="auto"/>
                <w:lang w:val="en-US" w:eastAsia="zh-CN"/>
              </w:rPr>
              <w:t>公益林及地方公益林；见附件6；项目与公益林位置关系图见附图9；</w:t>
            </w:r>
          </w:p>
          <w:p w14:paraId="3965C531">
            <w:pPr>
              <w:keepNext w:val="0"/>
              <w:keepLines w:val="0"/>
              <w:pageBreakBefore w:val="0"/>
              <w:kinsoku/>
              <w:wordWrap/>
              <w:overflowPunct/>
              <w:topLinePunct w:val="0"/>
              <w:autoSpaceDE/>
              <w:autoSpaceDN/>
              <w:bidi w:val="0"/>
              <w:adjustRightInd/>
              <w:snapToGrid w:val="0"/>
              <w:spacing w:line="360" w:lineRule="auto"/>
              <w:ind w:firstLine="425"/>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lang w:val="en-US" w:eastAsia="zh-CN"/>
              </w:rPr>
              <w:t>根据</w:t>
            </w:r>
            <w:r>
              <w:rPr>
                <w:rFonts w:hint="default" w:ascii="Times New Roman" w:hAnsi="Times New Roman" w:eastAsia="宋体" w:cs="Times New Roman"/>
                <w:color w:val="auto"/>
                <w:lang w:val="en-US" w:eastAsia="zh-CN"/>
              </w:rPr>
              <w:t>乌审旗自然资源局关于确认</w:t>
            </w:r>
            <w:r>
              <w:rPr>
                <w:rFonts w:hint="eastAsia" w:cs="Times New Roman"/>
                <w:color w:val="auto"/>
                <w:lang w:val="en-US" w:eastAsia="zh-CN"/>
              </w:rPr>
              <w:t>《</w:t>
            </w:r>
            <w:r>
              <w:rPr>
                <w:rFonts w:hint="default" w:ascii="Times New Roman" w:hAnsi="Times New Roman" w:eastAsia="宋体" w:cs="Times New Roman"/>
                <w:color w:val="auto"/>
                <w:lang w:val="en-US" w:eastAsia="zh-CN"/>
              </w:rPr>
              <w:t>内蒙古鄂尔多斯联海煤业有限公司核查白家海子煤矿首采工作面情况函的复函》，项目坐标范围内涉及</w:t>
            </w:r>
            <w:r>
              <w:rPr>
                <w:rFonts w:hint="eastAsia" w:cs="Times New Roman"/>
                <w:color w:val="auto"/>
                <w:lang w:val="en-US" w:eastAsia="zh-CN"/>
              </w:rPr>
              <w:t>永久基本农田</w:t>
            </w:r>
            <w:r>
              <w:rPr>
                <w:rFonts w:hint="default" w:ascii="Times New Roman" w:hAnsi="Times New Roman" w:eastAsia="宋体" w:cs="Times New Roman"/>
                <w:color w:val="auto"/>
                <w:lang w:val="en-US" w:eastAsia="zh-CN"/>
              </w:rPr>
              <w:t>82.715公顷，项目不允许占用</w:t>
            </w:r>
            <w:r>
              <w:rPr>
                <w:rFonts w:hint="eastAsia" w:cs="Times New Roman"/>
                <w:color w:val="auto"/>
                <w:lang w:val="en-US" w:eastAsia="zh-CN"/>
              </w:rPr>
              <w:t>永久基本农田</w:t>
            </w:r>
            <w:r>
              <w:rPr>
                <w:rFonts w:hint="default" w:ascii="Times New Roman" w:hAnsi="Times New Roman" w:eastAsia="宋体" w:cs="Times New Roman"/>
                <w:color w:val="auto"/>
                <w:lang w:val="en-US" w:eastAsia="zh-CN"/>
              </w:rPr>
              <w:t>，不位于我旗划定的生态保护红线范围之内，见附件7；</w:t>
            </w:r>
            <w:r>
              <w:rPr>
                <w:rFonts w:hint="eastAsia" w:cs="Times New Roman"/>
                <w:color w:val="auto"/>
                <w:lang w:val="en-US" w:eastAsia="zh-CN"/>
              </w:rPr>
              <w:t>厂外注浆管线均为架空管线，管线支架及</w:t>
            </w:r>
            <w:r>
              <w:rPr>
                <w:rFonts w:hint="default" w:ascii="Times New Roman" w:hAnsi="Times New Roman" w:eastAsia="宋体" w:cs="Times New Roman"/>
                <w:color w:val="auto"/>
                <w:lang w:val="en-US" w:eastAsia="zh-CN"/>
              </w:rPr>
              <w:t>钻孔</w:t>
            </w:r>
            <w:r>
              <w:rPr>
                <w:rFonts w:hint="eastAsia" w:cs="Times New Roman"/>
                <w:color w:val="auto"/>
                <w:lang w:val="en-US" w:eastAsia="zh-CN"/>
              </w:rPr>
              <w:t>禁止占用基本农田</w:t>
            </w:r>
            <w:r>
              <w:rPr>
                <w:rFonts w:hint="default" w:ascii="Times New Roman" w:hAnsi="Times New Roman" w:eastAsia="宋体" w:cs="Times New Roman"/>
                <w:color w:val="auto"/>
                <w:lang w:val="en-US" w:eastAsia="zh-CN"/>
              </w:rPr>
              <w:t>，项目与</w:t>
            </w:r>
            <w:r>
              <w:rPr>
                <w:rFonts w:hint="eastAsia" w:cs="Times New Roman"/>
                <w:color w:val="auto"/>
                <w:lang w:val="en-US" w:eastAsia="zh-CN"/>
              </w:rPr>
              <w:t>永久基本农田</w:t>
            </w:r>
            <w:r>
              <w:rPr>
                <w:rFonts w:hint="default" w:ascii="Times New Roman" w:hAnsi="Times New Roman" w:eastAsia="宋体" w:cs="Times New Roman"/>
                <w:color w:val="auto"/>
                <w:lang w:val="en-US" w:eastAsia="zh-CN"/>
              </w:rPr>
              <w:t>位置关系图见附图10；</w:t>
            </w:r>
          </w:p>
          <w:p w14:paraId="08F0F588">
            <w:pPr>
              <w:keepNext w:val="0"/>
              <w:keepLines w:val="0"/>
              <w:pageBreakBefore w:val="0"/>
              <w:kinsoku/>
              <w:wordWrap/>
              <w:overflowPunct/>
              <w:topLinePunct w:val="0"/>
              <w:autoSpaceDE/>
              <w:autoSpaceDN/>
              <w:bidi w:val="0"/>
              <w:adjustRightInd/>
              <w:snapToGrid w:val="0"/>
              <w:spacing w:line="360" w:lineRule="auto"/>
              <w:ind w:firstLine="425"/>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乌审旗自然资源局关于确认内蒙古鄂尔多斯联海煤业有限公司核查白家海子煤矿首采工作面是否占压河湖岸线、水库等范围的复函》，经可查界址点坐标，该采面与嘎鲁图镇镇级河流海子湾沟部分管理范围重叠，不在库区管理范围内</w:t>
            </w:r>
            <w:r>
              <w:rPr>
                <w:rFonts w:hint="eastAsia" w:cs="Times New Roman"/>
                <w:color w:val="auto"/>
                <w:lang w:val="en-US" w:eastAsia="zh-CN"/>
              </w:rPr>
              <w:t>，</w:t>
            </w:r>
            <w:r>
              <w:rPr>
                <w:rFonts w:hint="default" w:ascii="Times New Roman" w:hAnsi="Times New Roman" w:eastAsia="宋体" w:cs="Times New Roman"/>
                <w:color w:val="auto"/>
                <w:lang w:val="en-US" w:eastAsia="zh-CN"/>
              </w:rPr>
              <w:t>见附件8；</w:t>
            </w:r>
            <w:r>
              <w:rPr>
                <w:rFonts w:hint="eastAsia" w:cs="Times New Roman"/>
                <w:color w:val="auto"/>
                <w:lang w:val="en-US" w:eastAsia="zh-CN"/>
              </w:rPr>
              <w:t>根据《建筑物、水体、铁路及主要井巷煤柱留设与压煤开采规范》，需在重要河（湖、海）堤、库（河）坝、船闸等留设煤柱，煤矿环评对海流图河和贠家湾水库留设保护煤柱，未提出海子湾沟留设煤柱要求，本项目离层注浆充填项目，不涉及充填开采，厂外注浆管线均为架空管线，管线支架及钻孔避让河道范围</w:t>
            </w:r>
            <w:bookmarkStart w:id="48" w:name="_GoBack"/>
            <w:bookmarkEnd w:id="48"/>
            <w:r>
              <w:rPr>
                <w:rFonts w:hint="eastAsia" w:cs="Times New Roman"/>
                <w:color w:val="auto"/>
                <w:lang w:val="en-US" w:eastAsia="zh-CN"/>
              </w:rPr>
              <w:t>；</w:t>
            </w:r>
            <w:r>
              <w:rPr>
                <w:rFonts w:hint="default" w:ascii="Times New Roman" w:hAnsi="Times New Roman" w:eastAsia="宋体" w:cs="Times New Roman"/>
                <w:color w:val="auto"/>
                <w:lang w:val="en-US" w:eastAsia="zh-CN"/>
              </w:rPr>
              <w:t>项目与河湖岸线、水库位置关系图见附图11。</w:t>
            </w:r>
          </w:p>
          <w:p w14:paraId="2544E29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本项目产生的废气、噪声在采取各项环保措施后均可达标排放，废水处理后回用，不外排，固废也可得到合理处置，即对周围环境影响较小。因此，从环境保护的角度分析，本项目选址合理。</w:t>
            </w:r>
          </w:p>
          <w:p w14:paraId="7D089431">
            <w:pPr>
              <w:keepNext w:val="0"/>
              <w:keepLines w:val="0"/>
              <w:pageBreakBefore w:val="0"/>
              <w:kinsoku/>
              <w:wordWrap/>
              <w:overflowPunct/>
              <w:topLinePunct w:val="0"/>
              <w:autoSpaceDE/>
              <w:autoSpaceDN/>
              <w:bidi w:val="0"/>
              <w:adjustRightInd/>
              <w:snapToGrid w:val="0"/>
              <w:spacing w:line="360" w:lineRule="auto"/>
              <w:ind w:firstLine="425"/>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线路比选</w:t>
            </w:r>
            <w:r>
              <w:rPr>
                <w:rFonts w:hint="default" w:ascii="Times New Roman" w:hAnsi="Times New Roman" w:eastAsia="宋体" w:cs="Times New Roman"/>
                <w:color w:val="auto"/>
                <w:lang w:val="en-US" w:eastAsia="zh-CN"/>
              </w:rPr>
              <w:t>：</w:t>
            </w:r>
          </w:p>
          <w:p w14:paraId="4E24B5AD">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矸石覆岩离层注浆场地距离注浆地点直线距离4.13km。根据地面地形及</w:t>
            </w:r>
            <w:r>
              <w:rPr>
                <w:rFonts w:hint="eastAsia" w:cs="Times New Roman"/>
                <w:color w:val="auto"/>
                <w:sz w:val="24"/>
                <w:szCs w:val="24"/>
                <w:lang w:eastAsia="zh-CN"/>
              </w:rPr>
              <w:t>已有</w:t>
            </w:r>
            <w:r>
              <w:rPr>
                <w:rFonts w:hint="default" w:ascii="Times New Roman" w:hAnsi="Times New Roman" w:eastAsia="宋体" w:cs="Times New Roman"/>
                <w:color w:val="auto"/>
                <w:sz w:val="24"/>
                <w:szCs w:val="24"/>
              </w:rPr>
              <w:t>设施，提出两个方案：</w:t>
            </w:r>
          </w:p>
          <w:p w14:paraId="2A07C1B2">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方案一</w:t>
            </w:r>
          </w:p>
          <w:p w14:paraId="0BF4C760">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注浆管线沿制浆车间西侧道路埋地敷设，向北出工业场地后，先向东然后向北沿保护煤柱架空敷设4.23km到2201工作面注浆孔。</w:t>
            </w:r>
          </w:p>
          <w:p w14:paraId="5B8790B8">
            <w:pPr>
              <w:keepNext w:val="0"/>
              <w:keepLines w:val="0"/>
              <w:pageBreakBefore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方案二</w:t>
            </w:r>
          </w:p>
          <w:p w14:paraId="417D134B">
            <w:pPr>
              <w:keepNext w:val="0"/>
              <w:keepLines w:val="0"/>
              <w:pageBreakBefore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注浆管线沿制浆车间西侧道路埋地敷设，向北出工业场地后，向东北3.54km架空敷设直接到2201工作面注浆孔。</w:t>
            </w:r>
          </w:p>
          <w:p w14:paraId="088552A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地面管线方案见</w:t>
            </w:r>
            <w:r>
              <w:rPr>
                <w:rFonts w:hint="default" w:ascii="Times New Roman" w:hAnsi="Times New Roman" w:eastAsia="宋体" w:cs="Times New Roman"/>
                <w:color w:val="auto"/>
                <w:kern w:val="2"/>
                <w:sz w:val="24"/>
                <w:szCs w:val="24"/>
                <w:lang w:val="en-US" w:eastAsia="zh-CN"/>
              </w:rPr>
              <w:t>下图</w:t>
            </w:r>
            <w:r>
              <w:rPr>
                <w:rFonts w:hint="default" w:ascii="Times New Roman" w:hAnsi="Times New Roman" w:eastAsia="宋体" w:cs="Times New Roman"/>
                <w:color w:val="auto"/>
                <w:kern w:val="2"/>
                <w:sz w:val="24"/>
                <w:szCs w:val="24"/>
              </w:rPr>
              <w:t>。方案优缺点比较见</w:t>
            </w:r>
            <w:r>
              <w:rPr>
                <w:rFonts w:hint="default" w:ascii="Times New Roman" w:hAnsi="Times New Roman" w:eastAsia="宋体" w:cs="Times New Roman"/>
                <w:color w:val="auto"/>
                <w:kern w:val="2"/>
                <w:sz w:val="24"/>
                <w:szCs w:val="24"/>
                <w:lang w:val="en-US" w:eastAsia="zh-CN"/>
              </w:rPr>
              <w:t>下表</w:t>
            </w:r>
            <w:r>
              <w:rPr>
                <w:rFonts w:hint="default" w:ascii="Times New Roman" w:hAnsi="Times New Roman" w:eastAsia="宋体" w:cs="Times New Roman"/>
                <w:color w:val="auto"/>
                <w:kern w:val="2"/>
                <w:sz w:val="24"/>
                <w:szCs w:val="24"/>
              </w:rPr>
              <w:t>。</w:t>
            </w:r>
          </w:p>
          <w:p w14:paraId="023D3444">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表1-1 方案优缺点对比表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3606"/>
              <w:gridCol w:w="3503"/>
            </w:tblGrid>
            <w:tr w14:paraId="256EA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770" w:type="dxa"/>
                  <w:vAlign w:val="center"/>
                </w:tcPr>
                <w:p w14:paraId="330439F4">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比选方案</w:t>
                  </w:r>
                </w:p>
              </w:tc>
              <w:tc>
                <w:tcPr>
                  <w:tcW w:w="3606" w:type="dxa"/>
                  <w:vAlign w:val="center"/>
                </w:tcPr>
                <w:p w14:paraId="7DBF519F">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方案一</w:t>
                  </w:r>
                </w:p>
              </w:tc>
              <w:tc>
                <w:tcPr>
                  <w:tcW w:w="3503" w:type="dxa"/>
                  <w:vAlign w:val="center"/>
                </w:tcPr>
                <w:p w14:paraId="322CD0A5">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方案二</w:t>
                  </w:r>
                </w:p>
              </w:tc>
            </w:tr>
            <w:tr w14:paraId="7193D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jc w:val="center"/>
              </w:trPr>
              <w:tc>
                <w:tcPr>
                  <w:tcW w:w="770" w:type="dxa"/>
                  <w:vAlign w:val="center"/>
                </w:tcPr>
                <w:p w14:paraId="5CF58282">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优点</w:t>
                  </w:r>
                </w:p>
              </w:tc>
              <w:tc>
                <w:tcPr>
                  <w:tcW w:w="3606" w:type="dxa"/>
                  <w:vAlign w:val="center"/>
                </w:tcPr>
                <w:p w14:paraId="5F2E04AF">
                  <w:pPr>
                    <w:keepNext w:val="0"/>
                    <w:keepLines w:val="0"/>
                    <w:pageBreakBefore w:val="0"/>
                    <w:widowControl/>
                    <w:numPr>
                      <w:ilvl w:val="0"/>
                      <w:numId w:val="1"/>
                    </w:numPr>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随着工作面向南推进，注浆管线距离变短，方便地面末端注浆；</w:t>
                  </w:r>
                </w:p>
                <w:p w14:paraId="503C1531">
                  <w:pPr>
                    <w:keepNext w:val="0"/>
                    <w:keepLines w:val="0"/>
                    <w:pageBreakBefore w:val="0"/>
                    <w:widowControl/>
                    <w:numPr>
                      <w:ilvl w:val="0"/>
                      <w:numId w:val="1"/>
                    </w:numPr>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征地与首采工作面一并考虑，</w:t>
                  </w:r>
                  <w:r>
                    <w:rPr>
                      <w:rFonts w:hint="default" w:ascii="Times New Roman" w:hAnsi="Times New Roman" w:eastAsia="宋体" w:cs="Times New Roman"/>
                      <w:b w:val="0"/>
                      <w:bCs w:val="0"/>
                      <w:color w:val="auto"/>
                      <w:kern w:val="0"/>
                      <w:sz w:val="21"/>
                      <w:szCs w:val="21"/>
                      <w:lang w:val="en-US" w:eastAsia="zh-CN" w:bidi="ar-SA"/>
                    </w:rPr>
                    <w:t>征地面积最少，</w:t>
                  </w:r>
                  <w:r>
                    <w:rPr>
                      <w:rFonts w:hint="eastAsia" w:cs="Times New Roman"/>
                      <w:b w:val="0"/>
                      <w:bCs w:val="0"/>
                      <w:color w:val="auto"/>
                      <w:kern w:val="0"/>
                      <w:sz w:val="21"/>
                      <w:szCs w:val="21"/>
                      <w:lang w:val="en-US" w:eastAsia="zh-CN" w:bidi="ar-SA"/>
                    </w:rPr>
                    <w:t>占用植被最少，</w:t>
                  </w:r>
                  <w:r>
                    <w:rPr>
                      <w:rFonts w:hint="default" w:ascii="Times New Roman" w:hAnsi="Times New Roman" w:eastAsia="宋体" w:cs="Times New Roman"/>
                      <w:color w:val="auto"/>
                      <w:kern w:val="0"/>
                      <w:sz w:val="21"/>
                      <w:szCs w:val="21"/>
                      <w:lang w:val="en-US" w:eastAsia="zh-CN" w:bidi="ar-SA"/>
                    </w:rPr>
                    <w:t>征地费用低。</w:t>
                  </w:r>
                </w:p>
              </w:tc>
              <w:tc>
                <w:tcPr>
                  <w:tcW w:w="3503" w:type="dxa"/>
                  <w:vAlign w:val="center"/>
                </w:tcPr>
                <w:p w14:paraId="702A495F">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1、管线多位于保护煤柱范围内，受采动影响小；</w:t>
                  </w:r>
                </w:p>
                <w:p w14:paraId="3FF50A5D">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2、移交时管路相对较短。</w:t>
                  </w:r>
                </w:p>
              </w:tc>
            </w:tr>
            <w:tr w14:paraId="18966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4" w:hRule="atLeast"/>
                <w:jc w:val="center"/>
              </w:trPr>
              <w:tc>
                <w:tcPr>
                  <w:tcW w:w="770" w:type="dxa"/>
                  <w:vAlign w:val="center"/>
                </w:tcPr>
                <w:p w14:paraId="7E368F0C">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缺点</w:t>
                  </w:r>
                </w:p>
              </w:tc>
              <w:tc>
                <w:tcPr>
                  <w:tcW w:w="3606" w:type="dxa"/>
                  <w:vAlign w:val="center"/>
                </w:tcPr>
                <w:p w14:paraId="6F2FF23F">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1、未来可能受工作面采动影响，移交时管路较长</w:t>
                  </w:r>
                </w:p>
              </w:tc>
              <w:tc>
                <w:tcPr>
                  <w:tcW w:w="3503" w:type="dxa"/>
                  <w:vAlign w:val="center"/>
                </w:tcPr>
                <w:p w14:paraId="21544DB2">
                  <w:pPr>
                    <w:keepNext w:val="0"/>
                    <w:keepLines w:val="0"/>
                    <w:pageBreakBefore w:val="0"/>
                    <w:widowControl/>
                    <w:tabs>
                      <w:tab w:val="left" w:pos="478"/>
                    </w:tabs>
                    <w:kinsoku/>
                    <w:wordWrap/>
                    <w:overflowPunct/>
                    <w:topLinePunct w:val="0"/>
                    <w:autoSpaceDE/>
                    <w:autoSpaceDN/>
                    <w:bidi w:val="0"/>
                    <w:adjustRightInd w:val="0"/>
                    <w:snapToGrid w:val="0"/>
                    <w:spacing w:before="0" w:beforeAutospacing="0" w:after="0" w:afterAutospacing="0" w:line="240" w:lineRule="auto"/>
                    <w:ind w:left="0" w:leftChars="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1、新增征地较多，征地费用高；随着工作面推进，地面需要新增加连接管路。</w:t>
                  </w:r>
                </w:p>
              </w:tc>
            </w:tr>
          </w:tbl>
          <w:p w14:paraId="318E6725">
            <w:pPr>
              <w:widowControl w:val="0"/>
              <w:spacing w:line="500" w:lineRule="exact"/>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综合比较分析，方案</w:t>
            </w:r>
            <w:r>
              <w:rPr>
                <w:rFonts w:hint="default" w:ascii="Times New Roman" w:hAnsi="Times New Roman" w:eastAsia="宋体" w:cs="Times New Roman"/>
                <w:color w:val="auto"/>
                <w:kern w:val="2"/>
                <w:sz w:val="24"/>
                <w:szCs w:val="24"/>
                <w:lang w:val="en-US" w:eastAsia="zh-CN"/>
              </w:rPr>
              <w:t>二</w:t>
            </w:r>
            <w:r>
              <w:rPr>
                <w:rFonts w:hint="default" w:ascii="Times New Roman" w:hAnsi="Times New Roman" w:eastAsia="宋体" w:cs="Times New Roman"/>
                <w:color w:val="auto"/>
                <w:kern w:val="2"/>
                <w:sz w:val="24"/>
                <w:szCs w:val="24"/>
              </w:rPr>
              <w:t>中征地较多，投资高；随着工作面的推进，地面需要新增加连接管路。方案</w:t>
            </w:r>
            <w:r>
              <w:rPr>
                <w:rFonts w:hint="default" w:ascii="Times New Roman" w:hAnsi="Times New Roman" w:eastAsia="宋体" w:cs="Times New Roman"/>
                <w:color w:val="auto"/>
                <w:kern w:val="2"/>
                <w:sz w:val="24"/>
                <w:szCs w:val="24"/>
                <w:lang w:val="en-US" w:eastAsia="zh-CN"/>
              </w:rPr>
              <w:t>一</w:t>
            </w:r>
            <w:r>
              <w:rPr>
                <w:rFonts w:hint="default" w:ascii="Times New Roman" w:hAnsi="Times New Roman" w:eastAsia="宋体" w:cs="Times New Roman"/>
                <w:color w:val="auto"/>
                <w:kern w:val="2"/>
                <w:sz w:val="24"/>
                <w:szCs w:val="24"/>
              </w:rPr>
              <w:t>优势明显，管线布置推荐采用方案</w:t>
            </w:r>
            <w:r>
              <w:rPr>
                <w:rFonts w:hint="default" w:ascii="Times New Roman" w:hAnsi="Times New Roman" w:eastAsia="宋体" w:cs="Times New Roman"/>
                <w:color w:val="auto"/>
                <w:kern w:val="2"/>
                <w:sz w:val="24"/>
                <w:szCs w:val="24"/>
                <w:lang w:val="en-US" w:eastAsia="zh-CN"/>
              </w:rPr>
              <w:t>一</w:t>
            </w:r>
            <w:r>
              <w:rPr>
                <w:rFonts w:hint="default" w:ascii="Times New Roman" w:hAnsi="Times New Roman" w:eastAsia="宋体" w:cs="Times New Roman"/>
                <w:color w:val="auto"/>
                <w:kern w:val="2"/>
                <w:sz w:val="24"/>
                <w:szCs w:val="24"/>
              </w:rPr>
              <w:t>。</w:t>
            </w:r>
          </w:p>
          <w:p w14:paraId="4428C7CB">
            <w:pPr>
              <w:spacing w:line="360" w:lineRule="auto"/>
              <w:ind w:left="0" w:leftChars="0" w:firstLine="0" w:firstLineChars="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0" distR="0">
                  <wp:extent cx="4951730" cy="7599045"/>
                  <wp:effectExtent l="9525" t="9525" r="10795" b="11430"/>
                  <wp:docPr id="995298982" name="图片 5" descr="C:\Users\zhangxin\Desktop\2.p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98982" name="图片 5" descr="C:\Users\zhangxin\Desktop\2.png2"/>
                          <pic:cNvPicPr>
                            <a:picLocks noChangeAspect="1" noChangeArrowheads="1"/>
                          </pic:cNvPicPr>
                        </pic:nvPicPr>
                        <pic:blipFill>
                          <a:blip r:embed="rId20"/>
                          <a:srcRect/>
                          <a:stretch>
                            <a:fillRect/>
                          </a:stretch>
                        </pic:blipFill>
                        <pic:spPr>
                          <a:xfrm>
                            <a:off x="0" y="0"/>
                            <a:ext cx="4951730" cy="7599045"/>
                          </a:xfrm>
                          <a:prstGeom prst="rect">
                            <a:avLst/>
                          </a:prstGeom>
                          <a:noFill/>
                          <a:ln>
                            <a:solidFill>
                              <a:schemeClr val="tx1"/>
                            </a:solidFill>
                          </a:ln>
                          <a:effectLst/>
                        </pic:spPr>
                      </pic:pic>
                    </a:graphicData>
                  </a:graphic>
                </wp:inline>
              </w:drawing>
            </w:r>
          </w:p>
          <w:p w14:paraId="269CB907">
            <w:pPr>
              <w:spacing w:line="360" w:lineRule="auto"/>
              <w:ind w:firstLine="425"/>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图1-1   管线方案比选</w:t>
            </w:r>
          </w:p>
          <w:p w14:paraId="04DF0F20">
            <w:pPr>
              <w:ind w:firstLine="482"/>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与</w:t>
            </w:r>
            <w:r>
              <w:rPr>
                <w:rFonts w:hint="default" w:ascii="Times New Roman" w:hAnsi="Times New Roman" w:eastAsia="宋体" w:cs="Times New Roman"/>
                <w:b/>
                <w:bCs/>
                <w:color w:val="auto"/>
                <w:lang w:val="en-US" w:eastAsia="zh-CN"/>
              </w:rPr>
              <w:t>生态环境分区管控</w:t>
            </w:r>
            <w:r>
              <w:rPr>
                <w:rFonts w:hint="default" w:ascii="Times New Roman" w:hAnsi="Times New Roman" w:eastAsia="宋体" w:cs="Times New Roman"/>
                <w:b/>
                <w:bCs/>
                <w:color w:val="auto"/>
              </w:rPr>
              <w:t>符合性分析</w:t>
            </w:r>
          </w:p>
          <w:p w14:paraId="5D462F4E">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val="en-US" w:eastAsia="zh-CN"/>
              </w:rPr>
              <w:t>根据</w:t>
            </w:r>
            <w:r>
              <w:rPr>
                <w:rFonts w:hint="default" w:ascii="Times New Roman" w:hAnsi="Times New Roman" w:eastAsia="宋体" w:cs="Times New Roman"/>
                <w:color w:val="auto"/>
                <w:kern w:val="2"/>
                <w:sz w:val="24"/>
                <w:szCs w:val="24"/>
                <w:highlight w:val="none"/>
              </w:rPr>
              <w:t>2023年鄂尔多斯市生态环境分区管控成果动态更新成果</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本项目占地涉及</w:t>
            </w:r>
            <w:r>
              <w:rPr>
                <w:rFonts w:hint="default" w:ascii="Times New Roman" w:hAnsi="Times New Roman" w:eastAsia="宋体" w:cs="Times New Roman"/>
                <w:color w:val="auto"/>
                <w:kern w:val="2"/>
                <w:sz w:val="24"/>
                <w:szCs w:val="24"/>
                <w:highlight w:val="none"/>
                <w:lang w:val="en-US" w:eastAsia="zh-CN"/>
              </w:rPr>
              <w:t>2个</w:t>
            </w:r>
            <w:r>
              <w:rPr>
                <w:rFonts w:hint="default" w:ascii="Times New Roman" w:hAnsi="Times New Roman" w:eastAsia="宋体" w:cs="Times New Roman"/>
                <w:color w:val="auto"/>
                <w:kern w:val="2"/>
                <w:sz w:val="24"/>
                <w:szCs w:val="24"/>
                <w:highlight w:val="none"/>
              </w:rPr>
              <w:t>重点管控单元。</w:t>
            </w:r>
            <w:r>
              <w:rPr>
                <w:rFonts w:hint="default" w:ascii="Times New Roman" w:hAnsi="Times New Roman" w:eastAsia="宋体" w:cs="Times New Roman"/>
                <w:color w:val="auto"/>
                <w:kern w:val="2"/>
                <w:sz w:val="24"/>
                <w:szCs w:val="24"/>
                <w:highlight w:val="none"/>
                <w:lang w:val="en-US" w:eastAsia="zh-CN"/>
              </w:rPr>
              <w:t>即纳林河矿区及周边煤矿区</w:t>
            </w:r>
            <w:r>
              <w:rPr>
                <w:rFonts w:hint="default" w:ascii="Times New Roman" w:hAnsi="Times New Roman" w:eastAsia="宋体" w:cs="Times New Roman"/>
                <w:color w:val="auto"/>
                <w:kern w:val="2"/>
                <w:sz w:val="24"/>
                <w:szCs w:val="24"/>
                <w:highlight w:val="none"/>
              </w:rPr>
              <w:t>重点管控单元（编号ZH1506262000</w:t>
            </w:r>
            <w:r>
              <w:rPr>
                <w:rFonts w:hint="default" w:ascii="Times New Roman" w:hAnsi="Times New Roman" w:eastAsia="宋体" w:cs="Times New Roman"/>
                <w:color w:val="auto"/>
                <w:kern w:val="2"/>
                <w:sz w:val="24"/>
                <w:szCs w:val="24"/>
                <w:highlight w:val="none"/>
                <w:lang w:val="en-US" w:eastAsia="zh-CN"/>
              </w:rPr>
              <w:t>5</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乌审旗城镇边界</w:t>
            </w:r>
            <w:r>
              <w:rPr>
                <w:rFonts w:hint="default" w:ascii="Times New Roman" w:hAnsi="Times New Roman" w:eastAsia="宋体" w:cs="Times New Roman"/>
                <w:color w:val="auto"/>
                <w:kern w:val="2"/>
                <w:sz w:val="24"/>
                <w:szCs w:val="24"/>
                <w:highlight w:val="none"/>
              </w:rPr>
              <w:t>重点管控单元（编号ZH150626</w:t>
            </w:r>
            <w:r>
              <w:rPr>
                <w:rFonts w:hint="default" w:ascii="Times New Roman" w:hAnsi="Times New Roman" w:eastAsia="宋体" w:cs="Times New Roman"/>
                <w:color w:val="auto"/>
                <w:kern w:val="2"/>
                <w:sz w:val="24"/>
                <w:szCs w:val="24"/>
                <w:highlight w:val="none"/>
                <w:lang w:val="en-US" w:eastAsia="zh-CN"/>
              </w:rPr>
              <w:t>20003</w:t>
            </w:r>
            <w:r>
              <w:rPr>
                <w:rFonts w:hint="default" w:ascii="Times New Roman" w:hAnsi="Times New Roman" w:eastAsia="宋体" w:cs="Times New Roman"/>
                <w:color w:val="auto"/>
                <w:kern w:val="2"/>
                <w:sz w:val="24"/>
                <w:szCs w:val="24"/>
                <w:highlight w:val="none"/>
              </w:rPr>
              <w:t>）。因此</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本项目不涉及生态保护红线，全市共划定环境管控单元</w:t>
            </w:r>
            <w:r>
              <w:rPr>
                <w:rFonts w:hint="default" w:ascii="Times New Roman" w:hAnsi="Times New Roman" w:eastAsia="宋体" w:cs="Times New Roman"/>
                <w:color w:val="auto"/>
                <w:kern w:val="2"/>
                <w:sz w:val="24"/>
                <w:szCs w:val="24"/>
                <w:highlight w:val="none"/>
                <w:lang w:val="en-US" w:eastAsia="zh-CN"/>
              </w:rPr>
              <w:t>171</w:t>
            </w:r>
            <w:r>
              <w:rPr>
                <w:rFonts w:hint="default" w:ascii="Times New Roman" w:hAnsi="Times New Roman" w:eastAsia="宋体" w:cs="Times New Roman"/>
                <w:color w:val="auto"/>
                <w:kern w:val="2"/>
                <w:sz w:val="24"/>
                <w:szCs w:val="24"/>
                <w:highlight w:val="none"/>
              </w:rPr>
              <w:t>个，包括优先保护单元、重点管控单元、一般管控单元三类，实施分类管控。</w:t>
            </w:r>
          </w:p>
          <w:p w14:paraId="701A5E3D">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优先保护单元共</w:t>
            </w:r>
            <w:r>
              <w:rPr>
                <w:rFonts w:hint="default" w:ascii="Times New Roman" w:hAnsi="Times New Roman" w:eastAsia="宋体" w:cs="Times New Roman"/>
                <w:color w:val="auto"/>
                <w:kern w:val="2"/>
                <w:sz w:val="24"/>
                <w:szCs w:val="24"/>
                <w:lang w:val="en-US" w:eastAsia="zh-CN"/>
              </w:rPr>
              <w:t>76</w:t>
            </w:r>
            <w:r>
              <w:rPr>
                <w:rFonts w:hint="default" w:ascii="Times New Roman" w:hAnsi="Times New Roman" w:eastAsia="宋体" w:cs="Times New Roman"/>
                <w:color w:val="auto"/>
                <w:kern w:val="2"/>
                <w:sz w:val="24"/>
                <w:szCs w:val="24"/>
              </w:rPr>
              <w:t>个，面积占全市国土总面积的6</w:t>
            </w:r>
            <w:r>
              <w:rPr>
                <w:rFonts w:hint="default" w:ascii="Times New Roman" w:hAnsi="Times New Roman" w:eastAsia="宋体" w:cs="Times New Roman"/>
                <w:color w:val="auto"/>
                <w:kern w:val="2"/>
                <w:sz w:val="24"/>
                <w:szCs w:val="24"/>
                <w:lang w:val="en-US" w:eastAsia="zh-CN"/>
              </w:rPr>
              <w:t>4.35</w:t>
            </w:r>
            <w:r>
              <w:rPr>
                <w:rFonts w:hint="default" w:ascii="Times New Roman" w:hAnsi="Times New Roman" w:eastAsia="宋体" w:cs="Times New Roman"/>
                <w:color w:val="auto"/>
                <w:kern w:val="2"/>
                <w:sz w:val="24"/>
                <w:szCs w:val="24"/>
              </w:rPr>
              <w:t>%。主要包括生态保护红线、自然保护地、集中式饮用水水源保护区等生态功能重要区和生态环境敏感区。重点管控单元共8</w:t>
            </w:r>
            <w:r>
              <w:rPr>
                <w:rFonts w:hint="default" w:ascii="Times New Roman" w:hAnsi="Times New Roman" w:eastAsia="宋体" w:cs="Times New Roman"/>
                <w:color w:val="auto"/>
                <w:kern w:val="2"/>
                <w:sz w:val="24"/>
                <w:szCs w:val="24"/>
                <w:lang w:val="en-US" w:eastAsia="zh-CN"/>
              </w:rPr>
              <w:t>6</w:t>
            </w:r>
            <w:r>
              <w:rPr>
                <w:rFonts w:hint="default" w:ascii="Times New Roman" w:hAnsi="Times New Roman" w:eastAsia="宋体" w:cs="Times New Roman"/>
                <w:color w:val="auto"/>
                <w:kern w:val="2"/>
                <w:sz w:val="24"/>
                <w:szCs w:val="24"/>
              </w:rPr>
              <w:t>个，面积占全市总面积的</w:t>
            </w:r>
            <w:r>
              <w:rPr>
                <w:rFonts w:hint="default" w:ascii="Times New Roman" w:hAnsi="Times New Roman" w:eastAsia="宋体" w:cs="Times New Roman"/>
                <w:color w:val="auto"/>
                <w:kern w:val="2"/>
                <w:sz w:val="24"/>
                <w:szCs w:val="24"/>
                <w:lang w:val="en-US" w:eastAsia="zh-CN"/>
              </w:rPr>
              <w:t>28.10</w:t>
            </w:r>
            <w:r>
              <w:rPr>
                <w:rFonts w:hint="default" w:ascii="Times New Roman" w:hAnsi="Times New Roman" w:eastAsia="宋体" w:cs="Times New Roman"/>
                <w:color w:val="auto"/>
                <w:kern w:val="2"/>
                <w:sz w:val="24"/>
                <w:szCs w:val="24"/>
              </w:rPr>
              <w:t>%，主要包括工业园区、城市、矿区等开发强度高、污染排放量大、环境问题相对集中的区域，以及生态需水补给区等。一般管控单元共</w:t>
            </w:r>
            <w:r>
              <w:rPr>
                <w:rFonts w:hint="default" w:ascii="Times New Roman" w:hAnsi="Times New Roman" w:eastAsia="宋体" w:cs="Times New Roman"/>
                <w:color w:val="auto"/>
                <w:kern w:val="2"/>
                <w:sz w:val="24"/>
                <w:szCs w:val="24"/>
                <w:lang w:val="en-US" w:eastAsia="zh-CN"/>
              </w:rPr>
              <w:t>9</w:t>
            </w:r>
            <w:r>
              <w:rPr>
                <w:rFonts w:hint="default" w:ascii="Times New Roman" w:hAnsi="Times New Roman" w:eastAsia="宋体" w:cs="Times New Roman"/>
                <w:color w:val="auto"/>
                <w:kern w:val="2"/>
                <w:sz w:val="24"/>
                <w:szCs w:val="24"/>
              </w:rPr>
              <w:t>个，面积占比为</w:t>
            </w:r>
            <w:r>
              <w:rPr>
                <w:rFonts w:hint="default" w:ascii="Times New Roman" w:hAnsi="Times New Roman" w:eastAsia="宋体" w:cs="Times New Roman"/>
                <w:color w:val="auto"/>
                <w:kern w:val="2"/>
                <w:sz w:val="24"/>
                <w:szCs w:val="24"/>
                <w:lang w:val="en-US" w:eastAsia="zh-CN"/>
              </w:rPr>
              <w:t>7.56</w:t>
            </w:r>
            <w:r>
              <w:rPr>
                <w:rFonts w:hint="default" w:ascii="Times New Roman" w:hAnsi="Times New Roman" w:eastAsia="宋体" w:cs="Times New Roman"/>
                <w:color w:val="auto"/>
                <w:kern w:val="2"/>
                <w:sz w:val="24"/>
                <w:szCs w:val="24"/>
              </w:rPr>
              <w:t>%，为优先保护单元、重点管控单元之外的其他区域。本项目位于重点管控单元。</w:t>
            </w:r>
          </w:p>
          <w:p w14:paraId="5E3E92B6">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fldChar w:fldCharType="begin"/>
            </w:r>
            <w:r>
              <w:rPr>
                <w:rFonts w:hint="default" w:ascii="Times New Roman" w:hAnsi="Times New Roman" w:eastAsia="宋体" w:cs="Times New Roman"/>
                <w:color w:val="auto"/>
                <w:kern w:val="2"/>
                <w:sz w:val="24"/>
                <w:szCs w:val="24"/>
                <w:highlight w:val="none"/>
              </w:rPr>
              <w:instrText xml:space="preserve"> = 1 \* GB3 \* MERGEFORMAT </w:instrText>
            </w:r>
            <w:r>
              <w:rPr>
                <w:rFonts w:hint="default" w:ascii="Times New Roman" w:hAnsi="Times New Roman" w:eastAsia="宋体" w:cs="Times New Roman"/>
                <w:color w:val="auto"/>
                <w:kern w:val="2"/>
                <w:sz w:val="24"/>
                <w:szCs w:val="24"/>
                <w:highlight w:val="none"/>
              </w:rPr>
              <w:fldChar w:fldCharType="separate"/>
            </w:r>
            <w:r>
              <w:rPr>
                <w:rFonts w:hint="default" w:ascii="Times New Roman" w:hAnsi="Times New Roman" w:eastAsia="宋体" w:cs="Times New Roman"/>
                <w:color w:val="auto"/>
                <w:kern w:val="2"/>
                <w:sz w:val="24"/>
                <w:szCs w:val="24"/>
                <w:highlight w:val="none"/>
              </w:rPr>
              <w:t>①</w:t>
            </w:r>
            <w:r>
              <w:rPr>
                <w:rFonts w:hint="default" w:ascii="Times New Roman" w:hAnsi="Times New Roman" w:eastAsia="宋体" w:cs="Times New Roman"/>
                <w:color w:val="auto"/>
                <w:kern w:val="2"/>
                <w:sz w:val="24"/>
                <w:szCs w:val="24"/>
                <w:highlight w:val="none"/>
              </w:rPr>
              <w:fldChar w:fldCharType="end"/>
            </w:r>
            <w:r>
              <w:rPr>
                <w:rFonts w:hint="default" w:ascii="Times New Roman" w:hAnsi="Times New Roman" w:eastAsia="宋体" w:cs="Times New Roman"/>
                <w:color w:val="auto"/>
                <w:kern w:val="2"/>
                <w:sz w:val="24"/>
                <w:szCs w:val="24"/>
                <w:highlight w:val="none"/>
              </w:rPr>
              <w:t>生态保护红线</w:t>
            </w:r>
          </w:p>
          <w:p w14:paraId="555FF4BC">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本项目位于内蒙古自治区鄂尔多斯市</w:t>
            </w:r>
            <w:r>
              <w:rPr>
                <w:rFonts w:hint="default" w:ascii="Times New Roman" w:hAnsi="Times New Roman" w:eastAsia="宋体" w:cs="Times New Roman"/>
                <w:color w:val="auto"/>
                <w:kern w:val="2"/>
                <w:sz w:val="24"/>
                <w:szCs w:val="24"/>
                <w:highlight w:val="none"/>
                <w:lang w:val="en-US" w:eastAsia="zh-CN"/>
              </w:rPr>
              <w:t>乌审</w:t>
            </w:r>
            <w:r>
              <w:rPr>
                <w:rFonts w:hint="default" w:ascii="Times New Roman" w:hAnsi="Times New Roman" w:eastAsia="宋体" w:cs="Times New Roman"/>
                <w:color w:val="auto"/>
                <w:kern w:val="2"/>
                <w:sz w:val="24"/>
                <w:szCs w:val="24"/>
                <w:highlight w:val="none"/>
              </w:rPr>
              <w:t>旗</w:t>
            </w:r>
            <w:r>
              <w:rPr>
                <w:rFonts w:hint="default" w:ascii="Times New Roman" w:hAnsi="Times New Roman" w:eastAsia="宋体" w:cs="Times New Roman"/>
                <w:color w:val="auto"/>
                <w:szCs w:val="24"/>
                <w:highlight w:val="none"/>
                <w:u w:val="none"/>
                <w:lang w:eastAsia="zh-CN"/>
              </w:rPr>
              <w:t>嘎鲁图镇</w:t>
            </w:r>
            <w:r>
              <w:rPr>
                <w:rFonts w:hint="default" w:ascii="Times New Roman" w:hAnsi="Times New Roman" w:eastAsia="宋体" w:cs="Times New Roman"/>
                <w:color w:val="auto"/>
                <w:kern w:val="2"/>
                <w:sz w:val="24"/>
                <w:szCs w:val="24"/>
                <w:highlight w:val="none"/>
              </w:rPr>
              <w:t>，根据内蒙古自治区“三线一单”公众端应用平台</w:t>
            </w:r>
            <w:r>
              <w:rPr>
                <w:rFonts w:hint="default" w:ascii="Times New Roman" w:hAnsi="Times New Roman" w:eastAsia="宋体" w:cs="Times New Roman"/>
                <w:color w:val="auto"/>
                <w:kern w:val="2"/>
                <w:sz w:val="24"/>
                <w:szCs w:val="24"/>
                <w:highlight w:val="none"/>
                <w:lang w:val="en-US" w:eastAsia="zh-CN"/>
              </w:rPr>
              <w:t>查询截图</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见附图7</w:t>
            </w:r>
            <w:r>
              <w:rPr>
                <w:rFonts w:hint="default" w:ascii="Times New Roman" w:hAnsi="Times New Roman" w:eastAsia="宋体" w:cs="Times New Roman"/>
                <w:color w:val="auto"/>
                <w:kern w:val="2"/>
                <w:sz w:val="24"/>
                <w:szCs w:val="24"/>
                <w:highlight w:val="none"/>
              </w:rPr>
              <w:t>，位于重点管控单元，不涉及生态保护红线；根据鄂尔多斯市生态环境分区管控动态更新成果</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2023年版</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，本项目位于</w:t>
            </w:r>
            <w:r>
              <w:rPr>
                <w:rFonts w:hint="default" w:ascii="Times New Roman" w:hAnsi="Times New Roman" w:eastAsia="宋体" w:cs="Times New Roman"/>
                <w:color w:val="auto"/>
                <w:kern w:val="2"/>
                <w:sz w:val="24"/>
                <w:szCs w:val="24"/>
                <w:highlight w:val="none"/>
                <w:lang w:val="en-US" w:eastAsia="zh-CN"/>
              </w:rPr>
              <w:t>纳林河矿区及周边煤矿区</w:t>
            </w:r>
            <w:r>
              <w:rPr>
                <w:rFonts w:hint="default" w:ascii="Times New Roman" w:hAnsi="Times New Roman" w:eastAsia="宋体" w:cs="Times New Roman"/>
                <w:color w:val="auto"/>
                <w:kern w:val="2"/>
                <w:sz w:val="24"/>
                <w:szCs w:val="24"/>
                <w:highlight w:val="none"/>
              </w:rPr>
              <w:t>重点管控单元（编号ZH1506262000</w:t>
            </w:r>
            <w:r>
              <w:rPr>
                <w:rFonts w:hint="default" w:ascii="Times New Roman" w:hAnsi="Times New Roman" w:eastAsia="宋体" w:cs="Times New Roman"/>
                <w:color w:val="auto"/>
                <w:kern w:val="2"/>
                <w:sz w:val="24"/>
                <w:szCs w:val="24"/>
                <w:highlight w:val="none"/>
                <w:lang w:val="en-US" w:eastAsia="zh-CN"/>
              </w:rPr>
              <w:t>5</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乌审旗城镇边界</w:t>
            </w:r>
            <w:r>
              <w:rPr>
                <w:rFonts w:hint="default" w:ascii="Times New Roman" w:hAnsi="Times New Roman" w:eastAsia="宋体" w:cs="Times New Roman"/>
                <w:color w:val="auto"/>
                <w:kern w:val="2"/>
                <w:sz w:val="24"/>
                <w:szCs w:val="24"/>
                <w:highlight w:val="none"/>
              </w:rPr>
              <w:t>重点管控单元（编号ZH150626</w:t>
            </w:r>
            <w:r>
              <w:rPr>
                <w:rFonts w:hint="default" w:ascii="Times New Roman" w:hAnsi="Times New Roman" w:eastAsia="宋体" w:cs="Times New Roman"/>
                <w:color w:val="auto"/>
                <w:kern w:val="2"/>
                <w:sz w:val="24"/>
                <w:szCs w:val="24"/>
                <w:highlight w:val="none"/>
                <w:lang w:val="en-US" w:eastAsia="zh-CN"/>
              </w:rPr>
              <w:t>20003</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宋体" w:cs="Times New Roman"/>
                <w:color w:val="auto"/>
                <w:kern w:val="2"/>
                <w:sz w:val="24"/>
                <w:szCs w:val="24"/>
                <w:highlight w:val="none"/>
                <w:lang w:val="en-US" w:eastAsia="zh-CN"/>
              </w:rPr>
              <w:t>本项目注浆站占用乌审旗城镇边界</w:t>
            </w:r>
            <w:r>
              <w:rPr>
                <w:rFonts w:hint="default" w:ascii="Times New Roman" w:hAnsi="Times New Roman" w:eastAsia="宋体" w:cs="Times New Roman"/>
                <w:color w:val="auto"/>
                <w:kern w:val="2"/>
                <w:sz w:val="24"/>
                <w:szCs w:val="24"/>
                <w:highlight w:val="none"/>
              </w:rPr>
              <w:t>重点管控</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管线占用纳林河矿区及周边煤矿区</w:t>
            </w:r>
            <w:r>
              <w:rPr>
                <w:rFonts w:hint="default" w:ascii="Times New Roman" w:hAnsi="Times New Roman" w:eastAsia="宋体" w:cs="Times New Roman"/>
                <w:color w:val="auto"/>
                <w:kern w:val="2"/>
                <w:sz w:val="24"/>
                <w:szCs w:val="24"/>
                <w:highlight w:val="none"/>
              </w:rPr>
              <w:t>重点管控单元</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项目与乌审旗城镇边界</w:t>
            </w:r>
            <w:r>
              <w:rPr>
                <w:rFonts w:hint="default" w:ascii="Times New Roman" w:hAnsi="Times New Roman" w:eastAsia="宋体" w:cs="Times New Roman"/>
                <w:color w:val="auto"/>
                <w:kern w:val="2"/>
                <w:sz w:val="24"/>
                <w:szCs w:val="24"/>
                <w:highlight w:val="none"/>
              </w:rPr>
              <w:t>重点管控单元</w:t>
            </w:r>
            <w:r>
              <w:rPr>
                <w:rFonts w:hint="default" w:ascii="Times New Roman" w:hAnsi="Times New Roman" w:eastAsia="宋体" w:cs="Times New Roman"/>
                <w:color w:val="auto"/>
                <w:kern w:val="2"/>
                <w:sz w:val="24"/>
                <w:szCs w:val="24"/>
                <w:highlight w:val="none"/>
                <w:lang w:val="en-US" w:eastAsia="zh-CN"/>
              </w:rPr>
              <w:t>叠图见附图8。</w:t>
            </w:r>
            <w:r>
              <w:rPr>
                <w:rFonts w:hint="default" w:ascii="Times New Roman" w:hAnsi="Times New Roman" w:eastAsia="宋体" w:cs="Times New Roman"/>
                <w:color w:val="auto"/>
                <w:kern w:val="2"/>
                <w:sz w:val="24"/>
                <w:szCs w:val="24"/>
                <w:highlight w:val="none"/>
              </w:rPr>
              <w:t>本项目提升了煤矸石的综合利用效率，有针对性地加强了固体污染物排放控制和环境风险防控，切实推进了煤炭开发过程中的环境保护工作，因此</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项目建设符合生态保护红线要求。</w:t>
            </w:r>
          </w:p>
          <w:p w14:paraId="6D4D0214">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fldChar w:fldCharType="begin"/>
            </w:r>
            <w:r>
              <w:rPr>
                <w:rFonts w:hint="default" w:ascii="Times New Roman" w:hAnsi="Times New Roman" w:eastAsia="宋体" w:cs="Times New Roman"/>
                <w:color w:val="auto"/>
                <w:kern w:val="2"/>
                <w:sz w:val="24"/>
                <w:szCs w:val="24"/>
              </w:rPr>
              <w:instrText xml:space="preserve"> = 2 \* GB3 \* MERGEFORMAT </w:instrText>
            </w:r>
            <w:r>
              <w:rPr>
                <w:rFonts w:hint="default" w:ascii="Times New Roman" w:hAnsi="Times New Roman" w:eastAsia="宋体" w:cs="Times New Roman"/>
                <w:color w:val="auto"/>
                <w:kern w:val="2"/>
                <w:sz w:val="24"/>
                <w:szCs w:val="24"/>
              </w:rPr>
              <w:fldChar w:fldCharType="separate"/>
            </w:r>
            <w:r>
              <w:rPr>
                <w:rFonts w:hint="default" w:ascii="Times New Roman" w:hAnsi="Times New Roman" w:eastAsia="宋体" w:cs="Times New Roman"/>
                <w:color w:val="auto"/>
                <w:kern w:val="2"/>
                <w:sz w:val="24"/>
                <w:szCs w:val="24"/>
              </w:rPr>
              <w:t>②</w:t>
            </w:r>
            <w:r>
              <w:rPr>
                <w:rFonts w:hint="default" w:ascii="Times New Roman" w:hAnsi="Times New Roman" w:eastAsia="宋体" w:cs="Times New Roman"/>
                <w:color w:val="auto"/>
                <w:kern w:val="2"/>
                <w:sz w:val="24"/>
                <w:szCs w:val="24"/>
              </w:rPr>
              <w:fldChar w:fldCharType="end"/>
            </w:r>
            <w:r>
              <w:rPr>
                <w:rFonts w:hint="default" w:ascii="Times New Roman" w:hAnsi="Times New Roman" w:eastAsia="宋体" w:cs="Times New Roman"/>
                <w:color w:val="auto"/>
                <w:kern w:val="2"/>
                <w:sz w:val="24"/>
                <w:szCs w:val="24"/>
              </w:rPr>
              <w:t>环境质量底线</w:t>
            </w:r>
          </w:p>
          <w:p w14:paraId="62C4B942">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根据内蒙古自治区生态环境厅发布的《202</w:t>
            </w:r>
            <w:r>
              <w:rPr>
                <w:rFonts w:hint="default" w:ascii="Times New Roman" w:hAnsi="Times New Roman" w:eastAsia="宋体" w:cs="Times New Roman"/>
                <w:color w:val="auto"/>
                <w:kern w:val="2"/>
                <w:sz w:val="24"/>
                <w:szCs w:val="24"/>
                <w:lang w:val="en-US" w:eastAsia="zh-CN"/>
              </w:rPr>
              <w:t>4</w:t>
            </w:r>
            <w:r>
              <w:rPr>
                <w:rFonts w:hint="default" w:ascii="Times New Roman" w:hAnsi="Times New Roman" w:eastAsia="宋体" w:cs="Times New Roman"/>
                <w:color w:val="auto"/>
                <w:kern w:val="2"/>
                <w:sz w:val="24"/>
                <w:szCs w:val="24"/>
              </w:rPr>
              <w:t>年内蒙古自治区生态环境状况公报》，项目所在区域为环境空气质量达标区。</w:t>
            </w:r>
          </w:p>
          <w:p w14:paraId="4B119DC2">
            <w:pPr>
              <w:widowControl w:val="0"/>
              <w:adjustRightIn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运营后会产生一定的污染物，如粉尘、固废、生产设备运行产生的噪声等，但在采取相应的污染防治措施后，各类污染物的排放一般不会对周边环境造成不良影响，既不会改变区域环境功能区质量要求，又能维持环境功能区质量现状。</w:t>
            </w:r>
          </w:p>
          <w:p w14:paraId="65F79471">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fldChar w:fldCharType="begin"/>
            </w:r>
            <w:r>
              <w:rPr>
                <w:rFonts w:hint="default" w:ascii="Times New Roman" w:hAnsi="Times New Roman" w:eastAsia="宋体" w:cs="Times New Roman"/>
                <w:color w:val="auto"/>
                <w:kern w:val="2"/>
                <w:sz w:val="24"/>
                <w:szCs w:val="24"/>
              </w:rPr>
              <w:instrText xml:space="preserve"> = 3 \* GB3 \* MERGEFORMAT </w:instrText>
            </w:r>
            <w:r>
              <w:rPr>
                <w:rFonts w:hint="default" w:ascii="Times New Roman" w:hAnsi="Times New Roman" w:eastAsia="宋体" w:cs="Times New Roman"/>
                <w:color w:val="auto"/>
                <w:kern w:val="2"/>
                <w:sz w:val="24"/>
                <w:szCs w:val="24"/>
              </w:rPr>
              <w:fldChar w:fldCharType="separate"/>
            </w:r>
            <w:r>
              <w:rPr>
                <w:rFonts w:hint="default" w:ascii="Times New Roman" w:hAnsi="Times New Roman" w:eastAsia="宋体" w:cs="Times New Roman"/>
                <w:color w:val="auto"/>
                <w:kern w:val="2"/>
                <w:sz w:val="24"/>
                <w:szCs w:val="24"/>
              </w:rPr>
              <w:t>③</w:t>
            </w:r>
            <w:r>
              <w:rPr>
                <w:rFonts w:hint="default" w:ascii="Times New Roman" w:hAnsi="Times New Roman" w:eastAsia="宋体" w:cs="Times New Roman"/>
                <w:color w:val="auto"/>
                <w:kern w:val="2"/>
                <w:sz w:val="24"/>
                <w:szCs w:val="24"/>
              </w:rPr>
              <w:fldChar w:fldCharType="end"/>
            </w:r>
            <w:r>
              <w:rPr>
                <w:rFonts w:hint="default" w:ascii="Times New Roman" w:hAnsi="Times New Roman" w:eastAsia="宋体" w:cs="Times New Roman"/>
                <w:color w:val="auto"/>
                <w:kern w:val="2"/>
                <w:sz w:val="24"/>
                <w:szCs w:val="24"/>
              </w:rPr>
              <w:t>资源利用上线</w:t>
            </w:r>
          </w:p>
          <w:p w14:paraId="4A056FC4">
            <w:pPr>
              <w:widowControl w:val="0"/>
              <w:autoSpaceDE w:val="0"/>
              <w:autoSpaceDN w:val="0"/>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本项目运营过程主要资源消耗为电能及用水；其中用电依托原有，本项目新建变电所，用于配电。</w:t>
            </w:r>
          </w:p>
          <w:p w14:paraId="3216E4FB">
            <w:pPr>
              <w:widowControl w:val="0"/>
              <w:autoSpaceDE w:val="0"/>
              <w:autoSpaceDN w:val="0"/>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本项目工业场地用水的生活水源依托矿井工业场地已有设施供给；生产用水采用矿井水处理站处理后的矿井水</w:t>
            </w:r>
            <w:r>
              <w:rPr>
                <w:rFonts w:hint="default"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4"/>
                <w:lang w:val="en-US" w:eastAsia="zh-CN" w:bidi="ar-SA"/>
              </w:rPr>
              <w:t>项目资源消耗量较小，因此项目建设不会超出当地资源利用上线。</w:t>
            </w:r>
          </w:p>
          <w:p w14:paraId="35671755">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fldChar w:fldCharType="begin"/>
            </w:r>
            <w:r>
              <w:rPr>
                <w:rFonts w:hint="default" w:ascii="Times New Roman" w:hAnsi="Times New Roman" w:eastAsia="宋体" w:cs="Times New Roman"/>
                <w:color w:val="auto"/>
                <w:kern w:val="2"/>
                <w:sz w:val="24"/>
                <w:szCs w:val="24"/>
              </w:rPr>
              <w:instrText xml:space="preserve"> = 4 \* GB3 \* MERGEFORMAT </w:instrText>
            </w:r>
            <w:r>
              <w:rPr>
                <w:rFonts w:hint="default" w:ascii="Times New Roman" w:hAnsi="Times New Roman" w:eastAsia="宋体" w:cs="Times New Roman"/>
                <w:color w:val="auto"/>
                <w:kern w:val="2"/>
                <w:sz w:val="24"/>
                <w:szCs w:val="24"/>
              </w:rPr>
              <w:fldChar w:fldCharType="separate"/>
            </w:r>
            <w:r>
              <w:rPr>
                <w:rFonts w:hint="default" w:ascii="Times New Roman" w:hAnsi="Times New Roman" w:eastAsia="宋体" w:cs="Times New Roman"/>
                <w:color w:val="auto"/>
                <w:kern w:val="2"/>
                <w:sz w:val="24"/>
                <w:szCs w:val="24"/>
              </w:rPr>
              <w:t>④</w:t>
            </w:r>
            <w:r>
              <w:rPr>
                <w:rFonts w:hint="default" w:ascii="Times New Roman" w:hAnsi="Times New Roman" w:eastAsia="宋体" w:cs="Times New Roman"/>
                <w:color w:val="auto"/>
                <w:kern w:val="2"/>
                <w:sz w:val="24"/>
                <w:szCs w:val="24"/>
              </w:rPr>
              <w:fldChar w:fldCharType="end"/>
            </w:r>
            <w:r>
              <w:rPr>
                <w:rFonts w:hint="default" w:ascii="Times New Roman" w:hAnsi="Times New Roman" w:eastAsia="宋体" w:cs="Times New Roman"/>
                <w:color w:val="auto"/>
                <w:kern w:val="2"/>
                <w:sz w:val="24"/>
                <w:szCs w:val="24"/>
              </w:rPr>
              <w:t>生态环境准入清单</w:t>
            </w:r>
          </w:p>
          <w:p w14:paraId="65F5960F">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bookmarkStart w:id="5" w:name="_Hlk120999854"/>
            <w:r>
              <w:rPr>
                <w:rFonts w:hint="default" w:ascii="Times New Roman" w:hAnsi="Times New Roman" w:eastAsia="宋体" w:cs="Times New Roman"/>
                <w:color w:val="auto"/>
                <w:kern w:val="2"/>
                <w:sz w:val="24"/>
                <w:szCs w:val="24"/>
                <w:highlight w:val="none"/>
                <w:lang w:val="en-US" w:eastAsia="zh-CN"/>
              </w:rPr>
              <w:t>根据</w:t>
            </w:r>
            <w:r>
              <w:rPr>
                <w:rFonts w:hint="default" w:ascii="Times New Roman" w:hAnsi="Times New Roman" w:eastAsia="宋体" w:cs="Times New Roman"/>
                <w:color w:val="auto"/>
                <w:kern w:val="2"/>
                <w:sz w:val="24"/>
                <w:szCs w:val="24"/>
                <w:highlight w:val="none"/>
              </w:rPr>
              <w:t>2023年鄂尔多斯市生态环境分区管控成果动态更新成果</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本项目占地涉及重点管控单元。</w:t>
            </w:r>
            <w:r>
              <w:rPr>
                <w:rFonts w:hint="default" w:ascii="Times New Roman" w:hAnsi="Times New Roman" w:eastAsia="宋体" w:cs="Times New Roman"/>
                <w:color w:val="auto"/>
                <w:kern w:val="2"/>
                <w:sz w:val="24"/>
                <w:szCs w:val="24"/>
                <w:highlight w:val="none"/>
                <w:lang w:val="en-US" w:eastAsia="zh-CN"/>
              </w:rPr>
              <w:t>即纳林河矿区及周边煤矿区</w:t>
            </w:r>
            <w:r>
              <w:rPr>
                <w:rFonts w:hint="default" w:ascii="Times New Roman" w:hAnsi="Times New Roman" w:eastAsia="宋体" w:cs="Times New Roman"/>
                <w:color w:val="auto"/>
                <w:kern w:val="2"/>
                <w:sz w:val="24"/>
                <w:szCs w:val="24"/>
                <w:highlight w:val="none"/>
              </w:rPr>
              <w:t>重点管控单元（编号ZH1506262000</w:t>
            </w:r>
            <w:r>
              <w:rPr>
                <w:rFonts w:hint="default" w:ascii="Times New Roman" w:hAnsi="Times New Roman" w:eastAsia="宋体" w:cs="Times New Roman"/>
                <w:color w:val="auto"/>
                <w:kern w:val="2"/>
                <w:sz w:val="24"/>
                <w:szCs w:val="24"/>
                <w:highlight w:val="none"/>
                <w:lang w:val="en-US" w:eastAsia="zh-CN"/>
              </w:rPr>
              <w:t>5</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乌审旗城镇边界</w:t>
            </w:r>
            <w:r>
              <w:rPr>
                <w:rFonts w:hint="default" w:ascii="Times New Roman" w:hAnsi="Times New Roman" w:eastAsia="宋体" w:cs="Times New Roman"/>
                <w:color w:val="auto"/>
                <w:kern w:val="2"/>
                <w:sz w:val="24"/>
                <w:szCs w:val="24"/>
                <w:highlight w:val="none"/>
              </w:rPr>
              <w:t>重点管控单元（编号ZH150626</w:t>
            </w:r>
            <w:r>
              <w:rPr>
                <w:rFonts w:hint="default" w:ascii="Times New Roman" w:hAnsi="Times New Roman" w:eastAsia="宋体" w:cs="Times New Roman"/>
                <w:color w:val="auto"/>
                <w:kern w:val="2"/>
                <w:sz w:val="24"/>
                <w:szCs w:val="24"/>
                <w:highlight w:val="none"/>
                <w:lang w:val="en-US" w:eastAsia="zh-CN"/>
              </w:rPr>
              <w:t>20003</w:t>
            </w:r>
            <w:r>
              <w:rPr>
                <w:rFonts w:hint="default" w:ascii="Times New Roman" w:hAnsi="Times New Roman" w:eastAsia="宋体" w:cs="Times New Roman"/>
                <w:color w:val="auto"/>
                <w:kern w:val="2"/>
                <w:sz w:val="24"/>
                <w:szCs w:val="24"/>
                <w:highlight w:val="none"/>
              </w:rPr>
              <w:t>），其环境准入条件具体如下</w:t>
            </w:r>
            <w:bookmarkEnd w:id="5"/>
            <w:r>
              <w:rPr>
                <w:rFonts w:hint="default" w:ascii="Times New Roman" w:hAnsi="Times New Roman" w:eastAsia="宋体" w:cs="Times New Roman"/>
                <w:color w:val="auto"/>
                <w:kern w:val="2"/>
                <w:sz w:val="24"/>
                <w:szCs w:val="24"/>
                <w:highlight w:val="none"/>
              </w:rPr>
              <w:t>表1</w:t>
            </w: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所示。</w:t>
            </w:r>
          </w:p>
          <w:p w14:paraId="3C12F8D8">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表1-2生态环境准入清单</w:t>
            </w:r>
          </w:p>
          <w:tbl>
            <w:tblPr>
              <w:tblStyle w:val="2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0"/>
              <w:gridCol w:w="854"/>
              <w:gridCol w:w="654"/>
              <w:gridCol w:w="470"/>
              <w:gridCol w:w="2415"/>
              <w:gridCol w:w="1734"/>
              <w:gridCol w:w="594"/>
            </w:tblGrid>
            <w:tr w14:paraId="35A62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trPr>
              <w:tc>
                <w:tcPr>
                  <w:tcW w:w="653" w:type="pct"/>
                  <w:noWrap w:val="0"/>
                  <w:vAlign w:val="center"/>
                </w:tcPr>
                <w:p w14:paraId="372D78D7">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环境管控单元编码</w:t>
                  </w:r>
                </w:p>
              </w:tc>
              <w:tc>
                <w:tcPr>
                  <w:tcW w:w="552" w:type="pct"/>
                  <w:noWrap w:val="0"/>
                  <w:vAlign w:val="center"/>
                </w:tcPr>
                <w:p w14:paraId="7C6AA778">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环境管控单元名称</w:t>
                  </w:r>
                </w:p>
              </w:tc>
              <w:tc>
                <w:tcPr>
                  <w:tcW w:w="423" w:type="pct"/>
                  <w:noWrap w:val="0"/>
                  <w:vAlign w:val="center"/>
                </w:tcPr>
                <w:p w14:paraId="6E189465">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管控单元类别</w:t>
                  </w:r>
                </w:p>
              </w:tc>
              <w:tc>
                <w:tcPr>
                  <w:tcW w:w="1865" w:type="pct"/>
                  <w:gridSpan w:val="2"/>
                  <w:noWrap w:val="0"/>
                  <w:vAlign w:val="center"/>
                </w:tcPr>
                <w:p w14:paraId="50BC9F08">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管控要求</w:t>
                  </w:r>
                </w:p>
              </w:tc>
              <w:tc>
                <w:tcPr>
                  <w:tcW w:w="1121" w:type="pct"/>
                  <w:noWrap w:val="0"/>
                  <w:vAlign w:val="center"/>
                </w:tcPr>
                <w:p w14:paraId="033DE128">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本项目情况</w:t>
                  </w:r>
                </w:p>
              </w:tc>
              <w:tc>
                <w:tcPr>
                  <w:tcW w:w="384" w:type="pct"/>
                  <w:noWrap w:val="0"/>
                  <w:vAlign w:val="center"/>
                </w:tcPr>
                <w:p w14:paraId="34F8EFAA">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符合性</w:t>
                  </w:r>
                </w:p>
              </w:tc>
            </w:tr>
            <w:tr w14:paraId="55D0E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restart"/>
                  <w:shd w:val="clear" w:color="auto" w:fill="auto"/>
                  <w:noWrap w:val="0"/>
                  <w:vAlign w:val="center"/>
                </w:tcPr>
                <w:p w14:paraId="2D3238A5">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ZH15062620005</w:t>
                  </w:r>
                </w:p>
              </w:tc>
              <w:tc>
                <w:tcPr>
                  <w:tcW w:w="552" w:type="pct"/>
                  <w:vMerge w:val="restart"/>
                  <w:shd w:val="clear" w:color="auto" w:fill="auto"/>
                  <w:noWrap w:val="0"/>
                  <w:vAlign w:val="center"/>
                </w:tcPr>
                <w:p w14:paraId="77F07C91">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纳林河矿区及周边煤矿区</w:t>
                  </w:r>
                </w:p>
              </w:tc>
              <w:tc>
                <w:tcPr>
                  <w:tcW w:w="423" w:type="pct"/>
                  <w:vMerge w:val="restart"/>
                  <w:shd w:val="clear" w:color="auto" w:fill="auto"/>
                  <w:noWrap w:val="0"/>
                  <w:vAlign w:val="center"/>
                </w:tcPr>
                <w:p w14:paraId="0BCE40E3">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重点管控单元</w:t>
                  </w:r>
                </w:p>
              </w:tc>
              <w:tc>
                <w:tcPr>
                  <w:tcW w:w="304" w:type="pct"/>
                  <w:shd w:val="clear" w:color="auto" w:fill="auto"/>
                  <w:noWrap w:val="0"/>
                  <w:vAlign w:val="center"/>
                </w:tcPr>
                <w:p w14:paraId="62F6ECDA">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空间布局约束</w:t>
                  </w:r>
                </w:p>
              </w:tc>
              <w:tc>
                <w:tcPr>
                  <w:tcW w:w="1560" w:type="pct"/>
                  <w:noWrap w:val="0"/>
                  <w:vAlign w:val="center"/>
                </w:tcPr>
                <w:p w14:paraId="61493AEF">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1121" w:type="pct"/>
                  <w:noWrap w:val="0"/>
                  <w:vAlign w:val="center"/>
                </w:tcPr>
                <w:p w14:paraId="7D022224">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384" w:type="pct"/>
                  <w:noWrap w:val="0"/>
                  <w:vAlign w:val="center"/>
                </w:tcPr>
                <w:p w14:paraId="3EF2BBEF">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w:t>
                  </w:r>
                </w:p>
              </w:tc>
            </w:tr>
            <w:tr w14:paraId="32819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continue"/>
                  <w:shd w:val="clear" w:color="auto" w:fill="auto"/>
                  <w:noWrap w:val="0"/>
                  <w:vAlign w:val="center"/>
                </w:tcPr>
                <w:p w14:paraId="7BDC2559">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552" w:type="pct"/>
                  <w:vMerge w:val="continue"/>
                  <w:shd w:val="clear" w:color="auto" w:fill="auto"/>
                  <w:noWrap w:val="0"/>
                  <w:vAlign w:val="center"/>
                </w:tcPr>
                <w:p w14:paraId="5EA01ED4">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423" w:type="pct"/>
                  <w:vMerge w:val="continue"/>
                  <w:shd w:val="clear" w:color="auto" w:fill="auto"/>
                  <w:noWrap w:val="0"/>
                  <w:vAlign w:val="center"/>
                </w:tcPr>
                <w:p w14:paraId="6DA00BB3">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304" w:type="pct"/>
                  <w:shd w:val="clear" w:color="auto" w:fill="auto"/>
                  <w:noWrap w:val="0"/>
                  <w:vAlign w:val="center"/>
                </w:tcPr>
                <w:p w14:paraId="23492FD2">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污染物排放管控</w:t>
                  </w:r>
                </w:p>
              </w:tc>
              <w:tc>
                <w:tcPr>
                  <w:tcW w:w="1560" w:type="pct"/>
                  <w:noWrap w:val="0"/>
                  <w:vAlign w:val="center"/>
                </w:tcPr>
                <w:p w14:paraId="09B3E2E8">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1121" w:type="pct"/>
                  <w:noWrap w:val="0"/>
                  <w:vAlign w:val="center"/>
                </w:tcPr>
                <w:p w14:paraId="0990578C">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384" w:type="pct"/>
                  <w:noWrap w:val="0"/>
                  <w:vAlign w:val="center"/>
                </w:tcPr>
                <w:p w14:paraId="5874527F">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6AFBB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continue"/>
                  <w:shd w:val="clear" w:color="auto" w:fill="auto"/>
                  <w:noWrap w:val="0"/>
                  <w:vAlign w:val="center"/>
                </w:tcPr>
                <w:p w14:paraId="61CD6F8F">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552" w:type="pct"/>
                  <w:vMerge w:val="continue"/>
                  <w:shd w:val="clear" w:color="auto" w:fill="auto"/>
                  <w:noWrap w:val="0"/>
                  <w:vAlign w:val="center"/>
                </w:tcPr>
                <w:p w14:paraId="0B8287C6">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423" w:type="pct"/>
                  <w:vMerge w:val="continue"/>
                  <w:shd w:val="clear" w:color="auto" w:fill="auto"/>
                  <w:noWrap w:val="0"/>
                  <w:vAlign w:val="center"/>
                </w:tcPr>
                <w:p w14:paraId="45AAE238">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304" w:type="pct"/>
                  <w:shd w:val="clear" w:color="auto" w:fill="auto"/>
                  <w:noWrap w:val="0"/>
                  <w:vAlign w:val="center"/>
                </w:tcPr>
                <w:p w14:paraId="5D060229">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环境风险管控</w:t>
                  </w:r>
                </w:p>
              </w:tc>
              <w:tc>
                <w:tcPr>
                  <w:tcW w:w="1560" w:type="pct"/>
                  <w:noWrap w:val="0"/>
                  <w:vAlign w:val="center"/>
                </w:tcPr>
                <w:p w14:paraId="6EB3A1E7">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1121" w:type="pct"/>
                  <w:noWrap w:val="0"/>
                  <w:vAlign w:val="center"/>
                </w:tcPr>
                <w:p w14:paraId="739EB4EC">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384" w:type="pct"/>
                  <w:noWrap w:val="0"/>
                  <w:vAlign w:val="center"/>
                </w:tcPr>
                <w:p w14:paraId="4AF7F7D3">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0786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continue"/>
                  <w:shd w:val="clear" w:color="auto" w:fill="auto"/>
                  <w:noWrap w:val="0"/>
                  <w:vAlign w:val="center"/>
                </w:tcPr>
                <w:p w14:paraId="14B591F4">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p>
              </w:tc>
              <w:tc>
                <w:tcPr>
                  <w:tcW w:w="552" w:type="pct"/>
                  <w:vMerge w:val="continue"/>
                  <w:shd w:val="clear" w:color="auto" w:fill="auto"/>
                  <w:noWrap w:val="0"/>
                  <w:vAlign w:val="center"/>
                </w:tcPr>
                <w:p w14:paraId="42E68F98">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p>
              </w:tc>
              <w:tc>
                <w:tcPr>
                  <w:tcW w:w="423" w:type="pct"/>
                  <w:vMerge w:val="continue"/>
                  <w:shd w:val="clear" w:color="auto" w:fill="auto"/>
                  <w:noWrap w:val="0"/>
                  <w:vAlign w:val="center"/>
                </w:tcPr>
                <w:p w14:paraId="58093943">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p>
              </w:tc>
              <w:tc>
                <w:tcPr>
                  <w:tcW w:w="304" w:type="pct"/>
                  <w:noWrap w:val="0"/>
                  <w:vAlign w:val="center"/>
                </w:tcPr>
                <w:p w14:paraId="515ADC59">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资源</w:t>
                  </w:r>
                </w:p>
                <w:p w14:paraId="4FDB56AE">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利用</w:t>
                  </w:r>
                </w:p>
                <w:p w14:paraId="10AC94D1">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效率</w:t>
                  </w:r>
                </w:p>
                <w:p w14:paraId="6CA2DD3B">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要求</w:t>
                  </w:r>
                </w:p>
              </w:tc>
              <w:tc>
                <w:tcPr>
                  <w:tcW w:w="1560" w:type="pct"/>
                  <w:noWrap w:val="0"/>
                  <w:vAlign w:val="center"/>
                </w:tcPr>
                <w:p w14:paraId="63BF4172">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原煤入选率不低于75%</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煤</w:t>
                  </w:r>
                  <w:r>
                    <w:rPr>
                      <w:rFonts w:hint="default" w:ascii="Times New Roman" w:hAnsi="Times New Roman" w:eastAsia="宋体" w:cs="Times New Roman"/>
                      <w:color w:val="auto"/>
                      <w:kern w:val="0"/>
                      <w:sz w:val="21"/>
                      <w:szCs w:val="21"/>
                      <w:lang w:eastAsia="zh-CN"/>
                    </w:rPr>
                    <w:t>矸石</w:t>
                  </w:r>
                  <w:r>
                    <w:rPr>
                      <w:rFonts w:hint="default" w:ascii="Times New Roman" w:hAnsi="Times New Roman" w:eastAsia="宋体" w:cs="Times New Roman"/>
                      <w:color w:val="auto"/>
                      <w:kern w:val="0"/>
                      <w:sz w:val="21"/>
                      <w:szCs w:val="21"/>
                    </w:rPr>
                    <w:t>综合利用率应达到75%以上</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矿井水、疏干水应采用洁净化、资源化技术和工艺进行合理处置</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处置率达到100%。</w:t>
                  </w:r>
                </w:p>
                <w:p w14:paraId="6964E76B">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煤矿采区回采率、原煤入选率、</w:t>
                  </w:r>
                  <w:r>
                    <w:rPr>
                      <w:rFonts w:hint="default" w:ascii="Times New Roman" w:hAnsi="Times New Roman" w:eastAsia="宋体" w:cs="Times New Roman"/>
                      <w:color w:val="auto"/>
                      <w:kern w:val="0"/>
                      <w:sz w:val="21"/>
                      <w:szCs w:val="21"/>
                      <w:lang w:val="en-US" w:eastAsia="zh-CN"/>
                    </w:rPr>
                    <w:t>煤</w:t>
                  </w:r>
                  <w:r>
                    <w:rPr>
                      <w:rFonts w:hint="default" w:ascii="Times New Roman" w:hAnsi="Times New Roman" w:eastAsia="宋体" w:cs="Times New Roman"/>
                      <w:color w:val="auto"/>
                      <w:kern w:val="0"/>
                      <w:sz w:val="21"/>
                      <w:szCs w:val="21"/>
                      <w:lang w:eastAsia="zh-CN"/>
                    </w:rPr>
                    <w:t>矸石</w:t>
                  </w:r>
                  <w:r>
                    <w:rPr>
                      <w:rFonts w:hint="default" w:ascii="Times New Roman" w:hAnsi="Times New Roman" w:eastAsia="宋体" w:cs="Times New Roman"/>
                      <w:color w:val="auto"/>
                      <w:kern w:val="0"/>
                      <w:sz w:val="21"/>
                      <w:szCs w:val="21"/>
                    </w:rPr>
                    <w:t>与共伴生矿产资源综合利用率等三项指标符合自然资源部发布的《煤炭资源合理开发利用“三率” 指标要求</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试行</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w:t>
                  </w:r>
                </w:p>
                <w:p w14:paraId="2CA94659">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3.严格执行取用水总量控制制度，推进矿井水综合利用</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煤炭矿区的补充用水、周边地区生产和生态用水应优先使用矿</w:t>
                  </w:r>
                  <w:r>
                    <w:rPr>
                      <w:rFonts w:hint="default" w:ascii="Times New Roman" w:hAnsi="Times New Roman" w:eastAsia="宋体" w:cs="Times New Roman"/>
                      <w:color w:val="auto"/>
                      <w:kern w:val="0"/>
                      <w:sz w:val="21"/>
                      <w:szCs w:val="21"/>
                      <w:lang w:val="en-US" w:eastAsia="zh-CN"/>
                    </w:rPr>
                    <w:t>井</w:t>
                  </w:r>
                  <w:r>
                    <w:rPr>
                      <w:rFonts w:hint="default" w:ascii="Times New Roman" w:hAnsi="Times New Roman" w:eastAsia="宋体" w:cs="Times New Roman"/>
                      <w:color w:val="auto"/>
                      <w:kern w:val="0"/>
                      <w:sz w:val="21"/>
                      <w:szCs w:val="21"/>
                    </w:rPr>
                    <w:t>水</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加强洗煤废水循环利用。</w:t>
                  </w:r>
                </w:p>
                <w:p w14:paraId="11E34499">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 限制勘查开发过程中对环境破坏较大的砂金等重砂矿物，原则上不再新设勘查项目，确需新立的必须通过环境影响评估，并征得环保部门同意。 禁止勘查超贫磁铁矿。</w:t>
                  </w:r>
                </w:p>
              </w:tc>
              <w:tc>
                <w:tcPr>
                  <w:tcW w:w="1121" w:type="pct"/>
                  <w:noWrap w:val="0"/>
                  <w:vAlign w:val="center"/>
                </w:tcPr>
                <w:p w14:paraId="00D4761B">
                  <w:pPr>
                    <w:widowControl/>
                    <w:adjustRightInd w:val="0"/>
                    <w:snapToGrid w:val="0"/>
                    <w:spacing w:line="240" w:lineRule="auto"/>
                    <w:ind w:firstLine="0" w:firstLineChars="0"/>
                    <w:jc w:val="both"/>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r>
                    <w:rPr>
                      <w:rFonts w:hint="default" w:ascii="Times New Roman" w:hAnsi="Times New Roman" w:eastAsia="宋体" w:cs="Times New Roman"/>
                      <w:color w:val="auto"/>
                      <w:kern w:val="2"/>
                      <w:sz w:val="21"/>
                      <w:szCs w:val="21"/>
                    </w:rPr>
                    <w:t>本项目为煤矸石充填项目，将洗煤厂洗选矸石充填至井下采空区，最大程度的处理矸石，煤矸石综合利用率达到100%；本项目不产生矿井水</w:t>
                  </w:r>
                  <w:r>
                    <w:rPr>
                      <w:rFonts w:hint="default" w:ascii="Times New Roman" w:hAnsi="Times New Roman" w:eastAsia="宋体" w:cs="Times New Roman"/>
                      <w:color w:val="auto"/>
                      <w:kern w:val="2"/>
                      <w:sz w:val="21"/>
                      <w:szCs w:val="21"/>
                      <w:lang w:val="en-US" w:eastAsia="zh-CN"/>
                    </w:rPr>
                    <w:t>及疏干水</w:t>
                  </w:r>
                  <w:r>
                    <w:rPr>
                      <w:rFonts w:hint="default" w:ascii="Times New Roman" w:hAnsi="Times New Roman" w:eastAsia="宋体" w:cs="Times New Roman"/>
                      <w:color w:val="auto"/>
                      <w:kern w:val="2"/>
                      <w:sz w:val="21"/>
                      <w:szCs w:val="21"/>
                      <w:lang w:eastAsia="zh-CN"/>
                    </w:rPr>
                    <w:t>；</w:t>
                  </w:r>
                </w:p>
                <w:p w14:paraId="78428864">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2"/>
                      <w:sz w:val="21"/>
                      <w:szCs w:val="21"/>
                      <w:lang w:val="en-US" w:eastAsia="zh-CN"/>
                    </w:rPr>
                    <w:t>2、</w:t>
                  </w:r>
                  <w:r>
                    <w:rPr>
                      <w:rFonts w:hint="default" w:ascii="Times New Roman" w:hAnsi="Times New Roman" w:eastAsia="宋体" w:cs="Times New Roman"/>
                      <w:color w:val="auto"/>
                      <w:kern w:val="2"/>
                      <w:sz w:val="21"/>
                      <w:szCs w:val="21"/>
                    </w:rPr>
                    <w:t>本项目为煤矸石充填项目，</w:t>
                  </w:r>
                  <w:r>
                    <w:rPr>
                      <w:rFonts w:hint="default" w:ascii="Times New Roman" w:hAnsi="Times New Roman" w:eastAsia="宋体" w:cs="Times New Roman"/>
                      <w:color w:val="auto"/>
                      <w:kern w:val="2"/>
                      <w:sz w:val="21"/>
                      <w:szCs w:val="21"/>
                      <w:lang w:val="en-US" w:eastAsia="zh-CN"/>
                    </w:rPr>
                    <w:t>煤矸石综合利用率为</w:t>
                  </w:r>
                  <w:r>
                    <w:rPr>
                      <w:rFonts w:hint="default" w:ascii="Times New Roman" w:hAnsi="Times New Roman" w:eastAsia="宋体" w:cs="Times New Roman"/>
                      <w:color w:val="auto"/>
                      <w:kern w:val="0"/>
                      <w:sz w:val="21"/>
                      <w:szCs w:val="21"/>
                    </w:rPr>
                    <w:t>100%</w:t>
                  </w:r>
                  <w:r>
                    <w:rPr>
                      <w:rFonts w:hint="default" w:ascii="Times New Roman" w:hAnsi="Times New Roman" w:eastAsia="宋体" w:cs="Times New Roman"/>
                      <w:color w:val="auto"/>
                      <w:kern w:val="0"/>
                      <w:sz w:val="21"/>
                      <w:szCs w:val="21"/>
                      <w:lang w:eastAsia="zh-CN"/>
                    </w:rPr>
                    <w:t>；</w:t>
                  </w:r>
                </w:p>
                <w:p w14:paraId="6F1B5C1B">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3、本项目用水</w:t>
                  </w:r>
                  <w:r>
                    <w:rPr>
                      <w:rFonts w:hint="eastAsia" w:cs="Times New Roman"/>
                      <w:color w:val="auto"/>
                      <w:kern w:val="0"/>
                      <w:sz w:val="21"/>
                      <w:szCs w:val="21"/>
                      <w:highlight w:val="none"/>
                      <w:lang w:val="en-US" w:eastAsia="zh-CN"/>
                    </w:rPr>
                    <w:t>采用</w:t>
                  </w:r>
                  <w:r>
                    <w:rPr>
                      <w:rFonts w:hint="default" w:ascii="Times New Roman" w:hAnsi="Times New Roman" w:eastAsia="宋体" w:cs="Times New Roman"/>
                      <w:color w:val="auto"/>
                      <w:kern w:val="0"/>
                      <w:sz w:val="21"/>
                      <w:szCs w:val="21"/>
                      <w:highlight w:val="none"/>
                      <w:lang w:val="en-US" w:eastAsia="zh-CN"/>
                    </w:rPr>
                    <w:t>矿井水处理站处理后的矿井水，满足要求；</w:t>
                  </w:r>
                </w:p>
                <w:p w14:paraId="5B404288">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4、本项目不属于勘察项目，不涉及此条。</w:t>
                  </w:r>
                </w:p>
              </w:tc>
              <w:tc>
                <w:tcPr>
                  <w:tcW w:w="384" w:type="pct"/>
                  <w:noWrap w:val="0"/>
                  <w:vAlign w:val="center"/>
                </w:tcPr>
                <w:p w14:paraId="3E74BD1E">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0906C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restart"/>
                  <w:shd w:val="clear" w:color="auto" w:fill="auto"/>
                  <w:noWrap w:val="0"/>
                  <w:vAlign w:val="center"/>
                </w:tcPr>
                <w:p w14:paraId="490429FF">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ZH1506262000</w:t>
                  </w:r>
                  <w:r>
                    <w:rPr>
                      <w:rFonts w:hint="default" w:ascii="Times New Roman" w:hAnsi="Times New Roman" w:eastAsia="宋体" w:cs="Times New Roman"/>
                      <w:color w:val="auto"/>
                      <w:kern w:val="0"/>
                      <w:sz w:val="21"/>
                      <w:szCs w:val="21"/>
                      <w:lang w:val="en-US" w:eastAsia="zh-CN"/>
                    </w:rPr>
                    <w:t>3</w:t>
                  </w:r>
                </w:p>
              </w:tc>
              <w:tc>
                <w:tcPr>
                  <w:tcW w:w="552" w:type="pct"/>
                  <w:vMerge w:val="restart"/>
                  <w:shd w:val="clear" w:color="auto" w:fill="auto"/>
                  <w:noWrap w:val="0"/>
                  <w:vAlign w:val="center"/>
                </w:tcPr>
                <w:p w14:paraId="6889CB75">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乌审旗城镇边界</w:t>
                  </w:r>
                </w:p>
              </w:tc>
              <w:tc>
                <w:tcPr>
                  <w:tcW w:w="423" w:type="pct"/>
                  <w:vMerge w:val="restart"/>
                  <w:shd w:val="clear" w:color="auto" w:fill="auto"/>
                  <w:noWrap w:val="0"/>
                  <w:vAlign w:val="center"/>
                </w:tcPr>
                <w:p w14:paraId="06FAEE5E">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重点管控单元</w:t>
                  </w:r>
                </w:p>
              </w:tc>
              <w:tc>
                <w:tcPr>
                  <w:tcW w:w="304" w:type="pct"/>
                  <w:shd w:val="clear" w:color="auto" w:fill="auto"/>
                  <w:noWrap w:val="0"/>
                  <w:vAlign w:val="center"/>
                </w:tcPr>
                <w:p w14:paraId="5BD33CA2">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空间布局约束</w:t>
                  </w:r>
                </w:p>
              </w:tc>
              <w:tc>
                <w:tcPr>
                  <w:tcW w:w="1560" w:type="pct"/>
                  <w:noWrap w:val="0"/>
                  <w:vAlign w:val="center"/>
                </w:tcPr>
                <w:p w14:paraId="4C587997">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1.城市建成区禁止新建35蒸吨/小时以下燃煤锅炉。</w:t>
                  </w:r>
                </w:p>
                <w:p w14:paraId="42472337">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2.禁止在居民区和学校、医院、疗养院、养老院等单位周边新建、改建、扩建可能造成土壤污染的建设项目。禁止在人口聚居区域内新</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改、扩</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 xml:space="preserve"> 建涉重金属及恶臭气体排放企业。</w:t>
                  </w:r>
                </w:p>
                <w:p w14:paraId="6C95F1F1">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3.有计划关闭超采区已批自备水井，禁止超采区工农业生产及服务业新增取用地下水。</w:t>
                  </w:r>
                </w:p>
              </w:tc>
              <w:tc>
                <w:tcPr>
                  <w:tcW w:w="1121" w:type="pct"/>
                  <w:noWrap w:val="0"/>
                  <w:vAlign w:val="center"/>
                </w:tcPr>
                <w:p w14:paraId="468C05DC">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1、本项目不新建燃煤锅炉，供暖依托现有；</w:t>
                  </w:r>
                </w:p>
                <w:p w14:paraId="0139FB92">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2、不涉及；</w:t>
                  </w:r>
                </w:p>
                <w:p w14:paraId="58405B27">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highlight w:val="none"/>
                      <w:lang w:val="en-US" w:eastAsia="zh-CN"/>
                    </w:rPr>
                    <w:t>3、</w:t>
                  </w:r>
                  <w:r>
                    <w:rPr>
                      <w:rFonts w:hint="eastAsia"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lang w:val="en-US" w:eastAsia="zh-CN"/>
                    </w:rPr>
                    <w:t>产生废水，经厂区现有矿井水处理站处理后，回用为生产用水，不涉及直接取用地下水。</w:t>
                  </w:r>
                </w:p>
              </w:tc>
              <w:tc>
                <w:tcPr>
                  <w:tcW w:w="384" w:type="pct"/>
                  <w:noWrap w:val="0"/>
                  <w:vAlign w:val="center"/>
                </w:tcPr>
                <w:p w14:paraId="798FD4D0">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10EC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continue"/>
                  <w:shd w:val="clear" w:color="auto" w:fill="auto"/>
                  <w:noWrap w:val="0"/>
                  <w:vAlign w:val="center"/>
                </w:tcPr>
                <w:p w14:paraId="059BD69D">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552" w:type="pct"/>
                  <w:vMerge w:val="continue"/>
                  <w:shd w:val="clear" w:color="auto" w:fill="auto"/>
                  <w:noWrap w:val="0"/>
                  <w:vAlign w:val="center"/>
                </w:tcPr>
                <w:p w14:paraId="4296E95F">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p>
              </w:tc>
              <w:tc>
                <w:tcPr>
                  <w:tcW w:w="423" w:type="pct"/>
                  <w:vMerge w:val="continue"/>
                  <w:shd w:val="clear" w:color="auto" w:fill="auto"/>
                  <w:noWrap w:val="0"/>
                  <w:vAlign w:val="center"/>
                </w:tcPr>
                <w:p w14:paraId="4BA265B7">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304" w:type="pct"/>
                  <w:shd w:val="clear" w:color="auto" w:fill="auto"/>
                  <w:noWrap w:val="0"/>
                  <w:vAlign w:val="center"/>
                </w:tcPr>
                <w:p w14:paraId="7B60FE30">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污染物排放管控</w:t>
                  </w:r>
                </w:p>
              </w:tc>
              <w:tc>
                <w:tcPr>
                  <w:tcW w:w="1560" w:type="pct"/>
                  <w:noWrap w:val="0"/>
                  <w:vAlign w:val="center"/>
                </w:tcPr>
                <w:p w14:paraId="179A5C63">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1.提升城镇生活污水收集管网覆盖率，逐步实施雨污管网分流改造、管网更新、破损</w:t>
                  </w:r>
                  <w:r>
                    <w:rPr>
                      <w:rFonts w:hint="default" w:ascii="Times New Roman" w:hAnsi="Times New Roman" w:eastAsia="宋体" w:cs="Times New Roman"/>
                      <w:color w:val="auto"/>
                      <w:kern w:val="0"/>
                      <w:sz w:val="21"/>
                      <w:szCs w:val="21"/>
                      <w:lang w:val="en-US" w:eastAsia="zh-CN"/>
                    </w:rPr>
                    <w:t>修复</w:t>
                  </w:r>
                  <w:r>
                    <w:rPr>
                      <w:rFonts w:hint="eastAsia" w:cs="Times New Roman"/>
                      <w:color w:val="auto"/>
                      <w:kern w:val="0"/>
                      <w:sz w:val="21"/>
                      <w:szCs w:val="21"/>
                      <w:lang w:val="en-US" w:eastAsia="zh-CN"/>
                    </w:rPr>
                    <w:t>改造</w:t>
                  </w:r>
                  <w:r>
                    <w:rPr>
                      <w:rFonts w:hint="default" w:ascii="Times New Roman" w:hAnsi="Times New Roman" w:eastAsia="宋体" w:cs="Times New Roman"/>
                      <w:color w:val="auto"/>
                      <w:kern w:val="0"/>
                      <w:sz w:val="21"/>
                      <w:szCs w:val="21"/>
                    </w:rPr>
                    <w:t>、中水回用等工程。城镇生活污水实现</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应收尽收、应处尽处</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w:t>
                  </w:r>
                </w:p>
              </w:tc>
              <w:tc>
                <w:tcPr>
                  <w:tcW w:w="1121" w:type="pct"/>
                  <w:noWrap w:val="0"/>
                  <w:vAlign w:val="center"/>
                </w:tcPr>
                <w:p w14:paraId="3030A87C">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本项目生活污水依托煤矿现有，经煤矿污水站处理后回用不外排。</w:t>
                  </w:r>
                </w:p>
              </w:tc>
              <w:tc>
                <w:tcPr>
                  <w:tcW w:w="384" w:type="pct"/>
                  <w:noWrap w:val="0"/>
                  <w:vAlign w:val="center"/>
                </w:tcPr>
                <w:p w14:paraId="62E58DBF">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61FAC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continue"/>
                  <w:shd w:val="clear" w:color="auto" w:fill="auto"/>
                  <w:noWrap w:val="0"/>
                  <w:vAlign w:val="center"/>
                </w:tcPr>
                <w:p w14:paraId="26999D1B">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552" w:type="pct"/>
                  <w:vMerge w:val="continue"/>
                  <w:shd w:val="clear" w:color="auto" w:fill="auto"/>
                  <w:noWrap w:val="0"/>
                  <w:vAlign w:val="center"/>
                </w:tcPr>
                <w:p w14:paraId="52808FEC">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p>
              </w:tc>
              <w:tc>
                <w:tcPr>
                  <w:tcW w:w="423" w:type="pct"/>
                  <w:vMerge w:val="continue"/>
                  <w:shd w:val="clear" w:color="auto" w:fill="auto"/>
                  <w:noWrap w:val="0"/>
                  <w:vAlign w:val="center"/>
                </w:tcPr>
                <w:p w14:paraId="38414699">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p>
              </w:tc>
              <w:tc>
                <w:tcPr>
                  <w:tcW w:w="304" w:type="pct"/>
                  <w:shd w:val="clear" w:color="auto" w:fill="auto"/>
                  <w:noWrap w:val="0"/>
                  <w:vAlign w:val="center"/>
                </w:tcPr>
                <w:p w14:paraId="420B137B">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环境风险管控</w:t>
                  </w:r>
                </w:p>
              </w:tc>
              <w:tc>
                <w:tcPr>
                  <w:tcW w:w="1560" w:type="pct"/>
                  <w:noWrap w:val="0"/>
                  <w:vAlign w:val="center"/>
                </w:tcPr>
                <w:p w14:paraId="37C4CF7A">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1121" w:type="pct"/>
                  <w:noWrap w:val="0"/>
                  <w:vAlign w:val="center"/>
                </w:tcPr>
                <w:p w14:paraId="10B39DB2">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c>
                <w:tcPr>
                  <w:tcW w:w="384" w:type="pct"/>
                  <w:noWrap w:val="0"/>
                  <w:vAlign w:val="center"/>
                </w:tcPr>
                <w:p w14:paraId="5562D3CC">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w:t>
                  </w:r>
                </w:p>
              </w:tc>
            </w:tr>
            <w:tr w14:paraId="11748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2" w:hRule="atLeast"/>
              </w:trPr>
              <w:tc>
                <w:tcPr>
                  <w:tcW w:w="653" w:type="pct"/>
                  <w:vMerge w:val="continue"/>
                  <w:shd w:val="clear" w:color="auto" w:fill="auto"/>
                  <w:noWrap w:val="0"/>
                  <w:vAlign w:val="center"/>
                </w:tcPr>
                <w:p w14:paraId="3D801470">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p>
              </w:tc>
              <w:tc>
                <w:tcPr>
                  <w:tcW w:w="552" w:type="pct"/>
                  <w:vMerge w:val="continue"/>
                  <w:shd w:val="clear" w:color="auto" w:fill="auto"/>
                  <w:noWrap w:val="0"/>
                  <w:vAlign w:val="center"/>
                </w:tcPr>
                <w:p w14:paraId="32D70410">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p>
              </w:tc>
              <w:tc>
                <w:tcPr>
                  <w:tcW w:w="423" w:type="pct"/>
                  <w:vMerge w:val="continue"/>
                  <w:shd w:val="clear" w:color="auto" w:fill="auto"/>
                  <w:noWrap w:val="0"/>
                  <w:vAlign w:val="center"/>
                </w:tcPr>
                <w:p w14:paraId="6A9A618E">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p>
              </w:tc>
              <w:tc>
                <w:tcPr>
                  <w:tcW w:w="304" w:type="pct"/>
                  <w:shd w:val="clear" w:color="auto" w:fill="auto"/>
                  <w:noWrap w:val="0"/>
                  <w:vAlign w:val="center"/>
                </w:tcPr>
                <w:p w14:paraId="5E8FF964">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资源</w:t>
                  </w:r>
                </w:p>
                <w:p w14:paraId="1F1B3195">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利用</w:t>
                  </w:r>
                </w:p>
                <w:p w14:paraId="4EED11FF">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效率</w:t>
                  </w:r>
                </w:p>
                <w:p w14:paraId="41331C07">
                  <w:pPr>
                    <w:widowControl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要求</w:t>
                  </w:r>
                </w:p>
              </w:tc>
              <w:tc>
                <w:tcPr>
                  <w:tcW w:w="1560" w:type="pct"/>
                  <w:noWrap w:val="0"/>
                  <w:vAlign w:val="center"/>
                </w:tcPr>
                <w:p w14:paraId="778A848D">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1.强化水资源论证管理</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优化水源配置，鼓励优先配置利用非常规水源。</w:t>
                  </w:r>
                </w:p>
                <w:p w14:paraId="44D6777D">
                  <w:pPr>
                    <w:widowControl w:val="0"/>
                    <w:adjustRightInd w:val="0"/>
                    <w:snapToGrid w:val="0"/>
                    <w:spacing w:line="240" w:lineRule="auto"/>
                    <w:ind w:firstLine="0" w:firstLineChars="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2.严控地下水超采</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执行地下水</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五控</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制度。</w:t>
                  </w:r>
                </w:p>
              </w:tc>
              <w:tc>
                <w:tcPr>
                  <w:tcW w:w="1121" w:type="pct"/>
                  <w:noWrap w:val="0"/>
                  <w:vAlign w:val="center"/>
                </w:tcPr>
                <w:p w14:paraId="5DB5BE9F">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1、本项目生活污水依托煤矿现有，经煤矿污水站处理后回用不外排。</w:t>
                  </w:r>
                </w:p>
                <w:p w14:paraId="3F084501">
                  <w:pPr>
                    <w:widowControl/>
                    <w:adjustRightInd w:val="0"/>
                    <w:snapToGrid w:val="0"/>
                    <w:spacing w:line="240" w:lineRule="auto"/>
                    <w:ind w:firstLine="0" w:firstLineChars="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2、不涉及直接取用地下水。</w:t>
                  </w:r>
                </w:p>
              </w:tc>
              <w:tc>
                <w:tcPr>
                  <w:tcW w:w="384" w:type="pct"/>
                  <w:noWrap w:val="0"/>
                  <w:vAlign w:val="center"/>
                </w:tcPr>
                <w:p w14:paraId="4352FD31">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bl>
          <w:p w14:paraId="661A9F0B">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2018年3月12日，内蒙古自治区人民政府发布了《内蒙古自治区人民政府关于印发自治区国家重点生态功能区产业准入负面清单》（试行）的通知，发文号内政发</w:t>
            </w:r>
            <w:r>
              <w:rPr>
                <w:rFonts w:hint="eastAsia" w:cs="Times New Roman"/>
                <w:color w:val="auto"/>
                <w:kern w:val="2"/>
                <w:sz w:val="24"/>
                <w:szCs w:val="24"/>
                <w:lang w:eastAsia="zh-CN"/>
              </w:rPr>
              <w:t>〔2018〕11号</w:t>
            </w:r>
            <w:r>
              <w:rPr>
                <w:rFonts w:hint="default" w:ascii="Times New Roman" w:hAnsi="Times New Roman" w:eastAsia="宋体" w:cs="Times New Roman"/>
                <w:color w:val="auto"/>
                <w:kern w:val="2"/>
                <w:sz w:val="24"/>
                <w:szCs w:val="24"/>
              </w:rPr>
              <w:t>，本项目所在地不在国家重点生态功能区产业准入负面清单内。</w:t>
            </w:r>
          </w:p>
          <w:p w14:paraId="2C8165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综上所述，本项目符合生态环境分区管控要求。</w:t>
            </w:r>
          </w:p>
          <w:p w14:paraId="2F0D0149">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4、</w:t>
            </w:r>
            <w:r>
              <w:rPr>
                <w:rFonts w:hint="default" w:ascii="Times New Roman" w:hAnsi="Times New Roman" w:eastAsia="宋体" w:cs="Times New Roman"/>
                <w:color w:val="auto"/>
                <w:kern w:val="2"/>
                <w:sz w:val="24"/>
                <w:szCs w:val="24"/>
              </w:rPr>
              <w:t>与《煤矸石综合利用管理办法》（2014年修订版）的符合性分析</w:t>
            </w:r>
          </w:p>
          <w:p w14:paraId="0568D0BF">
            <w:pPr>
              <w:widowControl w:val="0"/>
              <w:spacing w:line="240" w:lineRule="auto"/>
              <w:ind w:left="0" w:leftChars="0" w:firstLine="0" w:firstLineChars="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表1-3与《煤矸石综合利用管理办法》（2014年修订版）符合性分析一览表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3"/>
              <w:gridCol w:w="4505"/>
              <w:gridCol w:w="2158"/>
              <w:gridCol w:w="523"/>
            </w:tblGrid>
            <w:tr w14:paraId="168A4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319" w:type="dxa"/>
                  <w:gridSpan w:val="2"/>
                  <w:noWrap w:val="0"/>
                  <w:vAlign w:val="center"/>
                </w:tcPr>
                <w:p w14:paraId="6E33F7E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煤矸石综合利用管理办法</w:t>
                  </w:r>
                </w:p>
              </w:tc>
              <w:tc>
                <w:tcPr>
                  <w:tcW w:w="1843" w:type="dxa"/>
                  <w:noWrap w:val="0"/>
                  <w:vAlign w:val="center"/>
                </w:tcPr>
                <w:p w14:paraId="69D3F13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447" w:type="dxa"/>
                  <w:noWrap w:val="0"/>
                  <w:vAlign w:val="center"/>
                </w:tcPr>
                <w:p w14:paraId="6A995E7C">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相符性</w:t>
                  </w:r>
                </w:p>
              </w:tc>
            </w:tr>
            <w:tr w14:paraId="666D1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2" w:type="dxa"/>
                  <w:noWrap w:val="0"/>
                  <w:vAlign w:val="center"/>
                </w:tcPr>
                <w:p w14:paraId="7EDF0A2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第十一条</w:t>
                  </w:r>
                </w:p>
              </w:tc>
              <w:tc>
                <w:tcPr>
                  <w:tcW w:w="3847" w:type="dxa"/>
                  <w:noWrap w:val="0"/>
                  <w:vAlign w:val="center"/>
                </w:tcPr>
                <w:p w14:paraId="6613FE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煤炭生产企业要因地制宜，采用合理的开采方式，煤炭和耕地复合度高的地区应当采用煤矸石井下充填开采技术，其他具备条件的地区也要优先和积极推广应用此项技术，有效控制地面沉陷、损毁耕地，减少煤矸石排放量。</w:t>
                  </w:r>
                </w:p>
              </w:tc>
              <w:tc>
                <w:tcPr>
                  <w:tcW w:w="1843" w:type="dxa"/>
                  <w:noWrap w:val="0"/>
                  <w:vAlign w:val="center"/>
                </w:tcPr>
                <w:p w14:paraId="5B71BE0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本项目本身属于固体废物综合利用项目，将煤矿产生的煤矸石用于</w:t>
                  </w:r>
                  <w:r>
                    <w:rPr>
                      <w:rFonts w:hint="default" w:ascii="Times New Roman" w:hAnsi="Times New Roman" w:eastAsia="宋体" w:cs="Times New Roman"/>
                      <w:color w:val="auto"/>
                      <w:kern w:val="0"/>
                      <w:sz w:val="21"/>
                      <w:szCs w:val="21"/>
                      <w:lang w:val="en-US" w:eastAsia="zh-CN" w:bidi="ar"/>
                    </w:rPr>
                    <w:t>井下</w:t>
                  </w:r>
                  <w:r>
                    <w:rPr>
                      <w:rFonts w:hint="default" w:ascii="Times New Roman" w:hAnsi="Times New Roman" w:eastAsia="宋体" w:cs="Times New Roman"/>
                      <w:color w:val="auto"/>
                      <w:kern w:val="0"/>
                      <w:sz w:val="21"/>
                      <w:szCs w:val="21"/>
                      <w:lang w:bidi="ar"/>
                    </w:rPr>
                    <w:t>离层注浆充填。</w:t>
                  </w:r>
                </w:p>
              </w:tc>
              <w:tc>
                <w:tcPr>
                  <w:tcW w:w="447" w:type="dxa"/>
                  <w:noWrap w:val="0"/>
                  <w:vAlign w:val="center"/>
                </w:tcPr>
                <w:p w14:paraId="40D6F38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r w14:paraId="09371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72" w:type="dxa"/>
                  <w:noWrap w:val="0"/>
                  <w:vAlign w:val="center"/>
                </w:tcPr>
                <w:p w14:paraId="4A47C71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第十七条</w:t>
                  </w:r>
                </w:p>
              </w:tc>
              <w:tc>
                <w:tcPr>
                  <w:tcW w:w="3847" w:type="dxa"/>
                  <w:noWrap w:val="0"/>
                  <w:vAlign w:val="center"/>
                </w:tcPr>
                <w:p w14:paraId="27BFADD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国家鼓励煤矸石大宗利用和高附加值利用：1、煤矸石井下充填。</w:t>
                  </w:r>
                </w:p>
              </w:tc>
              <w:tc>
                <w:tcPr>
                  <w:tcW w:w="1843" w:type="dxa"/>
                  <w:noWrap w:val="0"/>
                  <w:vAlign w:val="center"/>
                </w:tcPr>
                <w:p w14:paraId="7361D62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本项目将煤矿选煤产生的煤矸石用于</w:t>
                  </w:r>
                  <w:r>
                    <w:rPr>
                      <w:rFonts w:hint="default" w:ascii="Times New Roman" w:hAnsi="Times New Roman" w:eastAsia="宋体" w:cs="Times New Roman"/>
                      <w:color w:val="auto"/>
                      <w:kern w:val="0"/>
                      <w:sz w:val="21"/>
                      <w:szCs w:val="21"/>
                      <w:lang w:val="en-US" w:eastAsia="zh-CN" w:bidi="ar"/>
                    </w:rPr>
                    <w:t>井下</w:t>
                  </w:r>
                  <w:r>
                    <w:rPr>
                      <w:rFonts w:hint="default" w:ascii="Times New Roman" w:hAnsi="Times New Roman" w:eastAsia="宋体" w:cs="Times New Roman"/>
                      <w:color w:val="auto"/>
                      <w:kern w:val="0"/>
                      <w:sz w:val="21"/>
                      <w:szCs w:val="21"/>
                      <w:lang w:bidi="ar"/>
                    </w:rPr>
                    <w:t>离层注浆充填。</w:t>
                  </w:r>
                </w:p>
              </w:tc>
              <w:tc>
                <w:tcPr>
                  <w:tcW w:w="447" w:type="dxa"/>
                  <w:noWrap w:val="0"/>
                  <w:vAlign w:val="center"/>
                </w:tcPr>
                <w:p w14:paraId="15C79B4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60F2ED59">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0"/>
                <w:sz w:val="24"/>
                <w:szCs w:val="24"/>
                <w:lang w:bidi="ar"/>
              </w:rPr>
              <w:t>由上表分析可知：本项目将煤矿产生的煤矸石等用于井下充填，提高了煤矸石利用率，符合《煤矸石综合利用管理办法》具体要求。</w:t>
            </w:r>
          </w:p>
          <w:p w14:paraId="52DE1FEA">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5、</w:t>
            </w:r>
            <w:r>
              <w:rPr>
                <w:rFonts w:hint="default" w:ascii="Times New Roman" w:hAnsi="Times New Roman" w:eastAsia="宋体" w:cs="Times New Roman"/>
                <w:color w:val="auto"/>
                <w:kern w:val="2"/>
                <w:sz w:val="24"/>
                <w:szCs w:val="24"/>
              </w:rPr>
              <w:t>与《鄂尔多斯市环境保护条例》（2021年修正版）的符合性分析</w:t>
            </w:r>
          </w:p>
          <w:p w14:paraId="7928C877">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表1-4与《</w:t>
            </w:r>
            <w:r>
              <w:rPr>
                <w:rFonts w:hint="default" w:ascii="Times New Roman" w:hAnsi="Times New Roman" w:eastAsia="宋体" w:cs="Times New Roman"/>
                <w:b/>
                <w:color w:val="auto"/>
                <w:kern w:val="2"/>
                <w:sz w:val="24"/>
                <w:szCs w:val="22"/>
                <w:lang w:val="en-US" w:eastAsia="zh-CN" w:bidi="ar-SA"/>
              </w:rPr>
              <w:t>鄂尔多斯市环境保护条例</w:t>
            </w:r>
            <w:r>
              <w:rPr>
                <w:rFonts w:hint="default" w:ascii="Times New Roman" w:hAnsi="Times New Roman" w:eastAsia="宋体" w:cs="Times New Roman"/>
                <w:b/>
                <w:color w:val="auto"/>
                <w:kern w:val="2"/>
                <w:sz w:val="24"/>
                <w:szCs w:val="24"/>
                <w:lang w:val="en-US" w:eastAsia="zh-CN" w:bidi="ar-SA"/>
              </w:rPr>
              <w:t>》对比分析一览表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6"/>
              <w:gridCol w:w="4067"/>
              <w:gridCol w:w="1924"/>
              <w:gridCol w:w="1102"/>
            </w:tblGrid>
            <w:tr w14:paraId="5A53B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3044" w:type="pct"/>
                  <w:gridSpan w:val="2"/>
                  <w:noWrap w:val="0"/>
                  <w:vAlign w:val="center"/>
                </w:tcPr>
                <w:p w14:paraId="06D8B0E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鄂尔多斯环境保护条例</w:t>
                  </w:r>
                </w:p>
              </w:tc>
              <w:tc>
                <w:tcPr>
                  <w:tcW w:w="1243" w:type="pct"/>
                  <w:noWrap w:val="0"/>
                  <w:vAlign w:val="center"/>
                </w:tcPr>
                <w:p w14:paraId="3304381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712" w:type="pct"/>
                  <w:noWrap w:val="0"/>
                  <w:vAlign w:val="center"/>
                </w:tcPr>
                <w:p w14:paraId="61CC8425">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相符性</w:t>
                  </w:r>
                </w:p>
              </w:tc>
            </w:tr>
            <w:tr w14:paraId="4C307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17" w:type="pct"/>
                  <w:noWrap w:val="0"/>
                  <w:vAlign w:val="center"/>
                </w:tcPr>
                <w:p w14:paraId="21D9D65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第二十条</w:t>
                  </w:r>
                </w:p>
              </w:tc>
              <w:tc>
                <w:tcPr>
                  <w:tcW w:w="2627" w:type="pct"/>
                  <w:noWrap w:val="0"/>
                  <w:vAlign w:val="center"/>
                </w:tcPr>
                <w:p w14:paraId="00E29C2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煤炭、石油、天然气开发单位应当使用先进的综合回收利用技术，提高煤矸石、污水以及伴生气、有毒有害气体或者可燃性气体的资源化利用率；无法资源化利用的煤矸石应当规范处置，确需排放的污水以及伴生气、有毒有害气体或者可燃性气体，应当达到国家及自治区规定的排放标准。</w:t>
                  </w:r>
                </w:p>
              </w:tc>
              <w:tc>
                <w:tcPr>
                  <w:tcW w:w="1243" w:type="pct"/>
                  <w:noWrap w:val="0"/>
                  <w:vAlign w:val="center"/>
                </w:tcPr>
                <w:p w14:paraId="24D9793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本项目本身属于固体废物综合利用项目，项目建设将提高煤矸石的资源化利用率。</w:t>
                  </w:r>
                </w:p>
              </w:tc>
              <w:tc>
                <w:tcPr>
                  <w:tcW w:w="712" w:type="pct"/>
                  <w:noWrap w:val="0"/>
                  <w:vAlign w:val="center"/>
                </w:tcPr>
                <w:p w14:paraId="4B85760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42EBA79A">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0"/>
                <w:sz w:val="24"/>
                <w:szCs w:val="24"/>
                <w:lang w:bidi="ar"/>
              </w:rPr>
            </w:pPr>
            <w:r>
              <w:rPr>
                <w:rFonts w:hint="default" w:ascii="Times New Roman" w:hAnsi="Times New Roman" w:eastAsia="宋体" w:cs="Times New Roman"/>
                <w:color w:val="auto"/>
                <w:kern w:val="0"/>
                <w:sz w:val="24"/>
                <w:szCs w:val="24"/>
                <w:lang w:bidi="ar"/>
              </w:rPr>
              <w:t>由分析结果可知：本项目将煤矿产生的煤矸石使用井下充填技术进行了综合利用，提高了煤矸石资源化利用率，符合《鄂尔多斯</w:t>
            </w:r>
            <w:r>
              <w:rPr>
                <w:rFonts w:hint="default" w:ascii="Times New Roman" w:hAnsi="Times New Roman" w:eastAsia="宋体" w:cs="Times New Roman"/>
                <w:color w:val="auto"/>
                <w:lang w:val="en-US" w:eastAsia="zh-CN"/>
              </w:rPr>
              <w:t>市</w:t>
            </w:r>
            <w:r>
              <w:rPr>
                <w:rFonts w:hint="default" w:ascii="Times New Roman" w:hAnsi="Times New Roman" w:eastAsia="宋体" w:cs="Times New Roman"/>
                <w:color w:val="auto"/>
                <w:kern w:val="0"/>
                <w:sz w:val="24"/>
                <w:szCs w:val="24"/>
                <w:lang w:bidi="ar"/>
              </w:rPr>
              <w:t>环境保护条例》具体要求。</w:t>
            </w:r>
          </w:p>
          <w:p w14:paraId="3B837385">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6、</w:t>
            </w:r>
            <w:r>
              <w:rPr>
                <w:rFonts w:hint="default" w:ascii="Times New Roman" w:hAnsi="Times New Roman" w:eastAsia="宋体" w:cs="Times New Roman"/>
                <w:color w:val="auto"/>
                <w:kern w:val="2"/>
                <w:sz w:val="24"/>
                <w:szCs w:val="24"/>
              </w:rPr>
              <w:t>项目与《鄂尔多斯市大气污染防治条例》（20</w:t>
            </w:r>
            <w:r>
              <w:rPr>
                <w:rFonts w:hint="default" w:ascii="Times New Roman" w:hAnsi="Times New Roman" w:eastAsia="宋体" w:cs="Times New Roman"/>
                <w:color w:val="auto"/>
                <w:kern w:val="2"/>
                <w:sz w:val="24"/>
                <w:szCs w:val="24"/>
                <w:lang w:val="en-US" w:eastAsia="zh-CN"/>
              </w:rPr>
              <w:t>24</w:t>
            </w:r>
            <w:r>
              <w:rPr>
                <w:rFonts w:hint="default" w:ascii="Times New Roman" w:hAnsi="Times New Roman" w:eastAsia="宋体" w:cs="Times New Roman"/>
                <w:color w:val="auto"/>
                <w:kern w:val="2"/>
                <w:sz w:val="24"/>
                <w:szCs w:val="24"/>
              </w:rPr>
              <w:t>年）的符合性分析</w:t>
            </w:r>
          </w:p>
          <w:p w14:paraId="47E4FDAF">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表1-5与《</w:t>
            </w:r>
            <w:r>
              <w:rPr>
                <w:rFonts w:hint="default" w:ascii="Times New Roman" w:hAnsi="Times New Roman" w:eastAsia="宋体" w:cs="Times New Roman"/>
                <w:b/>
                <w:color w:val="auto"/>
                <w:kern w:val="2"/>
                <w:sz w:val="24"/>
                <w:szCs w:val="22"/>
                <w:lang w:val="en-US" w:eastAsia="zh-CN" w:bidi="ar-SA"/>
              </w:rPr>
              <w:t>鄂尔多斯市大气污染防治条例</w:t>
            </w:r>
            <w:r>
              <w:rPr>
                <w:rFonts w:hint="default" w:ascii="Times New Roman" w:hAnsi="Times New Roman" w:eastAsia="宋体" w:cs="Times New Roman"/>
                <w:b/>
                <w:color w:val="auto"/>
                <w:kern w:val="2"/>
                <w:sz w:val="24"/>
                <w:szCs w:val="24"/>
                <w:lang w:val="en-US" w:eastAsia="zh-CN" w:bidi="ar-SA"/>
              </w:rPr>
              <w:t>》对比分析一览表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3270"/>
              <w:gridCol w:w="2721"/>
              <w:gridCol w:w="1102"/>
            </w:tblGrid>
            <w:tr w14:paraId="35867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529" w:type="pct"/>
                  <w:gridSpan w:val="2"/>
                  <w:noWrap w:val="0"/>
                  <w:vAlign w:val="center"/>
                </w:tcPr>
                <w:p w14:paraId="34CC2D4F">
                  <w:pPr>
                    <w:widowControl w:val="0"/>
                    <w:spacing w:after="120"/>
                    <w:ind w:left="0" w:lef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鄂尔多斯市大气污染防治条例</w:t>
                  </w:r>
                </w:p>
              </w:tc>
              <w:tc>
                <w:tcPr>
                  <w:tcW w:w="1757" w:type="pct"/>
                  <w:noWrap w:val="0"/>
                  <w:vAlign w:val="center"/>
                </w:tcPr>
                <w:p w14:paraId="21EC3D1F">
                  <w:pPr>
                    <w:adjustRightInd w:val="0"/>
                    <w:snapToGrid w:val="0"/>
                    <w:spacing w:line="240" w:lineRule="atLeast"/>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712" w:type="pct"/>
                  <w:noWrap w:val="0"/>
                  <w:vAlign w:val="center"/>
                </w:tcPr>
                <w:p w14:paraId="24C394D5">
                  <w:pPr>
                    <w:widowControl w:val="0"/>
                    <w:spacing w:after="120"/>
                    <w:ind w:left="0" w:leftChars="0" w:firstLine="0" w:firstLineChars="0"/>
                    <w:jc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相符性</w:t>
                  </w:r>
                </w:p>
              </w:tc>
            </w:tr>
            <w:tr w14:paraId="7D60E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noWrap w:val="0"/>
                  <w:vAlign w:val="center"/>
                </w:tcPr>
                <w:p w14:paraId="1EFCDA5A">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第五十条</w:t>
                  </w:r>
                </w:p>
              </w:tc>
              <w:tc>
                <w:tcPr>
                  <w:tcW w:w="2112" w:type="pct"/>
                  <w:noWrap w:val="0"/>
                  <w:vAlign w:val="center"/>
                </w:tcPr>
                <w:p w14:paraId="41ABA0D8">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市、旗区人民政府应当采取有利于煤炭清洁利用、能源转化的经济、技术措施，鼓励煤矸石、煤泥、炉渣、电石灰等优先进行资源综合利用。</w:t>
                  </w:r>
                </w:p>
              </w:tc>
              <w:tc>
                <w:tcPr>
                  <w:tcW w:w="2721" w:type="dxa"/>
                  <w:noWrap w:val="0"/>
                  <w:vAlign w:val="center"/>
                </w:tcPr>
                <w:p w14:paraId="57779E34">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本项目为煤矸石充填项目，使用煤矸石进行</w:t>
                  </w:r>
                  <w:r>
                    <w:rPr>
                      <w:rFonts w:hint="default" w:ascii="Times New Roman" w:hAnsi="Times New Roman" w:eastAsia="宋体" w:cs="Times New Roman"/>
                      <w:color w:val="auto"/>
                      <w:kern w:val="0"/>
                      <w:sz w:val="21"/>
                      <w:szCs w:val="21"/>
                      <w:lang w:val="en-US" w:eastAsia="zh-CN" w:bidi="ar"/>
                    </w:rPr>
                    <w:t>井下</w:t>
                  </w:r>
                  <w:r>
                    <w:rPr>
                      <w:rFonts w:hint="default" w:ascii="Times New Roman" w:hAnsi="Times New Roman" w:eastAsia="宋体" w:cs="Times New Roman"/>
                      <w:color w:val="auto"/>
                      <w:kern w:val="0"/>
                      <w:sz w:val="21"/>
                      <w:szCs w:val="21"/>
                      <w:lang w:bidi="ar"/>
                    </w:rPr>
                    <w:t>离层注浆充填，通过本项目的建设提高了煤矸石的资源化利用率。</w:t>
                  </w:r>
                </w:p>
              </w:tc>
              <w:tc>
                <w:tcPr>
                  <w:tcW w:w="1102" w:type="dxa"/>
                  <w:noWrap w:val="0"/>
                  <w:vAlign w:val="center"/>
                </w:tcPr>
                <w:p w14:paraId="71689DA1">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3201CD0F">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由分析结果可知：本项目将煤矿产生的煤矸石使用井下充填技术</w:t>
            </w:r>
            <w:r>
              <w:rPr>
                <w:rFonts w:hint="eastAsia" w:cs="Times New Roman"/>
                <w:color w:val="auto"/>
                <w:kern w:val="2"/>
                <w:sz w:val="24"/>
                <w:szCs w:val="24"/>
                <w:lang w:eastAsia="zh-CN"/>
              </w:rPr>
              <w:t>，有</w:t>
            </w:r>
            <w:r>
              <w:rPr>
                <w:rFonts w:hint="default" w:ascii="Times New Roman" w:hAnsi="Times New Roman" w:eastAsia="宋体" w:cs="Times New Roman"/>
                <w:color w:val="auto"/>
                <w:kern w:val="2"/>
                <w:sz w:val="24"/>
                <w:szCs w:val="24"/>
              </w:rPr>
              <w:t>利于煤炭清洁利用、能源转化，提高了煤矸石资源综合利用，符合《鄂尔多斯市大气污染防治条例》具体要求。</w:t>
            </w:r>
          </w:p>
          <w:p w14:paraId="2D147691">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7、</w:t>
            </w:r>
            <w:r>
              <w:rPr>
                <w:rFonts w:hint="default" w:ascii="Times New Roman" w:hAnsi="Times New Roman" w:eastAsia="宋体" w:cs="Times New Roman"/>
                <w:color w:val="auto"/>
                <w:kern w:val="2"/>
                <w:sz w:val="24"/>
                <w:szCs w:val="24"/>
              </w:rPr>
              <w:t>项目与《关于进一步加强煤炭资源开发环境影响评价管理的通知》（环环评﹝2020﹞63号）的符合性分析</w:t>
            </w:r>
          </w:p>
          <w:p w14:paraId="2D91C5C7">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表1-6与《关于进一步加强煤炭资源开发环境影响评价管理的通知</w:t>
            </w:r>
            <w:r>
              <w:rPr>
                <w:rFonts w:hint="default" w:ascii="Times New Roman" w:hAnsi="Times New Roman" w:eastAsia="宋体" w:cs="Times New Roman"/>
                <w:b/>
                <w:color w:val="auto"/>
                <w:kern w:val="2"/>
                <w:sz w:val="24"/>
                <w:szCs w:val="22"/>
                <w:lang w:val="en-US" w:eastAsia="zh-CN" w:bidi="ar-SA"/>
              </w:rPr>
              <w:t>》</w:t>
            </w:r>
            <w:r>
              <w:rPr>
                <w:rFonts w:hint="default" w:ascii="Times New Roman" w:hAnsi="Times New Roman" w:eastAsia="宋体" w:cs="Times New Roman"/>
                <w:b/>
                <w:color w:val="auto"/>
                <w:kern w:val="2"/>
                <w:sz w:val="24"/>
                <w:szCs w:val="24"/>
                <w:lang w:val="en-US" w:eastAsia="zh-CN" w:bidi="ar-SA"/>
              </w:rPr>
              <w:t>对比分析一览表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3860"/>
              <w:gridCol w:w="2132"/>
              <w:gridCol w:w="1102"/>
            </w:tblGrid>
            <w:tr w14:paraId="242AB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910" w:type="pct"/>
                  <w:gridSpan w:val="2"/>
                  <w:noWrap w:val="0"/>
                  <w:vAlign w:val="center"/>
                </w:tcPr>
                <w:p w14:paraId="2BDEF1E8">
                  <w:pPr>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关于进一步加强煤炭资源开发环境影响评价管理的通知</w:t>
                  </w:r>
                </w:p>
              </w:tc>
              <w:tc>
                <w:tcPr>
                  <w:tcW w:w="1377" w:type="pct"/>
                  <w:noWrap w:val="0"/>
                  <w:vAlign w:val="center"/>
                </w:tcPr>
                <w:p w14:paraId="0B1B8F7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712" w:type="pct"/>
                  <w:noWrap w:val="0"/>
                  <w:vAlign w:val="center"/>
                </w:tcPr>
                <w:p w14:paraId="24B0A4F9">
                  <w:pPr>
                    <w:keepNext w:val="0"/>
                    <w:keepLines w:val="0"/>
                    <w:pageBreakBefore w:val="0"/>
                    <w:widowControl w:val="0"/>
                    <w:kinsoku/>
                    <w:wordWrap/>
                    <w:overflowPunct/>
                    <w:topLinePunct w:val="0"/>
                    <w:autoSpaceDE/>
                    <w:autoSpaceDN/>
                    <w:bidi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相符性</w:t>
                  </w:r>
                </w:p>
              </w:tc>
            </w:tr>
            <w:tr w14:paraId="78F2B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noWrap w:val="0"/>
                  <w:vAlign w:val="center"/>
                </w:tcPr>
                <w:p w14:paraId="0D7B70A7">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第十一条</w:t>
                  </w:r>
                </w:p>
              </w:tc>
              <w:tc>
                <w:tcPr>
                  <w:tcW w:w="2493" w:type="pct"/>
                  <w:noWrap w:val="0"/>
                  <w:vAlign w:val="center"/>
                </w:tcPr>
                <w:p w14:paraId="39F38EDB">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kern w:val="0"/>
                      <w:sz w:val="21"/>
                      <w:szCs w:val="21"/>
                      <w:lang w:bidi="ar"/>
                    </w:rPr>
                    <w:t>鼓励对煤矸石进行井下充填、发电、生产建筑材料、回收矿产品、制取化工产品、筑路、土地复垦等多途径综合利用，因地制宜选择合理的综合利用方式，提高煤矸石综合利用率。技术可行、经济合理的条件下优先采用井下充填技术处置煤矸石，有效控制地面沉陷、损毁耕地，减少煤矸石排放量。煤矸石的处置与综合利用应符合国家及行业相关标准规范要求。</w:t>
                  </w:r>
                </w:p>
              </w:tc>
              <w:tc>
                <w:tcPr>
                  <w:tcW w:w="2132" w:type="dxa"/>
                  <w:noWrap w:val="0"/>
                  <w:vAlign w:val="center"/>
                </w:tcPr>
                <w:p w14:paraId="7FC6D4F2">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本项目为煤矿煤矸石资源化综合利用项目，使用煤矸石进行</w:t>
                  </w:r>
                  <w:r>
                    <w:rPr>
                      <w:rFonts w:hint="default" w:ascii="Times New Roman" w:hAnsi="Times New Roman" w:eastAsia="宋体" w:cs="Times New Roman"/>
                      <w:color w:val="auto"/>
                      <w:kern w:val="0"/>
                      <w:sz w:val="21"/>
                      <w:szCs w:val="21"/>
                      <w:lang w:val="en-US" w:eastAsia="zh-CN" w:bidi="ar"/>
                    </w:rPr>
                    <w:t>井下</w:t>
                  </w:r>
                  <w:r>
                    <w:rPr>
                      <w:rFonts w:hint="default" w:ascii="Times New Roman" w:hAnsi="Times New Roman" w:eastAsia="宋体" w:cs="Times New Roman"/>
                      <w:color w:val="auto"/>
                      <w:kern w:val="0"/>
                      <w:sz w:val="21"/>
                      <w:szCs w:val="21"/>
                      <w:lang w:bidi="ar"/>
                    </w:rPr>
                    <w:t>离层注浆充填，通过本项目的建设提高了煤矸石的资源化利用率；可有效控制地面沉陷、损毁耕地，减少煤矸石排放量。</w:t>
                  </w:r>
                </w:p>
              </w:tc>
              <w:tc>
                <w:tcPr>
                  <w:tcW w:w="1102" w:type="dxa"/>
                  <w:noWrap w:val="0"/>
                  <w:vAlign w:val="center"/>
                </w:tcPr>
                <w:p w14:paraId="28AE8E35">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r w14:paraId="12776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7" w:type="pct"/>
                  <w:noWrap w:val="0"/>
                  <w:vAlign w:val="center"/>
                </w:tcPr>
                <w:p w14:paraId="297A28DE">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第十五条</w:t>
                  </w:r>
                </w:p>
              </w:tc>
              <w:tc>
                <w:tcPr>
                  <w:tcW w:w="2493" w:type="pct"/>
                  <w:noWrap w:val="0"/>
                  <w:vAlign w:val="center"/>
                </w:tcPr>
                <w:p w14:paraId="2D1F846A">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鼓励相关部门和企业，开展沉陷区生态恢复技术、露天矿排土场和采掘场生态重建与恢复技术、保水采煤技术、高盐矿井水处理与利用技术、煤矸石综合利用技术、低浓度和乏风瓦斯综合利用技术、关闭煤矿瓦斯监测和综合利用技术等研究，促进煤炭采选行业绿色发展。持续创新行业环评管理思路，遵循煤炭资源开发与环境影响特点，探索和推进煤炭开采项目环评管理程序和方式改革。</w:t>
                  </w:r>
                </w:p>
              </w:tc>
              <w:tc>
                <w:tcPr>
                  <w:tcW w:w="1377" w:type="pct"/>
                  <w:noWrap w:val="0"/>
                  <w:vAlign w:val="center"/>
                </w:tcPr>
                <w:p w14:paraId="07D077C1">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本项目将煤矿产生的煤矸石用于井下充填，属于开展沉陷区生态恢复技术，促进煤炭采选行业绿色发展。</w:t>
                  </w:r>
                </w:p>
              </w:tc>
              <w:tc>
                <w:tcPr>
                  <w:tcW w:w="712" w:type="pct"/>
                  <w:noWrap w:val="0"/>
                  <w:vAlign w:val="center"/>
                </w:tcPr>
                <w:p w14:paraId="38B8426E">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0C519386">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由分析结果可知：本项目将煤矿产生的煤矸石使用井下离层注浆充填技术，提高了煤矸石资源综合利用，促进煤炭采选行业绿色发展，符合《关于进一步加强煤炭资源开发环境影响评价管理的通知》具体要求。</w:t>
            </w:r>
          </w:p>
          <w:p w14:paraId="50942044">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8、</w:t>
            </w:r>
            <w:r>
              <w:rPr>
                <w:rFonts w:hint="default" w:ascii="Times New Roman" w:hAnsi="Times New Roman" w:eastAsia="宋体" w:cs="Times New Roman"/>
                <w:color w:val="auto"/>
                <w:kern w:val="2"/>
                <w:sz w:val="24"/>
                <w:szCs w:val="24"/>
              </w:rPr>
              <w:t>项目与《鄂尔多斯市绿色矿山建设管理条例》符合性分析</w:t>
            </w:r>
          </w:p>
          <w:p w14:paraId="2E4CFD64">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表1-7与《鄂尔多斯市绿色矿山建设管理条例</w:t>
            </w:r>
            <w:r>
              <w:rPr>
                <w:rFonts w:hint="default" w:ascii="Times New Roman" w:hAnsi="Times New Roman" w:eastAsia="宋体" w:cs="Times New Roman"/>
                <w:b/>
                <w:color w:val="auto"/>
                <w:kern w:val="2"/>
                <w:sz w:val="24"/>
                <w:szCs w:val="22"/>
                <w:lang w:val="en-US" w:eastAsia="zh-CN" w:bidi="ar-SA"/>
              </w:rPr>
              <w:t>》</w:t>
            </w:r>
            <w:r>
              <w:rPr>
                <w:rFonts w:hint="default" w:ascii="Times New Roman" w:hAnsi="Times New Roman" w:eastAsia="宋体" w:cs="Times New Roman"/>
                <w:b/>
                <w:color w:val="auto"/>
                <w:kern w:val="2"/>
                <w:sz w:val="24"/>
                <w:szCs w:val="24"/>
                <w:lang w:val="en-US" w:eastAsia="zh-CN" w:bidi="ar-SA"/>
              </w:rPr>
              <w:t>对比分析一览表</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3259"/>
              <w:gridCol w:w="2621"/>
              <w:gridCol w:w="1045"/>
            </w:tblGrid>
            <w:tr w14:paraId="210B5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630" w:type="pct"/>
                  <w:gridSpan w:val="2"/>
                  <w:noWrap w:val="0"/>
                  <w:vAlign w:val="center"/>
                </w:tcPr>
                <w:p w14:paraId="27A4F3C8">
                  <w:pPr>
                    <w:widowControl w:val="0"/>
                    <w:spacing w:after="120"/>
                    <w:ind w:left="0" w:leftChars="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鄂尔多斯市绿色矿山建设管理条例</w:t>
                  </w:r>
                </w:p>
              </w:tc>
              <w:tc>
                <w:tcPr>
                  <w:tcW w:w="1693" w:type="pct"/>
                  <w:noWrap w:val="0"/>
                  <w:vAlign w:val="center"/>
                </w:tcPr>
                <w:p w14:paraId="32DE4F2B">
                  <w:pPr>
                    <w:adjustRightInd w:val="0"/>
                    <w:snapToGrid w:val="0"/>
                    <w:spacing w:line="240" w:lineRule="atLeast"/>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675" w:type="pct"/>
                  <w:noWrap w:val="0"/>
                  <w:vAlign w:val="center"/>
                </w:tcPr>
                <w:p w14:paraId="03B00236">
                  <w:pPr>
                    <w:widowControl w:val="0"/>
                    <w:spacing w:after="120"/>
                    <w:ind w:left="0" w:lef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相符性</w:t>
                  </w:r>
                </w:p>
              </w:tc>
            </w:tr>
            <w:tr w14:paraId="55132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noWrap w:val="0"/>
                  <w:vAlign w:val="center"/>
                </w:tcPr>
                <w:p w14:paraId="50CB0372">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第十一条</w:t>
                  </w:r>
                </w:p>
              </w:tc>
              <w:tc>
                <w:tcPr>
                  <w:tcW w:w="2105" w:type="pct"/>
                  <w:noWrap w:val="0"/>
                  <w:vAlign w:val="center"/>
                </w:tcPr>
                <w:p w14:paraId="567243C9">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kern w:val="0"/>
                      <w:sz w:val="21"/>
                      <w:szCs w:val="21"/>
                      <w:lang w:bidi="ar"/>
                    </w:rPr>
                    <w:t>充填开采应当优先利用煤矸石等固体废物充填采空区，减少矸石升井和地面堆存。</w:t>
                  </w:r>
                </w:p>
              </w:tc>
              <w:tc>
                <w:tcPr>
                  <w:tcW w:w="2621" w:type="dxa"/>
                  <w:noWrap w:val="0"/>
                  <w:vAlign w:val="center"/>
                </w:tcPr>
                <w:p w14:paraId="7F6BA1D6">
                  <w:pPr>
                    <w:widowControl/>
                    <w:spacing w:line="240" w:lineRule="auto"/>
                    <w:ind w:firstLine="0" w:firstLineChars="0"/>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本项目为煤矿煤矸石资源化综合利用项目，使用煤矸石进行</w:t>
                  </w:r>
                  <w:r>
                    <w:rPr>
                      <w:rFonts w:hint="default" w:ascii="Times New Roman" w:hAnsi="Times New Roman" w:eastAsia="宋体" w:cs="Times New Roman"/>
                      <w:color w:val="auto"/>
                      <w:kern w:val="0"/>
                      <w:sz w:val="21"/>
                      <w:szCs w:val="21"/>
                      <w:lang w:val="en-US" w:eastAsia="zh-CN" w:bidi="ar"/>
                    </w:rPr>
                    <w:t>井下</w:t>
                  </w:r>
                  <w:r>
                    <w:rPr>
                      <w:rFonts w:hint="default" w:ascii="Times New Roman" w:hAnsi="Times New Roman" w:eastAsia="宋体" w:cs="Times New Roman"/>
                      <w:color w:val="auto"/>
                      <w:kern w:val="0"/>
                      <w:sz w:val="21"/>
                      <w:szCs w:val="21"/>
                      <w:lang w:bidi="ar"/>
                    </w:rPr>
                    <w:t>离层注浆充填，通过本项目的建设提高了煤矸石的资源化利用率。</w:t>
                  </w:r>
                </w:p>
              </w:tc>
              <w:tc>
                <w:tcPr>
                  <w:tcW w:w="675" w:type="pct"/>
                  <w:noWrap w:val="0"/>
                  <w:vAlign w:val="center"/>
                </w:tcPr>
                <w:p w14:paraId="0660FBE8">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r w14:paraId="77F11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noWrap w:val="0"/>
                  <w:vAlign w:val="center"/>
                </w:tcPr>
                <w:p w14:paraId="474CEA26">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第十四条</w:t>
                  </w:r>
                </w:p>
              </w:tc>
              <w:tc>
                <w:tcPr>
                  <w:tcW w:w="2105" w:type="pct"/>
                  <w:noWrap w:val="0"/>
                  <w:vAlign w:val="center"/>
                </w:tcPr>
                <w:p w14:paraId="6BC6617B">
                  <w:pPr>
                    <w:widowControl/>
                    <w:spacing w:line="240" w:lineRule="auto"/>
                    <w:ind w:firstLine="0" w:firstLineChars="0"/>
                    <w:jc w:val="left"/>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鼓励煤炭开采企业或者其他综合利用单位采取井下充填、露天采坑回填、发电、生产建筑材料、制取化工产品、筑路、土地复垦等方式对煤矸石进行科学合理利用。</w:t>
                  </w:r>
                </w:p>
              </w:tc>
              <w:tc>
                <w:tcPr>
                  <w:tcW w:w="2621" w:type="dxa"/>
                  <w:noWrap w:val="0"/>
                  <w:vAlign w:val="center"/>
                </w:tcPr>
                <w:p w14:paraId="66A67F7D">
                  <w:pPr>
                    <w:widowControl/>
                    <w:spacing w:line="240" w:lineRule="auto"/>
                    <w:ind w:firstLine="0" w:firstLineChars="0"/>
                    <w:jc w:val="left"/>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本项目为煤矿煤矸石资源化综合利用项目，使用煤矸石进行</w:t>
                  </w:r>
                  <w:r>
                    <w:rPr>
                      <w:rFonts w:hint="default" w:ascii="Times New Roman" w:hAnsi="Times New Roman" w:eastAsia="宋体" w:cs="Times New Roman"/>
                      <w:color w:val="auto"/>
                      <w:kern w:val="0"/>
                      <w:sz w:val="21"/>
                      <w:szCs w:val="21"/>
                      <w:lang w:val="en-US" w:eastAsia="zh-CN" w:bidi="ar"/>
                    </w:rPr>
                    <w:t>井下</w:t>
                  </w:r>
                  <w:r>
                    <w:rPr>
                      <w:rFonts w:hint="default" w:ascii="Times New Roman" w:hAnsi="Times New Roman" w:eastAsia="宋体" w:cs="Times New Roman"/>
                      <w:color w:val="auto"/>
                      <w:kern w:val="0"/>
                      <w:sz w:val="21"/>
                      <w:szCs w:val="21"/>
                      <w:lang w:bidi="ar"/>
                    </w:rPr>
                    <w:t>离层注浆充填，通过本项目的建设提高了煤矸石的资源化利用率。</w:t>
                  </w:r>
                </w:p>
              </w:tc>
              <w:tc>
                <w:tcPr>
                  <w:tcW w:w="675" w:type="pct"/>
                  <w:noWrap w:val="0"/>
                  <w:vAlign w:val="center"/>
                </w:tcPr>
                <w:p w14:paraId="67F3453A">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5F345BED">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由分析结果可知：本项目将煤矿产生的煤矸石使用井下充填技术，进行了科学合理利用，符合《鄂尔多斯市绿色矿山建设管理条例》具体要求。</w:t>
            </w:r>
          </w:p>
          <w:p w14:paraId="54D83160">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9、</w:t>
            </w:r>
            <w:r>
              <w:rPr>
                <w:rFonts w:hint="default" w:ascii="Times New Roman" w:hAnsi="Times New Roman" w:eastAsia="宋体" w:cs="Times New Roman"/>
                <w:color w:val="auto"/>
                <w:kern w:val="2"/>
                <w:sz w:val="24"/>
                <w:szCs w:val="24"/>
              </w:rPr>
              <w:t>与《一般工业固体废物贮存和填埋污染控制标准》（GB18599-2020）符合性</w:t>
            </w:r>
          </w:p>
          <w:p w14:paraId="38C36204">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表1-8与《一般工业固体废物贮存和填埋污染控制标准</w:t>
            </w:r>
            <w:r>
              <w:rPr>
                <w:rFonts w:hint="default" w:ascii="Times New Roman" w:hAnsi="Times New Roman" w:eastAsia="宋体" w:cs="Times New Roman"/>
                <w:b/>
                <w:color w:val="auto"/>
                <w:kern w:val="2"/>
                <w:sz w:val="24"/>
                <w:szCs w:val="22"/>
                <w:lang w:val="en-US" w:eastAsia="zh-CN" w:bidi="ar-SA"/>
              </w:rPr>
              <w:t>》</w:t>
            </w:r>
            <w:r>
              <w:rPr>
                <w:rFonts w:hint="default" w:ascii="Times New Roman" w:hAnsi="Times New Roman" w:eastAsia="宋体" w:cs="Times New Roman"/>
                <w:b/>
                <w:color w:val="auto"/>
                <w:kern w:val="2"/>
                <w:sz w:val="24"/>
                <w:szCs w:val="24"/>
                <w:lang w:val="en-US" w:eastAsia="zh-CN" w:bidi="ar-SA"/>
              </w:rPr>
              <w:t>对比分析一览表</w:t>
            </w:r>
          </w:p>
          <w:tbl>
            <w:tblPr>
              <w:tblStyle w:val="25"/>
              <w:tblW w:w="48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3314"/>
              <w:gridCol w:w="2524"/>
              <w:gridCol w:w="1073"/>
            </w:tblGrid>
            <w:tr w14:paraId="09464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0" w:hRule="atLeast"/>
                <w:jc w:val="center"/>
              </w:trPr>
              <w:tc>
                <w:tcPr>
                  <w:tcW w:w="2614" w:type="pct"/>
                  <w:gridSpan w:val="2"/>
                  <w:noWrap w:val="0"/>
                  <w:vAlign w:val="center"/>
                </w:tcPr>
                <w:p w14:paraId="297BDEF4">
                  <w:pPr>
                    <w:widowControl w:val="0"/>
                    <w:spacing w:after="120" w:line="240" w:lineRule="auto"/>
                    <w:ind w:left="0" w:leftChars="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bCs/>
                      <w:color w:val="auto"/>
                      <w:kern w:val="0"/>
                      <w:sz w:val="21"/>
                      <w:szCs w:val="21"/>
                      <w:lang w:val="en-US" w:eastAsia="zh-CN" w:bidi="ar-SA"/>
                    </w:rPr>
                    <w:t>一般工业固体废物贮存和填埋污染控制标准</w:t>
                  </w:r>
                </w:p>
              </w:tc>
              <w:tc>
                <w:tcPr>
                  <w:tcW w:w="1674" w:type="pct"/>
                  <w:noWrap w:val="0"/>
                  <w:vAlign w:val="center"/>
                </w:tcPr>
                <w:p w14:paraId="74482955">
                  <w:pPr>
                    <w:adjustRightInd w:val="0"/>
                    <w:snapToGrid w:val="0"/>
                    <w:spacing w:line="240" w:lineRule="auto"/>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711" w:type="pct"/>
                  <w:noWrap w:val="0"/>
                  <w:vAlign w:val="center"/>
                </w:tcPr>
                <w:p w14:paraId="2E90A097">
                  <w:pPr>
                    <w:widowControl w:val="0"/>
                    <w:spacing w:after="120"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相符性</w:t>
                  </w:r>
                </w:p>
              </w:tc>
            </w:tr>
            <w:tr w14:paraId="1BB4B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415" w:type="pct"/>
                  <w:noWrap w:val="0"/>
                  <w:vAlign w:val="center"/>
                </w:tcPr>
                <w:p w14:paraId="1CF4D97E">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8.1</w:t>
                  </w:r>
                </w:p>
              </w:tc>
              <w:tc>
                <w:tcPr>
                  <w:tcW w:w="2198" w:type="pct"/>
                  <w:noWrap w:val="0"/>
                  <w:vAlign w:val="center"/>
                </w:tcPr>
                <w:p w14:paraId="68F01EFC">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kern w:val="0"/>
                      <w:sz w:val="21"/>
                      <w:szCs w:val="21"/>
                      <w:lang w:bidi="ar"/>
                    </w:rPr>
                    <w:t>第I类一般工业固体废物可按下列途径进行充填或回填作业：b）煤矸石可在煤炭开采矿井、矿坑等采空区中充填或回填。</w:t>
                  </w:r>
                </w:p>
              </w:tc>
              <w:tc>
                <w:tcPr>
                  <w:tcW w:w="1674" w:type="pct"/>
                  <w:noWrap w:val="0"/>
                  <w:vAlign w:val="center"/>
                </w:tcPr>
                <w:p w14:paraId="4BFF2DB6">
                  <w:pPr>
                    <w:widowControl/>
                    <w:spacing w:line="240" w:lineRule="auto"/>
                    <w:ind w:firstLine="0" w:firstLineChars="0"/>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本项目煤矸石进行井下填充，可有效控制地面沉陷、损毁耕地，减少煤矸石排放量。</w:t>
                  </w:r>
                </w:p>
              </w:tc>
              <w:tc>
                <w:tcPr>
                  <w:tcW w:w="711" w:type="pct"/>
                  <w:noWrap w:val="0"/>
                  <w:vAlign w:val="center"/>
                </w:tcPr>
                <w:p w14:paraId="41F8302B">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r w14:paraId="7EBCF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6" w:hRule="atLeast"/>
                <w:jc w:val="center"/>
              </w:trPr>
              <w:tc>
                <w:tcPr>
                  <w:tcW w:w="415" w:type="pct"/>
                  <w:noWrap w:val="0"/>
                  <w:vAlign w:val="center"/>
                </w:tcPr>
                <w:p w14:paraId="1DA1D45B">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8.3</w:t>
                  </w:r>
                </w:p>
              </w:tc>
              <w:tc>
                <w:tcPr>
                  <w:tcW w:w="2198" w:type="pct"/>
                  <w:noWrap w:val="0"/>
                  <w:vAlign w:val="center"/>
                </w:tcPr>
                <w:p w14:paraId="0EDCAD10">
                  <w:pPr>
                    <w:widowControl/>
                    <w:spacing w:line="240" w:lineRule="auto"/>
                    <w:ind w:firstLine="0" w:firstLineChars="0"/>
                    <w:jc w:val="left"/>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不应在充填物料中掺加除充填作业所需要的添加剂之外的其他固体废物。</w:t>
                  </w:r>
                </w:p>
              </w:tc>
              <w:tc>
                <w:tcPr>
                  <w:tcW w:w="1674" w:type="pct"/>
                  <w:noWrap w:val="0"/>
                  <w:vAlign w:val="center"/>
                </w:tcPr>
                <w:p w14:paraId="38704B07">
                  <w:pPr>
                    <w:widowControl/>
                    <w:spacing w:line="240" w:lineRule="auto"/>
                    <w:ind w:firstLine="0" w:firstLineChars="0"/>
                    <w:jc w:val="left"/>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本项目充填物料为煤矸石，</w:t>
                  </w:r>
                  <w:r>
                    <w:rPr>
                      <w:rFonts w:hint="default" w:ascii="Times New Roman" w:hAnsi="Times New Roman" w:eastAsia="宋体" w:cs="Times New Roman"/>
                      <w:color w:val="auto"/>
                      <w:kern w:val="0"/>
                      <w:sz w:val="21"/>
                      <w:szCs w:val="21"/>
                      <w:lang w:val="en-US" w:eastAsia="zh-CN" w:bidi="ar"/>
                    </w:rPr>
                    <w:t>无其他添加剂，煤矸石</w:t>
                  </w:r>
                  <w:r>
                    <w:rPr>
                      <w:rFonts w:hint="default" w:ascii="Times New Roman" w:hAnsi="Times New Roman" w:eastAsia="宋体" w:cs="Times New Roman"/>
                      <w:color w:val="auto"/>
                      <w:kern w:val="0"/>
                      <w:sz w:val="21"/>
                      <w:szCs w:val="21"/>
                      <w:lang w:bidi="ar"/>
                    </w:rPr>
                    <w:t>属于I类固体废物。</w:t>
                  </w:r>
                </w:p>
              </w:tc>
              <w:tc>
                <w:tcPr>
                  <w:tcW w:w="711" w:type="pct"/>
                  <w:noWrap w:val="0"/>
                  <w:vAlign w:val="center"/>
                </w:tcPr>
                <w:p w14:paraId="5C963295">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019D2405">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由分析结果可知：本项目充填物料为煤矸石，符合《一般工业固体废物贮存和填埋污染控制标准》（GB18599-2020）具体要求。</w:t>
            </w:r>
          </w:p>
          <w:p w14:paraId="707C6A42">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10、</w:t>
            </w:r>
            <w:r>
              <w:rPr>
                <w:rFonts w:hint="default" w:ascii="Times New Roman" w:hAnsi="Times New Roman" w:eastAsia="宋体" w:cs="Times New Roman"/>
                <w:color w:val="auto"/>
                <w:kern w:val="2"/>
                <w:sz w:val="24"/>
                <w:szCs w:val="24"/>
              </w:rPr>
              <w:t>与《鄂尔多斯市委市人民政府关于开展决战决胜污染防治攻坚战十大行动的通知》（鄂党办发〔2020〕6 号）符合性</w:t>
            </w:r>
          </w:p>
          <w:p w14:paraId="249C0D30">
            <w:pPr>
              <w:widowControl w:val="0"/>
              <w:jc w:val="center"/>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eastAsia="宋体" w:cs="Times New Roman"/>
                <w:b/>
                <w:color w:val="auto"/>
                <w:kern w:val="2"/>
                <w:sz w:val="24"/>
                <w:szCs w:val="24"/>
                <w:lang w:val="en-US" w:eastAsia="zh-CN" w:bidi="ar-SA"/>
              </w:rPr>
              <w:t>表1-9与《鄂尔多斯市委市人民政府关于开展决战决胜污染防治攻坚战十大行动的通知</w:t>
            </w:r>
            <w:r>
              <w:rPr>
                <w:rFonts w:hint="default" w:ascii="Times New Roman" w:hAnsi="Times New Roman" w:eastAsia="宋体" w:cs="Times New Roman"/>
                <w:b/>
                <w:color w:val="auto"/>
                <w:kern w:val="2"/>
                <w:sz w:val="24"/>
                <w:szCs w:val="22"/>
                <w:lang w:val="en-US" w:eastAsia="zh-CN" w:bidi="ar-SA"/>
              </w:rPr>
              <w:t>》</w:t>
            </w:r>
            <w:r>
              <w:rPr>
                <w:rFonts w:hint="default" w:ascii="Times New Roman" w:hAnsi="Times New Roman" w:eastAsia="宋体" w:cs="Times New Roman"/>
                <w:b/>
                <w:color w:val="auto"/>
                <w:kern w:val="2"/>
                <w:sz w:val="24"/>
                <w:szCs w:val="24"/>
                <w:lang w:val="en-US" w:eastAsia="zh-CN" w:bidi="ar-SA"/>
              </w:rPr>
              <w:t>对比分析一览表</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46"/>
              <w:gridCol w:w="2591"/>
              <w:gridCol w:w="1100"/>
            </w:tblGrid>
            <w:tr w14:paraId="1A71A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4" w:hRule="atLeast"/>
                <w:jc w:val="center"/>
              </w:trPr>
              <w:tc>
                <w:tcPr>
                  <w:tcW w:w="2614" w:type="pct"/>
                  <w:noWrap w:val="0"/>
                  <w:vAlign w:val="center"/>
                </w:tcPr>
                <w:p w14:paraId="159183EB">
                  <w:pPr>
                    <w:widowControl w:val="0"/>
                    <w:spacing w:after="120" w:line="240" w:lineRule="auto"/>
                    <w:ind w:left="0" w:leftChars="0" w:firstLine="0" w:firstLineChars="0"/>
                    <w:jc w:val="center"/>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具体要求</w:t>
                  </w:r>
                </w:p>
              </w:tc>
              <w:tc>
                <w:tcPr>
                  <w:tcW w:w="1674" w:type="pct"/>
                  <w:noWrap w:val="0"/>
                  <w:vAlign w:val="center"/>
                </w:tcPr>
                <w:p w14:paraId="06CB2F30">
                  <w:pPr>
                    <w:adjustRightInd w:val="0"/>
                    <w:snapToGrid w:val="0"/>
                    <w:spacing w:line="240" w:lineRule="auto"/>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val="en-US" w:eastAsia="zh-CN" w:bidi="ar-SA"/>
                    </w:rPr>
                    <w:t>本项目概况</w:t>
                  </w:r>
                </w:p>
              </w:tc>
              <w:tc>
                <w:tcPr>
                  <w:tcW w:w="711" w:type="pct"/>
                  <w:noWrap w:val="0"/>
                  <w:vAlign w:val="center"/>
                </w:tcPr>
                <w:p w14:paraId="07816042">
                  <w:pPr>
                    <w:widowControl w:val="0"/>
                    <w:spacing w:after="120" w:line="240" w:lineRule="auto"/>
                    <w:ind w:left="0" w:leftChars="0" w:firstLine="0" w:firstLine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相符性</w:t>
                  </w:r>
                </w:p>
              </w:tc>
            </w:tr>
            <w:tr w14:paraId="48F0A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4" w:type="pct"/>
                  <w:noWrap w:val="0"/>
                  <w:vAlign w:val="center"/>
                </w:tcPr>
                <w:p w14:paraId="32DD5557">
                  <w:pPr>
                    <w:widowControl/>
                    <w:spacing w:line="240" w:lineRule="auto"/>
                    <w:ind w:firstLine="0" w:firstLineChars="0"/>
                    <w:jc w:val="left"/>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kern w:val="0"/>
                      <w:sz w:val="21"/>
                      <w:szCs w:val="21"/>
                      <w:lang w:bidi="ar"/>
                    </w:rPr>
                    <w:t>“八、工业固废污染防治行动。推进煤矸石资源化利用，不能资源化利用的实行露天煤矿采坑协同处置或井下回填利用。”</w:t>
                  </w:r>
                </w:p>
              </w:tc>
              <w:tc>
                <w:tcPr>
                  <w:tcW w:w="1674" w:type="pct"/>
                  <w:noWrap w:val="0"/>
                  <w:vAlign w:val="center"/>
                </w:tcPr>
                <w:p w14:paraId="131F90CA">
                  <w:pPr>
                    <w:widowControl/>
                    <w:spacing w:line="240" w:lineRule="auto"/>
                    <w:ind w:firstLine="0" w:firstLineChars="0"/>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0"/>
                      <w:sz w:val="21"/>
                      <w:szCs w:val="21"/>
                      <w:lang w:bidi="ar"/>
                    </w:rPr>
                    <w:t>本项目为井下回填利用项目</w:t>
                  </w:r>
                </w:p>
              </w:tc>
              <w:tc>
                <w:tcPr>
                  <w:tcW w:w="711" w:type="pct"/>
                  <w:noWrap w:val="0"/>
                  <w:vAlign w:val="center"/>
                </w:tcPr>
                <w:p w14:paraId="68EAC9AA">
                  <w:pPr>
                    <w:widowControl/>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符合</w:t>
                  </w:r>
                </w:p>
              </w:tc>
            </w:tr>
          </w:tbl>
          <w:p w14:paraId="1C3A1D8E">
            <w:pPr>
              <w:widowControl w:val="0"/>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rPr>
              <w:t>由分析结果可知：本项目为井下回填煤矸石利用项目，符合《鄂尔多斯市委市人民政府关于开展决战决胜污染防治攻坚战十大行动的通知》具体要求。</w:t>
            </w:r>
          </w:p>
        </w:tc>
      </w:tr>
    </w:tbl>
    <w:p w14:paraId="7D8DDD62">
      <w:pPr>
        <w:pStyle w:val="2"/>
        <w:ind w:firstLine="640"/>
        <w:rPr>
          <w:rFonts w:hint="default" w:ascii="Times New Roman" w:hAnsi="Times New Roman" w:eastAsia="宋体" w:cs="Times New Roman"/>
          <w:snapToGrid w:val="0"/>
          <w:color w:val="auto"/>
        </w:rPr>
        <w:sectPr>
          <w:headerReference r:id="rId9" w:type="default"/>
          <w:footerReference r:id="rId10" w:type="default"/>
          <w:pgSz w:w="11906" w:h="16838"/>
          <w:pgMar w:top="1440" w:right="1800" w:bottom="1440" w:left="1800" w:header="992" w:footer="992" w:gutter="0"/>
          <w:pgBorders>
            <w:top w:val="none" w:sz="0" w:space="0"/>
            <w:left w:val="none" w:sz="0" w:space="0"/>
            <w:bottom w:val="none" w:sz="0" w:space="0"/>
            <w:right w:val="none" w:sz="0" w:space="0"/>
          </w:pgBorders>
          <w:pgNumType w:start="1"/>
          <w:cols w:space="425" w:num="1"/>
          <w:docGrid w:type="lines" w:linePitch="312" w:charSpace="0"/>
        </w:sectPr>
      </w:pPr>
    </w:p>
    <w:p w14:paraId="08FB3B18">
      <w:pPr>
        <w:pStyle w:val="2"/>
        <w:ind w:firstLine="321" w:firstLineChars="100"/>
        <w:jc w:val="center"/>
        <w:rPr>
          <w:rFonts w:hint="default" w:ascii="Times New Roman" w:hAnsi="Times New Roman" w:eastAsia="宋体" w:cs="Times New Roman"/>
          <w:snapToGrid w:val="0"/>
          <w:color w:val="auto"/>
        </w:rPr>
      </w:pPr>
      <w:bookmarkStart w:id="6" w:name="_Toc144507126"/>
      <w:r>
        <w:rPr>
          <w:rFonts w:hint="default" w:ascii="Times New Roman" w:hAnsi="Times New Roman" w:eastAsia="宋体" w:cs="Times New Roman"/>
          <w:snapToGrid w:val="0"/>
          <w:color w:val="auto"/>
        </w:rPr>
        <w:t>二、建设项目工程分析</w:t>
      </w:r>
      <w:bookmarkEnd w:id="6"/>
    </w:p>
    <w:tbl>
      <w:tblPr>
        <w:tblStyle w:val="25"/>
        <w:tblpPr w:leftFromText="180" w:rightFromText="180" w:vertAnchor="text" w:tblpXSpec="center" w:tblpY="1"/>
        <w:tblOverlap w:val="never"/>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8078"/>
      </w:tblGrid>
      <w:tr w14:paraId="4F835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562" w:hRule="atLeast"/>
        </w:trPr>
        <w:tc>
          <w:tcPr>
            <w:tcW w:w="303" w:type="pct"/>
            <w:vAlign w:val="center"/>
          </w:tcPr>
          <w:p w14:paraId="10FD3060">
            <w:pPr>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建设内容</w:t>
            </w:r>
          </w:p>
        </w:tc>
        <w:tc>
          <w:tcPr>
            <w:tcW w:w="4696" w:type="pct"/>
            <w:vAlign w:val="top"/>
          </w:tcPr>
          <w:p w14:paraId="25B34E40">
            <w:pPr>
              <w:ind w:firstLine="482"/>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一、项目由来</w:t>
            </w:r>
          </w:p>
          <w:p w14:paraId="6FB025F9">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2"/>
                <w:sz w:val="24"/>
                <w:szCs w:val="32"/>
                <w:highlight w:val="none"/>
              </w:rPr>
              <w:t>白家海子煤矿位于内蒙古自治区鄂尔多斯市西南部的乌审旗境内，</w:t>
            </w:r>
            <w:r>
              <w:rPr>
                <w:rFonts w:hint="default" w:ascii="Times New Roman" w:hAnsi="Times New Roman" w:eastAsia="宋体" w:cs="Times New Roman"/>
                <w:color w:val="auto"/>
                <w:kern w:val="0"/>
                <w:sz w:val="24"/>
                <w:szCs w:val="24"/>
                <w:lang w:val="en-US" w:eastAsia="zh-CN" w:bidi="ar"/>
              </w:rPr>
              <w:t>项目地处我国西部大开发的重点地区之一—神东煤炭基地，具</w:t>
            </w:r>
            <w:r>
              <w:rPr>
                <w:rFonts w:hint="default" w:ascii="Times New Roman" w:hAnsi="Times New Roman" w:eastAsia="宋体" w:cs="Times New Roman"/>
                <w:color w:val="auto"/>
                <w:lang w:val="en-US" w:eastAsia="zh-CN"/>
              </w:rPr>
              <w:t>有</w:t>
            </w:r>
            <w:r>
              <w:rPr>
                <w:rFonts w:hint="default" w:ascii="Times New Roman" w:hAnsi="Times New Roman" w:eastAsia="宋体" w:cs="Times New Roman"/>
                <w:color w:val="auto"/>
                <w:kern w:val="0"/>
                <w:sz w:val="24"/>
                <w:szCs w:val="24"/>
                <w:lang w:val="en-US" w:eastAsia="zh-CN" w:bidi="ar"/>
              </w:rPr>
              <w:t>独特的资源地理优势。</w:t>
            </w:r>
          </w:p>
          <w:p w14:paraId="35D25D94">
            <w:pPr>
              <w:keepNext w:val="0"/>
              <w:keepLines w:val="0"/>
              <w:widowControl/>
              <w:suppressLineNumbers w:val="0"/>
              <w:jc w:val="both"/>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根据2017年3月批复的《内蒙古鄂尔多斯纳林河煤炭矿区总体规划》，纳林河矿区共规划12个矿井，其中规划白家海子井田15.0Mt/a。</w:t>
            </w:r>
          </w:p>
          <w:p w14:paraId="0E096285">
            <w:pPr>
              <w:widowControl w:val="0"/>
              <w:spacing w:line="360" w:lineRule="auto"/>
              <w:ind w:firstLine="480" w:firstLineChars="0"/>
              <w:jc w:val="both"/>
              <w:rPr>
                <w:rFonts w:hint="default" w:ascii="Times New Roman" w:hAnsi="Times New Roman" w:eastAsia="宋体" w:cs="Times New Roman"/>
                <w:color w:val="auto"/>
                <w:kern w:val="2"/>
                <w:sz w:val="24"/>
                <w:szCs w:val="32"/>
                <w:highlight w:val="none"/>
                <w:lang w:eastAsia="zh-CN"/>
              </w:rPr>
            </w:pPr>
            <w:r>
              <w:rPr>
                <w:rFonts w:hint="default" w:ascii="Times New Roman" w:hAnsi="Times New Roman" w:eastAsia="宋体" w:cs="Times New Roman"/>
                <w:color w:val="auto"/>
                <w:kern w:val="2"/>
                <w:sz w:val="24"/>
                <w:szCs w:val="32"/>
                <w:highlight w:val="none"/>
              </w:rPr>
              <w:t>20</w:t>
            </w:r>
            <w:r>
              <w:rPr>
                <w:rFonts w:hint="default" w:ascii="Times New Roman" w:hAnsi="Times New Roman" w:eastAsia="宋体" w:cs="Times New Roman"/>
                <w:color w:val="auto"/>
                <w:kern w:val="2"/>
                <w:sz w:val="24"/>
                <w:szCs w:val="32"/>
                <w:highlight w:val="none"/>
                <w:lang w:val="en-US" w:eastAsia="zh-CN"/>
              </w:rPr>
              <w:t>21</w:t>
            </w:r>
            <w:r>
              <w:rPr>
                <w:rFonts w:hint="default" w:ascii="Times New Roman" w:hAnsi="Times New Roman" w:eastAsia="宋体" w:cs="Times New Roman"/>
                <w:color w:val="auto"/>
                <w:kern w:val="2"/>
                <w:sz w:val="24"/>
                <w:szCs w:val="32"/>
                <w:highlight w:val="none"/>
              </w:rPr>
              <w:t>年</w:t>
            </w:r>
            <w:r>
              <w:rPr>
                <w:rFonts w:hint="default" w:ascii="Times New Roman" w:hAnsi="Times New Roman" w:eastAsia="宋体" w:cs="Times New Roman"/>
                <w:color w:val="auto"/>
                <w:kern w:val="2"/>
                <w:sz w:val="24"/>
                <w:szCs w:val="32"/>
                <w:highlight w:val="none"/>
                <w:lang w:val="en-US" w:eastAsia="zh-CN"/>
              </w:rPr>
              <w:t>11</w:t>
            </w:r>
            <w:r>
              <w:rPr>
                <w:rFonts w:hint="default" w:ascii="Times New Roman" w:hAnsi="Times New Roman" w:eastAsia="宋体" w:cs="Times New Roman"/>
                <w:color w:val="auto"/>
                <w:kern w:val="2"/>
                <w:sz w:val="24"/>
                <w:szCs w:val="32"/>
                <w:highlight w:val="none"/>
              </w:rPr>
              <w:t>月</w:t>
            </w:r>
            <w:r>
              <w:rPr>
                <w:rFonts w:hint="default" w:ascii="Times New Roman" w:hAnsi="Times New Roman" w:eastAsia="宋体" w:cs="Times New Roman"/>
                <w:color w:val="auto"/>
                <w:kern w:val="2"/>
                <w:sz w:val="24"/>
                <w:szCs w:val="32"/>
                <w:highlight w:val="none"/>
                <w:lang w:val="en-US" w:eastAsia="zh-CN"/>
              </w:rPr>
              <w:t>17</w:t>
            </w:r>
            <w:r>
              <w:rPr>
                <w:rFonts w:hint="default" w:ascii="Times New Roman" w:hAnsi="Times New Roman" w:eastAsia="宋体" w:cs="Times New Roman"/>
                <w:color w:val="auto"/>
                <w:kern w:val="2"/>
                <w:sz w:val="24"/>
                <w:szCs w:val="32"/>
                <w:highlight w:val="none"/>
              </w:rPr>
              <w:t>日，中华人民共和国</w:t>
            </w:r>
            <w:r>
              <w:rPr>
                <w:rFonts w:hint="default" w:ascii="Times New Roman" w:hAnsi="Times New Roman" w:eastAsia="宋体" w:cs="Times New Roman"/>
                <w:color w:val="auto"/>
                <w:kern w:val="2"/>
                <w:sz w:val="24"/>
                <w:szCs w:val="32"/>
                <w:highlight w:val="none"/>
                <w:lang w:val="en-US" w:eastAsia="zh-CN"/>
              </w:rPr>
              <w:t>生态环境部</w:t>
            </w:r>
            <w:r>
              <w:rPr>
                <w:rFonts w:hint="default" w:ascii="Times New Roman" w:hAnsi="Times New Roman" w:eastAsia="宋体" w:cs="Times New Roman"/>
                <w:color w:val="auto"/>
                <w:kern w:val="2"/>
                <w:sz w:val="24"/>
                <w:szCs w:val="32"/>
                <w:highlight w:val="none"/>
              </w:rPr>
              <w:t>以环</w:t>
            </w:r>
            <w:r>
              <w:rPr>
                <w:rFonts w:hint="default" w:ascii="Times New Roman" w:hAnsi="Times New Roman" w:eastAsia="宋体" w:cs="Times New Roman"/>
                <w:color w:val="auto"/>
                <w:kern w:val="2"/>
                <w:sz w:val="24"/>
                <w:szCs w:val="32"/>
                <w:highlight w:val="none"/>
                <w:lang w:val="en-US" w:eastAsia="zh-CN"/>
              </w:rPr>
              <w:t>审</w:t>
            </w:r>
            <w:r>
              <w:rPr>
                <w:rFonts w:hint="default" w:ascii="Times New Roman" w:hAnsi="Times New Roman" w:eastAsia="宋体" w:cs="Times New Roman"/>
                <w:color w:val="auto"/>
                <w:kern w:val="2"/>
                <w:sz w:val="24"/>
                <w:szCs w:val="32"/>
                <w:highlight w:val="none"/>
              </w:rPr>
              <w:t>〔20</w:t>
            </w:r>
            <w:r>
              <w:rPr>
                <w:rFonts w:hint="default" w:ascii="Times New Roman" w:hAnsi="Times New Roman" w:eastAsia="宋体" w:cs="Times New Roman"/>
                <w:color w:val="auto"/>
                <w:kern w:val="2"/>
                <w:sz w:val="24"/>
                <w:szCs w:val="32"/>
                <w:highlight w:val="none"/>
                <w:lang w:val="en-US" w:eastAsia="zh-CN"/>
              </w:rPr>
              <w:t>21</w:t>
            </w:r>
            <w:r>
              <w:rPr>
                <w:rFonts w:hint="default" w:ascii="Times New Roman" w:hAnsi="Times New Roman" w:eastAsia="宋体" w:cs="Times New Roman"/>
                <w:color w:val="auto"/>
                <w:kern w:val="2"/>
                <w:sz w:val="24"/>
                <w:szCs w:val="32"/>
                <w:highlight w:val="none"/>
              </w:rPr>
              <w:t>〕</w:t>
            </w:r>
            <w:r>
              <w:rPr>
                <w:rFonts w:hint="default" w:ascii="Times New Roman" w:hAnsi="Times New Roman" w:eastAsia="宋体" w:cs="Times New Roman"/>
                <w:color w:val="auto"/>
                <w:kern w:val="2"/>
                <w:sz w:val="24"/>
                <w:szCs w:val="32"/>
                <w:highlight w:val="none"/>
                <w:lang w:val="en-US" w:eastAsia="zh-CN"/>
              </w:rPr>
              <w:t>96</w:t>
            </w:r>
            <w:r>
              <w:rPr>
                <w:rFonts w:hint="default" w:ascii="Times New Roman" w:hAnsi="Times New Roman" w:eastAsia="宋体" w:cs="Times New Roman"/>
                <w:color w:val="auto"/>
                <w:kern w:val="2"/>
                <w:sz w:val="24"/>
                <w:szCs w:val="32"/>
                <w:highlight w:val="none"/>
              </w:rPr>
              <w:t>号文对《</w:t>
            </w:r>
            <w:r>
              <w:rPr>
                <w:rFonts w:hint="default" w:ascii="Times New Roman" w:hAnsi="Times New Roman" w:eastAsia="宋体" w:cs="Times New Roman"/>
                <w:color w:val="auto"/>
                <w:kern w:val="0"/>
                <w:sz w:val="24"/>
                <w:szCs w:val="24"/>
                <w:lang w:val="en-US" w:eastAsia="zh-CN" w:bidi="ar"/>
              </w:rPr>
              <w:t>内蒙古鄂尔多斯联海煤业有限公司纳林河煤炭矿区白家海子矿井及选煤厂（1500万吨/年）</w:t>
            </w:r>
            <w:r>
              <w:rPr>
                <w:rFonts w:hint="default" w:ascii="Times New Roman" w:hAnsi="Times New Roman" w:eastAsia="宋体" w:cs="Times New Roman"/>
                <w:color w:val="auto"/>
                <w:kern w:val="2"/>
                <w:sz w:val="24"/>
                <w:szCs w:val="32"/>
                <w:highlight w:val="none"/>
              </w:rPr>
              <w:t>环境影响报告书》予以批复</w:t>
            </w:r>
            <w:r>
              <w:rPr>
                <w:rFonts w:hint="default" w:ascii="Times New Roman" w:hAnsi="Times New Roman" w:eastAsia="宋体" w:cs="Times New Roman"/>
                <w:color w:val="auto"/>
                <w:kern w:val="2"/>
                <w:sz w:val="24"/>
                <w:szCs w:val="32"/>
                <w:highlight w:val="none"/>
                <w:lang w:eastAsia="zh-CN"/>
              </w:rPr>
              <w:t>。</w:t>
            </w:r>
          </w:p>
          <w:p w14:paraId="79761547">
            <w:pPr>
              <w:keepNext w:val="0"/>
              <w:keepLines w:val="0"/>
              <w:widowControl/>
              <w:suppressLineNumbers w:val="0"/>
              <w:jc w:val="both"/>
              <w:rPr>
                <w:rFonts w:hint="default" w:ascii="Times New Roman" w:hAnsi="Times New Roman" w:eastAsia="宋体" w:cs="Times New Roman"/>
                <w:color w:val="auto"/>
                <w:lang w:val="en-US"/>
              </w:rPr>
            </w:pPr>
            <w:r>
              <w:rPr>
                <w:rFonts w:hint="default" w:ascii="Times New Roman" w:hAnsi="Times New Roman" w:eastAsia="宋体" w:cs="Times New Roman"/>
                <w:color w:val="auto"/>
                <w:kern w:val="0"/>
                <w:sz w:val="24"/>
                <w:szCs w:val="24"/>
                <w:lang w:val="en-US" w:eastAsia="zh-CN" w:bidi="ar"/>
              </w:rPr>
              <w:t>2022 年 7 月，取得内蒙古自治区能源局《关于内蒙古鄂尔多斯联海煤业有限公司白家海子矿井及选煤厂初步设计的批复》（内能煤运〔2022〕828 号）；2022 年 9 月，取得国家矿山安全监察局内蒙古局《关于内蒙古鄂尔多斯联海煤业有限公司白家海子煤矿安全设施设计的批复》（矿安蒙〔2022〕64 号）。由于白家海子煤矿为冲击地压矿井，矿井实际建设规模降为8.0Mt/a，洗煤厂建设规模为8.0Mt/a。</w:t>
            </w:r>
            <w:r>
              <w:rPr>
                <w:rFonts w:hint="eastAsia" w:cs="Times New Roman"/>
                <w:color w:val="auto"/>
                <w:kern w:val="0"/>
                <w:sz w:val="24"/>
                <w:szCs w:val="24"/>
                <w:lang w:val="en-US" w:eastAsia="zh-CN" w:bidi="ar"/>
              </w:rPr>
              <w:t>煤矿采煤方式为长壁综采一次采全高，不属于充填开采，不属于保水采煤。</w:t>
            </w:r>
          </w:p>
          <w:p w14:paraId="418720B7">
            <w:pPr>
              <w:keepNext w:val="0"/>
              <w:keepLines w:val="0"/>
              <w:widowControl/>
              <w:suppressLineNumbers w:val="0"/>
              <w:jc w:val="left"/>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目前，矿井地面主体土建工程已基本施工完成，井下正在进行东翼、北翼大巷掘进，预计2026年上半年完成项目竣工验收。白家海子煤矿投产后，洗煤厂年洗选矸石量约90万t/a，根据《内蒙古鄂尔多斯联海煤业有限公司纳林河煤炭矿区白家海子矿井及选煤厂（1500万吨/年）</w:t>
            </w:r>
            <w:r>
              <w:rPr>
                <w:rFonts w:hint="default" w:ascii="Times New Roman" w:hAnsi="Times New Roman" w:eastAsia="宋体" w:cs="Times New Roman"/>
                <w:color w:val="auto"/>
                <w:kern w:val="2"/>
                <w:sz w:val="24"/>
                <w:szCs w:val="32"/>
                <w:highlight w:val="none"/>
              </w:rPr>
              <w:t>环境影响报告书</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2"/>
                <w:sz w:val="24"/>
                <w:szCs w:val="32"/>
                <w:highlight w:val="none"/>
                <w:lang w:val="en-US" w:eastAsia="zh-CN"/>
              </w:rPr>
              <w:t>及批复要求：项目矸石部分用于联海煤业煤矸石综合项目，其余全部用于充填。矸石充填系统应与矿井同步建成投运，加强矸石充填系统运行管理，确保矸石及时充填井下。原环评及批复中包括矸石充填系统的建设内容指的是井下采空区的地上充填系统，环评及批复已审批地上充填系统和井下采空区充填内容，</w:t>
            </w:r>
            <w:r>
              <w:rPr>
                <w:rFonts w:hint="default" w:ascii="Times New Roman" w:hAnsi="Times New Roman" w:eastAsia="宋体" w:cs="Times New Roman"/>
                <w:color w:val="auto"/>
                <w:lang w:val="en-US" w:eastAsia="zh-CN"/>
              </w:rPr>
              <w:t>因目前属于企业开采前期还未形成采空区，企业根据调研，原设计在地面选煤厂矸石仓附近</w:t>
            </w:r>
            <w:r>
              <w:rPr>
                <w:rFonts w:hint="eastAsia" w:cs="Times New Roman"/>
                <w:color w:val="auto"/>
                <w:lang w:val="en-US" w:eastAsia="zh-CN"/>
              </w:rPr>
              <w:t>设置</w:t>
            </w:r>
            <w:r>
              <w:rPr>
                <w:rFonts w:hint="default" w:ascii="Times New Roman" w:hAnsi="Times New Roman" w:eastAsia="宋体" w:cs="Times New Roman"/>
                <w:color w:val="auto"/>
                <w:lang w:val="en-US" w:eastAsia="zh-CN"/>
              </w:rPr>
              <w:t>矸石预处理系统，通过投放系统至井下矸石仓储存，然后通过矸石运输联络巷、胶带输送机大巷、工作面回风顺槽运输至工作面，通过转载至充填支架后方刮板输送机，充填采空区。原设计矸石处置系统复杂，需在地面及井下增设矸石仓，并在井下设置矸石运输系统，影响正常采煤，且成本较高；</w:t>
            </w:r>
            <w:r>
              <w:rPr>
                <w:rFonts w:hint="default" w:ascii="Times New Roman" w:hAnsi="Times New Roman" w:eastAsia="宋体" w:cs="Times New Roman"/>
                <w:color w:val="auto"/>
                <w:kern w:val="0"/>
                <w:sz w:val="24"/>
                <w:szCs w:val="24"/>
                <w:lang w:val="en-US" w:eastAsia="zh-CN" w:bidi="ar"/>
              </w:rPr>
              <w:t>覆岩离层注浆充填技术是</w:t>
            </w:r>
            <w:r>
              <w:rPr>
                <w:rFonts w:hint="default" w:ascii="Times New Roman" w:hAnsi="Times New Roman" w:eastAsia="宋体" w:cs="Times New Roman"/>
                <w:color w:val="auto"/>
                <w:sz w:val="24"/>
                <w:lang w:val="en-US" w:eastAsia="zh-CN"/>
              </w:rPr>
              <w:t>一项新兴的覆岩与地表沉陷控制技术，其通过地面钻孔向覆岩中产生的离层带中注入某种充填材料，以控制覆岩下沉的途径来实现控制地表沉陷目的。与其他同类技术相比其最大优点是井上下互不干扰，无需改变现有矿井的开拓生产系统，不影响生产，即可单独采用，又可与</w:t>
            </w:r>
            <w:r>
              <w:rPr>
                <w:rFonts w:hint="eastAsia" w:cs="Times New Roman"/>
                <w:color w:val="auto"/>
                <w:sz w:val="24"/>
                <w:lang w:val="en-US" w:eastAsia="zh-CN"/>
              </w:rPr>
              <w:t>其他</w:t>
            </w:r>
            <w:r>
              <w:rPr>
                <w:rFonts w:hint="default" w:ascii="Times New Roman" w:hAnsi="Times New Roman" w:eastAsia="宋体" w:cs="Times New Roman"/>
                <w:color w:val="auto"/>
                <w:sz w:val="24"/>
                <w:lang w:val="en-US" w:eastAsia="zh-CN"/>
              </w:rPr>
              <w:t>措施联合使用，不造成资源浪费，有利于高产高效生产，可使地表下沉系数控制在0.1以内。同时，该技术多利用煤矸石等煤基固废作为充填材料，既做到了废物利用，减轻了固废处理费用，又保护了环境卫生，该方法正在我国大范围推广应用。</w:t>
            </w:r>
            <w:r>
              <w:rPr>
                <w:rFonts w:hint="default" w:ascii="Times New Roman" w:hAnsi="Times New Roman" w:eastAsia="宋体" w:cs="Times New Roman"/>
                <w:color w:val="auto"/>
                <w:kern w:val="0"/>
                <w:sz w:val="24"/>
                <w:szCs w:val="24"/>
                <w:lang w:val="en-US" w:eastAsia="zh-CN" w:bidi="ar"/>
              </w:rPr>
              <w:t>该技术的充填材料主要为煤基固废，如煤石、粉煤灰、煤泥等。基于离层注浆的石处置技术具有处理能力大、投资低、与井下采煤干扰小等优点，该技术受到诸多</w:t>
            </w:r>
            <w:r>
              <w:rPr>
                <w:rFonts w:hint="eastAsia" w:cs="Times New Roman"/>
                <w:color w:val="auto"/>
                <w:kern w:val="0"/>
                <w:sz w:val="24"/>
                <w:szCs w:val="24"/>
                <w:lang w:val="en-US" w:eastAsia="zh-CN" w:bidi="ar"/>
              </w:rPr>
              <w:t>矿井</w:t>
            </w:r>
            <w:r>
              <w:rPr>
                <w:rFonts w:hint="default" w:ascii="Times New Roman" w:hAnsi="Times New Roman" w:eastAsia="宋体" w:cs="Times New Roman"/>
                <w:color w:val="auto"/>
                <w:kern w:val="0"/>
                <w:sz w:val="24"/>
                <w:szCs w:val="24"/>
                <w:lang w:val="en-US" w:eastAsia="zh-CN" w:bidi="ar"/>
              </w:rPr>
              <w:t>的</w:t>
            </w:r>
            <w:r>
              <w:rPr>
                <w:rFonts w:hint="eastAsia" w:cs="Times New Roman"/>
                <w:color w:val="auto"/>
                <w:kern w:val="0"/>
                <w:sz w:val="24"/>
                <w:szCs w:val="24"/>
                <w:lang w:val="en-US" w:eastAsia="zh-CN" w:bidi="ar"/>
              </w:rPr>
              <w:t>青睐</w:t>
            </w:r>
            <w:r>
              <w:rPr>
                <w:rFonts w:hint="default" w:ascii="Times New Roman" w:hAnsi="Times New Roman" w:eastAsia="宋体" w:cs="Times New Roman"/>
                <w:color w:val="auto"/>
                <w:kern w:val="0"/>
                <w:sz w:val="24"/>
                <w:szCs w:val="24"/>
                <w:lang w:val="en-US" w:eastAsia="zh-CN" w:bidi="ar"/>
              </w:rPr>
              <w:t>，如</w:t>
            </w:r>
            <w:r>
              <w:rPr>
                <w:rFonts w:hint="eastAsia" w:cs="Times New Roman"/>
                <w:color w:val="auto"/>
                <w:kern w:val="0"/>
                <w:sz w:val="24"/>
                <w:szCs w:val="24"/>
                <w:lang w:val="en-US" w:eastAsia="zh-CN" w:bidi="ar"/>
              </w:rPr>
              <w:t>内蒙古</w:t>
            </w:r>
            <w:r>
              <w:rPr>
                <w:rFonts w:hint="default" w:ascii="Times New Roman" w:hAnsi="Times New Roman" w:eastAsia="宋体" w:cs="Times New Roman"/>
                <w:color w:val="auto"/>
                <w:kern w:val="0"/>
                <w:sz w:val="24"/>
                <w:szCs w:val="24"/>
                <w:lang w:val="en-US" w:eastAsia="zh-CN" w:bidi="ar"/>
              </w:rPr>
              <w:t>地区中天合创能源有限责任公司门克庆煤矿、内蒙古伊泰广联煤化有限责任公司红庆河煤矿、内蒙古昊盛煤业有限公司石拉乌素煤矿等，均运用该技术进行矸石的处置。本矿井与上述</w:t>
            </w:r>
            <w:r>
              <w:rPr>
                <w:rFonts w:hint="eastAsia" w:cs="Times New Roman"/>
                <w:color w:val="auto"/>
                <w:kern w:val="0"/>
                <w:sz w:val="24"/>
                <w:szCs w:val="24"/>
                <w:lang w:val="en-US" w:eastAsia="zh-CN" w:bidi="ar"/>
              </w:rPr>
              <w:t>矿井</w:t>
            </w:r>
            <w:r>
              <w:rPr>
                <w:rFonts w:hint="default" w:ascii="Times New Roman" w:hAnsi="Times New Roman" w:eastAsia="宋体" w:cs="Times New Roman"/>
                <w:color w:val="auto"/>
                <w:kern w:val="0"/>
                <w:sz w:val="24"/>
                <w:szCs w:val="24"/>
                <w:lang w:val="en-US" w:eastAsia="zh-CN" w:bidi="ar"/>
              </w:rPr>
              <w:t>地形地貌、地层条件等相似，运用离层注浆技术处置</w:t>
            </w:r>
            <w:r>
              <w:rPr>
                <w:rFonts w:hint="eastAsia" w:cs="Times New Roman"/>
                <w:color w:val="auto"/>
                <w:kern w:val="0"/>
                <w:sz w:val="24"/>
                <w:szCs w:val="24"/>
                <w:lang w:val="en-US" w:eastAsia="zh-CN" w:bidi="ar"/>
              </w:rPr>
              <w:t>矿井</w:t>
            </w:r>
            <w:r>
              <w:rPr>
                <w:rFonts w:hint="default" w:ascii="Times New Roman" w:hAnsi="Times New Roman" w:eastAsia="宋体" w:cs="Times New Roman"/>
                <w:color w:val="auto"/>
                <w:kern w:val="0"/>
                <w:sz w:val="24"/>
                <w:szCs w:val="24"/>
                <w:lang w:val="en-US" w:eastAsia="zh-CN" w:bidi="ar"/>
              </w:rPr>
              <w:t>石是解决矿井矸石问题的有效手段。</w:t>
            </w:r>
          </w:p>
          <w:p w14:paraId="2F609748">
            <w:pPr>
              <w:keepNext w:val="0"/>
              <w:keepLines w:val="0"/>
              <w:pageBreakBefore w:val="0"/>
              <w:widowControl w:val="0"/>
              <w:kinsoku/>
              <w:wordWrap/>
              <w:overflowPunct/>
              <w:topLinePunct/>
              <w:autoSpaceDE/>
              <w:autoSpaceDN/>
              <w:bidi w:val="0"/>
              <w:spacing w:line="360" w:lineRule="auto"/>
              <w:ind w:firstLine="480" w:firstLineChars="200"/>
              <w:jc w:val="both"/>
              <w:textAlignment w:val="auto"/>
              <w:rPr>
                <w:rFonts w:hint="eastAsia"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为解决矸石处置问题，结合煤矿实际情况，内蒙古鄂尔多斯联海煤业有限公司拟建设白家海子煤矿矸石覆岩离层注浆充填项目，原环评及批复所批采空区充填系统</w:t>
            </w:r>
            <w:r>
              <w:rPr>
                <w:rFonts w:hint="eastAsia" w:cs="Times New Roman"/>
                <w:color w:val="auto"/>
                <w:kern w:val="0"/>
                <w:sz w:val="24"/>
                <w:szCs w:val="24"/>
                <w:highlight w:val="none"/>
                <w:lang w:val="en-US" w:eastAsia="zh-CN" w:bidi="ar-SA"/>
              </w:rPr>
              <w:t>不再</w:t>
            </w:r>
            <w:r>
              <w:rPr>
                <w:rFonts w:hint="default" w:ascii="Times New Roman" w:hAnsi="Times New Roman" w:eastAsia="宋体" w:cs="Times New Roman"/>
                <w:color w:val="auto"/>
                <w:kern w:val="0"/>
                <w:sz w:val="24"/>
                <w:szCs w:val="24"/>
                <w:highlight w:val="none"/>
                <w:lang w:val="en-US" w:eastAsia="zh-CN" w:bidi="ar-SA"/>
              </w:rPr>
              <w:t>建设，</w:t>
            </w:r>
            <w:r>
              <w:rPr>
                <w:rFonts w:hint="eastAsia" w:cs="Times New Roman"/>
                <w:color w:val="auto"/>
                <w:kern w:val="0"/>
                <w:sz w:val="24"/>
                <w:szCs w:val="24"/>
                <w:highlight w:val="none"/>
                <w:lang w:val="en-US" w:eastAsia="zh-CN" w:bidi="ar-SA"/>
              </w:rPr>
              <w:t>本项目</w:t>
            </w:r>
            <w:r>
              <w:rPr>
                <w:rFonts w:hint="default" w:ascii="Times New Roman" w:hAnsi="Times New Roman" w:eastAsia="宋体" w:cs="Times New Roman"/>
                <w:b w:val="0"/>
                <w:bCs/>
                <w:color w:val="auto"/>
                <w:kern w:val="0"/>
                <w:sz w:val="24"/>
                <w:lang w:eastAsia="zh-CN"/>
              </w:rPr>
              <w:t>覆岩离层注浆充填项目</w:t>
            </w:r>
            <w:r>
              <w:rPr>
                <w:rFonts w:hint="eastAsia" w:cs="Times New Roman"/>
                <w:color w:val="auto"/>
                <w:kern w:val="0"/>
                <w:sz w:val="24"/>
                <w:szCs w:val="24"/>
                <w:highlight w:val="none"/>
                <w:lang w:val="en-US" w:eastAsia="zh-CN" w:bidi="ar-SA"/>
              </w:rPr>
              <w:t>为独立设计项目，与原环评批复的采空区充填项目无相关联内容。</w:t>
            </w:r>
          </w:p>
          <w:p w14:paraId="74681F48">
            <w:pPr>
              <w:keepNext w:val="0"/>
              <w:keepLines w:val="0"/>
              <w:pageBreakBefore w:val="0"/>
              <w:widowControl w:val="0"/>
              <w:kinsoku/>
              <w:wordWrap/>
              <w:overflowPunct/>
              <w:topLinePunct/>
              <w:autoSpaceDE/>
              <w:autoSpaceDN/>
              <w:bidi w:val="0"/>
              <w:spacing w:line="360" w:lineRule="auto"/>
              <w:ind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highlight w:val="none"/>
                <w:lang w:val="en-US" w:eastAsia="zh-CN" w:bidi="ar-SA"/>
              </w:rPr>
              <w:t>本次项目工程主要包括：矸石仓至注浆站矸石运输系统，破碎系统，</w:t>
            </w:r>
            <w:r>
              <w:rPr>
                <w:rFonts w:hint="eastAsia" w:cs="Times New Roman"/>
                <w:color w:val="auto"/>
                <w:kern w:val="0"/>
                <w:sz w:val="24"/>
                <w:szCs w:val="24"/>
                <w:highlight w:val="none"/>
                <w:lang w:val="en-US" w:eastAsia="zh-CN" w:bidi="ar-SA"/>
              </w:rPr>
              <w:t>制浆系统</w:t>
            </w:r>
            <w:r>
              <w:rPr>
                <w:rFonts w:hint="default" w:ascii="Times New Roman" w:hAnsi="Times New Roman" w:eastAsia="宋体" w:cs="Times New Roman"/>
                <w:color w:val="auto"/>
                <w:kern w:val="0"/>
                <w:sz w:val="24"/>
                <w:szCs w:val="24"/>
                <w:highlight w:val="none"/>
                <w:lang w:val="en-US" w:eastAsia="zh-CN" w:bidi="ar-SA"/>
              </w:rPr>
              <w:t>及管路输送系统，以及配套采暖、给排水、供配电、自动化控制系统等辅助设施，对离层空间进行充填注浆，新建</w:t>
            </w:r>
            <w:r>
              <w:rPr>
                <w:rFonts w:hint="default" w:ascii="Times New Roman" w:hAnsi="Times New Roman" w:eastAsia="宋体" w:cs="Times New Roman"/>
                <w:color w:val="auto"/>
                <w:kern w:val="0"/>
                <w:sz w:val="24"/>
                <w:szCs w:val="24"/>
                <w:highlight w:val="none"/>
                <w:lang w:val="zh-CN" w:eastAsia="zh-CN" w:bidi="ar-SA"/>
              </w:rPr>
              <w:t>充填系统能力</w:t>
            </w:r>
            <w:r>
              <w:rPr>
                <w:rFonts w:hint="default" w:ascii="Times New Roman" w:hAnsi="Times New Roman" w:eastAsia="宋体" w:cs="Times New Roman"/>
                <w:color w:val="auto"/>
                <w:kern w:val="0"/>
                <w:sz w:val="24"/>
                <w:szCs w:val="24"/>
                <w:highlight w:val="none"/>
                <w:lang w:val="en-US" w:eastAsia="zh-CN" w:bidi="ar-SA"/>
              </w:rPr>
              <w:t>为127.5万m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/a（214.65m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/h）</w:t>
            </w:r>
            <w:r>
              <w:rPr>
                <w:rFonts w:hint="default" w:ascii="Times New Roman" w:hAnsi="Times New Roman" w:eastAsia="宋体" w:cs="Times New Roman"/>
                <w:color w:val="auto"/>
                <w:kern w:val="0"/>
                <w:sz w:val="24"/>
                <w:szCs w:val="24"/>
                <w:highlight w:val="none"/>
                <w:lang w:val="zh-CN" w:eastAsia="zh-CN" w:bidi="ar-SA"/>
              </w:rPr>
              <w:t>，</w:t>
            </w:r>
            <w:r>
              <w:rPr>
                <w:rFonts w:hint="default" w:ascii="Times New Roman" w:hAnsi="Times New Roman" w:eastAsia="宋体" w:cs="Times New Roman"/>
                <w:b w:val="0"/>
                <w:bCs w:val="0"/>
                <w:color w:val="auto"/>
                <w:kern w:val="0"/>
                <w:sz w:val="24"/>
                <w:szCs w:val="24"/>
                <w:highlight w:val="none"/>
                <w:lang w:val="en-US" w:eastAsia="zh-CN" w:bidi="ar-SA"/>
              </w:rPr>
              <w:t>项目年处理矸石量为90万吨。</w:t>
            </w:r>
          </w:p>
          <w:p w14:paraId="7A92D624">
            <w:pPr>
              <w:keepNext w:val="0"/>
              <w:keepLines w:val="0"/>
              <w:pageBreakBefore w:val="0"/>
              <w:widowControl w:val="0"/>
              <w:kinsoku/>
              <w:wordWrap/>
              <w:overflowPunct/>
              <w:topLinePunct/>
              <w:autoSpaceDE/>
              <w:autoSpaceDN/>
              <w:bidi w:val="0"/>
              <w:snapToGrid w:val="0"/>
              <w:spacing w:line="360" w:lineRule="auto"/>
              <w:ind w:firstLine="480" w:firstLineChars="200"/>
              <w:jc w:val="both"/>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color w:val="auto"/>
                <w:kern w:val="0"/>
                <w:sz w:val="24"/>
                <w:szCs w:val="24"/>
                <w:highlight w:val="none"/>
                <w:lang w:val="en-US" w:eastAsia="zh-CN" w:bidi="ar-SA"/>
              </w:rPr>
              <w:t>二</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lang w:val="en-US" w:eastAsia="zh-CN"/>
              </w:rPr>
              <w:t>项目概况</w:t>
            </w:r>
          </w:p>
          <w:p w14:paraId="449CC8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w w:val="98"/>
                <w:kern w:val="0"/>
                <w:sz w:val="24"/>
                <w:lang w:eastAsia="zh-CN"/>
              </w:rPr>
            </w:pPr>
            <w:r>
              <w:rPr>
                <w:rFonts w:hint="default" w:ascii="Times New Roman" w:hAnsi="Times New Roman" w:eastAsia="宋体" w:cs="Times New Roman"/>
                <w:b w:val="0"/>
                <w:bCs/>
                <w:color w:val="auto"/>
                <w:kern w:val="0"/>
                <w:sz w:val="24"/>
              </w:rPr>
              <w:t>项目名称：</w:t>
            </w:r>
            <w:r>
              <w:rPr>
                <w:rFonts w:hint="default" w:ascii="Times New Roman" w:hAnsi="Times New Roman" w:eastAsia="宋体" w:cs="Times New Roman"/>
                <w:b w:val="0"/>
                <w:bCs/>
                <w:color w:val="auto"/>
                <w:kern w:val="0"/>
                <w:sz w:val="24"/>
                <w:lang w:eastAsia="zh-CN"/>
              </w:rPr>
              <w:t>白家海子煤矿矸石覆岩离层注浆充填项目</w:t>
            </w:r>
          </w:p>
          <w:p w14:paraId="75D69A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kern w:val="0"/>
                <w:sz w:val="24"/>
                <w:lang w:eastAsia="zh-CN"/>
              </w:rPr>
            </w:pPr>
            <w:r>
              <w:rPr>
                <w:rFonts w:hint="default" w:ascii="Times New Roman" w:hAnsi="Times New Roman" w:eastAsia="宋体" w:cs="Times New Roman"/>
                <w:b w:val="0"/>
                <w:bCs/>
                <w:color w:val="auto"/>
                <w:kern w:val="0"/>
                <w:sz w:val="24"/>
              </w:rPr>
              <w:t>建设单位：</w:t>
            </w:r>
            <w:r>
              <w:rPr>
                <w:rFonts w:hint="default" w:ascii="Times New Roman" w:hAnsi="Times New Roman" w:eastAsia="宋体" w:cs="Times New Roman"/>
                <w:b w:val="0"/>
                <w:bCs/>
                <w:color w:val="auto"/>
                <w:kern w:val="0"/>
                <w:sz w:val="24"/>
                <w:lang w:eastAsia="zh-CN"/>
              </w:rPr>
              <w:t>内蒙古鄂尔多斯联海煤业有限公司</w:t>
            </w:r>
          </w:p>
          <w:p w14:paraId="163F30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kern w:val="0"/>
                <w:sz w:val="24"/>
                <w:lang w:val="en-US" w:eastAsia="zh-CN"/>
              </w:rPr>
            </w:pPr>
            <w:r>
              <w:rPr>
                <w:rFonts w:hint="default" w:ascii="Times New Roman" w:hAnsi="Times New Roman" w:eastAsia="宋体" w:cs="Times New Roman"/>
                <w:b w:val="0"/>
                <w:bCs/>
                <w:color w:val="auto"/>
                <w:kern w:val="0"/>
                <w:sz w:val="24"/>
              </w:rPr>
              <w:t>建设性质：</w:t>
            </w:r>
            <w:r>
              <w:rPr>
                <w:rFonts w:hint="default" w:ascii="Times New Roman" w:hAnsi="Times New Roman" w:eastAsia="宋体" w:cs="Times New Roman"/>
                <w:b w:val="0"/>
                <w:bCs/>
                <w:color w:val="auto"/>
                <w:kern w:val="0"/>
                <w:sz w:val="24"/>
                <w:lang w:val="en-US" w:eastAsia="zh-CN"/>
              </w:rPr>
              <w:t>新建</w:t>
            </w:r>
          </w:p>
          <w:p w14:paraId="1B8FEE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color w:val="auto"/>
                <w:kern w:val="0"/>
                <w:sz w:val="24"/>
                <w:lang w:val="en-US" w:eastAsia="zh-CN"/>
              </w:rPr>
            </w:pPr>
            <w:r>
              <w:rPr>
                <w:rFonts w:hint="default" w:ascii="Times New Roman" w:hAnsi="Times New Roman" w:eastAsia="宋体" w:cs="Times New Roman"/>
                <w:b w:val="0"/>
                <w:bCs w:val="0"/>
                <w:color w:val="auto"/>
                <w:kern w:val="0"/>
                <w:sz w:val="24"/>
                <w:szCs w:val="24"/>
                <w:highlight w:val="none"/>
                <w:lang w:val="en-US" w:eastAsia="zh-CN" w:bidi="ar-SA"/>
              </w:rPr>
              <w:t>建设地点：</w:t>
            </w:r>
            <w:r>
              <w:rPr>
                <w:rFonts w:hint="default" w:ascii="Times New Roman" w:hAnsi="Times New Roman" w:eastAsia="宋体" w:cs="Times New Roman"/>
                <w:color w:val="auto"/>
                <w:lang w:val="en-US" w:eastAsia="zh-CN"/>
              </w:rPr>
              <w:t>内蒙古自治区鄂尔多斯市乌审旗嘎鲁图镇神水台村内蒙古鄂尔多斯联海煤业有限公司白家海子煤矿井田范围内（注浆站位于矿井工业场地南侧）</w:t>
            </w:r>
          </w:p>
          <w:p w14:paraId="750EDB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占地面积：本项目</w:t>
            </w:r>
            <w:r>
              <w:rPr>
                <w:rFonts w:hint="eastAsia" w:ascii="Times New Roman" w:hAnsi="Times New Roman" w:eastAsia="宋体" w:cs="Times New Roman"/>
                <w:b w:val="0"/>
                <w:bCs w:val="0"/>
                <w:color w:val="auto"/>
                <w:kern w:val="0"/>
                <w:sz w:val="24"/>
                <w:szCs w:val="24"/>
                <w:highlight w:val="none"/>
                <w:lang w:val="en-US" w:eastAsia="zh-CN" w:bidi="ar-SA"/>
              </w:rPr>
              <w:t>总占地面积13166.33</w:t>
            </w:r>
            <w:r>
              <w:rPr>
                <w:rFonts w:hint="default" w:ascii="Times New Roman" w:hAnsi="Times New Roman" w:eastAsia="宋体" w:cs="Times New Roman"/>
                <w:b w:val="0"/>
                <w:bCs w:val="0"/>
                <w:color w:val="auto"/>
                <w:kern w:val="0"/>
                <w:sz w:val="24"/>
                <w:szCs w:val="24"/>
                <w:highlight w:val="none"/>
                <w:lang w:val="en-US" w:eastAsia="zh-CN" w:bidi="ar-SA"/>
              </w:rPr>
              <w:t>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eastAsia" w:ascii="Times New Roman" w:hAnsi="Times New Roman" w:eastAsia="宋体" w:cs="Times New Roman"/>
                <w:b w:val="0"/>
                <w:bCs w:val="0"/>
                <w:color w:val="auto"/>
                <w:kern w:val="0"/>
                <w:sz w:val="24"/>
                <w:szCs w:val="24"/>
                <w:highlight w:val="none"/>
                <w:lang w:val="en-US" w:eastAsia="zh-CN" w:bidi="ar-SA"/>
              </w:rPr>
              <w:t>（永久占地870.33</w:t>
            </w:r>
            <w:r>
              <w:rPr>
                <w:rFonts w:hint="default" w:ascii="Times New Roman" w:hAnsi="Times New Roman" w:eastAsia="宋体" w:cs="Times New Roman"/>
                <w:b w:val="0"/>
                <w:bCs w:val="0"/>
                <w:color w:val="auto"/>
                <w:kern w:val="0"/>
                <w:sz w:val="24"/>
                <w:szCs w:val="24"/>
                <w:highlight w:val="none"/>
                <w:lang w:val="en-US" w:eastAsia="zh-CN" w:bidi="ar-SA"/>
              </w:rPr>
              <w:t>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eastAsia" w:ascii="Times New Roman" w:hAnsi="Times New Roman" w:eastAsia="宋体" w:cs="Times New Roman"/>
                <w:b w:val="0"/>
                <w:bCs w:val="0"/>
                <w:color w:val="auto"/>
                <w:kern w:val="0"/>
                <w:sz w:val="24"/>
                <w:szCs w:val="24"/>
                <w:highlight w:val="none"/>
                <w:lang w:val="en-US" w:eastAsia="zh-CN" w:bidi="ar-SA"/>
              </w:rPr>
              <w:t>，临时占地12296</w:t>
            </w:r>
            <w:r>
              <w:rPr>
                <w:rFonts w:hint="default" w:ascii="Times New Roman" w:hAnsi="Times New Roman" w:eastAsia="宋体" w:cs="Times New Roman"/>
                <w:b w:val="0"/>
                <w:bCs w:val="0"/>
                <w:color w:val="auto"/>
                <w:kern w:val="0"/>
                <w:sz w:val="24"/>
                <w:szCs w:val="24"/>
                <w:highlight w:val="none"/>
                <w:lang w:val="en-US" w:eastAsia="zh-CN" w:bidi="ar-SA"/>
              </w:rPr>
              <w:t>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eastAsia" w:ascii="Times New Roman" w:hAnsi="Times New Roman" w:eastAsia="宋体" w:cs="Times New Roman"/>
                <w:b w:val="0"/>
                <w:bCs w:val="0"/>
                <w:color w:val="auto"/>
                <w:kern w:val="0"/>
                <w:sz w:val="24"/>
                <w:szCs w:val="24"/>
                <w:highlight w:val="none"/>
                <w:lang w:val="en-US" w:eastAsia="zh-CN" w:bidi="ar-SA"/>
              </w:rPr>
              <w:t>），其中</w:t>
            </w:r>
            <w:r>
              <w:rPr>
                <w:rFonts w:hint="default" w:ascii="Times New Roman" w:hAnsi="Times New Roman" w:eastAsia="宋体" w:cs="Times New Roman"/>
                <w:b w:val="0"/>
                <w:bCs w:val="0"/>
                <w:color w:val="auto"/>
                <w:kern w:val="0"/>
                <w:sz w:val="24"/>
                <w:szCs w:val="24"/>
                <w:highlight w:val="none"/>
                <w:lang w:val="en-US" w:eastAsia="zh-CN" w:bidi="ar-SA"/>
              </w:rPr>
              <w:t>注浆站占地面积776.76m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default" w:ascii="Times New Roman" w:hAnsi="Times New Roman" w:eastAsia="宋体"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地埋注浆管线（工业场地内）</w:t>
            </w:r>
            <w:r>
              <w:rPr>
                <w:rFonts w:hint="default" w:ascii="Times New Roman" w:hAnsi="Times New Roman" w:eastAsia="宋体" w:cs="Times New Roman"/>
                <w:b w:val="0"/>
                <w:bCs w:val="0"/>
                <w:color w:val="auto"/>
                <w:kern w:val="0"/>
                <w:sz w:val="24"/>
                <w:szCs w:val="24"/>
                <w:highlight w:val="none"/>
                <w:lang w:val="en-US" w:eastAsia="zh-CN" w:bidi="ar-SA"/>
              </w:rPr>
              <w:t>占地面积93.57m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eastAsia" w:ascii="Times New Roman" w:hAnsi="Times New Roman" w:eastAsia="宋体" w:cs="Times New Roman"/>
                <w:b w:val="0"/>
                <w:bCs w:val="0"/>
                <w:color w:val="auto"/>
                <w:kern w:val="0"/>
                <w:sz w:val="24"/>
                <w:szCs w:val="24"/>
                <w:highlight w:val="none"/>
                <w:lang w:val="en-US" w:eastAsia="zh-CN" w:bidi="ar-SA"/>
              </w:rPr>
              <w:t>为永久占地</w:t>
            </w:r>
            <w:r>
              <w:rPr>
                <w:rFonts w:hint="eastAsia" w:cs="Times New Roman"/>
                <w:b w:val="0"/>
                <w:bCs w:val="0"/>
                <w:color w:val="auto"/>
                <w:kern w:val="0"/>
                <w:sz w:val="24"/>
                <w:szCs w:val="24"/>
                <w:highlight w:val="none"/>
                <w:lang w:val="en-US" w:eastAsia="zh-CN" w:bidi="ar-SA"/>
              </w:rPr>
              <w:t>；</w:t>
            </w:r>
            <w:r>
              <w:rPr>
                <w:rFonts w:hint="eastAsia" w:ascii="Times New Roman" w:hAnsi="Times New Roman" w:eastAsia="宋体" w:cs="Times New Roman"/>
                <w:b w:val="0"/>
                <w:bCs w:val="0"/>
                <w:color w:val="auto"/>
                <w:kern w:val="0"/>
                <w:sz w:val="24"/>
                <w:szCs w:val="24"/>
                <w:highlight w:val="none"/>
                <w:lang w:val="en-US" w:eastAsia="zh-CN" w:bidi="ar-SA"/>
              </w:rPr>
              <w:t>架空</w:t>
            </w:r>
            <w:r>
              <w:rPr>
                <w:rFonts w:hint="default" w:ascii="Times New Roman" w:hAnsi="Times New Roman" w:eastAsia="宋体" w:cs="Times New Roman"/>
                <w:b w:val="0"/>
                <w:bCs w:val="0"/>
                <w:color w:val="auto"/>
                <w:kern w:val="0"/>
                <w:sz w:val="24"/>
                <w:szCs w:val="24"/>
                <w:highlight w:val="none"/>
                <w:lang w:val="en-US" w:eastAsia="zh-CN" w:bidi="ar-SA"/>
              </w:rPr>
              <w:t>管线支架占地面积</w:t>
            </w:r>
            <w:r>
              <w:rPr>
                <w:rFonts w:hint="eastAsia" w:ascii="Times New Roman" w:hAnsi="Times New Roman" w:eastAsia="宋体" w:cs="Times New Roman"/>
                <w:b w:val="0"/>
                <w:bCs w:val="0"/>
                <w:color w:val="auto"/>
                <w:kern w:val="0"/>
                <w:sz w:val="24"/>
                <w:szCs w:val="24"/>
                <w:highlight w:val="none"/>
                <w:lang w:val="en-US" w:eastAsia="zh-CN" w:bidi="ar-SA"/>
              </w:rPr>
              <w:t>96</w:t>
            </w:r>
            <w:r>
              <w:rPr>
                <w:rFonts w:hint="default" w:ascii="Times New Roman" w:hAnsi="Times New Roman" w:eastAsia="宋体" w:cs="Times New Roman"/>
                <w:b w:val="0"/>
                <w:bCs w:val="0"/>
                <w:color w:val="auto"/>
                <w:kern w:val="0"/>
                <w:sz w:val="24"/>
                <w:szCs w:val="24"/>
                <w:highlight w:val="none"/>
                <w:lang w:val="en-US" w:eastAsia="zh-CN" w:bidi="ar-SA"/>
              </w:rPr>
              <w:t>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default" w:ascii="Times New Roman" w:hAnsi="Times New Roman" w:eastAsia="宋体" w:cs="Times New Roman"/>
                <w:b w:val="0"/>
                <w:bCs w:val="0"/>
                <w:color w:val="auto"/>
                <w:kern w:val="0"/>
                <w:sz w:val="24"/>
                <w:szCs w:val="24"/>
                <w:highlight w:val="none"/>
                <w:lang w:val="en-US" w:eastAsia="zh-CN" w:bidi="ar-SA"/>
              </w:rPr>
              <w:t>、钻孔占地面积</w:t>
            </w:r>
            <w:r>
              <w:rPr>
                <w:rFonts w:hint="eastAsia" w:ascii="Times New Roman" w:hAnsi="Times New Roman" w:eastAsia="宋体" w:cs="Times New Roman"/>
                <w:b w:val="0"/>
                <w:bCs w:val="0"/>
                <w:color w:val="auto"/>
                <w:kern w:val="0"/>
                <w:sz w:val="24"/>
                <w:szCs w:val="24"/>
                <w:highlight w:val="none"/>
                <w:lang w:val="en-US" w:eastAsia="zh-CN" w:bidi="ar-SA"/>
              </w:rPr>
              <w:t>7000</w:t>
            </w:r>
            <w:r>
              <w:rPr>
                <w:rFonts w:hint="default" w:ascii="Times New Roman" w:hAnsi="Times New Roman" w:eastAsia="宋体" w:cs="Times New Roman"/>
                <w:b w:val="0"/>
                <w:bCs w:val="0"/>
                <w:color w:val="auto"/>
                <w:kern w:val="0"/>
                <w:sz w:val="24"/>
                <w:szCs w:val="24"/>
                <w:highlight w:val="none"/>
                <w:lang w:val="en-US" w:eastAsia="zh-CN" w:bidi="ar-SA"/>
              </w:rPr>
              <w:t>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default" w:ascii="Times New Roman" w:hAnsi="Times New Roman" w:eastAsia="宋体" w:cs="Times New Roman"/>
                <w:b w:val="0"/>
                <w:bCs w:val="0"/>
                <w:color w:val="auto"/>
                <w:kern w:val="0"/>
                <w:sz w:val="24"/>
                <w:szCs w:val="24"/>
                <w:highlight w:val="none"/>
                <w:lang w:val="en-US" w:eastAsia="zh-CN" w:bidi="ar-SA"/>
              </w:rPr>
              <w:t>、施工便道5200m</w:t>
            </w:r>
            <w:r>
              <w:rPr>
                <w:rFonts w:hint="default" w:ascii="Times New Roman" w:hAnsi="Times New Roman" w:eastAsia="宋体" w:cs="Times New Roman"/>
                <w:b w:val="0"/>
                <w:bCs w:val="0"/>
                <w:color w:val="auto"/>
                <w:kern w:val="0"/>
                <w:sz w:val="24"/>
                <w:szCs w:val="24"/>
                <w:highlight w:val="none"/>
                <w:vertAlign w:val="superscript"/>
                <w:lang w:val="en-US" w:eastAsia="zh-CN" w:bidi="ar-SA"/>
              </w:rPr>
              <w:t>2</w:t>
            </w:r>
            <w:r>
              <w:rPr>
                <w:rFonts w:hint="eastAsia" w:ascii="Times New Roman" w:hAnsi="Times New Roman" w:eastAsia="宋体" w:cs="Times New Roman"/>
                <w:b w:val="0"/>
                <w:bCs w:val="0"/>
                <w:color w:val="auto"/>
                <w:kern w:val="0"/>
                <w:sz w:val="24"/>
                <w:szCs w:val="24"/>
                <w:highlight w:val="none"/>
                <w:lang w:val="en-US" w:eastAsia="zh-CN" w:bidi="ar-SA"/>
              </w:rPr>
              <w:t>为临时占地</w:t>
            </w:r>
            <w:r>
              <w:rPr>
                <w:rFonts w:hint="eastAsia" w:cs="Times New Roman"/>
                <w:b w:val="0"/>
                <w:bCs w:val="0"/>
                <w:color w:val="auto"/>
                <w:kern w:val="0"/>
                <w:sz w:val="24"/>
                <w:szCs w:val="24"/>
                <w:highlight w:val="none"/>
                <w:lang w:val="en-US" w:eastAsia="zh-CN" w:bidi="ar-SA"/>
              </w:rPr>
              <w:t>；</w:t>
            </w:r>
          </w:p>
          <w:p w14:paraId="284767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工程服务年限：</w:t>
            </w:r>
            <w:r>
              <w:rPr>
                <w:rFonts w:hint="default" w:ascii="Times New Roman" w:hAnsi="Times New Roman" w:eastAsia="宋体" w:cs="Times New Roman"/>
                <w:color w:val="auto"/>
                <w:kern w:val="2"/>
                <w:sz w:val="24"/>
                <w:szCs w:val="24"/>
                <w:lang w:val="en-US" w:eastAsia="zh-CN"/>
              </w:rPr>
              <w:t>首注面2201工作面注浆服务时间为26个月，注浆作业紧跟采煤作业，注浆截止时间通常滞后于工作面回采1~2个月。</w:t>
            </w:r>
          </w:p>
          <w:p w14:paraId="4FA12C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配套盘区：离层注浆首采面选为22盘区2201工作面</w:t>
            </w:r>
          </w:p>
          <w:p w14:paraId="6BF38D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color w:val="auto"/>
                <w:kern w:val="0"/>
                <w:sz w:val="24"/>
                <w:lang w:val="en-US" w:eastAsia="zh-CN"/>
              </w:rPr>
              <w:t>建设规模：</w:t>
            </w:r>
            <w:r>
              <w:rPr>
                <w:rFonts w:hint="default" w:ascii="Times New Roman" w:hAnsi="Times New Roman" w:eastAsia="宋体" w:cs="Times New Roman"/>
                <w:color w:val="auto"/>
                <w:kern w:val="0"/>
                <w:sz w:val="24"/>
                <w:szCs w:val="24"/>
                <w:highlight w:val="none"/>
                <w:lang w:val="en-US" w:eastAsia="zh-CN" w:bidi="ar-SA"/>
              </w:rPr>
              <w:t>新建</w:t>
            </w:r>
            <w:r>
              <w:rPr>
                <w:rFonts w:hint="default" w:ascii="Times New Roman" w:hAnsi="Times New Roman" w:eastAsia="宋体" w:cs="Times New Roman"/>
                <w:color w:val="auto"/>
                <w:kern w:val="0"/>
                <w:sz w:val="24"/>
                <w:szCs w:val="24"/>
                <w:highlight w:val="none"/>
                <w:lang w:val="zh-CN" w:eastAsia="zh-CN" w:bidi="ar-SA"/>
              </w:rPr>
              <w:t>充填系统能力</w:t>
            </w:r>
            <w:r>
              <w:rPr>
                <w:rFonts w:hint="default" w:ascii="Times New Roman" w:hAnsi="Times New Roman" w:eastAsia="宋体" w:cs="Times New Roman"/>
                <w:color w:val="auto"/>
                <w:kern w:val="0"/>
                <w:sz w:val="24"/>
                <w:szCs w:val="24"/>
                <w:highlight w:val="none"/>
                <w:lang w:val="en-US" w:eastAsia="zh-CN" w:bidi="ar-SA"/>
              </w:rPr>
              <w:t>为127.5万</w:t>
            </w:r>
            <w:r>
              <w:rPr>
                <w:rFonts w:hint="default" w:ascii="Times New Roman" w:hAnsi="Times New Roman" w:eastAsia="宋体" w:cs="Times New Roman"/>
                <w:color w:val="auto"/>
                <w:kern w:val="0"/>
                <w:sz w:val="24"/>
                <w:szCs w:val="24"/>
                <w:highlight w:val="none"/>
                <w:lang w:val="zh-CN" w:eastAsia="zh-CN" w:bidi="ar-SA"/>
              </w:rPr>
              <w:t>m</w:t>
            </w:r>
            <w:r>
              <w:rPr>
                <w:rFonts w:hint="default" w:ascii="Times New Roman" w:hAnsi="Times New Roman" w:eastAsia="宋体" w:cs="Times New Roman"/>
                <w:color w:val="auto"/>
                <w:kern w:val="0"/>
                <w:sz w:val="24"/>
                <w:szCs w:val="24"/>
                <w:highlight w:val="none"/>
                <w:vertAlign w:val="superscript"/>
                <w:lang w:val="zh-CN" w:eastAsia="zh-CN" w:bidi="ar-SA"/>
              </w:rPr>
              <w:t>3</w:t>
            </w:r>
            <w:r>
              <w:rPr>
                <w:rFonts w:hint="default" w:ascii="Times New Roman" w:hAnsi="Times New Roman" w:eastAsia="宋体" w:cs="Times New Roman"/>
                <w:color w:val="auto"/>
                <w:kern w:val="0"/>
                <w:sz w:val="24"/>
                <w:szCs w:val="24"/>
                <w:highlight w:val="none"/>
                <w:lang w:val="zh-CN" w:eastAsia="zh-CN" w:bidi="ar-SA"/>
              </w:rPr>
              <w:t>/</w:t>
            </w:r>
            <w:r>
              <w:rPr>
                <w:rFonts w:hint="default" w:ascii="Times New Roman" w:hAnsi="Times New Roman" w:eastAsia="宋体" w:cs="Times New Roman"/>
                <w:color w:val="auto"/>
                <w:kern w:val="0"/>
                <w:sz w:val="24"/>
                <w:szCs w:val="24"/>
                <w:highlight w:val="none"/>
                <w:lang w:val="en-US" w:eastAsia="zh-CN" w:bidi="ar-SA"/>
              </w:rPr>
              <w:t>a（</w:t>
            </w:r>
            <w:r>
              <w:rPr>
                <w:rFonts w:hint="default" w:ascii="Times New Roman" w:hAnsi="Times New Roman" w:eastAsia="宋体" w:cs="Times New Roman"/>
                <w:color w:val="auto"/>
                <w:kern w:val="0"/>
                <w:sz w:val="24"/>
                <w:szCs w:val="20"/>
                <w:lang w:val="en-US" w:eastAsia="zh-CN" w:bidi="ar-SA"/>
              </w:rPr>
              <w:t>214.65</w:t>
            </w:r>
            <w:r>
              <w:rPr>
                <w:rFonts w:hint="default" w:ascii="Times New Roman" w:hAnsi="Times New Roman" w:eastAsia="宋体" w:cs="Times New Roman"/>
                <w:color w:val="auto"/>
                <w:kern w:val="0"/>
                <w:sz w:val="24"/>
                <w:szCs w:val="24"/>
                <w:highlight w:val="none"/>
                <w:lang w:val="en-US" w:eastAsia="zh-CN" w:bidi="ar-SA"/>
              </w:rPr>
              <w:t>m</w:t>
            </w:r>
            <w:r>
              <w:rPr>
                <w:rFonts w:hint="default" w:ascii="Times New Roman" w:hAnsi="Times New Roman" w:eastAsia="宋体" w:cs="Times New Roman"/>
                <w:color w:val="auto"/>
                <w:kern w:val="0"/>
                <w:sz w:val="24"/>
                <w:szCs w:val="24"/>
                <w:highlight w:val="none"/>
                <w:vertAlign w:val="superscript"/>
                <w:lang w:val="en-US" w:eastAsia="zh-CN" w:bidi="ar-SA"/>
              </w:rPr>
              <w:t>3</w:t>
            </w:r>
            <w:r>
              <w:rPr>
                <w:rFonts w:hint="default" w:ascii="Times New Roman" w:hAnsi="Times New Roman" w:eastAsia="宋体" w:cs="Times New Roman"/>
                <w:color w:val="auto"/>
                <w:kern w:val="0"/>
                <w:sz w:val="24"/>
                <w:szCs w:val="24"/>
                <w:highlight w:val="none"/>
                <w:lang w:val="en-US" w:eastAsia="zh-CN" w:bidi="ar-SA"/>
              </w:rPr>
              <w:t>/h）</w:t>
            </w:r>
            <w:r>
              <w:rPr>
                <w:rFonts w:hint="default" w:ascii="Times New Roman" w:hAnsi="Times New Roman" w:eastAsia="宋体" w:cs="Times New Roman"/>
                <w:color w:val="auto"/>
                <w:kern w:val="0"/>
                <w:sz w:val="24"/>
                <w:szCs w:val="24"/>
                <w:highlight w:val="none"/>
                <w:lang w:val="zh-CN" w:eastAsia="zh-CN" w:bidi="ar-SA"/>
              </w:rPr>
              <w:t>，</w:t>
            </w:r>
            <w:r>
              <w:rPr>
                <w:rFonts w:hint="default" w:ascii="Times New Roman" w:hAnsi="Times New Roman" w:eastAsia="宋体" w:cs="Times New Roman"/>
                <w:b w:val="0"/>
                <w:bCs w:val="0"/>
                <w:color w:val="auto"/>
                <w:kern w:val="0"/>
                <w:sz w:val="24"/>
                <w:szCs w:val="24"/>
                <w:highlight w:val="none"/>
                <w:lang w:val="en-US" w:eastAsia="zh-CN" w:bidi="ar-SA"/>
              </w:rPr>
              <w:t>项目年处理矸石量为90万吨</w:t>
            </w:r>
          </w:p>
          <w:p w14:paraId="02E88429">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kern w:val="0"/>
                <w:sz w:val="24"/>
                <w:szCs w:val="24"/>
                <w:highlight w:val="none"/>
                <w:lang w:val="zh-CN"/>
              </w:rPr>
              <w:t>劳动定员及工作制度：本项目</w:t>
            </w:r>
            <w:r>
              <w:rPr>
                <w:rFonts w:hint="default" w:ascii="Times New Roman" w:hAnsi="Times New Roman" w:eastAsia="宋体" w:cs="Times New Roman"/>
                <w:color w:val="auto"/>
                <w:kern w:val="0"/>
                <w:sz w:val="24"/>
                <w:szCs w:val="24"/>
                <w:highlight w:val="none"/>
                <w:lang w:val="en-US" w:eastAsia="zh-CN"/>
              </w:rPr>
              <w:t>新增</w:t>
            </w:r>
            <w:r>
              <w:rPr>
                <w:rFonts w:hint="default" w:ascii="Times New Roman" w:hAnsi="Times New Roman" w:eastAsia="宋体" w:cs="Times New Roman"/>
                <w:color w:val="auto"/>
                <w:kern w:val="0"/>
                <w:sz w:val="24"/>
                <w:szCs w:val="24"/>
                <w:highlight w:val="none"/>
                <w:lang w:val="zh-CN"/>
              </w:rPr>
              <w:t>劳动定员为</w:t>
            </w:r>
            <w:r>
              <w:rPr>
                <w:rFonts w:hint="default" w:ascii="Times New Roman" w:hAnsi="Times New Roman" w:eastAsia="宋体" w:cs="Times New Roman"/>
                <w:color w:val="auto"/>
                <w:kern w:val="0"/>
                <w:sz w:val="24"/>
                <w:szCs w:val="24"/>
                <w:highlight w:val="none"/>
                <w:lang w:val="en-US" w:eastAsia="zh-CN"/>
              </w:rPr>
              <w:t>56</w:t>
            </w:r>
            <w:r>
              <w:rPr>
                <w:rFonts w:hint="default" w:ascii="Times New Roman" w:hAnsi="Times New Roman" w:eastAsia="宋体" w:cs="Times New Roman"/>
                <w:color w:val="auto"/>
                <w:kern w:val="0"/>
                <w:sz w:val="24"/>
                <w:szCs w:val="24"/>
                <w:highlight w:val="none"/>
                <w:lang w:val="zh-CN"/>
              </w:rPr>
              <w:t>人。</w:t>
            </w:r>
            <w:r>
              <w:rPr>
                <w:rFonts w:hint="default" w:ascii="Times New Roman" w:hAnsi="Times New Roman" w:eastAsia="宋体" w:cs="Times New Roman"/>
                <w:color w:val="auto"/>
                <w:sz w:val="24"/>
                <w:szCs w:val="24"/>
              </w:rPr>
              <w:t>其中项目管理人员4人，</w:t>
            </w:r>
            <w:r>
              <w:rPr>
                <w:rFonts w:hint="default" w:ascii="Times New Roman" w:hAnsi="Times New Roman" w:eastAsia="宋体" w:cs="Times New Roman"/>
                <w:color w:val="auto"/>
                <w:sz w:val="24"/>
                <w:szCs w:val="24"/>
                <w:lang w:val="en-US" w:eastAsia="zh-CN"/>
              </w:rPr>
              <w:t>充填</w:t>
            </w:r>
            <w:r>
              <w:rPr>
                <w:rFonts w:hint="default" w:ascii="Times New Roman" w:hAnsi="Times New Roman" w:eastAsia="宋体" w:cs="Times New Roman"/>
                <w:color w:val="auto"/>
                <w:sz w:val="24"/>
                <w:szCs w:val="24"/>
              </w:rPr>
              <w:t>站人员</w:t>
            </w:r>
            <w:r>
              <w:rPr>
                <w:rFonts w:hint="default" w:ascii="Times New Roman" w:hAnsi="Times New Roman" w:eastAsia="宋体" w:cs="Times New Roman"/>
                <w:color w:val="auto"/>
                <w:sz w:val="24"/>
                <w:szCs w:val="24"/>
                <w:lang w:val="en-US" w:eastAsia="zh-CN"/>
              </w:rPr>
              <w:t>52</w:t>
            </w:r>
            <w:r>
              <w:rPr>
                <w:rFonts w:hint="default" w:ascii="Times New Roman" w:hAnsi="Times New Roman" w:eastAsia="宋体" w:cs="Times New Roman"/>
                <w:color w:val="auto"/>
                <w:sz w:val="24"/>
                <w:szCs w:val="24"/>
              </w:rPr>
              <w:t>人，</w:t>
            </w:r>
            <w:r>
              <w:rPr>
                <w:rFonts w:hint="default" w:ascii="Times New Roman" w:hAnsi="Times New Roman" w:eastAsia="宋体" w:cs="Times New Roman"/>
                <w:color w:val="auto"/>
                <w:sz w:val="24"/>
                <w:szCs w:val="24"/>
                <w:lang w:val="en-US" w:eastAsia="zh-CN"/>
              </w:rPr>
              <w:t>年工作330d，日工作18h。</w:t>
            </w:r>
          </w:p>
          <w:p w14:paraId="191C4A1B">
            <w:pPr>
              <w:keepNext w:val="0"/>
              <w:keepLines w:val="0"/>
              <w:pageBreakBefore w:val="0"/>
              <w:widowControl w:val="0"/>
              <w:kinsoku/>
              <w:wordWrap/>
              <w:overflowPunct/>
              <w:topLinePunct w:val="0"/>
              <w:bidi w:val="0"/>
              <w:adjustRightInd w:val="0"/>
              <w:snapToGrid w:val="0"/>
              <w:spacing w:line="360" w:lineRule="auto"/>
              <w:ind w:firstLine="480" w:firstLineChars="200"/>
              <w:jc w:val="center"/>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object>
                <v:shape id="_x0000_i1025" o:spt="75" type="#_x0000_t75" style="height:381.95pt;width:308.8pt;" o:ole="t" filled="f" o:preferrelative="t" stroked="f" coordsize="21600,21600">
                  <v:path/>
                  <v:fill on="f" focussize="0,0"/>
                  <v:stroke on="f"/>
                  <v:imagedata r:id="rId22" o:title=""/>
                  <o:lock v:ext="edit" aspectratio="f"/>
                  <w10:wrap type="none"/>
                  <w10:anchorlock/>
                </v:shape>
                <o:OLEObject Type="Embed" ProgID="Visio.Drawing.15" ShapeID="_x0000_i1025" DrawAspect="Content" ObjectID="_1468075725" r:id="rId21">
                  <o:LockedField>false</o:LockedField>
                </o:OLEObject>
              </w:object>
            </w:r>
          </w:p>
          <w:p w14:paraId="65191446">
            <w:pPr>
              <w:keepNext w:val="0"/>
              <w:keepLines w:val="0"/>
              <w:pageBreakBefore w:val="0"/>
              <w:widowControl w:val="0"/>
              <w:kinsoku/>
              <w:wordWrap/>
              <w:overflowPunct/>
              <w:topLinePunct w:val="0"/>
              <w:bidi w:val="0"/>
              <w:adjustRightInd w:val="0"/>
              <w:snapToGrid w:val="0"/>
              <w:spacing w:line="360" w:lineRule="auto"/>
              <w:ind w:firstLine="482" w:firstLineChars="200"/>
              <w:jc w:val="center"/>
              <w:textAlignment w:val="auto"/>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图2-1  项目四邻现场图</w:t>
            </w:r>
          </w:p>
          <w:p w14:paraId="4B5E66EA">
            <w:pPr>
              <w:spacing w:line="360" w:lineRule="auto"/>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三、项目组成</w:t>
            </w:r>
          </w:p>
          <w:p w14:paraId="101711CB">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本项目新建矸石覆岩离层注浆场地位于矿井工业场地西南部，系统起点为现有矸石仓。矸石覆岩离层注浆系统由北至南，由东向西主要布置有：矸石破碎车间、制浆车间以及系统间相互联系的带式输送机栈桥等设施。</w:t>
            </w:r>
          </w:p>
          <w:p w14:paraId="1BC1AF9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项目组成见表2-1。</w:t>
            </w:r>
          </w:p>
          <w:p w14:paraId="3BF64460">
            <w:pPr>
              <w:widowControl w:val="0"/>
              <w:topLinePunct/>
              <w:spacing w:line="240" w:lineRule="auto"/>
              <w:ind w:firstLine="482" w:firstLineChars="200"/>
              <w:jc w:val="center"/>
              <w:rPr>
                <w:rFonts w:hint="default" w:ascii="Times New Roman" w:hAnsi="Times New Roman" w:eastAsia="宋体" w:cs="Times New Roman"/>
                <w:b/>
                <w:bCs/>
                <w:color w:val="auto"/>
                <w:kern w:val="0"/>
                <w:sz w:val="24"/>
                <w:szCs w:val="20"/>
                <w:lang w:val="zh-CN" w:eastAsia="zh-CN" w:bidi="ar-SA"/>
              </w:rPr>
            </w:pPr>
            <w:r>
              <w:rPr>
                <w:rFonts w:hint="default" w:ascii="Times New Roman" w:hAnsi="Times New Roman" w:eastAsia="宋体" w:cs="Times New Roman"/>
                <w:b/>
                <w:bCs/>
                <w:color w:val="auto"/>
                <w:kern w:val="0"/>
                <w:sz w:val="24"/>
                <w:szCs w:val="20"/>
                <w:lang w:val="zh-CN" w:eastAsia="zh-CN" w:bidi="ar-SA"/>
              </w:rPr>
              <w:t>表</w:t>
            </w:r>
            <w:r>
              <w:rPr>
                <w:rFonts w:hint="default" w:ascii="Times New Roman" w:hAnsi="Times New Roman" w:eastAsia="宋体" w:cs="Times New Roman"/>
                <w:b/>
                <w:bCs/>
                <w:color w:val="auto"/>
                <w:kern w:val="0"/>
                <w:sz w:val="24"/>
                <w:szCs w:val="20"/>
                <w:lang w:val="en-US" w:eastAsia="zh-CN" w:bidi="ar-SA"/>
              </w:rPr>
              <w:t>2-1</w:t>
            </w:r>
            <w:r>
              <w:rPr>
                <w:rFonts w:hint="default" w:ascii="Times New Roman" w:hAnsi="Times New Roman" w:eastAsia="宋体" w:cs="Times New Roman"/>
                <w:b/>
                <w:bCs/>
                <w:color w:val="auto"/>
                <w:kern w:val="0"/>
                <w:sz w:val="24"/>
                <w:szCs w:val="20"/>
                <w:lang w:val="zh-CN" w:eastAsia="zh-CN" w:bidi="ar-SA"/>
              </w:rPr>
              <w:t xml:space="preserve">    项目工程组成表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639"/>
              <w:gridCol w:w="426"/>
              <w:gridCol w:w="82"/>
              <w:gridCol w:w="925"/>
              <w:gridCol w:w="4448"/>
              <w:gridCol w:w="818"/>
            </w:tblGrid>
            <w:tr w14:paraId="214F7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noWrap w:val="0"/>
                  <w:vAlign w:val="center"/>
                </w:tcPr>
                <w:p w14:paraId="1B0363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类别</w:t>
                  </w:r>
                </w:p>
              </w:tc>
              <w:tc>
                <w:tcPr>
                  <w:tcW w:w="1319" w:type="pct"/>
                  <w:gridSpan w:val="4"/>
                  <w:noWrap w:val="0"/>
                  <w:vAlign w:val="center"/>
                </w:tcPr>
                <w:p w14:paraId="0ABFB7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工程名称</w:t>
                  </w:r>
                </w:p>
              </w:tc>
              <w:tc>
                <w:tcPr>
                  <w:tcW w:w="2832" w:type="pct"/>
                  <w:noWrap w:val="0"/>
                  <w:vAlign w:val="center"/>
                </w:tcPr>
                <w:p w14:paraId="04C2B4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建设内容及规模</w:t>
                  </w:r>
                </w:p>
              </w:tc>
              <w:tc>
                <w:tcPr>
                  <w:tcW w:w="521" w:type="pct"/>
                  <w:noWrap w:val="0"/>
                  <w:vAlign w:val="center"/>
                </w:tcPr>
                <w:p w14:paraId="44D2E1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备注</w:t>
                  </w:r>
                </w:p>
              </w:tc>
            </w:tr>
            <w:tr w14:paraId="61D89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restart"/>
                  <w:noWrap w:val="0"/>
                  <w:vAlign w:val="center"/>
                </w:tcPr>
                <w:p w14:paraId="03EB60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主体</w:t>
                  </w:r>
                </w:p>
                <w:p w14:paraId="7A926B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工程</w:t>
                  </w:r>
                </w:p>
              </w:tc>
              <w:tc>
                <w:tcPr>
                  <w:tcW w:w="1319" w:type="pct"/>
                  <w:gridSpan w:val="4"/>
                  <w:noWrap w:val="0"/>
                  <w:vAlign w:val="center"/>
                </w:tcPr>
                <w:p w14:paraId="0FC1A7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2"/>
                    </w:rPr>
                  </w:pPr>
                  <w:r>
                    <w:rPr>
                      <w:rFonts w:hint="default" w:ascii="Times New Roman" w:hAnsi="Times New Roman" w:eastAsia="宋体" w:cs="Times New Roman"/>
                      <w:color w:val="auto"/>
                      <w:kern w:val="2"/>
                      <w:sz w:val="21"/>
                      <w:szCs w:val="21"/>
                    </w:rPr>
                    <w:t>注浆站</w:t>
                  </w:r>
                </w:p>
              </w:tc>
              <w:tc>
                <w:tcPr>
                  <w:tcW w:w="2832" w:type="pct"/>
                  <w:noWrap w:val="0"/>
                  <w:vAlign w:val="center"/>
                </w:tcPr>
                <w:p w14:paraId="0E8C520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bCs/>
                      <w:color w:val="auto"/>
                      <w:kern w:val="2"/>
                      <w:sz w:val="21"/>
                      <w:szCs w:val="22"/>
                      <w:lang w:val="en-US" w:eastAsia="zh-CN"/>
                    </w:rPr>
                  </w:pPr>
                  <w:r>
                    <w:rPr>
                      <w:rFonts w:hint="default" w:ascii="Times New Roman" w:hAnsi="Times New Roman" w:eastAsia="宋体" w:cs="Times New Roman"/>
                      <w:bCs/>
                      <w:color w:val="auto"/>
                      <w:kern w:val="2"/>
                      <w:sz w:val="21"/>
                      <w:szCs w:val="22"/>
                      <w:lang w:val="en-US" w:eastAsia="zh-CN"/>
                    </w:rPr>
                    <w:t>注浆站</w:t>
                  </w:r>
                  <w:r>
                    <w:rPr>
                      <w:rFonts w:hint="default" w:ascii="Times New Roman" w:hAnsi="Times New Roman" w:eastAsia="宋体" w:cs="Times New Roman"/>
                      <w:bCs/>
                      <w:color w:val="auto"/>
                      <w:kern w:val="2"/>
                      <w:sz w:val="21"/>
                      <w:szCs w:val="22"/>
                    </w:rPr>
                    <w:t>位于矿井工业场地</w:t>
                  </w:r>
                  <w:r>
                    <w:rPr>
                      <w:rFonts w:hint="default" w:ascii="Times New Roman" w:hAnsi="Times New Roman" w:eastAsia="宋体" w:cs="Times New Roman"/>
                      <w:bCs/>
                      <w:color w:val="auto"/>
                      <w:kern w:val="2"/>
                      <w:sz w:val="21"/>
                      <w:szCs w:val="22"/>
                      <w:lang w:val="en-US" w:eastAsia="zh-CN"/>
                    </w:rPr>
                    <w:t>西南部，总占地面积701.15m</w:t>
                  </w:r>
                  <w:r>
                    <w:rPr>
                      <w:rFonts w:hint="default" w:ascii="Times New Roman" w:hAnsi="Times New Roman" w:eastAsia="宋体" w:cs="Times New Roman"/>
                      <w:bCs/>
                      <w:color w:val="auto"/>
                      <w:kern w:val="2"/>
                      <w:sz w:val="21"/>
                      <w:szCs w:val="22"/>
                      <w:vertAlign w:val="superscript"/>
                      <w:lang w:val="en-US" w:eastAsia="zh-CN"/>
                    </w:rPr>
                    <w:t>2</w:t>
                  </w:r>
                  <w:r>
                    <w:rPr>
                      <w:rFonts w:hint="default" w:ascii="Times New Roman" w:hAnsi="Times New Roman" w:eastAsia="宋体" w:cs="Times New Roman"/>
                      <w:bCs/>
                      <w:color w:val="auto"/>
                      <w:kern w:val="2"/>
                      <w:sz w:val="21"/>
                      <w:szCs w:val="22"/>
                      <w:lang w:val="en-US" w:eastAsia="zh-CN"/>
                    </w:rPr>
                    <w:t>，由破碎车间（8.6</w:t>
                  </w:r>
                  <w:r>
                    <w:rPr>
                      <w:rFonts w:hint="default" w:ascii="Arial" w:hAnsi="Arial" w:eastAsia="宋体" w:cs="Arial"/>
                      <w:bCs/>
                      <w:color w:val="auto"/>
                      <w:kern w:val="2"/>
                      <w:sz w:val="21"/>
                      <w:szCs w:val="22"/>
                      <w:lang w:val="en-US" w:eastAsia="zh-CN"/>
                    </w:rPr>
                    <w:t>×</w:t>
                  </w:r>
                  <w:r>
                    <w:rPr>
                      <w:rFonts w:hint="default" w:ascii="Times New Roman" w:hAnsi="Times New Roman" w:eastAsia="宋体" w:cs="Times New Roman"/>
                      <w:bCs/>
                      <w:color w:val="auto"/>
                      <w:kern w:val="2"/>
                      <w:sz w:val="21"/>
                      <w:szCs w:val="22"/>
                      <w:lang w:val="en-US" w:eastAsia="zh-CN"/>
                    </w:rPr>
                    <w:t>15.6</w:t>
                  </w:r>
                  <w:r>
                    <w:rPr>
                      <w:rFonts w:hint="default" w:ascii="Arial" w:hAnsi="Arial" w:eastAsia="宋体" w:cs="Arial"/>
                      <w:bCs/>
                      <w:color w:val="auto"/>
                      <w:kern w:val="2"/>
                      <w:sz w:val="21"/>
                      <w:szCs w:val="22"/>
                      <w:lang w:val="en-US" w:eastAsia="zh-CN"/>
                    </w:rPr>
                    <w:t>×</w:t>
                  </w:r>
                  <w:r>
                    <w:rPr>
                      <w:rFonts w:hint="default" w:ascii="Times New Roman" w:hAnsi="Times New Roman" w:eastAsia="宋体" w:cs="Times New Roman"/>
                      <w:bCs/>
                      <w:color w:val="auto"/>
                      <w:kern w:val="2"/>
                      <w:sz w:val="21"/>
                      <w:szCs w:val="22"/>
                      <w:lang w:val="en-US" w:eastAsia="zh-CN"/>
                    </w:rPr>
                    <w:t>15）、制浆车间（45</w:t>
                  </w:r>
                  <w:r>
                    <w:rPr>
                      <w:rFonts w:hint="default" w:ascii="Arial" w:hAnsi="Arial" w:eastAsia="宋体" w:cs="Arial"/>
                      <w:bCs/>
                      <w:color w:val="auto"/>
                      <w:kern w:val="2"/>
                      <w:sz w:val="21"/>
                      <w:szCs w:val="22"/>
                      <w:lang w:val="en-US" w:eastAsia="zh-CN"/>
                    </w:rPr>
                    <w:t>×</w:t>
                  </w:r>
                  <w:r>
                    <w:rPr>
                      <w:rFonts w:hint="default" w:ascii="Times New Roman" w:hAnsi="Times New Roman" w:eastAsia="宋体" w:cs="Times New Roman"/>
                      <w:bCs/>
                      <w:color w:val="auto"/>
                      <w:kern w:val="2"/>
                      <w:sz w:val="21"/>
                      <w:szCs w:val="22"/>
                      <w:lang w:val="en-US" w:eastAsia="zh-CN"/>
                    </w:rPr>
                    <w:t>12.6</w:t>
                  </w:r>
                  <w:r>
                    <w:rPr>
                      <w:rFonts w:hint="default" w:ascii="Arial" w:hAnsi="Arial" w:eastAsia="宋体" w:cs="Arial"/>
                      <w:bCs/>
                      <w:color w:val="auto"/>
                      <w:kern w:val="2"/>
                      <w:sz w:val="21"/>
                      <w:szCs w:val="22"/>
                      <w:lang w:val="en-US" w:eastAsia="zh-CN"/>
                    </w:rPr>
                    <w:t>×</w:t>
                  </w:r>
                  <w:r>
                    <w:rPr>
                      <w:rFonts w:hint="default" w:ascii="Times New Roman" w:hAnsi="Times New Roman" w:eastAsia="宋体" w:cs="Times New Roman"/>
                      <w:bCs/>
                      <w:color w:val="auto"/>
                      <w:kern w:val="2"/>
                      <w:sz w:val="21"/>
                      <w:szCs w:val="22"/>
                      <w:lang w:val="en-US" w:eastAsia="zh-CN"/>
                    </w:rPr>
                    <w:t>15），以及系统间相互联系的带式输送机栈桥等设施组成。</w:t>
                  </w:r>
                </w:p>
                <w:p w14:paraId="392B7B55">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bCs/>
                      <w:color w:val="auto"/>
                      <w:kern w:val="2"/>
                      <w:sz w:val="21"/>
                      <w:szCs w:val="22"/>
                      <w:lang w:val="en-US" w:eastAsia="zh-CN"/>
                    </w:rPr>
                  </w:pPr>
                  <w:r>
                    <w:rPr>
                      <w:rFonts w:hint="default" w:ascii="Times New Roman" w:hAnsi="Times New Roman" w:eastAsia="宋体" w:cs="Times New Roman"/>
                      <w:bCs/>
                      <w:color w:val="auto"/>
                      <w:kern w:val="2"/>
                      <w:sz w:val="21"/>
                      <w:szCs w:val="22"/>
                      <w:lang w:val="en-US" w:eastAsia="zh-CN"/>
                    </w:rPr>
                    <w:t>破碎车间和制浆车间采用全封闭式钢结构厂房。</w:t>
                  </w:r>
                </w:p>
                <w:p w14:paraId="381063F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bCs/>
                      <w:color w:val="auto"/>
                      <w:kern w:val="2"/>
                      <w:sz w:val="21"/>
                      <w:szCs w:val="22"/>
                      <w:lang w:val="en-US" w:eastAsia="zh-CN"/>
                    </w:rPr>
                    <w:t>破碎车间：</w:t>
                  </w:r>
                  <w:r>
                    <w:rPr>
                      <w:rFonts w:hint="default" w:ascii="Times New Roman" w:hAnsi="Times New Roman" w:eastAsia="宋体" w:cs="Times New Roman"/>
                      <w:color w:val="auto"/>
                      <w:kern w:val="2"/>
                      <w:sz w:val="21"/>
                      <w:szCs w:val="20"/>
                      <w:lang w:val="en-US" w:eastAsia="zh-CN" w:bidi="ar-SA"/>
                    </w:rPr>
                    <w:t>新建破碎系统采用两级破碎，一级破碎采用1台反击式破碎机，处理量200t/h，入料粒度小于200mm，出料粒度小于30mm；二级破碎采用1台对辊制砂机，处理量200t/h，入料粒度小于30mm，出料粒度小于8mm。</w:t>
                  </w:r>
                </w:p>
                <w:p w14:paraId="436CE90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kern w:val="2"/>
                      <w:sz w:val="21"/>
                      <w:szCs w:val="20"/>
                      <w:lang w:val="en-US" w:eastAsia="zh-CN" w:bidi="ar-SA"/>
                    </w:rPr>
                  </w:pPr>
                  <w:r>
                    <w:rPr>
                      <w:rFonts w:hint="default" w:ascii="Times New Roman" w:hAnsi="Times New Roman" w:eastAsia="宋体" w:cs="Times New Roman"/>
                      <w:color w:val="auto"/>
                      <w:kern w:val="2"/>
                      <w:sz w:val="21"/>
                      <w:szCs w:val="20"/>
                      <w:lang w:val="en-US" w:eastAsia="zh-CN" w:bidi="ar-SA"/>
                    </w:rPr>
                    <w:t>制浆车间：</w:t>
                  </w:r>
                  <w:r>
                    <w:rPr>
                      <w:rFonts w:hint="default" w:ascii="Times New Roman" w:hAnsi="Times New Roman" w:eastAsia="宋体" w:cs="Times New Roman"/>
                      <w:color w:val="auto"/>
                      <w:kern w:val="2"/>
                      <w:sz w:val="21"/>
                      <w:szCs w:val="24"/>
                    </w:rPr>
                    <w:t>新建球磨系统处理能力</w:t>
                  </w:r>
                  <w:r>
                    <w:rPr>
                      <w:rFonts w:hint="default" w:ascii="Times New Roman" w:hAnsi="Times New Roman" w:eastAsia="宋体" w:cs="Times New Roman"/>
                      <w:color w:val="auto"/>
                      <w:kern w:val="2"/>
                      <w:sz w:val="21"/>
                      <w:szCs w:val="24"/>
                      <w:lang w:val="en-US" w:eastAsia="zh-CN"/>
                    </w:rPr>
                    <w:t>180</w:t>
                  </w:r>
                  <w:r>
                    <w:rPr>
                      <w:rFonts w:hint="default" w:ascii="Times New Roman" w:hAnsi="Times New Roman" w:eastAsia="宋体" w:cs="Times New Roman"/>
                      <w:color w:val="auto"/>
                      <w:kern w:val="2"/>
                      <w:sz w:val="21"/>
                      <w:szCs w:val="24"/>
                    </w:rPr>
                    <w:t>t/h。球磨系统选用</w:t>
                  </w:r>
                  <w:r>
                    <w:rPr>
                      <w:rFonts w:hint="default" w:ascii="Times New Roman" w:hAnsi="Times New Roman" w:eastAsia="宋体" w:cs="Times New Roman"/>
                      <w:color w:val="auto"/>
                      <w:kern w:val="2"/>
                      <w:sz w:val="21"/>
                      <w:szCs w:val="24"/>
                      <w:lang w:val="en-US" w:eastAsia="zh-CN"/>
                    </w:rPr>
                    <w:t>1</w:t>
                  </w:r>
                  <w:r>
                    <w:rPr>
                      <w:rFonts w:hint="default" w:ascii="Times New Roman" w:hAnsi="Times New Roman" w:eastAsia="宋体" w:cs="Times New Roman"/>
                      <w:color w:val="auto"/>
                      <w:kern w:val="2"/>
                      <w:sz w:val="21"/>
                      <w:szCs w:val="24"/>
                    </w:rPr>
                    <w:t>台湿式溢流型球磨机，处理量</w:t>
                  </w:r>
                  <w:r>
                    <w:rPr>
                      <w:rFonts w:hint="default" w:ascii="Times New Roman" w:hAnsi="Times New Roman" w:eastAsia="宋体" w:cs="Times New Roman"/>
                      <w:color w:val="auto"/>
                      <w:kern w:val="2"/>
                      <w:sz w:val="21"/>
                      <w:szCs w:val="24"/>
                      <w:lang w:val="en-US" w:eastAsia="zh-CN"/>
                    </w:rPr>
                    <w:t>18</w:t>
                  </w:r>
                  <w:r>
                    <w:rPr>
                      <w:rFonts w:hint="default" w:ascii="Times New Roman" w:hAnsi="Times New Roman" w:eastAsia="宋体" w:cs="Times New Roman"/>
                      <w:color w:val="auto"/>
                      <w:kern w:val="2"/>
                      <w:sz w:val="21"/>
                      <w:szCs w:val="24"/>
                    </w:rPr>
                    <w:t>0t/h，出料粒度</w:t>
                  </w:r>
                  <w:r>
                    <w:rPr>
                      <w:rFonts w:hint="default" w:ascii="Times New Roman" w:hAnsi="Times New Roman" w:eastAsia="宋体" w:cs="Times New Roman"/>
                      <w:color w:val="auto"/>
                      <w:kern w:val="2"/>
                      <w:sz w:val="21"/>
                      <w:szCs w:val="20"/>
                    </w:rPr>
                    <w:t>小于0.2mm（小于0.2mm占比80%）。</w:t>
                  </w:r>
                </w:p>
                <w:p w14:paraId="12F3FE15">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bCs/>
                      <w:color w:val="auto"/>
                      <w:kern w:val="2"/>
                      <w:sz w:val="21"/>
                      <w:szCs w:val="22"/>
                      <w:lang w:val="en-US" w:eastAsia="zh-CN"/>
                    </w:rPr>
                    <w:t>设计选用两5ZB-4000/15A型泥浆泵，排量180~240m³/h，压力10~20MPa，电机：N=900kW，10kV。浆体输送管路输浆量最大为220m</w:t>
                  </w:r>
                  <w:r>
                    <w:rPr>
                      <w:rFonts w:hint="default" w:ascii="Times New Roman" w:hAnsi="Times New Roman" w:eastAsia="宋体" w:cs="Times New Roman"/>
                      <w:bCs/>
                      <w:color w:val="auto"/>
                      <w:kern w:val="2"/>
                      <w:sz w:val="21"/>
                      <w:szCs w:val="22"/>
                      <w:vertAlign w:val="superscript"/>
                      <w:lang w:val="en-US" w:eastAsia="zh-CN"/>
                    </w:rPr>
                    <w:t>3</w:t>
                  </w:r>
                  <w:r>
                    <w:rPr>
                      <w:rFonts w:hint="default" w:ascii="Times New Roman" w:hAnsi="Times New Roman" w:eastAsia="宋体" w:cs="Times New Roman"/>
                      <w:bCs/>
                      <w:color w:val="auto"/>
                      <w:kern w:val="2"/>
                      <w:sz w:val="21"/>
                      <w:szCs w:val="22"/>
                      <w:lang w:val="en-US" w:eastAsia="zh-CN"/>
                    </w:rPr>
                    <w:t>/h，拟采用一趟D245×20mm耐磨无缝钢管浆体输送管路。</w:t>
                  </w:r>
                </w:p>
              </w:tc>
              <w:tc>
                <w:tcPr>
                  <w:tcW w:w="521" w:type="pct"/>
                  <w:noWrap w:val="0"/>
                  <w:vAlign w:val="center"/>
                </w:tcPr>
                <w:p w14:paraId="2FED7B1E">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2"/>
                    </w:rPr>
                  </w:pPr>
                  <w:r>
                    <w:rPr>
                      <w:rFonts w:hint="default" w:ascii="Times New Roman" w:hAnsi="Times New Roman" w:eastAsia="宋体" w:cs="Times New Roman"/>
                      <w:bCs/>
                      <w:color w:val="auto"/>
                      <w:kern w:val="2"/>
                      <w:sz w:val="21"/>
                      <w:szCs w:val="22"/>
                    </w:rPr>
                    <w:t>新建</w:t>
                  </w:r>
                </w:p>
              </w:tc>
            </w:tr>
            <w:tr w14:paraId="69A23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234D48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499E8F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注浆钻孔</w:t>
                  </w:r>
                </w:p>
              </w:tc>
              <w:tc>
                <w:tcPr>
                  <w:tcW w:w="2832" w:type="pct"/>
                  <w:noWrap w:val="0"/>
                  <w:vAlign w:val="center"/>
                </w:tcPr>
                <w:p w14:paraId="341821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本次设计钻孔暂定按双排孔布置。为确保注浆量，本次设计设置机动注浆孔，机动孔数量暂按正常注浆孔数量的50%考虑</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初步计划2201工作面共设计70个钻孔（实际根据现场注浆效果调整），单个钻孔占地面积约</w:t>
                  </w:r>
                  <w:r>
                    <w:rPr>
                      <w:rFonts w:hint="eastAsia" w:cs="Times New Roman"/>
                      <w:color w:val="auto"/>
                      <w:kern w:val="2"/>
                      <w:sz w:val="21"/>
                      <w:szCs w:val="21"/>
                      <w:lang w:val="en-US" w:eastAsia="zh-CN"/>
                    </w:rPr>
                    <w:t>100</w:t>
                  </w:r>
                  <w:r>
                    <w:rPr>
                      <w:rFonts w:hint="default" w:ascii="Times New Roman" w:hAnsi="Times New Roman" w:eastAsia="宋体" w:cs="Times New Roman"/>
                      <w:color w:val="auto"/>
                      <w:kern w:val="2"/>
                      <w:sz w:val="21"/>
                      <w:szCs w:val="21"/>
                    </w:rPr>
                    <w:t>m</w:t>
                  </w:r>
                  <w:r>
                    <w:rPr>
                      <w:rFonts w:hint="default" w:ascii="Times New Roman" w:hAnsi="Times New Roman" w:eastAsia="宋体" w:cs="Times New Roman"/>
                      <w:color w:val="auto"/>
                      <w:kern w:val="2"/>
                      <w:sz w:val="21"/>
                      <w:szCs w:val="21"/>
                      <w:vertAlign w:val="superscript"/>
                    </w:rPr>
                    <w:t>2</w:t>
                  </w:r>
                  <w:r>
                    <w:rPr>
                      <w:rFonts w:hint="default" w:ascii="Times New Roman" w:hAnsi="Times New Roman" w:eastAsia="宋体" w:cs="Times New Roman"/>
                      <w:color w:val="auto"/>
                      <w:kern w:val="2"/>
                      <w:sz w:val="21"/>
                      <w:szCs w:val="21"/>
                    </w:rPr>
                    <w:t>，钻孔直径至稳定基岩段（一开）Φ311mm，至注浆段（二开）Φ215.9mm。</w:t>
                  </w:r>
                </w:p>
              </w:tc>
              <w:tc>
                <w:tcPr>
                  <w:tcW w:w="521" w:type="pct"/>
                  <w:noWrap w:val="0"/>
                  <w:vAlign w:val="center"/>
                </w:tcPr>
                <w:p w14:paraId="0971002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2"/>
                    </w:rPr>
                  </w:pPr>
                  <w:r>
                    <w:rPr>
                      <w:rFonts w:hint="default" w:ascii="Times New Roman" w:hAnsi="Times New Roman" w:eastAsia="宋体" w:cs="Times New Roman"/>
                      <w:bCs/>
                      <w:color w:val="auto"/>
                      <w:kern w:val="2"/>
                      <w:sz w:val="21"/>
                      <w:szCs w:val="22"/>
                    </w:rPr>
                    <w:t>新建</w:t>
                  </w:r>
                </w:p>
              </w:tc>
            </w:tr>
            <w:tr w14:paraId="609EA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326" w:type="pct"/>
                  <w:vMerge w:val="continue"/>
                  <w:noWrap w:val="0"/>
                  <w:vAlign w:val="center"/>
                </w:tcPr>
                <w:p w14:paraId="1A4907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3FA4E45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2"/>
                    </w:rPr>
                  </w:pPr>
                  <w:r>
                    <w:rPr>
                      <w:rFonts w:hint="default" w:ascii="Times New Roman" w:hAnsi="Times New Roman" w:eastAsia="宋体" w:cs="Times New Roman"/>
                      <w:color w:val="auto"/>
                      <w:kern w:val="2"/>
                      <w:sz w:val="21"/>
                      <w:szCs w:val="24"/>
                    </w:rPr>
                    <w:t>输浆管路</w:t>
                  </w:r>
                </w:p>
              </w:tc>
              <w:tc>
                <w:tcPr>
                  <w:tcW w:w="2832" w:type="pct"/>
                  <w:noWrap w:val="0"/>
                  <w:vAlign w:val="center"/>
                </w:tcPr>
                <w:p w14:paraId="639DE2B7">
                  <w:pPr>
                    <w:keepNext w:val="0"/>
                    <w:keepLines w:val="0"/>
                    <w:pageBreakBefore w:val="0"/>
                    <w:widowControl w:val="0"/>
                    <w:kinsoku/>
                    <w:wordWrap/>
                    <w:overflowPunct/>
                    <w:topLinePunct w:val="0"/>
                    <w:autoSpaceDE/>
                    <w:autoSpaceDN/>
                    <w:bidi w:val="0"/>
                    <w:snapToGrid w:val="0"/>
                    <w:spacing w:line="240" w:lineRule="auto"/>
                    <w:ind w:left="0" w:leftChars="0" w:firstLine="0" w:firstLineChars="0"/>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highlight w:val="none"/>
                    </w:rPr>
                    <w:t>注浆管线</w:t>
                  </w:r>
                  <w:r>
                    <w:rPr>
                      <w:rFonts w:hint="default" w:ascii="Times New Roman" w:hAnsi="Times New Roman" w:eastAsia="宋体" w:cs="Times New Roman"/>
                      <w:color w:val="auto"/>
                      <w:kern w:val="2"/>
                      <w:sz w:val="21"/>
                      <w:szCs w:val="21"/>
                      <w:highlight w:val="none"/>
                      <w:lang w:val="en-US" w:eastAsia="zh-CN"/>
                    </w:rPr>
                    <w:t>整体均在矿界范围内，总长度4961m，其中</w:t>
                  </w:r>
                  <w:r>
                    <w:rPr>
                      <w:rFonts w:hint="default" w:ascii="Times New Roman" w:hAnsi="Times New Roman" w:eastAsia="宋体" w:cs="Times New Roman"/>
                      <w:color w:val="auto"/>
                      <w:kern w:val="2"/>
                      <w:sz w:val="21"/>
                      <w:szCs w:val="21"/>
                      <w:highlight w:val="none"/>
                    </w:rPr>
                    <w:t>注浆管线沿制浆车间西侧道路埋地敷设</w:t>
                  </w:r>
                  <w:r>
                    <w:rPr>
                      <w:rFonts w:hint="default" w:ascii="Times New Roman" w:hAnsi="Times New Roman" w:eastAsia="宋体" w:cs="Times New Roman"/>
                      <w:color w:val="auto"/>
                      <w:kern w:val="2"/>
                      <w:sz w:val="21"/>
                      <w:szCs w:val="21"/>
                      <w:highlight w:val="none"/>
                      <w:lang w:val="en-US" w:eastAsia="zh-CN"/>
                    </w:rPr>
                    <w:t>长度为731m（该部分均在工业场地范围内）</w:t>
                  </w:r>
                  <w:r>
                    <w:rPr>
                      <w:rFonts w:hint="default" w:ascii="Times New Roman" w:hAnsi="Times New Roman" w:eastAsia="宋体" w:cs="Times New Roman"/>
                      <w:color w:val="auto"/>
                      <w:kern w:val="2"/>
                      <w:sz w:val="21"/>
                      <w:szCs w:val="21"/>
                      <w:highlight w:val="none"/>
                    </w:rPr>
                    <w:t>，向北出工业场地后，向东北</w:t>
                  </w:r>
                  <w:r>
                    <w:rPr>
                      <w:rFonts w:hint="default" w:ascii="Times New Roman" w:hAnsi="Times New Roman" w:eastAsia="宋体" w:cs="Times New Roman"/>
                      <w:color w:val="auto"/>
                      <w:kern w:val="2"/>
                      <w:sz w:val="21"/>
                      <w:szCs w:val="21"/>
                      <w:highlight w:val="none"/>
                      <w:lang w:val="en-US" w:eastAsia="zh-CN"/>
                    </w:rPr>
                    <w:t>4.23k</w:t>
                  </w:r>
                  <w:r>
                    <w:rPr>
                      <w:rFonts w:hint="default" w:ascii="Times New Roman" w:hAnsi="Times New Roman" w:eastAsia="宋体" w:cs="Times New Roman"/>
                      <w:color w:val="auto"/>
                      <w:kern w:val="2"/>
                      <w:sz w:val="21"/>
                      <w:szCs w:val="21"/>
                      <w:highlight w:val="none"/>
                    </w:rPr>
                    <w:t>m架空敷设直接到2201工作面注浆孔</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rPr>
                    <w:t>该部分均在矿界范围内</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rPr>
                    <w:t>。</w:t>
                  </w:r>
                </w:p>
              </w:tc>
              <w:tc>
                <w:tcPr>
                  <w:tcW w:w="521" w:type="pct"/>
                  <w:noWrap w:val="0"/>
                  <w:vAlign w:val="center"/>
                </w:tcPr>
                <w:p w14:paraId="30DB396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2"/>
                    </w:rPr>
                  </w:pPr>
                  <w:r>
                    <w:rPr>
                      <w:rFonts w:hint="default" w:ascii="Times New Roman" w:hAnsi="Times New Roman" w:eastAsia="宋体" w:cs="Times New Roman"/>
                      <w:bCs/>
                      <w:color w:val="auto"/>
                      <w:kern w:val="2"/>
                      <w:sz w:val="21"/>
                      <w:szCs w:val="22"/>
                    </w:rPr>
                    <w:t>新</w:t>
                  </w:r>
                  <w:r>
                    <w:rPr>
                      <w:rFonts w:hint="default" w:ascii="Times New Roman" w:hAnsi="Times New Roman" w:eastAsia="宋体" w:cs="Times New Roman"/>
                      <w:bCs/>
                      <w:color w:val="auto"/>
                      <w:kern w:val="2"/>
                      <w:sz w:val="21"/>
                      <w:szCs w:val="22"/>
                      <w:lang w:val="en-US" w:eastAsia="zh-CN"/>
                    </w:rPr>
                    <w:t>建</w:t>
                  </w:r>
                  <w:r>
                    <w:rPr>
                      <w:rFonts w:hint="default" w:ascii="Times New Roman" w:hAnsi="Times New Roman" w:eastAsia="宋体" w:cs="Times New Roman"/>
                      <w:bCs/>
                      <w:color w:val="auto"/>
                      <w:kern w:val="2"/>
                      <w:sz w:val="21"/>
                      <w:szCs w:val="22"/>
                    </w:rPr>
                    <w:cr/>
                  </w:r>
                </w:p>
              </w:tc>
            </w:tr>
            <w:tr w14:paraId="3E3A4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326" w:type="pct"/>
                  <w:vMerge w:val="restart"/>
                  <w:noWrap w:val="0"/>
                  <w:vAlign w:val="center"/>
                </w:tcPr>
                <w:p w14:paraId="65BAD6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公用</w:t>
                  </w:r>
                </w:p>
                <w:p w14:paraId="007561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工程</w:t>
                  </w:r>
                </w:p>
              </w:tc>
              <w:tc>
                <w:tcPr>
                  <w:tcW w:w="1319" w:type="pct"/>
                  <w:gridSpan w:val="4"/>
                  <w:noWrap w:val="0"/>
                  <w:vAlign w:val="center"/>
                </w:tcPr>
                <w:p w14:paraId="004210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供水工程</w:t>
                  </w:r>
                </w:p>
              </w:tc>
              <w:tc>
                <w:tcPr>
                  <w:tcW w:w="2832" w:type="pct"/>
                  <w:noWrap w:val="0"/>
                  <w:vAlign w:val="center"/>
                </w:tcPr>
                <w:p w14:paraId="5F4F6989">
                  <w:pPr>
                    <w:widowControl w:val="0"/>
                    <w:adjustRightInd w:val="0"/>
                    <w:snapToGrid w:val="0"/>
                    <w:spacing w:line="240" w:lineRule="auto"/>
                    <w:ind w:firstLine="420" w:firstLineChars="20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生活用水</w:t>
                  </w:r>
                  <w:r>
                    <w:rPr>
                      <w:rFonts w:hint="default" w:ascii="Times New Roman" w:hAnsi="Times New Roman" w:eastAsia="宋体" w:cs="Times New Roman"/>
                      <w:color w:val="auto"/>
                      <w:kern w:val="2"/>
                      <w:sz w:val="21"/>
                      <w:szCs w:val="21"/>
                      <w:lang w:val="en-US" w:eastAsia="zh-CN"/>
                    </w:rPr>
                    <w:t>以地下水和深度处理后的矿井水作为生活取水水源</w:t>
                  </w:r>
                  <w:r>
                    <w:rPr>
                      <w:rFonts w:hint="default" w:ascii="Times New Roman" w:hAnsi="Times New Roman" w:eastAsia="宋体" w:cs="Times New Roman"/>
                      <w:color w:val="auto"/>
                      <w:kern w:val="2"/>
                      <w:sz w:val="21"/>
                      <w:szCs w:val="21"/>
                    </w:rPr>
                    <w:t>。</w:t>
                  </w:r>
                </w:p>
                <w:p w14:paraId="711366AD">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生产</w:t>
                  </w:r>
                  <w:r>
                    <w:rPr>
                      <w:rFonts w:hint="default" w:ascii="Times New Roman" w:hAnsi="Times New Roman" w:eastAsia="宋体" w:cs="Times New Roman"/>
                      <w:color w:val="auto"/>
                      <w:kern w:val="0"/>
                      <w:sz w:val="21"/>
                      <w:szCs w:val="21"/>
                      <w:highlight w:val="none"/>
                      <w:lang w:val="en-US" w:eastAsia="zh-CN"/>
                    </w:rPr>
                    <w:t>用水</w:t>
                  </w:r>
                  <w:r>
                    <w:rPr>
                      <w:rFonts w:hint="eastAsia" w:cs="Times New Roman"/>
                      <w:color w:val="auto"/>
                      <w:kern w:val="0"/>
                      <w:sz w:val="21"/>
                      <w:szCs w:val="21"/>
                      <w:highlight w:val="none"/>
                      <w:lang w:val="en-US" w:eastAsia="zh-CN"/>
                    </w:rPr>
                    <w:t>采用</w:t>
                  </w:r>
                  <w:r>
                    <w:rPr>
                      <w:rFonts w:hint="default" w:ascii="Times New Roman" w:hAnsi="Times New Roman" w:eastAsia="宋体" w:cs="Times New Roman"/>
                      <w:color w:val="auto"/>
                      <w:kern w:val="0"/>
                      <w:sz w:val="21"/>
                      <w:szCs w:val="21"/>
                      <w:highlight w:val="none"/>
                      <w:lang w:val="en-US" w:eastAsia="zh-CN"/>
                    </w:rPr>
                    <w:t>矿井水处理站处理后的矿井水</w:t>
                  </w:r>
                  <w:r>
                    <w:rPr>
                      <w:rFonts w:hint="default" w:ascii="Times New Roman" w:hAnsi="Times New Roman" w:eastAsia="宋体" w:cs="Times New Roman"/>
                      <w:color w:val="auto"/>
                      <w:kern w:val="2"/>
                      <w:sz w:val="21"/>
                      <w:szCs w:val="21"/>
                      <w:lang w:eastAsia="zh-CN"/>
                    </w:rPr>
                    <w:t>。</w:t>
                  </w:r>
                </w:p>
              </w:tc>
              <w:tc>
                <w:tcPr>
                  <w:tcW w:w="521" w:type="pct"/>
                  <w:noWrap w:val="0"/>
                  <w:vAlign w:val="center"/>
                </w:tcPr>
                <w:p w14:paraId="333739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依托</w:t>
                  </w:r>
                </w:p>
              </w:tc>
            </w:tr>
            <w:tr w14:paraId="7BBDA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326" w:type="pct"/>
                  <w:vMerge w:val="continue"/>
                  <w:noWrap w:val="0"/>
                  <w:vAlign w:val="center"/>
                </w:tcPr>
                <w:p w14:paraId="188432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7D7C1D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排水工程</w:t>
                  </w:r>
                </w:p>
              </w:tc>
              <w:tc>
                <w:tcPr>
                  <w:tcW w:w="2832" w:type="pct"/>
                  <w:noWrap w:val="0"/>
                  <w:vAlign w:val="center"/>
                </w:tcPr>
                <w:p w14:paraId="43ABD632">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本项目新增生活污水经</w:t>
                  </w:r>
                  <w:r>
                    <w:rPr>
                      <w:rFonts w:hint="default" w:ascii="Times New Roman" w:hAnsi="Times New Roman" w:eastAsia="宋体" w:cs="Times New Roman"/>
                      <w:color w:val="auto"/>
                      <w:kern w:val="2"/>
                      <w:sz w:val="21"/>
                      <w:szCs w:val="21"/>
                      <w:lang w:val="en-US" w:eastAsia="zh-CN"/>
                    </w:rPr>
                    <w:t>现有设施</w:t>
                  </w:r>
                  <w:r>
                    <w:rPr>
                      <w:rFonts w:hint="default" w:ascii="Times New Roman" w:hAnsi="Times New Roman" w:eastAsia="宋体" w:cs="Times New Roman"/>
                      <w:color w:val="auto"/>
                      <w:kern w:val="2"/>
                      <w:sz w:val="21"/>
                      <w:szCs w:val="21"/>
                    </w:rPr>
                    <w:t>收集后，送至</w:t>
                  </w:r>
                  <w:r>
                    <w:rPr>
                      <w:rFonts w:hint="default" w:ascii="Times New Roman" w:hAnsi="Times New Roman" w:eastAsia="宋体" w:cs="Times New Roman"/>
                      <w:color w:val="auto"/>
                      <w:kern w:val="2"/>
                      <w:sz w:val="21"/>
                      <w:szCs w:val="21"/>
                      <w:lang w:eastAsia="zh-CN"/>
                    </w:rPr>
                    <w:t>白家海子</w:t>
                  </w:r>
                  <w:r>
                    <w:rPr>
                      <w:rFonts w:hint="default" w:ascii="Times New Roman" w:hAnsi="Times New Roman" w:eastAsia="宋体" w:cs="Times New Roman"/>
                      <w:color w:val="auto"/>
                      <w:kern w:val="2"/>
                      <w:sz w:val="21"/>
                      <w:szCs w:val="21"/>
                    </w:rPr>
                    <w:t>煤矿工业场地生活污水处理站集中进行处理，经处理后全部回用</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不外排</w:t>
                  </w:r>
                  <w:r>
                    <w:rPr>
                      <w:rFonts w:hint="default" w:ascii="Times New Roman" w:hAnsi="Times New Roman" w:eastAsia="宋体" w:cs="Times New Roman"/>
                      <w:color w:val="auto"/>
                      <w:kern w:val="2"/>
                      <w:sz w:val="21"/>
                      <w:szCs w:val="21"/>
                      <w:lang w:eastAsia="zh-CN"/>
                    </w:rPr>
                    <w:t>。</w:t>
                  </w:r>
                </w:p>
                <w:p w14:paraId="250FA8E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rPr>
                    <w:t>地面冲洗废水经收集池收集后回用于球磨工序，不外排</w:t>
                  </w:r>
                  <w:r>
                    <w:rPr>
                      <w:rFonts w:hint="default" w:ascii="Times New Roman" w:hAnsi="Times New Roman" w:eastAsia="宋体" w:cs="Times New Roman"/>
                      <w:color w:val="auto"/>
                      <w:kern w:val="2"/>
                      <w:sz w:val="21"/>
                      <w:szCs w:val="21"/>
                      <w:lang w:eastAsia="zh-CN"/>
                    </w:rPr>
                    <w:t>。</w:t>
                  </w:r>
                </w:p>
                <w:p w14:paraId="14A6D486">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1"/>
                      <w:szCs w:val="21"/>
                      <w:lang w:val="en-US" w:eastAsia="zh-CN"/>
                    </w:rPr>
                    <w:t>管路冲洗废水随管道排至井下用于充填。</w:t>
                  </w:r>
                </w:p>
              </w:tc>
              <w:tc>
                <w:tcPr>
                  <w:tcW w:w="521" w:type="pct"/>
                  <w:noWrap w:val="0"/>
                  <w:vAlign w:val="center"/>
                </w:tcPr>
                <w:p w14:paraId="3EAC5D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部分依托</w:t>
                  </w:r>
                </w:p>
              </w:tc>
            </w:tr>
            <w:tr w14:paraId="4D0CC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326" w:type="pct"/>
                  <w:vMerge w:val="continue"/>
                  <w:noWrap w:val="0"/>
                  <w:vAlign w:val="center"/>
                </w:tcPr>
                <w:p w14:paraId="05D52E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6EE27B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供电工程</w:t>
                  </w:r>
                </w:p>
              </w:tc>
              <w:tc>
                <w:tcPr>
                  <w:tcW w:w="2832" w:type="pct"/>
                  <w:noWrap w:val="0"/>
                  <w:vAlign w:val="center"/>
                </w:tcPr>
                <w:p w14:paraId="0D86A1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在制浆车间南侧联建一座 10kV 变电所，为整个充填项目提供电源，电源引自矿井地面 110kV变电所。</w:t>
                  </w:r>
                </w:p>
              </w:tc>
              <w:tc>
                <w:tcPr>
                  <w:tcW w:w="521" w:type="pct"/>
                  <w:noWrap w:val="0"/>
                  <w:vAlign w:val="center"/>
                </w:tcPr>
                <w:p w14:paraId="440B16F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新建</w:t>
                  </w:r>
                </w:p>
              </w:tc>
            </w:tr>
            <w:tr w14:paraId="7C73D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326" w:type="pct"/>
                  <w:vMerge w:val="continue"/>
                  <w:noWrap w:val="0"/>
                  <w:vAlign w:val="center"/>
                </w:tcPr>
                <w:p w14:paraId="608144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2C887F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供热</w:t>
                  </w:r>
                </w:p>
              </w:tc>
              <w:tc>
                <w:tcPr>
                  <w:tcW w:w="2832" w:type="pct"/>
                  <w:noWrap w:val="0"/>
                  <w:vAlign w:val="center"/>
                </w:tcPr>
                <w:p w14:paraId="49A4EB74">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注浆站</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破碎间和球磨间</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建筑</w:t>
                  </w:r>
                  <w:r>
                    <w:rPr>
                      <w:rFonts w:hint="default" w:ascii="Times New Roman" w:hAnsi="Times New Roman" w:eastAsia="宋体" w:cs="Times New Roman"/>
                      <w:color w:val="auto"/>
                      <w:kern w:val="2"/>
                      <w:sz w:val="21"/>
                      <w:szCs w:val="21"/>
                    </w:rPr>
                    <w:t>依托现有供热设施供热</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车间内布设供暖设施；</w:t>
                  </w:r>
                </w:p>
              </w:tc>
              <w:tc>
                <w:tcPr>
                  <w:tcW w:w="521" w:type="pct"/>
                  <w:noWrap w:val="0"/>
                  <w:vAlign w:val="center"/>
                </w:tcPr>
                <w:p w14:paraId="153C1E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依托</w:t>
                  </w:r>
                </w:p>
              </w:tc>
            </w:tr>
            <w:tr w14:paraId="4F0C4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noWrap w:val="0"/>
                  <w:vAlign w:val="center"/>
                </w:tcPr>
                <w:p w14:paraId="31F682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辅助工程</w:t>
                  </w:r>
                </w:p>
              </w:tc>
              <w:tc>
                <w:tcPr>
                  <w:tcW w:w="1319" w:type="pct"/>
                  <w:gridSpan w:val="4"/>
                  <w:noWrap w:val="0"/>
                  <w:vAlign w:val="center"/>
                </w:tcPr>
                <w:p w14:paraId="3338C0F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通风设施</w:t>
                  </w:r>
                </w:p>
              </w:tc>
              <w:tc>
                <w:tcPr>
                  <w:tcW w:w="2832" w:type="pct"/>
                  <w:noWrap w:val="0"/>
                  <w:vAlign w:val="center"/>
                </w:tcPr>
                <w:p w14:paraId="5F55EF2C">
                  <w:pPr>
                    <w:keepNext w:val="0"/>
                    <w:keepLines w:val="0"/>
                    <w:pageBreakBefore w:val="0"/>
                    <w:widowControl w:val="0"/>
                    <w:kinsoku/>
                    <w:wordWrap/>
                    <w:overflowPunct/>
                    <w:topLinePunct w:val="0"/>
                    <w:autoSpaceDE/>
                    <w:autoSpaceDN/>
                    <w:bidi w:val="0"/>
                    <w:snapToGrid w:val="0"/>
                    <w:spacing w:line="240" w:lineRule="auto"/>
                    <w:ind w:firstLine="420" w:firstLineChars="20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注浆站选用轴流式屋顶风机进行通风换气，通风方式为自然进风、机械排风；变电所选用轴流通风机作为事故排风也可兼作通风换气用。</w:t>
                  </w:r>
                </w:p>
              </w:tc>
              <w:tc>
                <w:tcPr>
                  <w:tcW w:w="521" w:type="pct"/>
                  <w:noWrap w:val="0"/>
                  <w:vAlign w:val="center"/>
                </w:tcPr>
                <w:p w14:paraId="72C4E0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新建</w:t>
                  </w:r>
                </w:p>
              </w:tc>
            </w:tr>
            <w:tr w14:paraId="6092C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restart"/>
                  <w:noWrap w:val="0"/>
                  <w:vAlign w:val="center"/>
                </w:tcPr>
                <w:p w14:paraId="16BCDD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储运系统</w:t>
                  </w:r>
                </w:p>
              </w:tc>
              <w:tc>
                <w:tcPr>
                  <w:tcW w:w="1319" w:type="pct"/>
                  <w:gridSpan w:val="4"/>
                  <w:noWrap w:val="0"/>
                  <w:vAlign w:val="center"/>
                </w:tcPr>
                <w:p w14:paraId="4DC026B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矸石仓</w:t>
                  </w:r>
                </w:p>
              </w:tc>
              <w:tc>
                <w:tcPr>
                  <w:tcW w:w="2832" w:type="pct"/>
                  <w:noWrap w:val="0"/>
                  <w:vAlign w:val="center"/>
                </w:tcPr>
                <w:p w14:paraId="1ED70117">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color w:val="auto"/>
                      <w:kern w:val="2"/>
                      <w:sz w:val="21"/>
                      <w:szCs w:val="21"/>
                      <w:lang w:val="en-US" w:eastAsia="zh-CN"/>
                    </w:rPr>
                    <w:t>利用现有的1</w:t>
                  </w:r>
                  <w:r>
                    <w:rPr>
                      <w:rFonts w:hint="default" w:ascii="Times New Roman" w:hAnsi="Times New Roman" w:eastAsia="宋体" w:cs="Times New Roman"/>
                      <w:color w:val="auto"/>
                      <w:kern w:val="2"/>
                      <w:sz w:val="21"/>
                      <w:szCs w:val="21"/>
                    </w:rPr>
                    <w:t>个φ</w:t>
                  </w:r>
                  <w:r>
                    <w:rPr>
                      <w:rFonts w:hint="default" w:ascii="Times New Roman" w:hAnsi="Times New Roman" w:eastAsia="宋体" w:cs="Times New Roman"/>
                      <w:color w:val="auto"/>
                      <w:kern w:val="2"/>
                      <w:sz w:val="21"/>
                      <w:szCs w:val="21"/>
                      <w:lang w:val="en-US" w:eastAsia="zh-CN"/>
                    </w:rPr>
                    <w:t>18</w:t>
                  </w:r>
                  <w:r>
                    <w:rPr>
                      <w:rFonts w:hint="default" w:ascii="Times New Roman" w:hAnsi="Times New Roman" w:eastAsia="宋体" w:cs="Times New Roman"/>
                      <w:color w:val="auto"/>
                      <w:kern w:val="2"/>
                      <w:sz w:val="21"/>
                      <w:szCs w:val="21"/>
                    </w:rPr>
                    <w:t>m矸石</w:t>
                  </w:r>
                  <w:r>
                    <w:rPr>
                      <w:rFonts w:hint="default" w:ascii="Times New Roman" w:hAnsi="Times New Roman" w:eastAsia="宋体" w:cs="Times New Roman"/>
                      <w:color w:val="auto"/>
                      <w:kern w:val="2"/>
                      <w:sz w:val="21"/>
                      <w:szCs w:val="21"/>
                      <w:lang w:val="en-US" w:eastAsia="zh-CN"/>
                    </w:rPr>
                    <w:t>仓</w:t>
                  </w:r>
                  <w:r>
                    <w:rPr>
                      <w:rFonts w:hint="default" w:ascii="Times New Roman" w:hAnsi="Times New Roman" w:eastAsia="宋体" w:cs="Times New Roman"/>
                      <w:color w:val="auto"/>
                      <w:kern w:val="2"/>
                      <w:sz w:val="21"/>
                      <w:szCs w:val="21"/>
                    </w:rPr>
                    <w:t>，</w:t>
                  </w:r>
                  <w:r>
                    <w:rPr>
                      <w:rFonts w:hint="default" w:ascii="Times New Roman" w:hAnsi="Times New Roman" w:eastAsia="宋体" w:cs="Times New Roman"/>
                      <w:color w:val="auto"/>
                      <w:kern w:val="2"/>
                      <w:sz w:val="21"/>
                      <w:szCs w:val="21"/>
                      <w:lang w:val="en-US" w:eastAsia="zh-CN"/>
                    </w:rPr>
                    <w:t>高度30m，</w:t>
                  </w:r>
                  <w:r>
                    <w:rPr>
                      <w:rFonts w:hint="default" w:ascii="Times New Roman" w:hAnsi="Times New Roman" w:eastAsia="宋体" w:cs="Times New Roman"/>
                      <w:color w:val="auto"/>
                      <w:kern w:val="2"/>
                      <w:sz w:val="21"/>
                      <w:szCs w:val="21"/>
                    </w:rPr>
                    <w:t>矸石仓储量约</w:t>
                  </w:r>
                  <w:r>
                    <w:rPr>
                      <w:rFonts w:hint="default" w:ascii="Times New Roman" w:hAnsi="Times New Roman" w:eastAsia="宋体" w:cs="Times New Roman"/>
                      <w:color w:val="auto"/>
                      <w:kern w:val="2"/>
                      <w:sz w:val="21"/>
                      <w:szCs w:val="21"/>
                      <w:lang w:val="en-US" w:eastAsia="zh-CN"/>
                    </w:rPr>
                    <w:t>5000</w:t>
                  </w:r>
                  <w:r>
                    <w:rPr>
                      <w:rFonts w:hint="default" w:ascii="Times New Roman" w:hAnsi="Times New Roman" w:eastAsia="宋体" w:cs="Times New Roman"/>
                      <w:color w:val="auto"/>
                      <w:kern w:val="2"/>
                      <w:sz w:val="21"/>
                      <w:szCs w:val="21"/>
                    </w:rPr>
                    <w:t>t，储存周期2天。</w:t>
                  </w:r>
                </w:p>
              </w:tc>
              <w:tc>
                <w:tcPr>
                  <w:tcW w:w="521" w:type="pct"/>
                  <w:noWrap w:val="0"/>
                  <w:vAlign w:val="center"/>
                </w:tcPr>
                <w:p w14:paraId="5F38C4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依托</w:t>
                  </w:r>
                </w:p>
              </w:tc>
            </w:tr>
            <w:tr w14:paraId="7780E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continue"/>
                  <w:noWrap w:val="0"/>
                  <w:vAlign w:val="center"/>
                </w:tcPr>
                <w:p w14:paraId="1CCF10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19A16E6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转载点</w:t>
                  </w:r>
                </w:p>
              </w:tc>
              <w:tc>
                <w:tcPr>
                  <w:tcW w:w="2832" w:type="pct"/>
                  <w:noWrap w:val="0"/>
                  <w:vAlign w:val="center"/>
                </w:tcPr>
                <w:p w14:paraId="59032324">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lang w:val="en-US" w:eastAsia="zh-CN"/>
                    </w:rPr>
                    <w:t>矸石从矸石仓经带式输送机输送至转载点，转载点高9.2m，占地31m</w:t>
                  </w:r>
                  <w:r>
                    <w:rPr>
                      <w:rFonts w:hint="default" w:ascii="Times New Roman" w:hAnsi="Times New Roman" w:eastAsia="宋体" w:cs="Times New Roman"/>
                      <w:color w:val="auto"/>
                      <w:kern w:val="2"/>
                      <w:sz w:val="21"/>
                      <w:szCs w:val="21"/>
                      <w:vertAlign w:val="superscript"/>
                      <w:lang w:val="en-US" w:eastAsia="zh-CN"/>
                    </w:rPr>
                    <w:t>2</w:t>
                  </w:r>
                  <w:r>
                    <w:rPr>
                      <w:rFonts w:hint="default" w:ascii="Times New Roman" w:hAnsi="Times New Roman" w:eastAsia="宋体" w:cs="Times New Roman"/>
                      <w:color w:val="auto"/>
                      <w:kern w:val="2"/>
                      <w:sz w:val="21"/>
                      <w:szCs w:val="21"/>
                      <w:vertAlign w:val="baseline"/>
                      <w:lang w:val="en-US" w:eastAsia="zh-CN"/>
                    </w:rPr>
                    <w:t>。</w:t>
                  </w:r>
                </w:p>
              </w:tc>
              <w:tc>
                <w:tcPr>
                  <w:tcW w:w="521" w:type="pct"/>
                  <w:noWrap w:val="0"/>
                  <w:vAlign w:val="center"/>
                </w:tcPr>
                <w:p w14:paraId="3F6502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新建</w:t>
                  </w:r>
                </w:p>
              </w:tc>
            </w:tr>
            <w:tr w14:paraId="1B979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continue"/>
                  <w:noWrap w:val="0"/>
                  <w:vAlign w:val="center"/>
                </w:tcPr>
                <w:p w14:paraId="525EB7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6932DE3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带式输送栈桥</w:t>
                  </w:r>
                </w:p>
              </w:tc>
              <w:tc>
                <w:tcPr>
                  <w:tcW w:w="2832" w:type="pct"/>
                  <w:noWrap w:val="0"/>
                  <w:vAlign w:val="center"/>
                </w:tcPr>
                <w:p w14:paraId="70FB4C1B">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矸石仓至转载点皮带输送机栈桥长50m，转载点至破碎站皮带输送机栈桥长5m，破碎站至注浆站皮带输送机栈桥长137m，以上栈桥全部为全封闭结构。</w:t>
                  </w:r>
                </w:p>
              </w:tc>
              <w:tc>
                <w:tcPr>
                  <w:tcW w:w="521" w:type="pct"/>
                  <w:noWrap w:val="0"/>
                  <w:vAlign w:val="center"/>
                </w:tcPr>
                <w:p w14:paraId="30B490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新建</w:t>
                  </w:r>
                </w:p>
              </w:tc>
            </w:tr>
            <w:tr w14:paraId="4EFA8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4212CB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2437D89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缓冲水池</w:t>
                  </w:r>
                </w:p>
              </w:tc>
              <w:tc>
                <w:tcPr>
                  <w:tcW w:w="2832" w:type="pct"/>
                  <w:noWrap w:val="0"/>
                  <w:vAlign w:val="center"/>
                </w:tcPr>
                <w:p w14:paraId="0CFCE408">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在制浆车间附近建设600m</w:t>
                  </w:r>
                  <w:r>
                    <w:rPr>
                      <w:rFonts w:hint="default" w:ascii="Times New Roman" w:hAnsi="Times New Roman" w:eastAsia="宋体" w:cs="Times New Roman"/>
                      <w:color w:val="auto"/>
                      <w:kern w:val="2"/>
                      <w:sz w:val="21"/>
                      <w:szCs w:val="21"/>
                      <w:vertAlign w:val="superscript"/>
                      <w:lang w:val="en-US" w:eastAsia="zh-CN"/>
                    </w:rPr>
                    <w:t>3</w:t>
                  </w:r>
                  <w:r>
                    <w:rPr>
                      <w:rFonts w:hint="default" w:ascii="Times New Roman" w:hAnsi="Times New Roman" w:eastAsia="宋体" w:cs="Times New Roman"/>
                      <w:color w:val="auto"/>
                      <w:kern w:val="2"/>
                      <w:sz w:val="21"/>
                      <w:szCs w:val="21"/>
                      <w:lang w:val="en-US" w:eastAsia="zh-CN"/>
                    </w:rPr>
                    <w:t>的缓冲水池，用来储存生产用水及其他用水。</w:t>
                  </w:r>
                </w:p>
              </w:tc>
              <w:tc>
                <w:tcPr>
                  <w:tcW w:w="521" w:type="pct"/>
                  <w:noWrap w:val="0"/>
                  <w:vAlign w:val="center"/>
                </w:tcPr>
                <w:p w14:paraId="56B4C4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新建</w:t>
                  </w:r>
                </w:p>
              </w:tc>
            </w:tr>
            <w:tr w14:paraId="1F679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continue"/>
                  <w:noWrap w:val="0"/>
                  <w:vAlign w:val="center"/>
                </w:tcPr>
                <w:p w14:paraId="5EDA7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4566128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场内道路</w:t>
                  </w:r>
                </w:p>
              </w:tc>
              <w:tc>
                <w:tcPr>
                  <w:tcW w:w="2832" w:type="pct"/>
                  <w:noWrap w:val="0"/>
                  <w:vAlign w:val="center"/>
                </w:tcPr>
                <w:p w14:paraId="0F120086">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场内道路依托现有工业场地道路，不新建</w:t>
                  </w:r>
                </w:p>
              </w:tc>
              <w:tc>
                <w:tcPr>
                  <w:tcW w:w="521" w:type="pct"/>
                  <w:noWrap w:val="0"/>
                  <w:vAlign w:val="center"/>
                </w:tcPr>
                <w:p w14:paraId="54C3B6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依托</w:t>
                  </w:r>
                </w:p>
              </w:tc>
            </w:tr>
            <w:tr w14:paraId="03992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26" w:type="pct"/>
                  <w:vMerge w:val="restart"/>
                  <w:noWrap w:val="0"/>
                  <w:vAlign w:val="center"/>
                </w:tcPr>
                <w:p w14:paraId="7B53FC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环保工程</w:t>
                  </w:r>
                </w:p>
              </w:tc>
              <w:tc>
                <w:tcPr>
                  <w:tcW w:w="407" w:type="pct"/>
                  <w:vMerge w:val="restart"/>
                  <w:noWrap w:val="0"/>
                  <w:vAlign w:val="center"/>
                </w:tcPr>
                <w:p w14:paraId="34A0ED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Style w:val="29"/>
                      <w:rFonts w:hint="default" w:ascii="Times New Roman" w:hAnsi="Times New Roman" w:eastAsia="宋体" w:cs="Times New Roman"/>
                      <w:color w:val="auto"/>
                      <w:kern w:val="0"/>
                      <w:sz w:val="21"/>
                      <w:szCs w:val="21"/>
                      <w:lang w:val="en-US" w:eastAsia="zh-CN"/>
                    </w:rPr>
                    <w:t>废气处理</w:t>
                  </w:r>
                </w:p>
              </w:tc>
              <w:tc>
                <w:tcPr>
                  <w:tcW w:w="271" w:type="pct"/>
                  <w:vMerge w:val="restart"/>
                  <w:noWrap w:val="0"/>
                  <w:vAlign w:val="center"/>
                </w:tcPr>
                <w:p w14:paraId="4BB6B2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施工期</w:t>
                  </w:r>
                </w:p>
                <w:p w14:paraId="4B548F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641" w:type="pct"/>
                  <w:gridSpan w:val="2"/>
                  <w:noWrap w:val="0"/>
                  <w:vAlign w:val="center"/>
                </w:tcPr>
                <w:p w14:paraId="40A224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燃油废气</w:t>
                  </w:r>
                </w:p>
              </w:tc>
              <w:tc>
                <w:tcPr>
                  <w:tcW w:w="2832" w:type="pct"/>
                  <w:noWrap w:val="0"/>
                  <w:vAlign w:val="center"/>
                </w:tcPr>
                <w:p w14:paraId="4D1270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采用节能环保型柴油动力系列设备、提高燃料质量、</w:t>
                  </w:r>
                </w:p>
                <w:p w14:paraId="0FB163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保证充分燃烧、配置尾气净化装置等措施，能够实现达标排放。</w:t>
                  </w:r>
                </w:p>
              </w:tc>
              <w:tc>
                <w:tcPr>
                  <w:tcW w:w="521" w:type="pct"/>
                  <w:noWrap w:val="0"/>
                  <w:vAlign w:val="center"/>
                </w:tcPr>
                <w:p w14:paraId="3C9C24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新建</w:t>
                  </w:r>
                </w:p>
              </w:tc>
            </w:tr>
            <w:tr w14:paraId="366E5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326" w:type="pct"/>
                  <w:vMerge w:val="continue"/>
                  <w:noWrap w:val="0"/>
                  <w:vAlign w:val="center"/>
                </w:tcPr>
                <w:p w14:paraId="725B63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3B8360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Style w:val="29"/>
                      <w:rFonts w:hint="default" w:ascii="Times New Roman" w:hAnsi="Times New Roman" w:eastAsia="宋体" w:cs="Times New Roman"/>
                      <w:color w:val="auto"/>
                      <w:kern w:val="0"/>
                      <w:sz w:val="21"/>
                      <w:szCs w:val="21"/>
                    </w:rPr>
                  </w:pPr>
                </w:p>
              </w:tc>
              <w:tc>
                <w:tcPr>
                  <w:tcW w:w="271" w:type="pct"/>
                  <w:vMerge w:val="continue"/>
                  <w:noWrap w:val="0"/>
                  <w:vAlign w:val="center"/>
                </w:tcPr>
                <w:p w14:paraId="4563519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641" w:type="pct"/>
                  <w:gridSpan w:val="2"/>
                  <w:noWrap w:val="0"/>
                  <w:vAlign w:val="center"/>
                </w:tcPr>
                <w:p w14:paraId="54FFFA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扬尘</w:t>
                  </w:r>
                </w:p>
              </w:tc>
              <w:tc>
                <w:tcPr>
                  <w:tcW w:w="2832" w:type="pct"/>
                  <w:noWrap w:val="0"/>
                  <w:vAlign w:val="center"/>
                </w:tcPr>
                <w:p w14:paraId="693BAC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通过洒水、设置围栏、工棚、覆盖遮蔽等措施，减小起尘量。</w:t>
                  </w:r>
                </w:p>
              </w:tc>
              <w:tc>
                <w:tcPr>
                  <w:tcW w:w="521" w:type="pct"/>
                  <w:noWrap w:val="0"/>
                  <w:vAlign w:val="center"/>
                </w:tcPr>
                <w:p w14:paraId="46C7DE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新建</w:t>
                  </w:r>
                </w:p>
              </w:tc>
            </w:tr>
            <w:tr w14:paraId="601BD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trPr>
              <w:tc>
                <w:tcPr>
                  <w:tcW w:w="326" w:type="pct"/>
                  <w:vMerge w:val="continue"/>
                  <w:noWrap w:val="0"/>
                  <w:vAlign w:val="center"/>
                </w:tcPr>
                <w:p w14:paraId="54D779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164EE1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271" w:type="pct"/>
                  <w:vMerge w:val="restart"/>
                  <w:noWrap w:val="0"/>
                  <w:vAlign w:val="center"/>
                </w:tcPr>
                <w:p w14:paraId="5B9A44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运营期</w:t>
                  </w:r>
                </w:p>
              </w:tc>
              <w:tc>
                <w:tcPr>
                  <w:tcW w:w="641" w:type="pct"/>
                  <w:gridSpan w:val="2"/>
                  <w:shd w:val="clear" w:color="auto" w:fill="auto"/>
                  <w:noWrap w:val="0"/>
                  <w:vAlign w:val="center"/>
                </w:tcPr>
                <w:p w14:paraId="24A39F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一级破碎</w:t>
                  </w:r>
                </w:p>
              </w:tc>
              <w:tc>
                <w:tcPr>
                  <w:tcW w:w="2832" w:type="pct"/>
                  <w:noWrap w:val="0"/>
                  <w:vAlign w:val="center"/>
                </w:tcPr>
                <w:p w14:paraId="636576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一级破碎粉尘采用湿式除尘洗气机（1#）除尘后经20m排气筒排放（P1）</w:t>
                  </w:r>
                </w:p>
              </w:tc>
              <w:tc>
                <w:tcPr>
                  <w:tcW w:w="521" w:type="pct"/>
                  <w:vMerge w:val="restart"/>
                  <w:noWrap w:val="0"/>
                  <w:vAlign w:val="center"/>
                </w:tcPr>
                <w:p w14:paraId="109937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新建</w:t>
                  </w:r>
                </w:p>
              </w:tc>
            </w:tr>
            <w:tr w14:paraId="0C73F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26" w:type="pct"/>
                  <w:vMerge w:val="continue"/>
                  <w:noWrap w:val="0"/>
                  <w:vAlign w:val="center"/>
                </w:tcPr>
                <w:p w14:paraId="4C7984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rPr>
                  </w:pPr>
                </w:p>
              </w:tc>
              <w:tc>
                <w:tcPr>
                  <w:tcW w:w="407" w:type="pct"/>
                  <w:vMerge w:val="continue"/>
                  <w:noWrap w:val="0"/>
                  <w:vAlign w:val="center"/>
                </w:tcPr>
                <w:p w14:paraId="190E47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rPr>
                  </w:pPr>
                </w:p>
              </w:tc>
              <w:tc>
                <w:tcPr>
                  <w:tcW w:w="271" w:type="pct"/>
                  <w:vMerge w:val="continue"/>
                  <w:noWrap w:val="0"/>
                  <w:vAlign w:val="center"/>
                </w:tcPr>
                <w:p w14:paraId="7CF4FC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4"/>
                    </w:rPr>
                  </w:pPr>
                </w:p>
              </w:tc>
              <w:tc>
                <w:tcPr>
                  <w:tcW w:w="641" w:type="pct"/>
                  <w:gridSpan w:val="2"/>
                  <w:noWrap w:val="0"/>
                  <w:vAlign w:val="center"/>
                </w:tcPr>
                <w:p w14:paraId="570CB2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二级破碎</w:t>
                  </w:r>
                </w:p>
              </w:tc>
              <w:tc>
                <w:tcPr>
                  <w:tcW w:w="2832" w:type="pct"/>
                  <w:noWrap w:val="0"/>
                  <w:vAlign w:val="center"/>
                </w:tcPr>
                <w:p w14:paraId="254947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二级破碎粉尘采用湿式除尘洗气机（2#）除尘后经20m排气筒排放（P2）</w:t>
                  </w:r>
                </w:p>
              </w:tc>
              <w:tc>
                <w:tcPr>
                  <w:tcW w:w="521" w:type="pct"/>
                  <w:vMerge w:val="continue"/>
                  <w:noWrap w:val="0"/>
                  <w:vAlign w:val="center"/>
                </w:tcPr>
                <w:p w14:paraId="47C3B6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p>
              </w:tc>
            </w:tr>
            <w:tr w14:paraId="146CE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326" w:type="pct"/>
                  <w:vMerge w:val="continue"/>
                  <w:noWrap w:val="0"/>
                  <w:vAlign w:val="center"/>
                </w:tcPr>
                <w:p w14:paraId="2FFA71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0E85DB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271" w:type="pct"/>
                  <w:vMerge w:val="continue"/>
                  <w:noWrap w:val="0"/>
                  <w:vAlign w:val="center"/>
                </w:tcPr>
                <w:p w14:paraId="403F87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641" w:type="pct"/>
                  <w:gridSpan w:val="2"/>
                  <w:noWrap w:val="0"/>
                  <w:vAlign w:val="center"/>
                </w:tcPr>
                <w:p w14:paraId="00ACDA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注浆站配料</w:t>
                  </w:r>
                </w:p>
              </w:tc>
              <w:tc>
                <w:tcPr>
                  <w:tcW w:w="2832" w:type="pct"/>
                  <w:noWrap w:val="0"/>
                  <w:vAlign w:val="center"/>
                </w:tcPr>
                <w:p w14:paraId="3A4576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一级注浆站配料皮带采用湿式除尘洗气机（3#）除尘后经20m排气筒排放（P3）</w:t>
                  </w:r>
                </w:p>
              </w:tc>
              <w:tc>
                <w:tcPr>
                  <w:tcW w:w="521" w:type="pct"/>
                  <w:vMerge w:val="continue"/>
                  <w:noWrap w:val="0"/>
                  <w:vAlign w:val="center"/>
                </w:tcPr>
                <w:p w14:paraId="0AD791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p>
              </w:tc>
            </w:tr>
            <w:tr w14:paraId="41D3E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326" w:type="pct"/>
                  <w:vMerge w:val="continue"/>
                  <w:noWrap w:val="0"/>
                  <w:vAlign w:val="center"/>
                </w:tcPr>
                <w:p w14:paraId="6163A0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094767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Style w:val="29"/>
                      <w:rFonts w:hint="default" w:ascii="Times New Roman" w:hAnsi="Times New Roman" w:eastAsia="宋体" w:cs="Times New Roman"/>
                      <w:color w:val="auto"/>
                      <w:kern w:val="0"/>
                      <w:sz w:val="21"/>
                      <w:szCs w:val="21"/>
                    </w:rPr>
                  </w:pPr>
                </w:p>
              </w:tc>
              <w:tc>
                <w:tcPr>
                  <w:tcW w:w="271" w:type="pct"/>
                  <w:vMerge w:val="continue"/>
                  <w:noWrap w:val="0"/>
                  <w:vAlign w:val="center"/>
                </w:tcPr>
                <w:p w14:paraId="74032F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641" w:type="pct"/>
                  <w:gridSpan w:val="2"/>
                  <w:shd w:val="clear" w:color="auto" w:fill="auto"/>
                  <w:noWrap w:val="0"/>
                  <w:vAlign w:val="center"/>
                </w:tcPr>
                <w:p w14:paraId="2A0F83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皮带运输粉尘</w:t>
                  </w:r>
                </w:p>
              </w:tc>
              <w:tc>
                <w:tcPr>
                  <w:tcW w:w="2832" w:type="pct"/>
                  <w:noWrap w:val="0"/>
                  <w:vAlign w:val="center"/>
                </w:tcPr>
                <w:p w14:paraId="0CA182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矸石输送采用全封闭式带式输送机并喷雾洒水抑尘。</w:t>
                  </w:r>
                </w:p>
              </w:tc>
              <w:tc>
                <w:tcPr>
                  <w:tcW w:w="521" w:type="pct"/>
                  <w:vMerge w:val="restart"/>
                  <w:noWrap w:val="0"/>
                  <w:vAlign w:val="center"/>
                </w:tcPr>
                <w:p w14:paraId="497C30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新建</w:t>
                  </w:r>
                </w:p>
              </w:tc>
            </w:tr>
            <w:tr w14:paraId="4D5D2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326" w:type="pct"/>
                  <w:vMerge w:val="continue"/>
                  <w:noWrap w:val="0"/>
                  <w:vAlign w:val="center"/>
                </w:tcPr>
                <w:p w14:paraId="280E5326">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4"/>
                    </w:rPr>
                  </w:pPr>
                </w:p>
              </w:tc>
              <w:tc>
                <w:tcPr>
                  <w:tcW w:w="407" w:type="pct"/>
                  <w:vMerge w:val="continue"/>
                  <w:noWrap w:val="0"/>
                  <w:vAlign w:val="center"/>
                </w:tcPr>
                <w:p w14:paraId="630FAE24">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4"/>
                    </w:rPr>
                  </w:pPr>
                </w:p>
              </w:tc>
              <w:tc>
                <w:tcPr>
                  <w:tcW w:w="271" w:type="pct"/>
                  <w:vMerge w:val="continue"/>
                  <w:noWrap w:val="0"/>
                  <w:vAlign w:val="center"/>
                </w:tcPr>
                <w:p w14:paraId="0E63EB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641" w:type="pct"/>
                  <w:gridSpan w:val="2"/>
                  <w:noWrap w:val="0"/>
                  <w:vAlign w:val="center"/>
                </w:tcPr>
                <w:p w14:paraId="1D87C9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破碎车间未收集粉尘</w:t>
                  </w:r>
                </w:p>
              </w:tc>
              <w:tc>
                <w:tcPr>
                  <w:tcW w:w="2832" w:type="pct"/>
                  <w:noWrap w:val="0"/>
                  <w:vAlign w:val="center"/>
                </w:tcPr>
                <w:p w14:paraId="79D469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破碎车间全封闭并喷雾洒水抑尘。</w:t>
                  </w:r>
                </w:p>
              </w:tc>
              <w:tc>
                <w:tcPr>
                  <w:tcW w:w="521" w:type="pct"/>
                  <w:vMerge w:val="continue"/>
                  <w:noWrap w:val="0"/>
                  <w:vAlign w:val="center"/>
                </w:tcPr>
                <w:p w14:paraId="6CE38CD8">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4"/>
                    </w:rPr>
                  </w:pPr>
                </w:p>
              </w:tc>
            </w:tr>
            <w:tr w14:paraId="1812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26" w:type="pct"/>
                  <w:vMerge w:val="continue"/>
                  <w:noWrap w:val="0"/>
                  <w:vAlign w:val="center"/>
                </w:tcPr>
                <w:p w14:paraId="08B6ED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restart"/>
                  <w:noWrap w:val="0"/>
                  <w:vAlign w:val="center"/>
                </w:tcPr>
                <w:p w14:paraId="60D53B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废水处理</w:t>
                  </w:r>
                </w:p>
              </w:tc>
              <w:tc>
                <w:tcPr>
                  <w:tcW w:w="271" w:type="pct"/>
                  <w:vMerge w:val="restart"/>
                  <w:noWrap w:val="0"/>
                  <w:vAlign w:val="center"/>
                </w:tcPr>
                <w:p w14:paraId="45BA61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施工期</w:t>
                  </w:r>
                </w:p>
              </w:tc>
              <w:tc>
                <w:tcPr>
                  <w:tcW w:w="641" w:type="pct"/>
                  <w:gridSpan w:val="2"/>
                  <w:noWrap w:val="0"/>
                  <w:vAlign w:val="center"/>
                </w:tcPr>
                <w:p w14:paraId="690725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生活污水</w:t>
                  </w:r>
                </w:p>
              </w:tc>
              <w:tc>
                <w:tcPr>
                  <w:tcW w:w="2832" w:type="pct"/>
                  <w:noWrap w:val="0"/>
                  <w:vAlign w:val="center"/>
                </w:tcPr>
                <w:p w14:paraId="3B8DD1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生活污水</w:t>
                  </w:r>
                  <w:r>
                    <w:rPr>
                      <w:rFonts w:hint="default" w:ascii="Times New Roman" w:hAnsi="Times New Roman" w:eastAsia="宋体" w:cs="Times New Roman"/>
                      <w:color w:val="auto"/>
                      <w:kern w:val="2"/>
                      <w:sz w:val="21"/>
                      <w:szCs w:val="21"/>
                      <w:lang w:val="en-US" w:eastAsia="zh-CN"/>
                    </w:rPr>
                    <w:t>依托煤矿生活污水处理设施处理</w:t>
                  </w:r>
                </w:p>
              </w:tc>
              <w:tc>
                <w:tcPr>
                  <w:tcW w:w="521" w:type="pct"/>
                  <w:noWrap w:val="0"/>
                  <w:vAlign w:val="center"/>
                </w:tcPr>
                <w:p w14:paraId="7FB2E6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r w14:paraId="3C597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1171F0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0A64E2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p>
              </w:tc>
              <w:tc>
                <w:tcPr>
                  <w:tcW w:w="271" w:type="pct"/>
                  <w:vMerge w:val="continue"/>
                  <w:noWrap w:val="0"/>
                  <w:vAlign w:val="center"/>
                </w:tcPr>
                <w:p w14:paraId="574BDA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641" w:type="pct"/>
                  <w:gridSpan w:val="2"/>
                  <w:noWrap w:val="0"/>
                  <w:vAlign w:val="center"/>
                </w:tcPr>
                <w:p w14:paraId="1A1399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钻井泥浆</w:t>
                  </w:r>
                </w:p>
              </w:tc>
              <w:tc>
                <w:tcPr>
                  <w:tcW w:w="2832" w:type="pct"/>
                  <w:noWrap w:val="0"/>
                  <w:vAlign w:val="center"/>
                </w:tcPr>
                <w:p w14:paraId="2A8B5D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钻井泥浆</w:t>
                  </w:r>
                  <w:r>
                    <w:rPr>
                      <w:rFonts w:hint="default" w:ascii="Times New Roman" w:hAnsi="Times New Roman" w:eastAsia="宋体" w:cs="Times New Roman"/>
                      <w:color w:val="auto"/>
                      <w:kern w:val="2"/>
                      <w:sz w:val="21"/>
                      <w:szCs w:val="21"/>
                    </w:rPr>
                    <w:t>主要污染物为悬浮物等，钻井</w:t>
                  </w:r>
                  <w:r>
                    <w:rPr>
                      <w:rFonts w:hint="default" w:ascii="Times New Roman" w:hAnsi="Times New Roman" w:eastAsia="宋体" w:cs="Times New Roman"/>
                      <w:color w:val="auto"/>
                      <w:kern w:val="2"/>
                      <w:sz w:val="21"/>
                      <w:szCs w:val="21"/>
                      <w:lang w:val="en-US" w:eastAsia="zh-CN"/>
                    </w:rPr>
                    <w:t>泥浆</w:t>
                  </w:r>
                  <w:r>
                    <w:rPr>
                      <w:rFonts w:hint="default" w:ascii="Times New Roman" w:hAnsi="Times New Roman" w:eastAsia="宋体" w:cs="Times New Roman"/>
                      <w:color w:val="auto"/>
                      <w:kern w:val="2"/>
                      <w:sz w:val="21"/>
                      <w:szCs w:val="24"/>
                      <w:highlight w:val="none"/>
                      <w:lang w:val="en-US" w:eastAsia="zh-CN" w:bidi="ar"/>
                    </w:rPr>
                    <w:t>收集后委托有资质单位进行处置，不外排。</w:t>
                  </w:r>
                </w:p>
              </w:tc>
              <w:tc>
                <w:tcPr>
                  <w:tcW w:w="521" w:type="pct"/>
                  <w:noWrap w:val="0"/>
                  <w:vAlign w:val="center"/>
                </w:tcPr>
                <w:p w14:paraId="206B9B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r w14:paraId="53092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trPr>
              <w:tc>
                <w:tcPr>
                  <w:tcW w:w="326" w:type="pct"/>
                  <w:vMerge w:val="continue"/>
                  <w:noWrap w:val="0"/>
                  <w:vAlign w:val="center"/>
                </w:tcPr>
                <w:p w14:paraId="24FE2B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70AE2F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p>
              </w:tc>
              <w:tc>
                <w:tcPr>
                  <w:tcW w:w="271" w:type="pct"/>
                  <w:vMerge w:val="continue"/>
                  <w:noWrap w:val="0"/>
                  <w:vAlign w:val="center"/>
                </w:tcPr>
                <w:p w14:paraId="26709D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641" w:type="pct"/>
                  <w:gridSpan w:val="2"/>
                  <w:noWrap w:val="0"/>
                  <w:vAlign w:val="center"/>
                </w:tcPr>
                <w:p w14:paraId="0E9F8F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管道试验废水</w:t>
                  </w:r>
                </w:p>
              </w:tc>
              <w:tc>
                <w:tcPr>
                  <w:tcW w:w="2832" w:type="pct"/>
                  <w:noWrap w:val="0"/>
                  <w:vAlign w:val="center"/>
                </w:tcPr>
                <w:p w14:paraId="72A408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管道铺设完毕后，进行清管、试压作业，管道</w:t>
                  </w:r>
                  <w:r>
                    <w:rPr>
                      <w:rFonts w:hint="eastAsia" w:cs="Times New Roman"/>
                      <w:color w:val="auto"/>
                      <w:kern w:val="2"/>
                      <w:sz w:val="21"/>
                      <w:szCs w:val="21"/>
                      <w:lang w:eastAsia="zh-CN"/>
                    </w:rPr>
                    <w:t>试压</w:t>
                  </w:r>
                  <w:r>
                    <w:rPr>
                      <w:rFonts w:hint="default" w:ascii="Times New Roman" w:hAnsi="Times New Roman" w:eastAsia="宋体" w:cs="Times New Roman"/>
                      <w:color w:val="auto"/>
                      <w:kern w:val="2"/>
                      <w:sz w:val="21"/>
                      <w:szCs w:val="21"/>
                    </w:rPr>
                    <w:t>介质为洁净水，试压废水内主要污染物仅为少量悬浮物，收集沉淀后回用于煤矿选煤厂综合利用。</w:t>
                  </w:r>
                </w:p>
              </w:tc>
              <w:tc>
                <w:tcPr>
                  <w:tcW w:w="521" w:type="pct"/>
                  <w:noWrap w:val="0"/>
                  <w:vAlign w:val="center"/>
                </w:tcPr>
                <w:p w14:paraId="6CD0F6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新建</w:t>
                  </w:r>
                </w:p>
              </w:tc>
            </w:tr>
            <w:tr w14:paraId="643A4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26" w:type="pct"/>
                  <w:vMerge w:val="continue"/>
                  <w:noWrap w:val="0"/>
                  <w:vAlign w:val="center"/>
                </w:tcPr>
                <w:p w14:paraId="5BAA19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6F2048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271" w:type="pct"/>
                  <w:vMerge w:val="restart"/>
                  <w:noWrap w:val="0"/>
                  <w:vAlign w:val="center"/>
                </w:tcPr>
                <w:p w14:paraId="58E7B9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运营期</w:t>
                  </w:r>
                </w:p>
              </w:tc>
              <w:tc>
                <w:tcPr>
                  <w:tcW w:w="641" w:type="pct"/>
                  <w:gridSpan w:val="2"/>
                  <w:noWrap w:val="0"/>
                  <w:vAlign w:val="center"/>
                </w:tcPr>
                <w:p w14:paraId="7F83A8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4"/>
                      <w:lang w:bidi="ar"/>
                    </w:rPr>
                    <w:t>生活污水</w:t>
                  </w:r>
                </w:p>
              </w:tc>
              <w:tc>
                <w:tcPr>
                  <w:tcW w:w="2832" w:type="pct"/>
                  <w:noWrap w:val="0"/>
                  <w:vAlign w:val="center"/>
                </w:tcPr>
                <w:p w14:paraId="422419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依托现有</w:t>
                  </w:r>
                  <w:r>
                    <w:rPr>
                      <w:rFonts w:hint="default" w:ascii="Times New Roman" w:hAnsi="Times New Roman" w:eastAsia="宋体" w:cs="Times New Roman"/>
                      <w:color w:val="auto"/>
                      <w:kern w:val="2"/>
                      <w:sz w:val="21"/>
                      <w:szCs w:val="21"/>
                      <w:lang w:val="en-US" w:eastAsia="zh-CN" w:bidi="ar"/>
                    </w:rPr>
                    <w:t>生活污水</w:t>
                  </w:r>
                  <w:r>
                    <w:rPr>
                      <w:rFonts w:hint="default" w:ascii="Times New Roman" w:hAnsi="Times New Roman" w:eastAsia="宋体" w:cs="Times New Roman"/>
                      <w:color w:val="auto"/>
                      <w:kern w:val="2"/>
                      <w:sz w:val="21"/>
                      <w:szCs w:val="21"/>
                      <w:lang w:bidi="ar"/>
                    </w:rPr>
                    <w:t>处理</w:t>
                  </w:r>
                  <w:r>
                    <w:rPr>
                      <w:rFonts w:hint="default" w:ascii="Times New Roman" w:hAnsi="Times New Roman" w:eastAsia="宋体" w:cs="Times New Roman"/>
                      <w:color w:val="auto"/>
                      <w:kern w:val="2"/>
                      <w:sz w:val="21"/>
                      <w:szCs w:val="21"/>
                      <w:lang w:val="en-US" w:eastAsia="zh-CN" w:bidi="ar"/>
                    </w:rPr>
                    <w:t>站</w:t>
                  </w:r>
                  <w:r>
                    <w:rPr>
                      <w:rFonts w:hint="default" w:ascii="Times New Roman" w:hAnsi="Times New Roman" w:eastAsia="宋体" w:cs="Times New Roman"/>
                      <w:color w:val="auto"/>
                      <w:kern w:val="2"/>
                      <w:sz w:val="21"/>
                      <w:szCs w:val="21"/>
                      <w:lang w:bidi="ar"/>
                    </w:rPr>
                    <w:t>处理达标后用于绿化和降尘洒水等</w:t>
                  </w:r>
                </w:p>
              </w:tc>
              <w:tc>
                <w:tcPr>
                  <w:tcW w:w="521" w:type="pct"/>
                  <w:noWrap w:val="0"/>
                  <w:vAlign w:val="center"/>
                </w:tcPr>
                <w:p w14:paraId="0C6559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r w14:paraId="7B69F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26" w:type="pct"/>
                  <w:vMerge w:val="continue"/>
                  <w:noWrap w:val="0"/>
                  <w:vAlign w:val="center"/>
                </w:tcPr>
                <w:p w14:paraId="680579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73D64D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271" w:type="pct"/>
                  <w:vMerge w:val="continue"/>
                  <w:noWrap w:val="0"/>
                  <w:vAlign w:val="center"/>
                </w:tcPr>
                <w:p w14:paraId="260056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641" w:type="pct"/>
                  <w:gridSpan w:val="2"/>
                  <w:noWrap w:val="0"/>
                  <w:vAlign w:val="center"/>
                </w:tcPr>
                <w:p w14:paraId="00EFD5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注浆管道冲洗</w:t>
                  </w:r>
                </w:p>
              </w:tc>
              <w:tc>
                <w:tcPr>
                  <w:tcW w:w="2832" w:type="pct"/>
                  <w:noWrap w:val="0"/>
                  <w:vAlign w:val="center"/>
                </w:tcPr>
                <w:p w14:paraId="56809F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进入注浆管道随矸石浆液充填井下</w:t>
                  </w:r>
                  <w:r>
                    <w:rPr>
                      <w:rFonts w:hint="default" w:ascii="Times New Roman" w:hAnsi="Times New Roman" w:eastAsia="宋体" w:cs="Times New Roman"/>
                      <w:color w:val="auto"/>
                      <w:kern w:val="2"/>
                      <w:sz w:val="21"/>
                      <w:szCs w:val="21"/>
                      <w:lang w:eastAsia="zh-CN"/>
                    </w:rPr>
                    <w:t>。</w:t>
                  </w:r>
                </w:p>
              </w:tc>
              <w:tc>
                <w:tcPr>
                  <w:tcW w:w="521" w:type="pct"/>
                  <w:noWrap w:val="0"/>
                  <w:vAlign w:val="center"/>
                </w:tcPr>
                <w:p w14:paraId="5D411E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新建</w:t>
                  </w:r>
                </w:p>
              </w:tc>
            </w:tr>
            <w:tr w14:paraId="6844F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26" w:type="pct"/>
                  <w:vMerge w:val="continue"/>
                  <w:noWrap w:val="0"/>
                  <w:vAlign w:val="center"/>
                </w:tcPr>
                <w:p w14:paraId="512A30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282671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271" w:type="pct"/>
                  <w:vMerge w:val="continue"/>
                  <w:noWrap w:val="0"/>
                  <w:vAlign w:val="center"/>
                </w:tcPr>
                <w:p w14:paraId="4364B6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641" w:type="pct"/>
                  <w:gridSpan w:val="2"/>
                  <w:noWrap w:val="0"/>
                  <w:vAlign w:val="center"/>
                </w:tcPr>
                <w:p w14:paraId="75B06B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地面</w:t>
                  </w:r>
                  <w:r>
                    <w:rPr>
                      <w:rFonts w:hint="default" w:ascii="Times New Roman" w:hAnsi="Times New Roman" w:eastAsia="宋体" w:cs="Times New Roman"/>
                      <w:color w:val="auto"/>
                      <w:kern w:val="2"/>
                      <w:sz w:val="21"/>
                      <w:szCs w:val="21"/>
                    </w:rPr>
                    <w:t>冲</w:t>
                  </w:r>
                  <w:r>
                    <w:rPr>
                      <w:rFonts w:hint="default" w:ascii="Times New Roman" w:hAnsi="Times New Roman" w:eastAsia="宋体" w:cs="Times New Roman"/>
                      <w:color w:val="auto"/>
                      <w:kern w:val="2"/>
                      <w:sz w:val="21"/>
                      <w:szCs w:val="21"/>
                    </w:rPr>
                    <w:cr/>
                  </w:r>
                  <w:r>
                    <w:rPr>
                      <w:rFonts w:hint="default" w:ascii="Times New Roman" w:hAnsi="Times New Roman" w:eastAsia="宋体" w:cs="Times New Roman"/>
                      <w:color w:val="auto"/>
                      <w:kern w:val="2"/>
                      <w:sz w:val="21"/>
                      <w:szCs w:val="21"/>
                    </w:rPr>
                    <w:t>废水</w:t>
                  </w:r>
                </w:p>
              </w:tc>
              <w:tc>
                <w:tcPr>
                  <w:tcW w:w="2832" w:type="pct"/>
                  <w:noWrap w:val="0"/>
                  <w:vAlign w:val="center"/>
                </w:tcPr>
                <w:p w14:paraId="76A145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地面冲洗废水经收集池收集后回用于球磨工序，不外排。</w:t>
                  </w:r>
                </w:p>
              </w:tc>
              <w:tc>
                <w:tcPr>
                  <w:tcW w:w="521" w:type="pct"/>
                  <w:noWrap w:val="0"/>
                  <w:vAlign w:val="center"/>
                </w:tcPr>
                <w:p w14:paraId="78CA785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新建</w:t>
                  </w:r>
                </w:p>
              </w:tc>
            </w:tr>
            <w:tr w14:paraId="1E926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26" w:type="pct"/>
                  <w:vMerge w:val="continue"/>
                  <w:noWrap w:val="0"/>
                  <w:vAlign w:val="center"/>
                </w:tcPr>
                <w:p w14:paraId="14AF57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noWrap w:val="0"/>
                  <w:vAlign w:val="center"/>
                </w:tcPr>
                <w:p w14:paraId="7C4E52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噪声</w:t>
                  </w:r>
                </w:p>
              </w:tc>
              <w:tc>
                <w:tcPr>
                  <w:tcW w:w="3745" w:type="pct"/>
                  <w:gridSpan w:val="4"/>
                  <w:noWrap w:val="0"/>
                  <w:vAlign w:val="center"/>
                </w:tcPr>
                <w:p w14:paraId="2508AA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施工期噪声主要为施工机械噪声、施工作业噪声及车辆运输噪声，运营期主要噪声源包括上料、注浆、制浆设备噪声，其噪声强度一般在 75～110dB(A)左右，选用低噪设备，对设备采用设置密闭罩、吸声体及基座减振措施，进出口采用柔性连接。</w:t>
                  </w:r>
                </w:p>
              </w:tc>
              <w:tc>
                <w:tcPr>
                  <w:tcW w:w="521" w:type="pct"/>
                  <w:noWrap w:val="0"/>
                  <w:vAlign w:val="center"/>
                </w:tcPr>
                <w:p w14:paraId="6CD4C8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新建</w:t>
                  </w:r>
                </w:p>
              </w:tc>
            </w:tr>
            <w:tr w14:paraId="5BB66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729DED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restart"/>
                  <w:noWrap w:val="0"/>
                  <w:vAlign w:val="center"/>
                </w:tcPr>
                <w:p w14:paraId="268663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eastAsia="zh-CN"/>
                    </w:rPr>
                    <w:t>固体废物</w:t>
                  </w:r>
                </w:p>
              </w:tc>
              <w:tc>
                <w:tcPr>
                  <w:tcW w:w="323" w:type="pct"/>
                  <w:gridSpan w:val="2"/>
                  <w:vMerge w:val="restart"/>
                  <w:noWrap w:val="0"/>
                  <w:vAlign w:val="center"/>
                </w:tcPr>
                <w:p w14:paraId="7A80CF5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施工期</w:t>
                  </w:r>
                </w:p>
              </w:tc>
              <w:tc>
                <w:tcPr>
                  <w:tcW w:w="589" w:type="pct"/>
                  <w:noWrap w:val="0"/>
                  <w:vAlign w:val="center"/>
                </w:tcPr>
                <w:p w14:paraId="287B782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
                    </w:rPr>
                  </w:pPr>
                  <w:r>
                    <w:rPr>
                      <w:rFonts w:hint="eastAsia" w:cs="Times New Roman"/>
                      <w:color w:val="auto"/>
                      <w:kern w:val="2"/>
                      <w:sz w:val="21"/>
                      <w:szCs w:val="24"/>
                      <w:highlight w:val="none"/>
                      <w:lang w:val="en-US" w:eastAsia="zh-CN" w:bidi="ar"/>
                    </w:rPr>
                    <w:t>建筑垃圾</w:t>
                  </w:r>
                </w:p>
              </w:tc>
              <w:tc>
                <w:tcPr>
                  <w:tcW w:w="2832" w:type="pct"/>
                  <w:noWrap w:val="0"/>
                  <w:vAlign w:val="center"/>
                </w:tcPr>
                <w:p w14:paraId="6455093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
                    </w:rPr>
                  </w:pPr>
                  <w:r>
                    <w:rPr>
                      <w:rFonts w:hint="default" w:ascii="Times New Roman" w:hAnsi="Times New Roman" w:eastAsia="宋体" w:cs="Times New Roman"/>
                      <w:color w:val="auto"/>
                      <w:kern w:val="2"/>
                      <w:sz w:val="21"/>
                      <w:szCs w:val="21"/>
                      <w:lang w:bidi="ar"/>
                    </w:rPr>
                    <w:t>建设期产生的建筑垃圾送市政部门指定地点集中处理</w:t>
                  </w:r>
                </w:p>
              </w:tc>
              <w:tc>
                <w:tcPr>
                  <w:tcW w:w="521" w:type="pct"/>
                  <w:noWrap w:val="0"/>
                  <w:vAlign w:val="center"/>
                </w:tcPr>
                <w:p w14:paraId="7E022C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新建</w:t>
                  </w:r>
                </w:p>
              </w:tc>
            </w:tr>
            <w:tr w14:paraId="58A44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32C1CE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6B00B0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p>
              </w:tc>
              <w:tc>
                <w:tcPr>
                  <w:tcW w:w="323" w:type="pct"/>
                  <w:gridSpan w:val="2"/>
                  <w:vMerge w:val="continue"/>
                  <w:noWrap w:val="0"/>
                  <w:vAlign w:val="center"/>
                </w:tcPr>
                <w:p w14:paraId="5759FE9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89" w:type="pct"/>
                  <w:noWrap w:val="0"/>
                  <w:vAlign w:val="center"/>
                </w:tcPr>
                <w:p w14:paraId="52AE1C8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
                    </w:rPr>
                  </w:pPr>
                  <w:r>
                    <w:rPr>
                      <w:rFonts w:hint="default" w:ascii="Times New Roman" w:hAnsi="Times New Roman" w:eastAsia="宋体" w:cs="Times New Roman"/>
                      <w:color w:val="auto"/>
                      <w:kern w:val="2"/>
                      <w:sz w:val="21"/>
                      <w:szCs w:val="24"/>
                      <w:highlight w:val="none"/>
                      <w:lang w:val="en-US" w:eastAsia="zh-CN" w:bidi="ar"/>
                    </w:rPr>
                    <w:t>钻孔土岩、岩屑</w:t>
                  </w:r>
                </w:p>
              </w:tc>
              <w:tc>
                <w:tcPr>
                  <w:tcW w:w="2832" w:type="pct"/>
                  <w:noWrap w:val="0"/>
                  <w:vAlign w:val="center"/>
                </w:tcPr>
                <w:p w14:paraId="6F230EFB">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
                    </w:rPr>
                  </w:pPr>
                  <w:r>
                    <w:rPr>
                      <w:rFonts w:hint="default" w:ascii="Times New Roman" w:hAnsi="Times New Roman" w:eastAsia="宋体" w:cs="Times New Roman"/>
                      <w:color w:val="auto"/>
                      <w:kern w:val="2"/>
                      <w:sz w:val="21"/>
                      <w:szCs w:val="24"/>
                      <w:highlight w:val="none"/>
                      <w:lang w:val="en-US" w:eastAsia="zh-CN" w:bidi="ar"/>
                    </w:rPr>
                    <w:t>钻井岩屑是钻井过程中钻头切屑地层岩石而产生的碎屑和土层，钻孔施工结束后，钻孔岩屑收集后委托有资质单位进行处置，不外排。</w:t>
                  </w:r>
                </w:p>
              </w:tc>
              <w:tc>
                <w:tcPr>
                  <w:tcW w:w="521" w:type="pct"/>
                  <w:noWrap w:val="0"/>
                  <w:vAlign w:val="center"/>
                </w:tcPr>
                <w:p w14:paraId="12A29E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rPr>
                    <w:t>新建</w:t>
                  </w:r>
                </w:p>
              </w:tc>
            </w:tr>
            <w:tr w14:paraId="28E05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72371F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04BC4E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323" w:type="pct"/>
                  <w:gridSpan w:val="2"/>
                  <w:vMerge w:val="continue"/>
                  <w:noWrap w:val="0"/>
                  <w:vAlign w:val="center"/>
                </w:tcPr>
                <w:p w14:paraId="45FA18B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89" w:type="pct"/>
                  <w:noWrap w:val="0"/>
                  <w:vAlign w:val="center"/>
                </w:tcPr>
                <w:p w14:paraId="5C99168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
                    </w:rPr>
                  </w:pPr>
                  <w:r>
                    <w:rPr>
                      <w:rFonts w:hint="default" w:ascii="Times New Roman" w:hAnsi="Times New Roman" w:eastAsia="宋体" w:cs="Times New Roman"/>
                      <w:color w:val="auto"/>
                      <w:kern w:val="2"/>
                      <w:sz w:val="21"/>
                      <w:szCs w:val="24"/>
                      <w:highlight w:val="none"/>
                      <w:lang w:val="en-US" w:eastAsia="zh-CN" w:bidi="ar"/>
                    </w:rPr>
                    <w:t>生活垃圾</w:t>
                  </w:r>
                </w:p>
              </w:tc>
              <w:tc>
                <w:tcPr>
                  <w:tcW w:w="2832" w:type="pct"/>
                  <w:noWrap w:val="0"/>
                  <w:vAlign w:val="center"/>
                </w:tcPr>
                <w:p w14:paraId="18DF52FC">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bidi="ar"/>
                    </w:rPr>
                    <w:t>集中收集后</w:t>
                  </w:r>
                  <w:r>
                    <w:rPr>
                      <w:rFonts w:hint="default" w:ascii="Times New Roman" w:hAnsi="Times New Roman" w:eastAsia="宋体" w:cs="Times New Roman"/>
                      <w:color w:val="auto"/>
                      <w:kern w:val="2"/>
                      <w:sz w:val="21"/>
                      <w:szCs w:val="21"/>
                      <w:highlight w:val="none"/>
                      <w:lang w:val="en-US" w:eastAsia="zh-CN" w:bidi="ar"/>
                    </w:rPr>
                    <w:t>按环卫部门要求统一处理</w:t>
                  </w:r>
                </w:p>
              </w:tc>
              <w:tc>
                <w:tcPr>
                  <w:tcW w:w="521" w:type="pct"/>
                  <w:noWrap w:val="0"/>
                  <w:vAlign w:val="center"/>
                </w:tcPr>
                <w:p w14:paraId="441B5E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w:t>
                  </w:r>
                </w:p>
              </w:tc>
            </w:tr>
            <w:tr w14:paraId="15C13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5D0DAD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500C83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p>
              </w:tc>
              <w:tc>
                <w:tcPr>
                  <w:tcW w:w="323" w:type="pct"/>
                  <w:gridSpan w:val="2"/>
                  <w:vMerge w:val="restart"/>
                  <w:noWrap w:val="0"/>
                  <w:vAlign w:val="center"/>
                </w:tcPr>
                <w:p w14:paraId="4522EB3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运营期</w:t>
                  </w:r>
                </w:p>
              </w:tc>
              <w:tc>
                <w:tcPr>
                  <w:tcW w:w="589" w:type="pct"/>
                  <w:noWrap w:val="0"/>
                  <w:vAlign w:val="center"/>
                </w:tcPr>
                <w:p w14:paraId="4F74708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
                    </w:rPr>
                  </w:pPr>
                  <w:r>
                    <w:rPr>
                      <w:rFonts w:hint="default" w:ascii="Times New Roman" w:hAnsi="Times New Roman" w:eastAsia="宋体" w:cs="Times New Roman"/>
                      <w:color w:val="auto"/>
                      <w:kern w:val="2"/>
                      <w:sz w:val="21"/>
                      <w:szCs w:val="24"/>
                      <w:highlight w:val="none"/>
                      <w:lang w:val="en-US" w:eastAsia="zh-CN" w:bidi="ar"/>
                    </w:rPr>
                    <w:t>废矿物油及废油桶</w:t>
                  </w:r>
                </w:p>
              </w:tc>
              <w:tc>
                <w:tcPr>
                  <w:tcW w:w="2832" w:type="pct"/>
                  <w:noWrap w:val="0"/>
                  <w:vAlign w:val="center"/>
                </w:tcPr>
                <w:p w14:paraId="045DE713">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生产设备使用的润滑油等矿物油需要定期更换，更换后产生的废矿物油属于危险废物，由专用桶密封保存，废矿物油和废油桶暂存到煤矿的危废暂存间，委托有资质的单位处置。</w:t>
                  </w:r>
                </w:p>
              </w:tc>
              <w:tc>
                <w:tcPr>
                  <w:tcW w:w="521" w:type="pct"/>
                  <w:noWrap w:val="0"/>
                  <w:vAlign w:val="center"/>
                </w:tcPr>
                <w:p w14:paraId="2ADD37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依托</w:t>
                  </w:r>
                </w:p>
              </w:tc>
            </w:tr>
            <w:tr w14:paraId="1A282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20071C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483939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323" w:type="pct"/>
                  <w:gridSpan w:val="2"/>
                  <w:vMerge w:val="continue"/>
                  <w:noWrap w:val="0"/>
                  <w:vAlign w:val="center"/>
                </w:tcPr>
                <w:p w14:paraId="176618A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89" w:type="pct"/>
                  <w:shd w:val="clear" w:color="auto" w:fill="auto"/>
                  <w:noWrap w:val="0"/>
                  <w:vAlign w:val="center"/>
                </w:tcPr>
                <w:p w14:paraId="7351F1A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rPr>
                    <w:t>除尘</w:t>
                  </w:r>
                  <w:r>
                    <w:rPr>
                      <w:rFonts w:hint="default" w:ascii="Times New Roman" w:hAnsi="Times New Roman" w:eastAsia="宋体" w:cs="Times New Roman"/>
                      <w:color w:val="auto"/>
                      <w:kern w:val="2"/>
                      <w:sz w:val="21"/>
                      <w:szCs w:val="21"/>
                      <w:highlight w:val="none"/>
                      <w:lang w:val="en-US" w:eastAsia="zh-CN" w:bidi="ar"/>
                    </w:rPr>
                    <w:t>污泥</w:t>
                  </w:r>
                </w:p>
              </w:tc>
              <w:tc>
                <w:tcPr>
                  <w:tcW w:w="2832" w:type="pct"/>
                  <w:shd w:val="clear" w:color="auto" w:fill="auto"/>
                  <w:noWrap w:val="0"/>
                  <w:vAlign w:val="center"/>
                </w:tcPr>
                <w:p w14:paraId="6A7E006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bidi="ar"/>
                    </w:rPr>
                    <w:t>返回</w:t>
                  </w:r>
                  <w:r>
                    <w:rPr>
                      <w:rFonts w:hint="default" w:ascii="Times New Roman" w:hAnsi="Times New Roman" w:eastAsia="宋体" w:cs="Times New Roman"/>
                      <w:color w:val="auto"/>
                      <w:kern w:val="2"/>
                      <w:sz w:val="21"/>
                      <w:szCs w:val="21"/>
                      <w:highlight w:val="none"/>
                      <w:lang w:val="en-US" w:eastAsia="zh-CN" w:bidi="ar"/>
                    </w:rPr>
                    <w:t>注浆</w:t>
                  </w:r>
                  <w:r>
                    <w:rPr>
                      <w:rFonts w:hint="default" w:ascii="Times New Roman" w:hAnsi="Times New Roman" w:eastAsia="宋体" w:cs="Times New Roman"/>
                      <w:color w:val="auto"/>
                      <w:kern w:val="2"/>
                      <w:sz w:val="21"/>
                      <w:szCs w:val="21"/>
                      <w:highlight w:val="none"/>
                      <w:lang w:bidi="ar"/>
                    </w:rPr>
                    <w:t>工序作为充填原料使用</w:t>
                  </w:r>
                </w:p>
              </w:tc>
              <w:tc>
                <w:tcPr>
                  <w:tcW w:w="521" w:type="pct"/>
                  <w:noWrap w:val="0"/>
                  <w:vAlign w:val="center"/>
                </w:tcPr>
                <w:p w14:paraId="2E69BC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w:t>
                  </w:r>
                </w:p>
              </w:tc>
            </w:tr>
            <w:tr w14:paraId="32E45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634D8B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6AA035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323" w:type="pct"/>
                  <w:gridSpan w:val="2"/>
                  <w:vMerge w:val="continue"/>
                  <w:noWrap w:val="0"/>
                  <w:vAlign w:val="center"/>
                </w:tcPr>
                <w:p w14:paraId="44F89CE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89" w:type="pct"/>
                  <w:shd w:val="clear" w:color="auto" w:fill="auto"/>
                  <w:noWrap w:val="0"/>
                  <w:vAlign w:val="center"/>
                </w:tcPr>
                <w:p w14:paraId="570DCCD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地面冲洗废水收集池底泥</w:t>
                  </w:r>
                </w:p>
              </w:tc>
              <w:tc>
                <w:tcPr>
                  <w:tcW w:w="2832" w:type="pct"/>
                  <w:shd w:val="clear" w:color="auto" w:fill="auto"/>
                  <w:noWrap w:val="0"/>
                  <w:vAlign w:val="center"/>
                </w:tcPr>
                <w:p w14:paraId="0741AFB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bidi="ar"/>
                    </w:rPr>
                    <w:t>返回</w:t>
                  </w:r>
                  <w:r>
                    <w:rPr>
                      <w:rFonts w:hint="default" w:ascii="Times New Roman" w:hAnsi="Times New Roman" w:eastAsia="宋体" w:cs="Times New Roman"/>
                      <w:color w:val="auto"/>
                      <w:kern w:val="2"/>
                      <w:sz w:val="21"/>
                      <w:szCs w:val="21"/>
                      <w:highlight w:val="none"/>
                      <w:lang w:val="en-US" w:eastAsia="zh-CN" w:bidi="ar"/>
                    </w:rPr>
                    <w:t>注浆</w:t>
                  </w:r>
                  <w:r>
                    <w:rPr>
                      <w:rFonts w:hint="default" w:ascii="Times New Roman" w:hAnsi="Times New Roman" w:eastAsia="宋体" w:cs="Times New Roman"/>
                      <w:color w:val="auto"/>
                      <w:kern w:val="2"/>
                      <w:sz w:val="21"/>
                      <w:szCs w:val="21"/>
                      <w:highlight w:val="none"/>
                      <w:lang w:bidi="ar"/>
                    </w:rPr>
                    <w:t>工序作为充填原料使用</w:t>
                  </w:r>
                </w:p>
              </w:tc>
              <w:tc>
                <w:tcPr>
                  <w:tcW w:w="521" w:type="pct"/>
                  <w:noWrap w:val="0"/>
                  <w:vAlign w:val="center"/>
                </w:tcPr>
                <w:p w14:paraId="5FBE1B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w:t>
                  </w:r>
                </w:p>
              </w:tc>
            </w:tr>
            <w:tr w14:paraId="76A0D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26" w:type="pct"/>
                  <w:vMerge w:val="continue"/>
                  <w:noWrap w:val="0"/>
                  <w:vAlign w:val="center"/>
                </w:tcPr>
                <w:p w14:paraId="752BF6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407" w:type="pct"/>
                  <w:vMerge w:val="continue"/>
                  <w:noWrap w:val="0"/>
                  <w:vAlign w:val="center"/>
                </w:tcPr>
                <w:p w14:paraId="38DCAE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323" w:type="pct"/>
                  <w:gridSpan w:val="2"/>
                  <w:vMerge w:val="continue"/>
                  <w:noWrap w:val="0"/>
                  <w:vAlign w:val="center"/>
                </w:tcPr>
                <w:p w14:paraId="3ED2909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89" w:type="pct"/>
                  <w:shd w:val="clear" w:color="auto" w:fill="auto"/>
                  <w:noWrap w:val="0"/>
                  <w:vAlign w:val="center"/>
                </w:tcPr>
                <w:p w14:paraId="394D68A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4"/>
                      <w:highlight w:val="none"/>
                      <w:lang w:bidi="ar"/>
                    </w:rPr>
                    <w:t>生活垃圾</w:t>
                  </w:r>
                </w:p>
              </w:tc>
              <w:tc>
                <w:tcPr>
                  <w:tcW w:w="2832" w:type="pct"/>
                  <w:shd w:val="clear" w:color="auto" w:fill="auto"/>
                  <w:noWrap w:val="0"/>
                  <w:vAlign w:val="center"/>
                </w:tcPr>
                <w:p w14:paraId="3DE497B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bidi="ar"/>
                    </w:rPr>
                    <w:t>集中收集后</w:t>
                  </w:r>
                  <w:r>
                    <w:rPr>
                      <w:rFonts w:hint="default" w:ascii="Times New Roman" w:hAnsi="Times New Roman" w:eastAsia="宋体" w:cs="Times New Roman"/>
                      <w:color w:val="auto"/>
                      <w:kern w:val="2"/>
                      <w:sz w:val="21"/>
                      <w:szCs w:val="21"/>
                      <w:highlight w:val="none"/>
                      <w:lang w:val="en-US" w:eastAsia="zh-CN" w:bidi="ar"/>
                    </w:rPr>
                    <w:t>按环卫部门要求统一处理</w:t>
                  </w:r>
                </w:p>
              </w:tc>
              <w:tc>
                <w:tcPr>
                  <w:tcW w:w="521" w:type="pct"/>
                  <w:noWrap w:val="0"/>
                  <w:vAlign w:val="center"/>
                </w:tcPr>
                <w:p w14:paraId="012F79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w:t>
                  </w:r>
                </w:p>
              </w:tc>
            </w:tr>
            <w:tr w14:paraId="68C3B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continue"/>
                  <w:noWrap w:val="0"/>
                  <w:vAlign w:val="center"/>
                </w:tcPr>
                <w:p w14:paraId="735D3F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730" w:type="pct"/>
                  <w:gridSpan w:val="3"/>
                  <w:vMerge w:val="restart"/>
                  <w:noWrap w:val="0"/>
                  <w:vAlign w:val="center"/>
                </w:tcPr>
                <w:p w14:paraId="2E499256">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生态措施</w:t>
                  </w:r>
                </w:p>
              </w:tc>
              <w:tc>
                <w:tcPr>
                  <w:tcW w:w="589" w:type="pct"/>
                  <w:noWrap w:val="0"/>
                  <w:vAlign w:val="center"/>
                </w:tcPr>
                <w:p w14:paraId="51AE5695">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施工期</w:t>
                  </w:r>
                </w:p>
              </w:tc>
              <w:tc>
                <w:tcPr>
                  <w:tcW w:w="2832" w:type="pct"/>
                  <w:noWrap w:val="0"/>
                  <w:vAlign w:val="center"/>
                </w:tcPr>
                <w:p w14:paraId="2CF4194F">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本项目临时占地面积为</w:t>
                  </w:r>
                  <w:r>
                    <w:rPr>
                      <w:rFonts w:hint="default" w:ascii="Times New Roman" w:hAnsi="Times New Roman" w:eastAsia="宋体" w:cs="Times New Roman"/>
                      <w:b w:val="0"/>
                      <w:bCs/>
                      <w:color w:val="auto"/>
                      <w:sz w:val="21"/>
                      <w:szCs w:val="21"/>
                      <w:lang w:val="en-US" w:eastAsia="zh-CN"/>
                    </w:rPr>
                    <w:t>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，施工</w:t>
                  </w:r>
                  <w:r>
                    <w:rPr>
                      <w:rFonts w:hint="eastAsia" w:ascii="Times New Roman" w:hAnsi="Times New Roman" w:cs="Times New Roman"/>
                      <w:b w:val="0"/>
                      <w:bCs/>
                      <w:color w:val="auto"/>
                      <w:sz w:val="21"/>
                      <w:szCs w:val="21"/>
                      <w:lang w:val="en-US" w:eastAsia="zh-CN"/>
                    </w:rPr>
                    <w:t>期</w:t>
                  </w:r>
                  <w:r>
                    <w:rPr>
                      <w:rFonts w:hint="default" w:ascii="Times New Roman" w:hAnsi="Times New Roman" w:eastAsia="宋体" w:cs="Times New Roman"/>
                      <w:b w:val="0"/>
                      <w:bCs/>
                      <w:color w:val="auto"/>
                      <w:sz w:val="21"/>
                      <w:szCs w:val="21"/>
                      <w:lang w:val="en-US" w:eastAsia="zh-CN"/>
                    </w:rPr>
                    <w:t>结束后恢复面积为5200m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，对施工便道临时占用土地进行平整、临时占地</w:t>
                  </w:r>
                  <w:r>
                    <w:rPr>
                      <w:rFonts w:hint="default" w:ascii="Times New Roman" w:hAnsi="Times New Roman" w:cs="Times New Roman"/>
                      <w:b w:val="0"/>
                      <w:bCs/>
                      <w:color w:val="auto"/>
                      <w:sz w:val="21"/>
                      <w:szCs w:val="21"/>
                      <w:lang w:val="en-US" w:eastAsia="zh-CN"/>
                    </w:rPr>
                    <w:t>按原地类恢复</w:t>
                  </w:r>
                  <w:r>
                    <w:rPr>
                      <w:rFonts w:hint="default" w:ascii="Times New Roman" w:hAnsi="Times New Roman" w:eastAsia="宋体" w:cs="Times New Roman"/>
                      <w:b w:val="0"/>
                      <w:bCs/>
                      <w:color w:val="auto"/>
                      <w:sz w:val="21"/>
                      <w:szCs w:val="21"/>
                      <w:lang w:val="en-US" w:eastAsia="zh-CN"/>
                    </w:rPr>
                    <w:t>。加强对植被的抚育、补种工作，提高施工便道植被覆盖度，恢复植被覆盖度不低于当地原生植被覆盖度，植被成活率达到95%以上。</w:t>
                  </w:r>
                </w:p>
              </w:tc>
              <w:tc>
                <w:tcPr>
                  <w:tcW w:w="521" w:type="pct"/>
                  <w:noWrap w:val="0"/>
                  <w:vAlign w:val="center"/>
                </w:tcPr>
                <w:p w14:paraId="36D6FE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新建</w:t>
                  </w:r>
                </w:p>
              </w:tc>
            </w:tr>
            <w:tr w14:paraId="66E20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continue"/>
                  <w:noWrap w:val="0"/>
                  <w:vAlign w:val="center"/>
                </w:tcPr>
                <w:p w14:paraId="5DF947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730" w:type="pct"/>
                  <w:gridSpan w:val="3"/>
                  <w:vMerge w:val="continue"/>
                  <w:noWrap w:val="0"/>
                  <w:vAlign w:val="center"/>
                </w:tcPr>
                <w:p w14:paraId="1360032C">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lang w:bidi="ar"/>
                    </w:rPr>
                  </w:pPr>
                </w:p>
              </w:tc>
              <w:tc>
                <w:tcPr>
                  <w:tcW w:w="589" w:type="pct"/>
                  <w:noWrap w:val="0"/>
                  <w:vAlign w:val="center"/>
                </w:tcPr>
                <w:p w14:paraId="62BD8557">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运营期</w:t>
                  </w:r>
                </w:p>
              </w:tc>
              <w:tc>
                <w:tcPr>
                  <w:tcW w:w="2832" w:type="pct"/>
                  <w:noWrap w:val="0"/>
                  <w:vAlign w:val="center"/>
                </w:tcPr>
                <w:p w14:paraId="7651DBDF">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本项目临时占地面积为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w:t>
                  </w:r>
                  <w:r>
                    <w:rPr>
                      <w:rFonts w:hint="eastAsia" w:cs="Times New Roman"/>
                      <w:b w:val="0"/>
                      <w:bCs/>
                      <w:color w:val="auto"/>
                      <w:sz w:val="21"/>
                      <w:szCs w:val="21"/>
                      <w:lang w:val="en-US" w:eastAsia="zh-CN"/>
                    </w:rPr>
                    <w:t>运营期</w:t>
                  </w:r>
                  <w:r>
                    <w:rPr>
                      <w:rFonts w:hint="default" w:ascii="Times New Roman" w:hAnsi="Times New Roman" w:eastAsia="宋体" w:cs="Times New Roman"/>
                      <w:b w:val="0"/>
                      <w:bCs/>
                      <w:color w:val="auto"/>
                      <w:sz w:val="21"/>
                      <w:szCs w:val="21"/>
                      <w:lang w:val="en-US" w:eastAsia="zh-CN"/>
                    </w:rPr>
                    <w:t>结束后恢复面积为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，生态恢复主要为</w:t>
                  </w:r>
                  <w:r>
                    <w:rPr>
                      <w:rFonts w:hint="default" w:ascii="Times New Roman" w:hAnsi="Times New Roman" w:cs="Times New Roman"/>
                      <w:b w:val="0"/>
                      <w:bCs/>
                      <w:color w:val="auto"/>
                      <w:sz w:val="21"/>
                      <w:szCs w:val="21"/>
                      <w:lang w:val="en-US" w:eastAsia="zh-CN"/>
                    </w:rPr>
                    <w:t>架空管线支架占地恢复和钻孔占地</w:t>
                  </w:r>
                  <w:r>
                    <w:rPr>
                      <w:rFonts w:hint="default" w:ascii="Times New Roman" w:hAnsi="Times New Roman" w:eastAsia="宋体" w:cs="Times New Roman"/>
                      <w:b w:val="0"/>
                      <w:bCs/>
                      <w:color w:val="auto"/>
                      <w:sz w:val="21"/>
                      <w:szCs w:val="21"/>
                      <w:lang w:val="en-US" w:eastAsia="zh-CN"/>
                    </w:rPr>
                    <w:t>恢复</w:t>
                  </w:r>
                  <w:r>
                    <w:rPr>
                      <w:rFonts w:hint="default" w:ascii="Times New Roman" w:hAnsi="Times New Roman" w:cs="Times New Roman"/>
                      <w:b w:val="0"/>
                      <w:bCs/>
                      <w:color w:val="auto"/>
                      <w:sz w:val="21"/>
                      <w:szCs w:val="21"/>
                      <w:lang w:val="en-US" w:eastAsia="zh-CN"/>
                    </w:rPr>
                    <w:t>。</w:t>
                  </w:r>
                </w:p>
                <w:p w14:paraId="58EA6C03">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①架空管线支架占地面积为</w:t>
                  </w:r>
                  <w:r>
                    <w:rPr>
                      <w:rFonts w:hint="default" w:ascii="Times New Roman" w:hAnsi="Times New Roman" w:cs="Times New Roman"/>
                      <w:color w:val="auto"/>
                      <w:sz w:val="21"/>
                      <w:szCs w:val="21"/>
                      <w:lang w:val="en-US" w:eastAsia="zh-CN"/>
                    </w:rPr>
                    <w:t>96</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b w:val="0"/>
                      <w:bCs/>
                      <w:color w:val="auto"/>
                      <w:sz w:val="21"/>
                      <w:szCs w:val="21"/>
                      <w:lang w:val="en-US" w:eastAsia="zh-CN"/>
                    </w:rPr>
                    <w:t>注浆管线注浆结束后，对</w:t>
                  </w:r>
                  <w:r>
                    <w:rPr>
                      <w:rFonts w:hint="default" w:ascii="Times New Roman" w:hAnsi="Times New Roman" w:cs="Times New Roman"/>
                      <w:b w:val="0"/>
                      <w:bCs/>
                      <w:color w:val="auto"/>
                      <w:sz w:val="21"/>
                      <w:szCs w:val="21"/>
                      <w:lang w:val="en-US" w:eastAsia="zh-CN"/>
                    </w:rPr>
                    <w:t>注浆管线支架临时占用土</w:t>
                  </w:r>
                  <w:r>
                    <w:rPr>
                      <w:rFonts w:hint="default" w:ascii="Times New Roman" w:hAnsi="Times New Roman" w:eastAsia="宋体" w:cs="Times New Roman"/>
                      <w:b w:val="0"/>
                      <w:bCs/>
                      <w:color w:val="auto"/>
                      <w:sz w:val="21"/>
                      <w:szCs w:val="21"/>
                      <w:lang w:val="en-US" w:eastAsia="zh-CN"/>
                    </w:rPr>
                    <w:t>地进行平整、</w:t>
                  </w:r>
                  <w:r>
                    <w:rPr>
                      <w:rFonts w:hint="default" w:ascii="Times New Roman" w:hAnsi="Times New Roman" w:cs="Times New Roman"/>
                      <w:b w:val="0"/>
                      <w:bCs/>
                      <w:color w:val="auto"/>
                      <w:sz w:val="21"/>
                      <w:szCs w:val="21"/>
                      <w:lang w:val="en-US" w:eastAsia="zh-CN"/>
                    </w:rPr>
                    <w:t>覆土，</w:t>
                  </w:r>
                  <w:r>
                    <w:rPr>
                      <w:rFonts w:hint="default" w:ascii="Times New Roman" w:hAnsi="Times New Roman" w:eastAsia="宋体" w:cs="Times New Roman"/>
                      <w:b w:val="0"/>
                      <w:bCs/>
                      <w:color w:val="auto"/>
                      <w:sz w:val="21"/>
                      <w:szCs w:val="21"/>
                      <w:lang w:val="en-US" w:eastAsia="zh-CN"/>
                    </w:rPr>
                    <w:t>临时占地按原地类恢复。加强对植被的抚育、补种工作，</w:t>
                  </w:r>
                  <w:r>
                    <w:rPr>
                      <w:rFonts w:hint="default" w:ascii="Times New Roman" w:hAnsi="Times New Roman" w:cs="Times New Roman"/>
                      <w:b w:val="0"/>
                      <w:bCs/>
                      <w:color w:val="auto"/>
                      <w:sz w:val="21"/>
                      <w:szCs w:val="21"/>
                      <w:lang w:val="en-US" w:eastAsia="zh-CN"/>
                    </w:rPr>
                    <w:t>提高注浆管线支架植被覆盖度</w:t>
                  </w:r>
                  <w:r>
                    <w:rPr>
                      <w:rFonts w:hint="default" w:ascii="Times New Roman" w:hAnsi="Times New Roman" w:eastAsia="宋体" w:cs="Times New Roman"/>
                      <w:b w:val="0"/>
                      <w:bCs/>
                      <w:color w:val="auto"/>
                      <w:sz w:val="21"/>
                      <w:szCs w:val="21"/>
                      <w:lang w:val="en-US" w:eastAsia="zh-CN"/>
                    </w:rPr>
                    <w:t>，恢复植被覆盖度不低于当地原生植被覆盖度，植被成活率达到95%以上。</w:t>
                  </w:r>
                </w:p>
                <w:p w14:paraId="246CBF18">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val="0"/>
                      <w:color w:val="auto"/>
                      <w:kern w:val="2"/>
                      <w:sz w:val="21"/>
                      <w:szCs w:val="21"/>
                      <w:vertAlign w:val="baseline"/>
                      <w:lang w:val="en-US" w:eastAsia="zh-CN" w:bidi="ar"/>
                    </w:rPr>
                    <w:t>②注浆钻孔70个，钻注浆孔</w:t>
                  </w:r>
                  <w:r>
                    <w:rPr>
                      <w:rFonts w:hint="default" w:ascii="Times New Roman" w:hAnsi="Times New Roman" w:cs="Times New Roman"/>
                      <w:color w:val="auto"/>
                      <w:sz w:val="21"/>
                      <w:szCs w:val="21"/>
                      <w:lang w:val="en-US" w:eastAsia="zh-CN"/>
                    </w:rPr>
                    <w:t>占地面积计7000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cs="Times New Roman"/>
                      <w:b w:val="0"/>
                      <w:bCs w:val="0"/>
                      <w:color w:val="auto"/>
                      <w:kern w:val="2"/>
                      <w:sz w:val="21"/>
                      <w:szCs w:val="21"/>
                      <w:vertAlign w:val="baseline"/>
                      <w:lang w:val="en-US" w:eastAsia="zh-CN" w:bidi="ar"/>
                    </w:rPr>
                    <w:t>注浆结束对注浆钻孔进行封孔后，对场地平整、覆土，临时占地按原地类恢复。加强对植被的抚育、补种工作，提高注浆钻孔植被覆盖度，恢复植被覆盖度不低于当地原生植被覆盖度，植被成活率达到95%以上。</w:t>
                  </w:r>
                </w:p>
              </w:tc>
              <w:tc>
                <w:tcPr>
                  <w:tcW w:w="521" w:type="pct"/>
                  <w:noWrap w:val="0"/>
                  <w:vAlign w:val="center"/>
                </w:tcPr>
                <w:p w14:paraId="1D2328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新建</w:t>
                  </w:r>
                </w:p>
              </w:tc>
            </w:tr>
            <w:tr w14:paraId="0BF54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continue"/>
                  <w:noWrap w:val="0"/>
                  <w:vAlign w:val="center"/>
                </w:tcPr>
                <w:p w14:paraId="611EA3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1319" w:type="pct"/>
                  <w:gridSpan w:val="4"/>
                  <w:noWrap w:val="0"/>
                  <w:vAlign w:val="center"/>
                </w:tcPr>
                <w:p w14:paraId="70B93D38">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防渗措施</w:t>
                  </w:r>
                </w:p>
              </w:tc>
              <w:tc>
                <w:tcPr>
                  <w:tcW w:w="2832" w:type="pct"/>
                  <w:noWrap w:val="0"/>
                  <w:vAlign w:val="center"/>
                </w:tcPr>
                <w:p w14:paraId="7CDC36A3">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4"/>
                      <w:lang w:val="en-US" w:eastAsia="zh-CN"/>
                    </w:rPr>
                  </w:pPr>
                  <w:r>
                    <w:rPr>
                      <w:rFonts w:hint="default" w:ascii="Times New Roman" w:hAnsi="Times New Roman" w:eastAsia="宋体" w:cs="Times New Roman"/>
                      <w:color w:val="auto"/>
                      <w:kern w:val="2"/>
                      <w:sz w:val="21"/>
                      <w:szCs w:val="24"/>
                    </w:rPr>
                    <w:t>破碎</w:t>
                  </w:r>
                  <w:r>
                    <w:rPr>
                      <w:rFonts w:hint="default" w:ascii="Times New Roman" w:hAnsi="Times New Roman" w:eastAsia="宋体" w:cs="Times New Roman"/>
                      <w:color w:val="auto"/>
                      <w:kern w:val="2"/>
                      <w:sz w:val="21"/>
                      <w:szCs w:val="24"/>
                      <w:lang w:val="en-US" w:eastAsia="zh-CN"/>
                    </w:rPr>
                    <w:t>车间、</w:t>
                  </w:r>
                  <w:r>
                    <w:rPr>
                      <w:rFonts w:hint="eastAsia" w:cs="Times New Roman"/>
                      <w:color w:val="auto"/>
                      <w:kern w:val="2"/>
                      <w:sz w:val="21"/>
                      <w:szCs w:val="24"/>
                      <w:lang w:val="en-US" w:eastAsia="zh-CN"/>
                    </w:rPr>
                    <w:t>制浆车间</w:t>
                  </w:r>
                  <w:r>
                    <w:rPr>
                      <w:rFonts w:hint="default" w:ascii="Times New Roman" w:hAnsi="Times New Roman" w:eastAsia="宋体" w:cs="Times New Roman"/>
                      <w:color w:val="auto"/>
                      <w:kern w:val="2"/>
                      <w:sz w:val="21"/>
                      <w:szCs w:val="24"/>
                      <w:lang w:val="en-US" w:eastAsia="zh-CN"/>
                    </w:rPr>
                    <w:t>、沉淀池，</w:t>
                  </w:r>
                  <w:r>
                    <w:rPr>
                      <w:rFonts w:hint="default" w:ascii="Times New Roman" w:hAnsi="Times New Roman" w:eastAsia="宋体" w:cs="Times New Roman"/>
                      <w:color w:val="auto"/>
                      <w:kern w:val="2"/>
                      <w:sz w:val="21"/>
                      <w:szCs w:val="21"/>
                      <w:highlight w:val="none"/>
                    </w:rPr>
                    <w:t>防渗效果至少达到等效黏土防渗层Mb≥1.5m</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K≤1.0×10</w:t>
                  </w:r>
                  <w:r>
                    <w:rPr>
                      <w:rFonts w:hint="default" w:ascii="Times New Roman" w:hAnsi="Times New Roman" w:eastAsia="宋体" w:cs="Times New Roman"/>
                      <w:color w:val="auto"/>
                      <w:kern w:val="2"/>
                      <w:sz w:val="21"/>
                      <w:szCs w:val="21"/>
                      <w:highlight w:val="none"/>
                      <w:vertAlign w:val="superscript"/>
                    </w:rPr>
                    <w:t>-7</w:t>
                  </w:r>
                  <w:r>
                    <w:rPr>
                      <w:rFonts w:hint="default" w:ascii="Times New Roman" w:hAnsi="Times New Roman" w:eastAsia="宋体" w:cs="Times New Roman"/>
                      <w:color w:val="auto"/>
                      <w:kern w:val="2"/>
                      <w:sz w:val="21"/>
                      <w:szCs w:val="21"/>
                      <w:highlight w:val="none"/>
                    </w:rPr>
                    <w:t>cm/s</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4"/>
                      <w:lang w:val="en-US" w:eastAsia="zh-CN"/>
                    </w:rPr>
                    <w:t>管线（地埋）采用快凝聚合物改性砂浆材料。</w:t>
                  </w:r>
                </w:p>
              </w:tc>
              <w:tc>
                <w:tcPr>
                  <w:tcW w:w="521" w:type="pct"/>
                  <w:noWrap w:val="0"/>
                  <w:vAlign w:val="center"/>
                </w:tcPr>
                <w:p w14:paraId="700C73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新建</w:t>
                  </w:r>
                </w:p>
              </w:tc>
            </w:tr>
            <w:tr w14:paraId="61865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326" w:type="pct"/>
                  <w:vMerge w:val="restart"/>
                  <w:noWrap w:val="0"/>
                  <w:vAlign w:val="center"/>
                </w:tcPr>
                <w:p w14:paraId="777FAE08">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依托工程</w:t>
                  </w:r>
                </w:p>
              </w:tc>
              <w:tc>
                <w:tcPr>
                  <w:tcW w:w="1319" w:type="pct"/>
                  <w:gridSpan w:val="4"/>
                  <w:noWrap w:val="0"/>
                  <w:vAlign w:val="center"/>
                </w:tcPr>
                <w:p w14:paraId="4FC3EAAA">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矸石周转场</w:t>
                  </w:r>
                </w:p>
              </w:tc>
              <w:tc>
                <w:tcPr>
                  <w:tcW w:w="2832" w:type="pct"/>
                  <w:noWrap w:val="0"/>
                  <w:vAlign w:val="center"/>
                </w:tcPr>
                <w:p w14:paraId="06FF2A11">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利用现有的1个φ18m矸石仓，高度30m，矸石仓储量约5000t，储存周期2天。</w:t>
                  </w:r>
                </w:p>
              </w:tc>
              <w:tc>
                <w:tcPr>
                  <w:tcW w:w="521" w:type="pct"/>
                  <w:noWrap w:val="0"/>
                  <w:vAlign w:val="center"/>
                </w:tcPr>
                <w:p w14:paraId="0F239F85">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r w14:paraId="2E5AA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326" w:type="pct"/>
                  <w:vMerge w:val="continue"/>
                  <w:noWrap w:val="0"/>
                  <w:vAlign w:val="center"/>
                </w:tcPr>
                <w:p w14:paraId="4882DDDB">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1319" w:type="pct"/>
                  <w:gridSpan w:val="4"/>
                  <w:noWrap w:val="0"/>
                  <w:vAlign w:val="center"/>
                </w:tcPr>
                <w:p w14:paraId="70296095">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生活污水处理站</w:t>
                  </w:r>
                </w:p>
              </w:tc>
              <w:tc>
                <w:tcPr>
                  <w:tcW w:w="2832" w:type="pct"/>
                  <w:noWrap w:val="0"/>
                  <w:vAlign w:val="center"/>
                </w:tcPr>
                <w:p w14:paraId="335450C7">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本项目生活污水经一体化处理设备处理后的污水水质达到《城市污水再生利用城市杂用水水质》（GB/T18920-2020）中绿化标准，用于道路洒水降尘以及植被绿化等。</w:t>
                  </w:r>
                </w:p>
                <w:p w14:paraId="51EE4B1A">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生活污水采用“AO+过滤”，规模1800m³/d，目前处理污水量为1259.0m³/d，本项目新增污水量为2.69m³/d，因此，满足本项目的污水处理需求。</w:t>
                  </w:r>
                </w:p>
              </w:tc>
              <w:tc>
                <w:tcPr>
                  <w:tcW w:w="521" w:type="pct"/>
                  <w:noWrap w:val="0"/>
                  <w:vAlign w:val="center"/>
                </w:tcPr>
                <w:p w14:paraId="625E75DF">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r w14:paraId="351B4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326" w:type="pct"/>
                  <w:vMerge w:val="continue"/>
                  <w:noWrap w:val="0"/>
                  <w:vAlign w:val="center"/>
                </w:tcPr>
                <w:p w14:paraId="6E2595D0">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1319" w:type="pct"/>
                  <w:gridSpan w:val="4"/>
                  <w:noWrap w:val="0"/>
                  <w:vAlign w:val="center"/>
                </w:tcPr>
                <w:p w14:paraId="55C091F5">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矿井水处理站</w:t>
                  </w:r>
                </w:p>
              </w:tc>
              <w:tc>
                <w:tcPr>
                  <w:tcW w:w="2832" w:type="pct"/>
                  <w:noWrap w:val="0"/>
                  <w:vAlign w:val="center"/>
                </w:tcPr>
                <w:p w14:paraId="53BE9FA2">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工业场地设有1座矿井水处理站，矿井水处理站处理能力为1500m²/h，处理工艺为“常规处理+深度处理"，常规处理工艺为“预沉调节+微砂絮凝循环水处理设备+过滤+消毒”，深度处理工艺为“超滤+反渗透”，浓水再浓缩工艺为“常规反渗透+碟管反渗透”，浓盐水蒸发工艺为多效蒸发（MED)。</w:t>
                  </w:r>
                </w:p>
              </w:tc>
              <w:tc>
                <w:tcPr>
                  <w:tcW w:w="521" w:type="pct"/>
                  <w:noWrap w:val="0"/>
                  <w:vAlign w:val="center"/>
                </w:tcPr>
                <w:p w14:paraId="5E70F681">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r w14:paraId="46DE1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326" w:type="pct"/>
                  <w:vMerge w:val="continue"/>
                  <w:noWrap w:val="0"/>
                  <w:vAlign w:val="center"/>
                </w:tcPr>
                <w:p w14:paraId="15842E80">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1319" w:type="pct"/>
                  <w:gridSpan w:val="4"/>
                  <w:noWrap w:val="0"/>
                  <w:vAlign w:val="center"/>
                </w:tcPr>
                <w:p w14:paraId="22C590C3">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洗煤厂概况</w:t>
                  </w:r>
                </w:p>
              </w:tc>
              <w:tc>
                <w:tcPr>
                  <w:tcW w:w="2832" w:type="pct"/>
                  <w:noWrap w:val="0"/>
                  <w:vAlign w:val="center"/>
                </w:tcPr>
                <w:p w14:paraId="38D4A547">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0"/>
                      <w:sz w:val="21"/>
                      <w:szCs w:val="21"/>
                      <w:lang w:val="en-US" w:eastAsia="zh-CN" w:bidi="ar"/>
                    </w:rPr>
                    <w:t>洗煤厂建设规模为8.0Mt/a，采用重介洗煤工艺</w:t>
                  </w:r>
                </w:p>
              </w:tc>
              <w:tc>
                <w:tcPr>
                  <w:tcW w:w="521" w:type="pct"/>
                  <w:noWrap w:val="0"/>
                  <w:vAlign w:val="center"/>
                </w:tcPr>
                <w:p w14:paraId="4F8B95B8">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w:t>
                  </w:r>
                </w:p>
              </w:tc>
            </w:tr>
          </w:tbl>
          <w:p w14:paraId="3D85DAAD">
            <w:pPr>
              <w:keepNext w:val="0"/>
              <w:keepLines w:val="0"/>
              <w:pageBreakBefore w:val="0"/>
              <w:widowControl w:val="0"/>
              <w:numPr>
                <w:ilvl w:val="0"/>
                <w:numId w:val="0"/>
              </w:numPr>
              <w:kinsoku/>
              <w:wordWrap/>
              <w:overflowPunct/>
              <w:topLinePunct/>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三、充填方案</w:t>
            </w:r>
          </w:p>
          <w:p w14:paraId="347E05E1">
            <w:pPr>
              <w:keepNext w:val="0"/>
              <w:keepLines w:val="0"/>
              <w:pageBreakBefore w:val="0"/>
              <w:widowControl w:val="0"/>
              <w:kinsoku/>
              <w:wordWrap/>
              <w:overflowPunct/>
              <w:topLinePunct/>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1、煤矿简介</w:t>
            </w:r>
          </w:p>
          <w:p w14:paraId="36090804">
            <w:pPr>
              <w:keepNext w:val="0"/>
              <w:keepLines w:val="0"/>
              <w:pageBreakBefore w:val="0"/>
              <w:widowControl w:val="0"/>
              <w:kinsoku/>
              <w:wordWrap/>
              <w:overflowPunct/>
              <w:topLinePunct/>
              <w:autoSpaceDE/>
              <w:autoSpaceDN/>
              <w:bidi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2"/>
                <w:sz w:val="24"/>
                <w:szCs w:val="24"/>
                <w:lang w:val="en-US" w:eastAsia="zh-CN"/>
              </w:rPr>
              <w:t>白家海子</w:t>
            </w:r>
            <w:r>
              <w:rPr>
                <w:rFonts w:hint="default" w:ascii="Times New Roman" w:hAnsi="Times New Roman" w:eastAsia="宋体" w:cs="Times New Roman"/>
                <w:bCs/>
                <w:color w:val="auto"/>
                <w:kern w:val="2"/>
                <w:sz w:val="24"/>
                <w:szCs w:val="24"/>
                <w:highlight w:val="none"/>
              </w:rPr>
              <w:t>矿井</w:t>
            </w:r>
            <w:r>
              <w:rPr>
                <w:rFonts w:hint="default" w:ascii="Times New Roman" w:hAnsi="Times New Roman" w:eastAsia="宋体" w:cs="Times New Roman"/>
                <w:color w:val="auto"/>
                <w:kern w:val="2"/>
                <w:sz w:val="24"/>
                <w:szCs w:val="24"/>
                <w:lang w:val="en-US" w:eastAsia="zh-CN"/>
              </w:rPr>
              <w:t>采选规模按照8.0Mt/a计，设计可采储量为202573万t，</w:t>
            </w:r>
            <w:r>
              <w:rPr>
                <w:rFonts w:hint="default" w:ascii="Times New Roman" w:hAnsi="Times New Roman" w:eastAsia="宋体" w:cs="Times New Roman"/>
                <w:color w:val="auto"/>
                <w:kern w:val="0"/>
                <w:sz w:val="24"/>
                <w:szCs w:val="24"/>
                <w:lang w:val="en-US" w:eastAsia="zh-CN" w:bidi="ar"/>
              </w:rPr>
              <w:t>白家海子井田境界东以蒙陕省界为界，西与新庙梁后备勘查区为界，北与营盘壕井田、巴彦柴达木井田为界，南与陶忽图井田相邻。井田面积 169.1894km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w:t>
            </w:r>
          </w:p>
          <w:p w14:paraId="571563B9">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bCs/>
                <w:color w:val="auto"/>
                <w:kern w:val="2"/>
                <w:sz w:val="24"/>
                <w:szCs w:val="24"/>
                <w:highlight w:val="none"/>
              </w:rPr>
              <w:t>目前</w:t>
            </w:r>
            <w:r>
              <w:rPr>
                <w:rFonts w:hint="default" w:ascii="Times New Roman" w:hAnsi="Times New Roman" w:eastAsia="宋体" w:cs="Times New Roman"/>
                <w:bCs/>
                <w:color w:val="auto"/>
                <w:kern w:val="2"/>
                <w:sz w:val="24"/>
                <w:szCs w:val="24"/>
                <w:highlight w:val="none"/>
                <w:lang w:val="en-US" w:eastAsia="zh-CN"/>
              </w:rPr>
              <w:t>矿井还未投入运行，未开采，根据企业提供，计划2025年12月投入试运行。</w:t>
            </w:r>
            <w:r>
              <w:rPr>
                <w:rFonts w:hint="default" w:ascii="Times New Roman" w:hAnsi="Times New Roman" w:eastAsia="宋体" w:cs="Times New Roman"/>
                <w:color w:val="auto"/>
                <w:lang w:val="en-US" w:eastAsia="zh-CN"/>
              </w:rPr>
              <w:t>本项目</w:t>
            </w:r>
            <w:r>
              <w:rPr>
                <w:rFonts w:hint="default" w:ascii="Times New Roman" w:hAnsi="Times New Roman" w:eastAsia="宋体" w:cs="Times New Roman"/>
                <w:color w:val="auto"/>
                <w:kern w:val="2"/>
                <w:sz w:val="24"/>
                <w:szCs w:val="24"/>
                <w:lang w:val="en-US" w:eastAsia="zh-CN"/>
              </w:rPr>
              <w:t>首注面2201工作面注浆服务时间为26个月，注浆作业紧跟采煤作业，注浆截止时间通常滞后于工作面回采1~2个月。</w:t>
            </w:r>
            <w:r>
              <w:rPr>
                <w:rFonts w:hint="default" w:ascii="Times New Roman" w:hAnsi="Times New Roman" w:eastAsia="宋体" w:cs="Times New Roman"/>
                <w:color w:val="auto"/>
                <w:kern w:val="0"/>
                <w:sz w:val="24"/>
                <w:szCs w:val="24"/>
                <w:lang w:val="en-US" w:eastAsia="zh-CN" w:bidi="ar"/>
              </w:rPr>
              <w:t>离层注浆首采面选为22盘区 2201 工作面</w:t>
            </w:r>
          </w:p>
          <w:p w14:paraId="2A68BF4B">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井田内共含煤层13层，煤层平均总厚 18.29m，可采煤层中，全区可采 4层，即2-2、3-1、4-1、6-1煤层，其中 2-2煤层厚度3.50～8.85m，平均 4.86m，3-1煤层厚度5.24～ 7.85m，平均 6.77m，4-1煤层厚度0.50～3.42m，平均 2.07m，6-1煤层厚度0.65～4.35m，平均1.92m；局部可采2层，即4-2、5-2煤层、不可采煤层7层，分别为2-2下、2-3、5-1、5-1下、6-2、7-1 和 7-2煤层。</w:t>
            </w:r>
          </w:p>
          <w:p w14:paraId="6BC39BAE">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全井田查明资源量362660万t，其中探明资源量（TM）63277万t，控制资源量（KZ）105344万t，推断资源量（TD）194039万t。经计算矿井工业资源储量331205万t，设计资源储量270281万t，设计可采储量202573万t。</w:t>
            </w:r>
          </w:p>
          <w:p w14:paraId="16880E3E">
            <w:pPr>
              <w:keepNext w:val="0"/>
              <w:keepLines w:val="0"/>
              <w:pageBreakBefore w:val="0"/>
              <w:widowControl w:val="0"/>
              <w:kinsoku/>
              <w:wordWrap/>
              <w:overflowPunct/>
              <w:topLinePunct/>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2、煤层简介</w:t>
            </w:r>
          </w:p>
          <w:p w14:paraId="456DA728">
            <w:pPr>
              <w:keepNext w:val="0"/>
              <w:keepLines w:val="0"/>
              <w:widowControl/>
              <w:suppressLineNumbers w:val="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井田含煤地层为侏罗系中下统延安组（J1-2</w:t>
            </w:r>
            <w:r>
              <w:rPr>
                <w:rFonts w:hint="default" w:ascii="Times New Roman" w:hAnsi="Times New Roman" w:eastAsia="宋体" w:cs="Times New Roman"/>
                <w:i/>
                <w:iCs/>
                <w:color w:val="auto"/>
                <w:kern w:val="0"/>
                <w:sz w:val="24"/>
                <w:szCs w:val="24"/>
                <w:lang w:val="en-US" w:eastAsia="zh-CN" w:bidi="ar"/>
              </w:rPr>
              <w:t>y</w:t>
            </w:r>
            <w:r>
              <w:rPr>
                <w:rFonts w:hint="default" w:ascii="Times New Roman" w:hAnsi="Times New Roman" w:eastAsia="宋体" w:cs="Times New Roman"/>
                <w:color w:val="auto"/>
                <w:kern w:val="0"/>
                <w:sz w:val="24"/>
                <w:szCs w:val="24"/>
                <w:lang w:val="en-US" w:eastAsia="zh-CN" w:bidi="ar"/>
              </w:rPr>
              <w:t>），该组地层厚度310.20m～457.33m，平均 373.65m，详见井田地层。井田内含编号煤层13层，即2-2、2-2 下、2-3、3-1、4-1、4- 2、5-1、5-1 下、5-2、6-1、6-2、7-1 和 7-2煤层。</w:t>
            </w:r>
            <w:r>
              <w:rPr>
                <w:rFonts w:hint="default" w:ascii="Times New Roman" w:hAnsi="Times New Roman" w:eastAsia="宋体" w:cs="Times New Roman"/>
                <w:color w:val="auto"/>
                <w:kern w:val="0"/>
                <w:sz w:val="24"/>
                <w:szCs w:val="24"/>
                <w:highlight w:val="none"/>
                <w:lang w:val="en-US" w:eastAsia="zh-CN" w:bidi="ar"/>
              </w:rPr>
              <w:t>其中可采煤层6层，全区可采 4层，即2-2、3-1、4-1、6-1煤层；</w:t>
            </w:r>
            <w:r>
              <w:rPr>
                <w:rFonts w:hint="default" w:ascii="Times New Roman" w:hAnsi="Times New Roman" w:eastAsia="宋体" w:cs="Times New Roman"/>
                <w:color w:val="auto"/>
                <w:kern w:val="0"/>
                <w:sz w:val="24"/>
                <w:szCs w:val="24"/>
                <w:lang w:val="en-US" w:eastAsia="zh-CN" w:bidi="ar"/>
              </w:rPr>
              <w:t>局部可采 2层，即4-2、5-2煤层；不可采煤层7层为2-2下、2- 3、5-1、5-1 下、6-2、7-1和7-2煤层。煤层特征见表2-2。</w:t>
            </w:r>
          </w:p>
          <w:p w14:paraId="1AB58CEE">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表2-2煤层主要特征表</w:t>
            </w:r>
          </w:p>
          <w:p w14:paraId="55432274">
            <w:pPr>
              <w:keepNext w:val="0"/>
              <w:keepLines w:val="0"/>
              <w:widowControl/>
              <w:suppressLineNumbers w:val="0"/>
              <w:ind w:left="0" w:leftChars="0" w:firstLine="0" w:firstLineChars="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rPr>
              <w:drawing>
                <wp:inline distT="0" distB="0" distL="114300" distR="114300">
                  <wp:extent cx="4977130" cy="2924810"/>
                  <wp:effectExtent l="0" t="0" r="13970" b="889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3"/>
                          <a:stretch>
                            <a:fillRect/>
                          </a:stretch>
                        </pic:blipFill>
                        <pic:spPr>
                          <a:xfrm>
                            <a:off x="0" y="0"/>
                            <a:ext cx="4977130" cy="2924810"/>
                          </a:xfrm>
                          <a:prstGeom prst="rect">
                            <a:avLst/>
                          </a:prstGeom>
                          <a:noFill/>
                          <a:ln>
                            <a:noFill/>
                          </a:ln>
                        </pic:spPr>
                      </pic:pic>
                    </a:graphicData>
                  </a:graphic>
                </wp:inline>
              </w:drawing>
            </w:r>
          </w:p>
          <w:p w14:paraId="4E2CDA83">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根据项目建设现场实际情况及矿方需求，本次离层注浆首选煤层为2-2煤层首采 2201 工作面。</w:t>
            </w:r>
          </w:p>
          <w:p w14:paraId="10A8ADC8">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-2煤层位于延安组三岩段中部，是井田的主要可采煤层之一。据井田内225个钻孔统计：煤层自然厚度3.50～9.83m，平均厚度4.94m，可采厚度3.50～9.33m，平均4.86m，煤层厚度变化规律性明显，总体自西向东、自北向南煤层厚度逐渐变厚，东北部煤厚达6m 以上，南部边界时减薄至3.50～4.00m。煤层结构简单，含0～2层夹矸，大部分不含夹矸，局部含1层夹矸，个别点含2层夹矸。井田内穿过该煤层钻孔225个，见可采见煤点225，无不可采点。煤类以不黏煤、弱黏煤为主。煤层顶板岩性多为粉砂岩及砂质泥岩，底板岩性多为砂质泥岩、泥岩，夹矸岩性以泥岩或炭质泥岩为主。煤层埋藏深度613.60～757.70m，平均662.90m，自北向南方向煤层的埋藏深度逐渐增大。与2-2下煤层间距为0.82～14.03m，平均 4.62m。2-2煤层属对比可靠、全区可采的较稳定煤层。</w:t>
            </w:r>
          </w:p>
          <w:p w14:paraId="3702CED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2-2煤层厚度等值线见图2-2。</w:t>
            </w:r>
          </w:p>
          <w:p w14:paraId="2003B7EA">
            <w:pPr>
              <w:keepNext w:val="0"/>
              <w:keepLines w:val="0"/>
              <w:widowControl/>
              <w:suppressLineNumbers w:val="0"/>
              <w:ind w:left="0" w:leftChars="0" w:firstLine="0" w:firstLineChars="0"/>
              <w:jc w:val="left"/>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038090" cy="4075430"/>
                  <wp:effectExtent l="0" t="0" r="10160" b="1270"/>
                  <wp:docPr id="81" name="图片 81" descr="图2.3-2 2-2煤层可采厚度等值线图（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2.3-2 2-2煤层可采厚度等值线图（A4）"/>
                          <pic:cNvPicPr>
                            <a:picLocks noChangeAspect="1"/>
                          </pic:cNvPicPr>
                        </pic:nvPicPr>
                        <pic:blipFill>
                          <a:blip r:embed="rId24"/>
                          <a:stretch>
                            <a:fillRect/>
                          </a:stretch>
                        </pic:blipFill>
                        <pic:spPr>
                          <a:xfrm>
                            <a:off x="0" y="0"/>
                            <a:ext cx="5038090" cy="4075430"/>
                          </a:xfrm>
                          <a:prstGeom prst="rect">
                            <a:avLst/>
                          </a:prstGeom>
                        </pic:spPr>
                      </pic:pic>
                    </a:graphicData>
                  </a:graphic>
                </wp:inline>
              </w:drawing>
            </w:r>
          </w:p>
          <w:p w14:paraId="1CCD3C5E">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图2-2 2-2煤层可采厚度等值线图</w:t>
            </w:r>
          </w:p>
          <w:p w14:paraId="7725170B">
            <w:pPr>
              <w:keepNext w:val="0"/>
              <w:keepLines w:val="0"/>
              <w:pageBreakBefore w:val="0"/>
              <w:widowControl w:val="0"/>
              <w:numPr>
                <w:ilvl w:val="0"/>
                <w:numId w:val="0"/>
              </w:numPr>
              <w:kinsoku/>
              <w:wordWrap/>
              <w:overflowPunct/>
              <w:topLinePunct/>
              <w:autoSpaceDE/>
              <w:autoSpaceDN/>
              <w:bidi w:val="0"/>
              <w:spacing w:line="360" w:lineRule="auto"/>
              <w:ind w:firstLine="482" w:firstLineChars="200"/>
              <w:jc w:val="left"/>
              <w:textAlignment w:val="auto"/>
              <w:rPr>
                <w:rFonts w:hint="default" w:ascii="Times New Roman" w:hAnsi="Times New Roman" w:eastAsia="宋体" w:cs="Times New Roman"/>
                <w:b/>
                <w:bCs/>
                <w:color w:val="auto"/>
                <w:kern w:val="0"/>
                <w:sz w:val="24"/>
                <w:szCs w:val="20"/>
                <w:highlight w:val="none"/>
                <w:lang w:val="en-US" w:eastAsia="zh-CN" w:bidi="ar-SA"/>
              </w:rPr>
            </w:pPr>
            <w:r>
              <w:rPr>
                <w:rFonts w:hint="default" w:ascii="Times New Roman" w:hAnsi="Times New Roman" w:eastAsia="宋体" w:cs="Times New Roman"/>
                <w:b/>
                <w:bCs/>
                <w:color w:val="auto"/>
                <w:kern w:val="0"/>
                <w:sz w:val="24"/>
                <w:szCs w:val="20"/>
                <w:highlight w:val="none"/>
                <w:lang w:val="en-US" w:eastAsia="zh-CN" w:bidi="ar-SA"/>
              </w:rPr>
              <w:t>3、技术方案</w:t>
            </w:r>
          </w:p>
          <w:p w14:paraId="526A8FE7">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（1）理论基础</w:t>
            </w:r>
          </w:p>
          <w:p w14:paraId="6D64A814">
            <w:pPr>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离层是工作面开采过程中，随着岩层移动向上不断传播，在相邻岩层有不协调变形趋势时，岩层层面产生拉、剪破坏后出现的力学现象。其产生位置受控于覆岩关键层结构。岩层移动由下向上组成运动，其动态过程受控于关键层的破断运动，当下方关键层破断时，它所控制的上覆岩层组与之同步破断运动，在上方关键层下出现离层，如此向上发展直至覆岩主关键层下出现离层，且离层的最大发育高度止于主关键层下方。关键层下离层量的大小与煤层采高、冒落岩体碎胀特性、关键层距煤层顶板高度及关键层承载变形特性相关。关键层运动对采动覆岩离层的形成、发展和时空分布起控制作用。在关键层初次破断前，关键层下方的离层量随工作面的推进不断增大，最大离层位于采空区中部。当亚关键层发生初次破断后，该层位下的部分离层空间将会向上传递并主要位于上一层亚关键层下方，随工作面推进已发生过初次破断的亚关键层下方只在采空区四周保存部分离层空间，主要离层空间位于还未发生初次破断的亚关键层下方，直至工作面继续推进至该层关键层破断，离层空间继续向上传递，当主关键层发生破断后，离层空间将传递到地表形成地表沉陷，见图</w:t>
            </w:r>
            <w:r>
              <w:rPr>
                <w:rFonts w:hint="default" w:ascii="Times New Roman" w:hAnsi="Times New Roman" w:eastAsia="宋体" w:cs="Times New Roman"/>
                <w:color w:val="auto"/>
                <w:sz w:val="24"/>
                <w:lang w:val="en-US" w:eastAsia="zh-CN"/>
              </w:rPr>
              <w:t>2-</w:t>
            </w:r>
            <w:r>
              <w:rPr>
                <w:rFonts w:hint="eastAsia" w:cs="Times New Roman"/>
                <w:color w:val="auto"/>
                <w:sz w:val="24"/>
                <w:lang w:val="en-US" w:eastAsia="zh-CN"/>
              </w:rPr>
              <w:t>3</w:t>
            </w:r>
            <w:r>
              <w:rPr>
                <w:rFonts w:hint="default" w:ascii="Times New Roman" w:hAnsi="Times New Roman" w:eastAsia="宋体" w:cs="Times New Roman"/>
                <w:color w:val="auto"/>
                <w:sz w:val="24"/>
              </w:rPr>
              <w:t>。所以控制上覆岩层中的主关键层不发生破断，是确保地表不发生沉降的关键。</w:t>
            </w:r>
          </w:p>
          <w:p w14:paraId="6A7197B6">
            <w:pPr>
              <w:numPr>
                <w:ilvl w:val="0"/>
                <w:numId w:val="0"/>
              </w:numPr>
              <w:jc w:val="both"/>
              <w:rPr>
                <w:rFonts w:hint="default" w:ascii="Times New Roman" w:hAnsi="Times New Roman" w:eastAsia="宋体" w:cs="Times New Roman"/>
                <w:color w:val="auto"/>
              </w:rPr>
            </w:pPr>
            <w:r>
              <w:rPr>
                <w:rFonts w:hint="default" w:ascii="Times New Roman" w:hAnsi="Times New Roman" w:eastAsia="宋体" w:cs="Times New Roman"/>
                <w:color w:val="auto"/>
                <w:sz w:val="24"/>
              </w:rPr>
              <w:object>
                <v:shape id="_x0000_i1026" o:spt="75" type="#_x0000_t75" style="height:124pt;width:392.95pt;" o:ole="t" filled="f" o:preferrelative="t" stroked="f" coordsize="21600,21600">
                  <v:path/>
                  <v:fill on="f" focussize="0,0"/>
                  <v:stroke on="f"/>
                  <v:imagedata r:id="rId26" o:title=""/>
                  <o:lock v:ext="edit" aspectratio="f"/>
                  <w10:wrap type="none"/>
                  <w10:anchorlock/>
                </v:shape>
                <o:OLEObject Type="Embed" ProgID="Visio.Drawing.15" ShapeID="_x0000_i1026" DrawAspect="Content" ObjectID="_1468075726" r:id="rId25">
                  <o:LockedField>false</o:LockedField>
                </o:OLEObject>
              </w:object>
            </w:r>
          </w:p>
          <w:p w14:paraId="3A0488F0">
            <w:pPr>
              <w:numPr>
                <w:ilvl w:val="0"/>
                <w:numId w:val="0"/>
              </w:numPr>
              <w:jc w:val="center"/>
              <w:rPr>
                <w:rFonts w:hint="default" w:ascii="Times New Roman" w:hAnsi="Times New Roman" w:eastAsia="宋体" w:cs="Times New Roman"/>
                <w:b/>
                <w:bCs/>
                <w:caps w:val="0"/>
                <w:color w:val="auto"/>
                <w:sz w:val="24"/>
                <w:szCs w:val="24"/>
                <w:highlight w:val="none"/>
                <w:lang w:val="en-US" w:eastAsia="zh-CN"/>
              </w:rPr>
            </w:pPr>
            <w:r>
              <w:rPr>
                <w:rFonts w:hint="default" w:ascii="Times New Roman" w:hAnsi="Times New Roman" w:eastAsia="宋体" w:cs="Times New Roman"/>
                <w:b/>
                <w:bCs/>
                <w:caps w:val="0"/>
                <w:color w:val="auto"/>
                <w:sz w:val="24"/>
                <w:szCs w:val="24"/>
                <w:highlight w:val="none"/>
                <w:lang w:val="en-US" w:eastAsia="zh-CN"/>
              </w:rPr>
              <w:t>图2-3   主关键层破断前后覆岩运动特征</w:t>
            </w:r>
          </w:p>
          <w:p w14:paraId="03252BBB">
            <w:pPr>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（2）离层注浆减沉机理</w:t>
            </w:r>
          </w:p>
          <w:p w14:paraId="053AEFFF">
            <w:pPr>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上覆岩层岩性与互层条件是确定覆岩离层注浆层位的主要因素。煤系地层可分为坚硬、硬、中硬、软型四种类型，适合产生离层的互层条件类型如图所示，只要在上覆岩层中，岩层强度、厚度有对比性就会产生离层，特别是位于岩层中0.3~0.7H范围内，无论岩性如何，只要能够产生自然离层或人工离层（高压注水压裂离层）均可实施离层注浆。</w:t>
            </w:r>
          </w:p>
          <w:p w14:paraId="0EEC1647">
            <w:pPr>
              <w:pStyle w:val="19"/>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4966335" cy="892175"/>
                  <wp:effectExtent l="0" t="0" r="5715" b="317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27"/>
                          <a:stretch>
                            <a:fillRect/>
                          </a:stretch>
                        </pic:blipFill>
                        <pic:spPr>
                          <a:xfrm>
                            <a:off x="0" y="0"/>
                            <a:ext cx="4966335" cy="892175"/>
                          </a:xfrm>
                          <a:prstGeom prst="rect">
                            <a:avLst/>
                          </a:prstGeom>
                          <a:noFill/>
                          <a:ln>
                            <a:noFill/>
                          </a:ln>
                        </pic:spPr>
                      </pic:pic>
                    </a:graphicData>
                  </a:graphic>
                </wp:inline>
              </w:drawing>
            </w:r>
          </w:p>
          <w:p w14:paraId="2998FD7F">
            <w:pPr>
              <w:numPr>
                <w:ilvl w:val="0"/>
                <w:numId w:val="0"/>
              </w:numPr>
              <w:jc w:val="center"/>
              <w:rPr>
                <w:rFonts w:hint="default" w:ascii="Times New Roman" w:hAnsi="Times New Roman" w:eastAsia="宋体" w:cs="Times New Roman"/>
                <w:b/>
                <w:bCs/>
                <w:caps w:val="0"/>
                <w:color w:val="auto"/>
                <w:sz w:val="24"/>
                <w:szCs w:val="24"/>
                <w:highlight w:val="none"/>
                <w:lang w:val="en-US" w:eastAsia="zh-CN"/>
              </w:rPr>
            </w:pPr>
            <w:r>
              <w:rPr>
                <w:rFonts w:hint="default" w:ascii="Times New Roman" w:hAnsi="Times New Roman" w:eastAsia="宋体" w:cs="Times New Roman"/>
                <w:b/>
                <w:bCs/>
                <w:caps w:val="0"/>
                <w:color w:val="auto"/>
                <w:sz w:val="24"/>
                <w:szCs w:val="24"/>
                <w:highlight w:val="none"/>
                <w:lang w:val="en-US" w:eastAsia="zh-CN"/>
              </w:rPr>
              <w:t>图2-4   离层岩层的互层条件力学结构类型</w:t>
            </w:r>
          </w:p>
          <w:p w14:paraId="6C7806C0">
            <w:pPr>
              <w:keepNext w:val="0"/>
              <w:keepLines w:val="0"/>
              <w:pageBreakBefore w:val="0"/>
              <w:widowControl w:val="0"/>
              <w:numPr>
                <w:ilvl w:val="0"/>
                <w:numId w:val="0"/>
              </w:numPr>
              <w:kinsoku/>
              <w:wordWrap/>
              <w:overflowPunct/>
              <w:topLinePunct/>
              <w:autoSpaceDE/>
              <w:autoSpaceDN/>
              <w:bidi w:val="0"/>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0"/>
                <w:highlight w:val="none"/>
                <w:lang w:val="en-US" w:eastAsia="zh-CN" w:bidi="ar-SA"/>
              </w:rPr>
            </w:pPr>
            <w:r>
              <w:rPr>
                <w:rFonts w:hint="default" w:ascii="Times New Roman" w:hAnsi="Times New Roman" w:eastAsia="宋体" w:cs="Times New Roman"/>
                <w:b w:val="0"/>
                <w:bCs w:val="0"/>
                <w:color w:val="auto"/>
                <w:kern w:val="0"/>
                <w:sz w:val="24"/>
                <w:szCs w:val="20"/>
                <w:highlight w:val="none"/>
                <w:lang w:val="en-US" w:eastAsia="zh-CN" w:bidi="ar-SA"/>
              </w:rPr>
              <w:t>（3）</w:t>
            </w:r>
            <w:r>
              <w:rPr>
                <w:rFonts w:hint="default" w:ascii="Times New Roman" w:hAnsi="Times New Roman" w:eastAsia="宋体" w:cs="Times New Roman"/>
                <w:color w:val="auto"/>
                <w:sz w:val="24"/>
              </w:rPr>
              <w:t>覆岩离层注浆技术原理</w:t>
            </w:r>
          </w:p>
          <w:p w14:paraId="7D5654E1">
            <w:pPr>
              <w:spacing w:line="480" w:lineRule="exact"/>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其原理是通过设计合理的工作面采宽使主关键层或目标关键层初采期稳定，合理留设一定宽度的区段隔离煤柱，控制相邻两工作面覆岩的联通移动并均处于非充分采动状态，通过地面钻孔对采动覆岩离层区进行注浆充填，在采空区中部范围形成一定宽度的注浆充填压实承载区，并保持主关键层或目标关键层的采中稳定，形成覆岩关键层结构—充填区压实承载层—区段隔离煤柱复合支撑承载结构，保证关键层的稳定。其设计原理如图</w:t>
            </w:r>
            <w:r>
              <w:rPr>
                <w:rFonts w:hint="default" w:ascii="Times New Roman" w:hAnsi="Times New Roman" w:eastAsia="宋体" w:cs="Times New Roman"/>
                <w:color w:val="auto"/>
                <w:kern w:val="0"/>
                <w:sz w:val="24"/>
                <w:lang w:val="en-US" w:eastAsia="zh-CN"/>
              </w:rPr>
              <w:t>2-</w:t>
            </w:r>
            <w:r>
              <w:rPr>
                <w:rFonts w:hint="eastAsia" w:cs="Times New Roman"/>
                <w:color w:val="auto"/>
                <w:kern w:val="0"/>
                <w:sz w:val="24"/>
                <w:lang w:val="en-US" w:eastAsia="zh-CN"/>
              </w:rPr>
              <w:t>5</w:t>
            </w:r>
            <w:r>
              <w:rPr>
                <w:rFonts w:hint="default" w:ascii="Times New Roman" w:hAnsi="Times New Roman" w:eastAsia="宋体" w:cs="Times New Roman"/>
                <w:color w:val="auto"/>
                <w:kern w:val="0"/>
                <w:sz w:val="24"/>
              </w:rPr>
              <w:t>、</w:t>
            </w:r>
            <w:r>
              <w:rPr>
                <w:rFonts w:hint="default" w:ascii="Times New Roman" w:hAnsi="Times New Roman" w:eastAsia="宋体" w:cs="Times New Roman"/>
                <w:color w:val="auto"/>
                <w:kern w:val="0"/>
                <w:sz w:val="24"/>
                <w:lang w:val="en-US" w:eastAsia="zh-CN"/>
              </w:rPr>
              <w:t>2-</w:t>
            </w:r>
            <w:r>
              <w:rPr>
                <w:rFonts w:hint="eastAsia" w:cs="Times New Roman"/>
                <w:color w:val="auto"/>
                <w:kern w:val="0"/>
                <w:sz w:val="24"/>
                <w:lang w:val="en-US" w:eastAsia="zh-CN"/>
              </w:rPr>
              <w:t>6</w:t>
            </w:r>
            <w:r>
              <w:rPr>
                <w:rFonts w:hint="default" w:ascii="Times New Roman" w:hAnsi="Times New Roman" w:eastAsia="宋体" w:cs="Times New Roman"/>
                <w:color w:val="auto"/>
                <w:kern w:val="0"/>
                <w:sz w:val="24"/>
              </w:rPr>
              <w:t>所示。</w:t>
            </w:r>
          </w:p>
          <w:p w14:paraId="09A99817">
            <w:pPr>
              <w:pStyle w:val="19"/>
              <w:ind w:left="0" w:leftChars="0"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4382770" cy="2646045"/>
                  <wp:effectExtent l="0" t="0" r="17780" b="190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8"/>
                          <a:stretch>
                            <a:fillRect/>
                          </a:stretch>
                        </pic:blipFill>
                        <pic:spPr>
                          <a:xfrm>
                            <a:off x="0" y="0"/>
                            <a:ext cx="4382770" cy="2646045"/>
                          </a:xfrm>
                          <a:prstGeom prst="rect">
                            <a:avLst/>
                          </a:prstGeom>
                          <a:noFill/>
                          <a:ln>
                            <a:noFill/>
                          </a:ln>
                        </pic:spPr>
                      </pic:pic>
                    </a:graphicData>
                  </a:graphic>
                </wp:inline>
              </w:drawing>
            </w:r>
          </w:p>
          <w:p w14:paraId="4E8D0CFA">
            <w:pPr>
              <w:pStyle w:val="73"/>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0" distR="0">
                  <wp:extent cx="4590415" cy="2207260"/>
                  <wp:effectExtent l="0" t="0" r="635" b="2540"/>
                  <wp:docPr id="2032796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6793"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590415" cy="2207260"/>
                          </a:xfrm>
                          <a:prstGeom prst="rect">
                            <a:avLst/>
                          </a:prstGeom>
                          <a:noFill/>
                        </pic:spPr>
                      </pic:pic>
                    </a:graphicData>
                  </a:graphic>
                </wp:inline>
              </w:drawing>
            </w:r>
          </w:p>
          <w:p w14:paraId="1F131679">
            <w:pPr>
              <w:pStyle w:val="73"/>
              <w:spacing w:after="0" w:line="500" w:lineRule="exac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w:t>
            </w:r>
            <w:r>
              <w:rPr>
                <w:rFonts w:hint="default" w:ascii="Times New Roman" w:hAnsi="Times New Roman" w:eastAsia="宋体" w:cs="Times New Roman"/>
                <w:b/>
                <w:bCs/>
                <w:color w:val="auto"/>
                <w:sz w:val="24"/>
                <w:szCs w:val="24"/>
                <w:lang w:val="en-US" w:eastAsia="zh-CN"/>
              </w:rPr>
              <w:t>2-5</w:t>
            </w:r>
            <w:r>
              <w:rPr>
                <w:rFonts w:hint="default" w:ascii="Times New Roman" w:hAnsi="Times New Roman" w:eastAsia="宋体" w:cs="Times New Roman"/>
                <w:b/>
                <w:bCs/>
                <w:color w:val="auto"/>
                <w:sz w:val="24"/>
                <w:szCs w:val="24"/>
              </w:rPr>
              <w:t>离层注浆设计原理示意图</w:t>
            </w:r>
          </w:p>
          <w:p w14:paraId="64F15B70">
            <w:pP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4114165" cy="2155190"/>
                  <wp:effectExtent l="0" t="0" r="635" b="1651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0"/>
                          <a:stretch>
                            <a:fillRect/>
                          </a:stretch>
                        </pic:blipFill>
                        <pic:spPr>
                          <a:xfrm>
                            <a:off x="0" y="0"/>
                            <a:ext cx="4114165" cy="2155190"/>
                          </a:xfrm>
                          <a:prstGeom prst="rect">
                            <a:avLst/>
                          </a:prstGeom>
                          <a:noFill/>
                          <a:ln>
                            <a:noFill/>
                          </a:ln>
                        </pic:spPr>
                      </pic:pic>
                    </a:graphicData>
                  </a:graphic>
                </wp:inline>
              </w:drawing>
            </w:r>
          </w:p>
          <w:p w14:paraId="1E6F12F0">
            <w:pPr>
              <w:keepNext w:val="0"/>
              <w:keepLines w:val="0"/>
              <w:widowControl/>
              <w:suppressLineNumbers w:val="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kern w:val="0"/>
                <w:sz w:val="24"/>
                <w:szCs w:val="24"/>
                <w:lang w:val="en-US" w:eastAsia="zh-CN" w:bidi="ar"/>
              </w:rPr>
              <w:t>图 2-6离层注浆控制设计原理框图</w:t>
            </w:r>
          </w:p>
          <w:p w14:paraId="4CB71D41">
            <w:pPr>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w:t>
            </w:r>
            <w:r>
              <w:rPr>
                <w:rFonts w:hint="default" w:ascii="Times New Roman" w:hAnsi="Times New Roman" w:eastAsia="宋体" w:cs="Times New Roman"/>
                <w:b w:val="0"/>
                <w:bCs w:val="0"/>
                <w:color w:val="auto"/>
                <w:lang w:val="en-US" w:eastAsia="zh-CN"/>
              </w:rPr>
              <w:t>4</w:t>
            </w:r>
            <w:r>
              <w:rPr>
                <w:rFonts w:hint="default" w:ascii="Times New Roman" w:hAnsi="Times New Roman" w:eastAsia="宋体" w:cs="Times New Roman"/>
                <w:b w:val="0"/>
                <w:bCs w:val="0"/>
                <w:color w:val="auto"/>
              </w:rPr>
              <w:t>）</w:t>
            </w:r>
            <w:r>
              <w:rPr>
                <w:rFonts w:hint="default" w:ascii="Times New Roman" w:hAnsi="Times New Roman" w:eastAsia="宋体" w:cs="Times New Roman"/>
                <w:b w:val="0"/>
                <w:bCs w:val="0"/>
                <w:color w:val="auto"/>
                <w:lang w:val="en-US" w:eastAsia="zh-CN"/>
              </w:rPr>
              <w:t>本项目</w:t>
            </w:r>
            <w:r>
              <w:rPr>
                <w:rFonts w:hint="default" w:ascii="Times New Roman" w:hAnsi="Times New Roman" w:eastAsia="宋体" w:cs="Times New Roman"/>
                <w:b w:val="0"/>
                <w:bCs w:val="0"/>
                <w:color w:val="auto"/>
              </w:rPr>
              <w:t>覆岩离层注浆方案</w:t>
            </w:r>
          </w:p>
          <w:p w14:paraId="1A38C576">
            <w:pPr>
              <w:rPr>
                <w:rFonts w:hint="default" w:ascii="Times New Roman" w:hAnsi="Times New Roman" w:eastAsia="宋体" w:cs="Times New Roman"/>
                <w:color w:val="auto"/>
              </w:rPr>
            </w:pPr>
            <w:r>
              <w:rPr>
                <w:rFonts w:hint="default" w:ascii="Times New Roman" w:hAnsi="Times New Roman" w:eastAsia="宋体" w:cs="Times New Roman"/>
                <w:color w:val="auto"/>
              </w:rPr>
              <w:t>①首注工作面选择</w:t>
            </w:r>
          </w:p>
          <w:p w14:paraId="7D620D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rPr>
              <w:t>目前矿井正在工作面为22盘区2201工作面，其中2102工作面完毕后顺序接续2113工作面；2201工作面开采完毕后接续2202工作面。根据矿井回采接续，首注工作面确定为2102工作面。</w:t>
            </w:r>
          </w:p>
          <w:p w14:paraId="176E89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根据内蒙古自治区能源局《关于内蒙古鄂尔多斯联海煤业有限公司白家海子矿井及选煤厂初步设计的批复》（内能煤运字〔2022〕828 号），矿井首采盘区选择移交位于井底车场西翼的2-2煤层的21盘区和井底车场东翼的22盘区，21盘区：设计可采储量 6551万t；生产能力415万t/a，盘区服务年限11.3a。</w:t>
            </w:r>
          </w:p>
          <w:p w14:paraId="13AC8531">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22盘区：设计可采储量9612万t；生产能力385万t/a，盘区服务年限 17.8a。</w:t>
            </w:r>
          </w:p>
          <w:p w14:paraId="50CDD1D5">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21、22盘区特征表见表2-3。</w:t>
            </w:r>
          </w:p>
          <w:p w14:paraId="4C5086DA">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 2-3 首采盘区特征表</w:t>
            </w:r>
          </w:p>
          <w:p w14:paraId="0979ABE3">
            <w:pPr>
              <w:keepNext w:val="0"/>
              <w:keepLines w:val="0"/>
              <w:widowControl/>
              <w:suppressLineNumbers w:val="0"/>
              <w:ind w:left="0" w:leftChars="0" w:firstLine="0" w:firstLineChars="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rPr>
              <w:drawing>
                <wp:inline distT="0" distB="0" distL="114300" distR="114300">
                  <wp:extent cx="5081905" cy="997585"/>
                  <wp:effectExtent l="0" t="0" r="4445" b="1206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31"/>
                          <a:stretch>
                            <a:fillRect/>
                          </a:stretch>
                        </pic:blipFill>
                        <pic:spPr>
                          <a:xfrm>
                            <a:off x="0" y="0"/>
                            <a:ext cx="5081905" cy="997585"/>
                          </a:xfrm>
                          <a:prstGeom prst="rect">
                            <a:avLst/>
                          </a:prstGeom>
                          <a:noFill/>
                          <a:ln>
                            <a:noFill/>
                          </a:ln>
                        </pic:spPr>
                      </pic:pic>
                    </a:graphicData>
                  </a:graphic>
                </wp:inline>
              </w:drawing>
            </w:r>
          </w:p>
          <w:p w14:paraId="547C767D">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21盘区内设计首采面为盘区中部的2105 工作面，采高为4.38~4.97m，平均 4.59m，推进长度3850m，煤层赋存稳定，构造简单，工作面生产能力 400万t/a。22盘区内设计首采面为靠近井底车场第一个区段即2201 工作面，采高为4.62~5.27m，平均 4.97m，推进长度3624m，煤层赋存稳定，构造较简单，工作面生产能力为370万t/a。</w:t>
            </w:r>
          </w:p>
          <w:p w14:paraId="5DAFDFE1">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2"/>
                <w:sz w:val="24"/>
                <w:szCs w:val="24"/>
                <w:highlight w:val="none"/>
                <w:lang w:val="en-US" w:eastAsia="zh-CN"/>
              </w:rPr>
              <w:t>根据2025年8月《白家海子煤矿煤矸石覆岩离层注浆充填项目可行性研究报告》，</w:t>
            </w:r>
            <w:r>
              <w:rPr>
                <w:rFonts w:hint="default" w:ascii="Times New Roman" w:hAnsi="Times New Roman" w:eastAsia="宋体" w:cs="Times New Roman"/>
                <w:color w:val="auto"/>
                <w:kern w:val="0"/>
                <w:sz w:val="24"/>
                <w:szCs w:val="24"/>
                <w:lang w:val="en-US" w:eastAsia="zh-CN" w:bidi="ar"/>
              </w:rPr>
              <w:t>根据项目建设现场实际情况及矿方需求，本次离层注浆首采面选为22盘区2201工作面。</w:t>
            </w:r>
          </w:p>
          <w:p w14:paraId="75CAE334">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lang w:val="en-US" w:eastAsia="zh-CN"/>
              </w:rPr>
              <w:t>工程服务年限：</w:t>
            </w:r>
            <w:r>
              <w:rPr>
                <w:rFonts w:hint="default" w:ascii="Times New Roman" w:hAnsi="Times New Roman" w:eastAsia="宋体" w:cs="Times New Roman"/>
                <w:color w:val="auto"/>
                <w:kern w:val="2"/>
                <w:sz w:val="24"/>
                <w:szCs w:val="24"/>
                <w:lang w:val="en-US" w:eastAsia="zh-CN"/>
              </w:rPr>
              <w:t>首注面2201工作面注浆服务时间为26个月，注浆作业紧跟采煤作业，注浆截止时间通常滞后于工作面回采1~2个月。</w:t>
            </w:r>
          </w:p>
          <w:p w14:paraId="51468914">
            <w:pPr>
              <w:keepNext w:val="0"/>
              <w:keepLines w:val="0"/>
              <w:pageBreakBefore w:val="0"/>
              <w:widowControl w:val="0"/>
              <w:numPr>
                <w:ilvl w:val="0"/>
                <w:numId w:val="0"/>
              </w:numPr>
              <w:kinsoku/>
              <w:wordWrap/>
              <w:overflowPunct/>
              <w:topLinePunct/>
              <w:autoSpaceDE/>
              <w:autoSpaceDN/>
              <w:bidi w:val="0"/>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0"/>
                <w:highlight w:val="none"/>
                <w:lang w:val="en-US" w:eastAsia="zh-CN" w:bidi="ar-SA"/>
              </w:rPr>
            </w:pPr>
            <w:r>
              <w:rPr>
                <w:rFonts w:hint="default" w:ascii="Times New Roman" w:hAnsi="Times New Roman" w:eastAsia="宋体" w:cs="Times New Roman"/>
                <w:b w:val="0"/>
                <w:bCs w:val="0"/>
                <w:color w:val="auto"/>
                <w:kern w:val="0"/>
                <w:sz w:val="24"/>
                <w:szCs w:val="20"/>
                <w:highlight w:val="none"/>
                <w:lang w:val="en-US" w:eastAsia="zh-CN" w:bidi="ar-SA"/>
              </w:rPr>
              <w:t>②煤矿离层发育规律分析</w:t>
            </w:r>
          </w:p>
          <w:p w14:paraId="5CBC9CBF">
            <w:pPr>
              <w:widowControl w:val="0"/>
              <w:spacing w:line="500" w:lineRule="exact"/>
              <w:ind w:firstLine="482" w:firstLineChars="200"/>
              <w:rPr>
                <w:rFonts w:hint="default" w:ascii="Times New Roman" w:hAnsi="Times New Roman" w:eastAsia="宋体" w:cs="Times New Roman"/>
                <w:b/>
                <w:bCs/>
                <w:color w:val="auto"/>
                <w:kern w:val="2"/>
                <w:sz w:val="24"/>
                <w:lang w:val="en-US" w:eastAsia="zh-CN"/>
              </w:rPr>
            </w:pPr>
            <w:r>
              <w:rPr>
                <w:rFonts w:hint="default" w:ascii="Times New Roman" w:hAnsi="Times New Roman" w:eastAsia="宋体" w:cs="Times New Roman"/>
                <w:b/>
                <w:bCs/>
                <w:color w:val="auto"/>
                <w:kern w:val="2"/>
                <w:sz w:val="24"/>
                <w:lang w:val="en-US" w:eastAsia="zh-CN"/>
              </w:rPr>
              <w:t>1.</w:t>
            </w:r>
            <w:r>
              <w:rPr>
                <w:rFonts w:hint="default" w:ascii="Times New Roman" w:hAnsi="Times New Roman" w:eastAsia="宋体" w:cs="Times New Roman"/>
                <w:b/>
                <w:bCs/>
                <w:color w:val="auto"/>
                <w:sz w:val="24"/>
              </w:rPr>
              <w:t>覆岩关键层</w:t>
            </w:r>
          </w:p>
          <w:p w14:paraId="74081E59">
            <w:pPr>
              <w:widowControl w:val="0"/>
              <w:spacing w:line="500" w:lineRule="exact"/>
              <w:ind w:firstLine="480" w:firstLineChars="200"/>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设计结合内蒙古煤炭地质勘查（集团）一一七有限公司2019年7月编制的《内蒙古自治区东胜煤田纳林河矿区白家海子井田煤炭勘探报告》，并根据首采区域B09钻孔资料，推断白家海子煤矿关键层信息。导水裂隙带高度按25倍考虑，煤层厚度取5.27m。</w:t>
            </w:r>
          </w:p>
          <w:p w14:paraId="3BC481C9">
            <w:pPr>
              <w:widowControl w:val="0"/>
              <w:spacing w:line="500" w:lineRule="exact"/>
              <w:ind w:firstLine="0" w:firstLineChars="0"/>
              <w:jc w:val="center"/>
              <w:rPr>
                <w:rFonts w:hint="default" w:ascii="Times New Roman" w:hAnsi="Times New Roman" w:eastAsia="宋体" w:cs="Times New Roman"/>
                <w:b/>
                <w:bCs/>
                <w:color w:val="auto"/>
                <w:kern w:val="2"/>
                <w:sz w:val="24"/>
              </w:rPr>
            </w:pPr>
            <w:r>
              <w:rPr>
                <w:rFonts w:hint="default" w:ascii="Times New Roman" w:hAnsi="Times New Roman" w:eastAsia="宋体" w:cs="Times New Roman"/>
                <w:b/>
                <w:bCs/>
                <w:color w:val="auto"/>
                <w:kern w:val="2"/>
                <w:sz w:val="24"/>
              </w:rPr>
              <w:t>表</w:t>
            </w:r>
            <w:r>
              <w:rPr>
                <w:rFonts w:hint="default" w:ascii="Times New Roman" w:hAnsi="Times New Roman" w:eastAsia="宋体" w:cs="Times New Roman"/>
                <w:b/>
                <w:bCs/>
                <w:color w:val="auto"/>
                <w:kern w:val="2"/>
                <w:sz w:val="24"/>
                <w:lang w:val="en-US" w:eastAsia="zh-CN"/>
              </w:rPr>
              <w:t>2-4</w:t>
            </w:r>
            <w:r>
              <w:rPr>
                <w:rFonts w:hint="default" w:ascii="Times New Roman" w:hAnsi="Times New Roman" w:eastAsia="宋体" w:cs="Times New Roman"/>
                <w:b/>
                <w:bCs/>
                <w:color w:val="auto"/>
                <w:kern w:val="2"/>
                <w:sz w:val="24"/>
              </w:rPr>
              <w:t xml:space="preserve"> 首采工作面附近B09钻孔及关键层情况</w:t>
            </w:r>
          </w:p>
          <w:tbl>
            <w:tblPr>
              <w:tblStyle w:val="25"/>
              <w:tblW w:w="7720" w:type="dxa"/>
              <w:jc w:val="center"/>
              <w:tblLayout w:type="autofit"/>
              <w:tblCellMar>
                <w:top w:w="0" w:type="dxa"/>
                <w:left w:w="108" w:type="dxa"/>
                <w:bottom w:w="0" w:type="dxa"/>
                <w:right w:w="108" w:type="dxa"/>
              </w:tblCellMar>
            </w:tblPr>
            <w:tblGrid>
              <w:gridCol w:w="1040"/>
              <w:gridCol w:w="1507"/>
              <w:gridCol w:w="1173"/>
              <w:gridCol w:w="1040"/>
              <w:gridCol w:w="1040"/>
              <w:gridCol w:w="1920"/>
            </w:tblGrid>
            <w:tr w14:paraId="3BECCDB6">
              <w:tblPrEx>
                <w:tblCellMar>
                  <w:top w:w="0" w:type="dxa"/>
                  <w:left w:w="108" w:type="dxa"/>
                  <w:bottom w:w="0" w:type="dxa"/>
                  <w:right w:w="108" w:type="dxa"/>
                </w:tblCellMar>
              </w:tblPrEx>
              <w:trPr>
                <w:trHeight w:val="280" w:hRule="atLeast"/>
                <w:jc w:val="center"/>
              </w:trPr>
              <w:tc>
                <w:tcPr>
                  <w:tcW w:w="1040" w:type="dxa"/>
                  <w:tcBorders>
                    <w:top w:val="single" w:color="auto" w:sz="4" w:space="0"/>
                    <w:left w:val="single" w:color="auto" w:sz="4" w:space="0"/>
                    <w:bottom w:val="single" w:color="auto" w:sz="4" w:space="0"/>
                    <w:right w:val="single" w:color="auto" w:sz="4" w:space="0"/>
                  </w:tcBorders>
                  <w:noWrap/>
                  <w:vAlign w:val="center"/>
                </w:tcPr>
                <w:p w14:paraId="770FC46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序号</w:t>
                  </w:r>
                </w:p>
              </w:tc>
              <w:tc>
                <w:tcPr>
                  <w:tcW w:w="1507" w:type="dxa"/>
                  <w:tcBorders>
                    <w:top w:val="single" w:color="auto" w:sz="4" w:space="0"/>
                    <w:left w:val="nil"/>
                    <w:bottom w:val="single" w:color="auto" w:sz="4" w:space="0"/>
                    <w:right w:val="single" w:color="auto" w:sz="4" w:space="0"/>
                  </w:tcBorders>
                  <w:noWrap/>
                  <w:vAlign w:val="center"/>
                </w:tcPr>
                <w:p w14:paraId="0EA3196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关键层</w:t>
                  </w:r>
                </w:p>
              </w:tc>
              <w:tc>
                <w:tcPr>
                  <w:tcW w:w="1173" w:type="dxa"/>
                  <w:tcBorders>
                    <w:top w:val="single" w:color="auto" w:sz="4" w:space="0"/>
                    <w:left w:val="nil"/>
                    <w:bottom w:val="single" w:color="auto" w:sz="4" w:space="0"/>
                    <w:right w:val="single" w:color="auto" w:sz="4" w:space="0"/>
                  </w:tcBorders>
                  <w:noWrap/>
                  <w:vAlign w:val="center"/>
                </w:tcPr>
                <w:p w14:paraId="6631AF1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岩性</w:t>
                  </w:r>
                </w:p>
              </w:tc>
              <w:tc>
                <w:tcPr>
                  <w:tcW w:w="1040" w:type="dxa"/>
                  <w:tcBorders>
                    <w:top w:val="single" w:color="auto" w:sz="4" w:space="0"/>
                    <w:left w:val="nil"/>
                    <w:bottom w:val="single" w:color="auto" w:sz="4" w:space="0"/>
                    <w:right w:val="single" w:color="auto" w:sz="4" w:space="0"/>
                  </w:tcBorders>
                  <w:noWrap/>
                  <w:vAlign w:val="center"/>
                </w:tcPr>
                <w:p w14:paraId="46D2EAC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厚度（m）</w:t>
                  </w:r>
                </w:p>
              </w:tc>
              <w:tc>
                <w:tcPr>
                  <w:tcW w:w="1040" w:type="dxa"/>
                  <w:tcBorders>
                    <w:top w:val="single" w:color="auto" w:sz="4" w:space="0"/>
                    <w:left w:val="nil"/>
                    <w:bottom w:val="single" w:color="auto" w:sz="4" w:space="0"/>
                    <w:right w:val="single" w:color="auto" w:sz="4" w:space="0"/>
                  </w:tcBorders>
                  <w:noWrap/>
                  <w:vAlign w:val="center"/>
                </w:tcPr>
                <w:p w14:paraId="7BB6FD3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埋深/m</w:t>
                  </w:r>
                </w:p>
              </w:tc>
              <w:tc>
                <w:tcPr>
                  <w:tcW w:w="1920" w:type="dxa"/>
                  <w:tcBorders>
                    <w:top w:val="single" w:color="auto" w:sz="4" w:space="0"/>
                    <w:left w:val="nil"/>
                    <w:bottom w:val="single" w:color="auto" w:sz="4" w:space="0"/>
                    <w:right w:val="single" w:color="auto" w:sz="4" w:space="0"/>
                  </w:tcBorders>
                  <w:noWrap/>
                  <w:vAlign w:val="center"/>
                </w:tcPr>
                <w:p w14:paraId="0455752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距煤层距离（m）</w:t>
                  </w:r>
                </w:p>
              </w:tc>
            </w:tr>
            <w:tr w14:paraId="48032191">
              <w:tblPrEx>
                <w:tblCellMar>
                  <w:top w:w="0" w:type="dxa"/>
                  <w:left w:w="108" w:type="dxa"/>
                  <w:bottom w:w="0" w:type="dxa"/>
                  <w:right w:w="108" w:type="dxa"/>
                </w:tblCellMar>
              </w:tblPrEx>
              <w:trPr>
                <w:trHeight w:val="280" w:hRule="atLeast"/>
                <w:jc w:val="center"/>
              </w:trPr>
              <w:tc>
                <w:tcPr>
                  <w:tcW w:w="1040" w:type="dxa"/>
                  <w:tcBorders>
                    <w:top w:val="nil"/>
                    <w:left w:val="single" w:color="auto" w:sz="4" w:space="0"/>
                    <w:bottom w:val="single" w:color="auto" w:sz="4" w:space="0"/>
                    <w:right w:val="single" w:color="auto" w:sz="4" w:space="0"/>
                  </w:tcBorders>
                  <w:noWrap/>
                  <w:vAlign w:val="center"/>
                </w:tcPr>
                <w:p w14:paraId="451F374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w:t>
                  </w:r>
                </w:p>
              </w:tc>
              <w:tc>
                <w:tcPr>
                  <w:tcW w:w="1507" w:type="dxa"/>
                  <w:tcBorders>
                    <w:top w:val="nil"/>
                    <w:left w:val="nil"/>
                    <w:bottom w:val="single" w:color="auto" w:sz="4" w:space="0"/>
                    <w:right w:val="single" w:color="auto" w:sz="4" w:space="0"/>
                  </w:tcBorders>
                  <w:noWrap/>
                  <w:vAlign w:val="center"/>
                </w:tcPr>
                <w:p w14:paraId="490B4CD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主关键层</w:t>
                  </w:r>
                </w:p>
              </w:tc>
              <w:tc>
                <w:tcPr>
                  <w:tcW w:w="1173" w:type="dxa"/>
                  <w:tcBorders>
                    <w:top w:val="nil"/>
                    <w:left w:val="nil"/>
                    <w:bottom w:val="single" w:color="auto" w:sz="4" w:space="0"/>
                    <w:right w:val="single" w:color="auto" w:sz="4" w:space="0"/>
                  </w:tcBorders>
                  <w:noWrap/>
                  <w:vAlign w:val="center"/>
                </w:tcPr>
                <w:p w14:paraId="14F7C90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中粒砂岩</w:t>
                  </w:r>
                </w:p>
              </w:tc>
              <w:tc>
                <w:tcPr>
                  <w:tcW w:w="1040" w:type="dxa"/>
                  <w:tcBorders>
                    <w:top w:val="nil"/>
                    <w:left w:val="nil"/>
                    <w:bottom w:val="single" w:color="auto" w:sz="4" w:space="0"/>
                    <w:right w:val="single" w:color="auto" w:sz="4" w:space="0"/>
                  </w:tcBorders>
                  <w:noWrap/>
                  <w:vAlign w:val="center"/>
                </w:tcPr>
                <w:p w14:paraId="38D2842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20.84</w:t>
                  </w:r>
                </w:p>
              </w:tc>
              <w:tc>
                <w:tcPr>
                  <w:tcW w:w="1040" w:type="dxa"/>
                  <w:tcBorders>
                    <w:top w:val="nil"/>
                    <w:left w:val="nil"/>
                    <w:bottom w:val="single" w:color="auto" w:sz="4" w:space="0"/>
                    <w:right w:val="single" w:color="auto" w:sz="4" w:space="0"/>
                  </w:tcBorders>
                  <w:noWrap/>
                  <w:vAlign w:val="center"/>
                </w:tcPr>
                <w:p w14:paraId="5CD90F0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392.6</w:t>
                  </w:r>
                </w:p>
              </w:tc>
              <w:tc>
                <w:tcPr>
                  <w:tcW w:w="1920" w:type="dxa"/>
                  <w:tcBorders>
                    <w:top w:val="nil"/>
                    <w:left w:val="nil"/>
                    <w:bottom w:val="single" w:color="auto" w:sz="4" w:space="0"/>
                    <w:right w:val="single" w:color="auto" w:sz="4" w:space="0"/>
                  </w:tcBorders>
                  <w:noWrap/>
                  <w:vAlign w:val="center"/>
                </w:tcPr>
                <w:p w14:paraId="29C4B1F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268.94</w:t>
                  </w:r>
                </w:p>
              </w:tc>
            </w:tr>
            <w:tr w14:paraId="323E9FB8">
              <w:tblPrEx>
                <w:tblCellMar>
                  <w:top w:w="0" w:type="dxa"/>
                  <w:left w:w="108" w:type="dxa"/>
                  <w:bottom w:w="0" w:type="dxa"/>
                  <w:right w:w="108" w:type="dxa"/>
                </w:tblCellMar>
              </w:tblPrEx>
              <w:trPr>
                <w:trHeight w:val="280" w:hRule="atLeast"/>
                <w:jc w:val="center"/>
              </w:trPr>
              <w:tc>
                <w:tcPr>
                  <w:tcW w:w="1040" w:type="dxa"/>
                  <w:tcBorders>
                    <w:top w:val="nil"/>
                    <w:left w:val="single" w:color="auto" w:sz="4" w:space="0"/>
                    <w:bottom w:val="single" w:color="auto" w:sz="4" w:space="0"/>
                    <w:right w:val="single" w:color="auto" w:sz="4" w:space="0"/>
                  </w:tcBorders>
                  <w:noWrap/>
                  <w:vAlign w:val="center"/>
                </w:tcPr>
                <w:p w14:paraId="6ACC227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w:t>
                  </w:r>
                </w:p>
              </w:tc>
              <w:tc>
                <w:tcPr>
                  <w:tcW w:w="1507" w:type="dxa"/>
                  <w:tcBorders>
                    <w:top w:val="nil"/>
                    <w:left w:val="nil"/>
                    <w:bottom w:val="single" w:color="auto" w:sz="4" w:space="0"/>
                    <w:right w:val="single" w:color="auto" w:sz="4" w:space="0"/>
                  </w:tcBorders>
                  <w:noWrap/>
                  <w:vAlign w:val="center"/>
                </w:tcPr>
                <w:p w14:paraId="6BF668C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亚关键层1</w:t>
                  </w:r>
                </w:p>
              </w:tc>
              <w:tc>
                <w:tcPr>
                  <w:tcW w:w="1173" w:type="dxa"/>
                  <w:tcBorders>
                    <w:top w:val="nil"/>
                    <w:left w:val="nil"/>
                    <w:bottom w:val="single" w:color="auto" w:sz="4" w:space="0"/>
                    <w:right w:val="single" w:color="auto" w:sz="4" w:space="0"/>
                  </w:tcBorders>
                  <w:noWrap/>
                  <w:vAlign w:val="center"/>
                </w:tcPr>
                <w:p w14:paraId="5A61AB9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粉砂岩</w:t>
                  </w:r>
                </w:p>
              </w:tc>
              <w:tc>
                <w:tcPr>
                  <w:tcW w:w="1040" w:type="dxa"/>
                  <w:tcBorders>
                    <w:top w:val="nil"/>
                    <w:left w:val="nil"/>
                    <w:bottom w:val="single" w:color="auto" w:sz="4" w:space="0"/>
                    <w:right w:val="single" w:color="auto" w:sz="4" w:space="0"/>
                  </w:tcBorders>
                  <w:noWrap/>
                  <w:vAlign w:val="center"/>
                </w:tcPr>
                <w:p w14:paraId="5B874B9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29.51</w:t>
                  </w:r>
                </w:p>
              </w:tc>
              <w:tc>
                <w:tcPr>
                  <w:tcW w:w="1040" w:type="dxa"/>
                  <w:tcBorders>
                    <w:top w:val="nil"/>
                    <w:left w:val="nil"/>
                    <w:bottom w:val="single" w:color="auto" w:sz="4" w:space="0"/>
                    <w:right w:val="single" w:color="auto" w:sz="4" w:space="0"/>
                  </w:tcBorders>
                  <w:noWrap/>
                  <w:vAlign w:val="center"/>
                </w:tcPr>
                <w:p w14:paraId="30E8CD2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478.4</w:t>
                  </w:r>
                </w:p>
              </w:tc>
              <w:tc>
                <w:tcPr>
                  <w:tcW w:w="1920" w:type="dxa"/>
                  <w:tcBorders>
                    <w:top w:val="nil"/>
                    <w:left w:val="nil"/>
                    <w:bottom w:val="single" w:color="auto" w:sz="4" w:space="0"/>
                    <w:right w:val="single" w:color="auto" w:sz="4" w:space="0"/>
                  </w:tcBorders>
                  <w:noWrap/>
                  <w:vAlign w:val="center"/>
                </w:tcPr>
                <w:p w14:paraId="59B339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183.14</w:t>
                  </w:r>
                </w:p>
              </w:tc>
            </w:tr>
            <w:tr w14:paraId="7FD1BEC1">
              <w:tblPrEx>
                <w:tblCellMar>
                  <w:top w:w="0" w:type="dxa"/>
                  <w:left w:w="108" w:type="dxa"/>
                  <w:bottom w:w="0" w:type="dxa"/>
                  <w:right w:w="108" w:type="dxa"/>
                </w:tblCellMar>
              </w:tblPrEx>
              <w:trPr>
                <w:trHeight w:val="280" w:hRule="atLeast"/>
                <w:jc w:val="center"/>
              </w:trPr>
              <w:tc>
                <w:tcPr>
                  <w:tcW w:w="1040" w:type="dxa"/>
                  <w:tcBorders>
                    <w:top w:val="nil"/>
                    <w:left w:val="single" w:color="auto" w:sz="4" w:space="0"/>
                    <w:bottom w:val="single" w:color="auto" w:sz="4" w:space="0"/>
                    <w:right w:val="single" w:color="auto" w:sz="4" w:space="0"/>
                  </w:tcBorders>
                  <w:noWrap/>
                  <w:vAlign w:val="center"/>
                </w:tcPr>
                <w:p w14:paraId="4DB9759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3</w:t>
                  </w:r>
                </w:p>
              </w:tc>
              <w:tc>
                <w:tcPr>
                  <w:tcW w:w="1507" w:type="dxa"/>
                  <w:tcBorders>
                    <w:top w:val="nil"/>
                    <w:left w:val="nil"/>
                    <w:bottom w:val="single" w:color="auto" w:sz="4" w:space="0"/>
                    <w:right w:val="single" w:color="auto" w:sz="4" w:space="0"/>
                  </w:tcBorders>
                  <w:noWrap/>
                  <w:vAlign w:val="center"/>
                </w:tcPr>
                <w:p w14:paraId="0B2BE91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亚关键层2</w:t>
                  </w:r>
                </w:p>
              </w:tc>
              <w:tc>
                <w:tcPr>
                  <w:tcW w:w="1173" w:type="dxa"/>
                  <w:tcBorders>
                    <w:top w:val="nil"/>
                    <w:left w:val="nil"/>
                    <w:bottom w:val="single" w:color="auto" w:sz="4" w:space="0"/>
                    <w:right w:val="single" w:color="auto" w:sz="4" w:space="0"/>
                  </w:tcBorders>
                  <w:noWrap/>
                  <w:vAlign w:val="center"/>
                </w:tcPr>
                <w:p w14:paraId="5F53ECD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细粒砂岩</w:t>
                  </w:r>
                </w:p>
              </w:tc>
              <w:tc>
                <w:tcPr>
                  <w:tcW w:w="1040" w:type="dxa"/>
                  <w:tcBorders>
                    <w:top w:val="nil"/>
                    <w:left w:val="nil"/>
                    <w:bottom w:val="single" w:color="auto" w:sz="4" w:space="0"/>
                    <w:right w:val="single" w:color="auto" w:sz="4" w:space="0"/>
                  </w:tcBorders>
                  <w:noWrap/>
                  <w:vAlign w:val="center"/>
                </w:tcPr>
                <w:p w14:paraId="39DF1F1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27.72</w:t>
                  </w:r>
                </w:p>
              </w:tc>
              <w:tc>
                <w:tcPr>
                  <w:tcW w:w="1040" w:type="dxa"/>
                  <w:tcBorders>
                    <w:top w:val="nil"/>
                    <w:left w:val="nil"/>
                    <w:bottom w:val="single" w:color="auto" w:sz="4" w:space="0"/>
                    <w:right w:val="single" w:color="auto" w:sz="4" w:space="0"/>
                  </w:tcBorders>
                  <w:noWrap/>
                  <w:vAlign w:val="center"/>
                </w:tcPr>
                <w:p w14:paraId="4A949F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529.50</w:t>
                  </w:r>
                </w:p>
              </w:tc>
              <w:tc>
                <w:tcPr>
                  <w:tcW w:w="1920" w:type="dxa"/>
                  <w:tcBorders>
                    <w:top w:val="nil"/>
                    <w:left w:val="nil"/>
                    <w:bottom w:val="single" w:color="auto" w:sz="4" w:space="0"/>
                    <w:right w:val="single" w:color="auto" w:sz="4" w:space="0"/>
                  </w:tcBorders>
                  <w:noWrap/>
                  <w:vAlign w:val="center"/>
                </w:tcPr>
                <w:p w14:paraId="2932464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132.04</w:t>
                  </w:r>
                </w:p>
              </w:tc>
            </w:tr>
          </w:tbl>
          <w:p w14:paraId="17ABCEB5">
            <w:pPr>
              <w:keepNext w:val="0"/>
              <w:keepLines w:val="0"/>
              <w:pageBreakBefore w:val="0"/>
              <w:widowControl w:val="0"/>
              <w:kinsoku/>
              <w:wordWrap/>
              <w:overflowPunct/>
              <w:autoSpaceDE/>
              <w:autoSpaceDN/>
              <w:bidi w:val="0"/>
              <w:snapToGrid w:val="0"/>
              <w:spacing w:line="360" w:lineRule="auto"/>
              <w:ind w:firstLine="482" w:firstLineChars="200"/>
              <w:textAlignment w:val="auto"/>
              <w:outlineLvl w:val="2"/>
              <w:rPr>
                <w:rFonts w:hint="default" w:ascii="Times New Roman" w:hAnsi="Times New Roman" w:eastAsia="宋体" w:cs="Times New Roman"/>
                <w:b/>
                <w:bCs/>
                <w:color w:val="auto"/>
                <w:kern w:val="2"/>
                <w:sz w:val="24"/>
              </w:rPr>
            </w:pPr>
            <w:r>
              <w:rPr>
                <w:rFonts w:hint="default" w:ascii="Times New Roman" w:hAnsi="Times New Roman" w:eastAsia="宋体" w:cs="Times New Roman"/>
                <w:b/>
                <w:bCs/>
                <w:color w:val="auto"/>
                <w:kern w:val="2"/>
                <w:sz w:val="24"/>
                <w:lang w:val="en-US" w:eastAsia="zh-CN"/>
              </w:rPr>
              <w:t>2.</w:t>
            </w:r>
            <w:r>
              <w:rPr>
                <w:rFonts w:hint="default" w:ascii="Times New Roman" w:hAnsi="Times New Roman" w:eastAsia="宋体" w:cs="Times New Roman"/>
                <w:b/>
                <w:bCs/>
                <w:color w:val="auto"/>
                <w:kern w:val="2"/>
                <w:sz w:val="24"/>
              </w:rPr>
              <w:t>离层空间位置和空间大小分析</w:t>
            </w:r>
          </w:p>
          <w:p w14:paraId="404F318F">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离层通常发生在软硬岩层交界面，关键层与下方岩层满足此条件，是良好的离层发育区。离层发展起初是一条水平裂隙，随着下方岩层的下沉，离层高度和长度逐渐扩大，发育成为近似船形，当离层跨度达到关键层的极限破断距时，关键层发生破裂触底。在关键层初次破断前，关键层下方的离层量随工作面的推进不断增大，最大离层位于采空区中部。当亚关键层发生初次破断后，该层位下的部分离层空间将会向上传递并主要位于上一层亚关键层下方，随工作面推进已发生过初次破断的亚关键层下方只在采空区四周保存部分离层空间，主要离层空间位于还未发生初次破断的亚关键层下方，直至工作面继续推进至该层关键层破断，离层空间继续向上传递，当主关键层发生破断后，离层空间将传递到地表形成地表沉陷。</w:t>
            </w:r>
          </w:p>
          <w:p w14:paraId="3CCADF69">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离层通常产生于关键层的下方，关键层理论给出了关键层的计算方法，但是，现有技术手段无法对大范围内整个地层的起伏变化，岩性和强度变化做到量化，所以关键层的计算适用条件很有限，实际应用中，往往只能通过关键层计算和经验判断相结合的方法进行关键层判断，进行初步预判离层位置，在回采过程中，再通过其他检测手段方能检测出离层位置。</w:t>
            </w:r>
          </w:p>
          <w:p w14:paraId="4820A57D">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垂直方向上，离层会出现在多个位置，离层空间属于动态发育空间，覆岩移动过程中离层空间总在向上方传递，且距离煤层越近，离层高度空间往往越大，故在保证井下安全的条件下，注浆层位越靠近煤层，越有利于注浆。</w:t>
            </w:r>
          </w:p>
          <w:p w14:paraId="75085A00">
            <w:pPr>
              <w:keepNext w:val="0"/>
              <w:keepLines w:val="0"/>
              <w:pageBreakBefore w:val="0"/>
              <w:kinsoku/>
              <w:wordWrap/>
              <w:overflowPunct/>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对钻孔B09分析可知，煤层上方约269m处，分布有一组较稳定的中粒砂岩，厚度约20.84m，该岩层段为地层的主关键层，主关键层下方分布有2层亚关键层。以B09关键层判断信息为例，主关键层下方均为离层发育区，可作为优选的注浆层位</w:t>
            </w:r>
            <w:r>
              <w:rPr>
                <w:rFonts w:hint="default" w:ascii="Times New Roman" w:hAnsi="Times New Roman" w:eastAsia="宋体" w:cs="Times New Roman"/>
                <w:color w:val="auto"/>
                <w:kern w:val="2"/>
                <w:sz w:val="24"/>
                <w:lang w:eastAsia="zh-CN"/>
              </w:rPr>
              <w:t>，</w:t>
            </w:r>
            <w:r>
              <w:rPr>
                <w:rFonts w:hint="default" w:ascii="Times New Roman" w:hAnsi="Times New Roman" w:eastAsia="宋体" w:cs="Times New Roman"/>
                <w:color w:val="auto"/>
                <w:sz w:val="24"/>
              </w:rPr>
              <w:t>并至少留设8倍采高的保护厚度</w:t>
            </w:r>
            <w:r>
              <w:rPr>
                <w:rFonts w:hint="default" w:ascii="Times New Roman" w:hAnsi="Times New Roman" w:eastAsia="宋体" w:cs="Times New Roman"/>
                <w:color w:val="auto"/>
                <w:kern w:val="2"/>
                <w:sz w:val="24"/>
              </w:rPr>
              <w:t>。结合钻孔柱状分析，初期选择区域各关键层及注浆层位位于侏罗系安定组。</w:t>
            </w:r>
          </w:p>
          <w:p w14:paraId="3F36F3B6">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rPr>
            </w:pPr>
            <w:r>
              <w:rPr>
                <w:rFonts w:hint="default" w:ascii="Times New Roman" w:hAnsi="Times New Roman" w:eastAsia="宋体" w:cs="Times New Roman"/>
                <w:color w:val="auto"/>
                <w:kern w:val="2"/>
                <w:sz w:val="24"/>
              </w:rPr>
              <w:t>离层空间的大小取决于采高、工作面长度、冒落带岩石的碎胀特征、关键层的力学特征和工作面四周岩层的支撑特征等，依据离层注浆充填经验值，离层空间为开采空间的30%～50%，本次参考相邻红庆河煤矿、门克庆煤矿、葫芦素煤矿离层注浆工程和设计经验，初步确定离层空间为开采空间的40%，离层空间和开采空间的准确比值需在工业试验过程中进行实验校核。</w:t>
            </w:r>
          </w:p>
          <w:p w14:paraId="787FBC41">
            <w:pPr>
              <w:keepNext w:val="0"/>
              <w:keepLines w:val="0"/>
              <w:pageBreakBefore w:val="0"/>
              <w:widowControl w:val="0"/>
              <w:numPr>
                <w:ilvl w:val="0"/>
                <w:numId w:val="0"/>
              </w:numPr>
              <w:kinsoku/>
              <w:wordWrap/>
              <w:overflowPunct/>
              <w:topLinePunct/>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0"/>
                <w:highlight w:val="none"/>
                <w:lang w:val="en-US" w:eastAsia="zh-CN" w:bidi="ar-SA"/>
              </w:rPr>
            </w:pPr>
            <w:r>
              <w:rPr>
                <w:rFonts w:hint="default" w:ascii="Times New Roman" w:hAnsi="Times New Roman" w:eastAsia="宋体" w:cs="Times New Roman"/>
                <w:b w:val="0"/>
                <w:bCs w:val="0"/>
                <w:color w:val="auto"/>
                <w:kern w:val="0"/>
                <w:sz w:val="24"/>
                <w:szCs w:val="20"/>
                <w:highlight w:val="none"/>
                <w:lang w:val="en-US" w:eastAsia="zh-CN" w:bidi="ar-SA"/>
              </w:rPr>
              <w:t>③注浆层位及压力</w:t>
            </w:r>
          </w:p>
          <w:p w14:paraId="6D6F84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jc w:val="both"/>
              <w:textAlignment w:val="auto"/>
              <w:rPr>
                <w:rFonts w:hint="default" w:ascii="Times New Roman" w:hAnsi="Times New Roman" w:eastAsia="宋体" w:cs="Times New Roman"/>
                <w:b w:val="0"/>
                <w:bCs w:val="0"/>
                <w:color w:val="auto"/>
                <w:kern w:val="2"/>
                <w:sz w:val="24"/>
                <w:szCs w:val="24"/>
                <w:highlight w:val="none"/>
                <w:lang w:val="en-US" w:eastAsia="zh-CN" w:bidi="ar"/>
              </w:rPr>
            </w:pPr>
            <w:r>
              <w:rPr>
                <w:rFonts w:hint="default" w:ascii="Times New Roman" w:hAnsi="Times New Roman" w:eastAsia="宋体" w:cs="Times New Roman"/>
                <w:b w:val="0"/>
                <w:bCs w:val="0"/>
                <w:color w:val="auto"/>
                <w:kern w:val="2"/>
                <w:sz w:val="24"/>
                <w:szCs w:val="24"/>
                <w:highlight w:val="none"/>
                <w:lang w:val="en-US" w:eastAsia="zh-CN" w:bidi="ar"/>
              </w:rPr>
              <w:t>根据2025年8月由中煤科工集团南京设计研究院有限公司编制的《白家海子煤矿煤矸石覆岩离层注浆充填项目可行性研究报告》，注浆层位如下：</w:t>
            </w:r>
          </w:p>
          <w:p w14:paraId="21745FE8">
            <w:pPr>
              <w:keepNext w:val="0"/>
              <w:keepLines w:val="0"/>
              <w:pageBreakBefore w:val="0"/>
              <w:widowControl/>
              <w:suppressLineNumbers w:val="0"/>
              <w:kinsoku/>
              <w:wordWrap/>
              <w:overflowPunct/>
              <w:autoSpaceDE/>
              <w:autoSpaceDN/>
              <w:bidi w:val="0"/>
              <w:adjustRightInd w:val="0"/>
              <w:snapToGrid w:val="0"/>
              <w:spacing w:line="360" w:lineRule="auto"/>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覆岩离层注浆技术要求注浆层位位于导水裂隙带上方，并留设 8 倍采高的保护厚度，防止注浆区域导通采空区。本项目注浆钻孔应将白垩系含水层封堵，防止水导入井下，同时不穿透安定组，根据矿井初步设计及环评报告，导水裂隙带高度为25倍采高，采高取5.27m，则注浆工作面层位在工作面上方：5.27×（25+8）=173.91m以上。根据《白家海子煤矿矸石覆岩离层注浆充填项目可行性研究报告》中提供钻孔B09分析（详见下图），注浆工作面深度需在661.54-173.91=487.63以上。另外，离层通常发生在软硬岩层交界面，设计钻孔深度为至亚关键层1底部，注浆深度暂取478.4m。</w:t>
            </w:r>
          </w:p>
          <w:p w14:paraId="6B693851">
            <w:pPr>
              <w:keepNext w:val="0"/>
              <w:keepLines w:val="0"/>
              <w:pageBreakBefore w:val="0"/>
              <w:widowControl/>
              <w:suppressLineNumbers w:val="0"/>
              <w:kinsoku/>
              <w:wordWrap/>
              <w:overflowPunct/>
              <w:autoSpaceDE/>
              <w:autoSpaceDN/>
              <w:bidi w:val="0"/>
              <w:adjustRightInd w:val="0"/>
              <w:snapToGrid w:val="0"/>
              <w:spacing w:line="360" w:lineRule="auto"/>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注浆段长度根据地层赋存情况确定，一般为50~100m，准确注浆层位需根据不同区域关键层判断成果进行设计。本次设计以B09钻孔揭露的地层信息为依据，注浆深度478.4m（初期选择区域各关键层及注浆层位位于侏罗系安定组），固井段长度为418.4m，</w:t>
            </w:r>
            <w:r>
              <w:rPr>
                <w:rFonts w:hint="default" w:ascii="Times New Roman" w:hAnsi="Times New Roman" w:cs="Times New Roman"/>
                <w:color w:val="auto"/>
                <w:sz w:val="24"/>
                <w:szCs w:val="24"/>
                <w:highlight w:val="none"/>
                <w:lang w:val="en-US" w:eastAsia="zh-CN"/>
              </w:rPr>
              <w:t>注浆层段为</w:t>
            </w:r>
            <w:r>
              <w:rPr>
                <w:rFonts w:hint="eastAsia" w:ascii="Times New Roman" w:hAnsi="Times New Roman" w:cs="Times New Roman"/>
                <w:color w:val="auto"/>
                <w:sz w:val="24"/>
                <w:szCs w:val="24"/>
                <w:highlight w:val="none"/>
                <w:lang w:val="en-US" w:eastAsia="zh-CN"/>
              </w:rPr>
              <w:t>418.4</w:t>
            </w:r>
            <w:r>
              <w:rPr>
                <w:rFonts w:hint="default" w:ascii="Times New Roman" w:hAnsi="Times New Roman" w:cs="Times New Roman"/>
                <w:color w:val="auto"/>
                <w:sz w:val="24"/>
                <w:szCs w:val="24"/>
                <w:highlight w:val="none"/>
                <w:shd w:val="clear" w:color="auto" w:fill="auto"/>
                <w:lang w:val="en-US" w:eastAsia="zh-CN"/>
              </w:rPr>
              <w:t>~</w:t>
            </w:r>
            <w:r>
              <w:rPr>
                <w:rFonts w:hint="eastAsia" w:ascii="Times New Roman" w:hAnsi="Times New Roman" w:cs="Times New Roman"/>
                <w:color w:val="auto"/>
                <w:sz w:val="24"/>
                <w:szCs w:val="24"/>
                <w:highlight w:val="none"/>
                <w:shd w:val="clear" w:color="auto" w:fill="auto"/>
                <w:lang w:val="en-US" w:eastAsia="zh-CN"/>
              </w:rPr>
              <w:t>478.4</w:t>
            </w:r>
            <w:r>
              <w:rPr>
                <w:rFonts w:hint="default" w:ascii="Times New Roman" w:hAnsi="Times New Roman" w:cs="Times New Roman"/>
                <w:color w:val="auto"/>
                <w:sz w:val="24"/>
                <w:szCs w:val="24"/>
                <w:highlight w:val="none"/>
                <w:shd w:val="clear" w:color="auto" w:fill="auto"/>
                <w:lang w:val="en-US" w:eastAsia="zh-CN"/>
              </w:rPr>
              <w:t>m，</w:t>
            </w:r>
            <w:r>
              <w:rPr>
                <w:rFonts w:hint="default" w:ascii="Times New Roman" w:hAnsi="Times New Roman" w:eastAsia="宋体" w:cs="Times New Roman"/>
                <w:color w:val="auto"/>
                <w:kern w:val="0"/>
                <w:sz w:val="24"/>
                <w:szCs w:val="24"/>
                <w:lang w:val="en-US" w:eastAsia="zh-CN" w:bidi="ar"/>
              </w:rPr>
              <w:t>裸孔段（注浆段）长度60m，</w:t>
            </w:r>
            <w:r>
              <w:rPr>
                <w:rFonts w:hint="default" w:ascii="Times New Roman" w:hAnsi="Times New Roman" w:cs="Times New Roman"/>
                <w:color w:val="auto"/>
                <w:sz w:val="24"/>
                <w:szCs w:val="24"/>
                <w:highlight w:val="none"/>
                <w:shd w:val="clear" w:color="auto" w:fill="auto"/>
                <w:lang w:val="en-US" w:eastAsia="zh-CN"/>
              </w:rPr>
              <w:t>钻孔孔底距离导水裂隙带留设</w:t>
            </w:r>
            <w:r>
              <w:rPr>
                <w:rFonts w:hint="eastAsia" w:ascii="Times New Roman" w:hAnsi="Times New Roman" w:cs="Times New Roman"/>
                <w:color w:val="auto"/>
                <w:sz w:val="24"/>
                <w:szCs w:val="24"/>
                <w:highlight w:val="none"/>
                <w:shd w:val="clear" w:color="auto" w:fill="auto"/>
                <w:lang w:val="en-US" w:eastAsia="zh-CN"/>
              </w:rPr>
              <w:t>51.1</w:t>
            </w:r>
            <w:r>
              <w:rPr>
                <w:rFonts w:hint="default" w:ascii="Times New Roman" w:hAnsi="Times New Roman" w:cs="Times New Roman"/>
                <w:color w:val="auto"/>
                <w:sz w:val="24"/>
                <w:szCs w:val="24"/>
                <w:highlight w:val="none"/>
                <w:shd w:val="clear" w:color="auto" w:fill="auto"/>
                <w:lang w:val="en-US" w:eastAsia="zh-CN"/>
              </w:rPr>
              <w:t>m安全保护岩柱</w:t>
            </w:r>
            <w:r>
              <w:rPr>
                <w:rFonts w:hint="default" w:ascii="Times New Roman" w:hAnsi="Times New Roman" w:cs="Times New Roman"/>
                <w:color w:val="auto"/>
                <w:sz w:val="24"/>
                <w:szCs w:val="24"/>
                <w:highlight w:val="none"/>
                <w:shd w:val="clear" w:color="auto" w:fill="auto"/>
              </w:rPr>
              <w:t>。</w:t>
            </w:r>
            <w:r>
              <w:rPr>
                <w:rFonts w:hint="default" w:ascii="Times New Roman" w:hAnsi="Times New Roman" w:cs="Times New Roman"/>
                <w:color w:val="auto"/>
                <w:sz w:val="24"/>
                <w:szCs w:val="24"/>
                <w:highlight w:val="none"/>
                <w:shd w:val="clear" w:color="auto" w:fill="auto"/>
                <w:lang w:val="en-US" w:eastAsia="zh-CN"/>
              </w:rPr>
              <w:t>煤层埋藏深度</w:t>
            </w:r>
            <w:r>
              <w:rPr>
                <w:rFonts w:hint="eastAsia" w:ascii="Times New Roman" w:hAnsi="Times New Roman" w:cs="Times New Roman"/>
                <w:color w:val="auto"/>
                <w:sz w:val="24"/>
                <w:szCs w:val="24"/>
                <w:highlight w:val="none"/>
                <w:shd w:val="clear" w:color="auto" w:fill="auto"/>
                <w:lang w:val="en-US" w:eastAsia="zh-CN"/>
              </w:rPr>
              <w:t>661.55</w:t>
            </w:r>
            <w:r>
              <w:rPr>
                <w:rFonts w:hint="default" w:ascii="Times New Roman" w:hAnsi="Times New Roman" w:cs="Times New Roman"/>
                <w:color w:val="auto"/>
                <w:sz w:val="24"/>
                <w:szCs w:val="24"/>
                <w:highlight w:val="none"/>
                <w:shd w:val="clear" w:color="auto" w:fill="auto"/>
                <w:lang w:val="en-US" w:eastAsia="zh-CN"/>
              </w:rPr>
              <w:t>m（煤层顶板），钻孔孔底距离</w:t>
            </w:r>
            <w:r>
              <w:rPr>
                <w:rFonts w:hint="default" w:ascii="Times New Roman" w:hAnsi="Times New Roman" w:eastAsia="宋体" w:cs="Times New Roman"/>
                <w:color w:val="auto"/>
                <w:lang w:val="en-US" w:eastAsia="zh-CN"/>
              </w:rPr>
              <w:t>2-2煤层的高度为183.14m</w:t>
            </w:r>
            <w:r>
              <w:rPr>
                <w:rFonts w:hint="eastAsia" w:cs="Times New Roman"/>
                <w:color w:val="auto"/>
                <w:lang w:val="en-US" w:eastAsia="zh-CN"/>
              </w:rPr>
              <w:t>。</w:t>
            </w:r>
          </w:p>
          <w:p w14:paraId="3F836015">
            <w:pPr>
              <w:keepNext w:val="0"/>
              <w:keepLines w:val="0"/>
              <w:pageBreakBefore w:val="0"/>
              <w:widowControl/>
              <w:suppressLineNumbers w:val="0"/>
              <w:kinsoku/>
              <w:wordWrap/>
              <w:overflowPunct/>
              <w:autoSpaceDE/>
              <w:autoSpaceDN/>
              <w:bidi w:val="0"/>
              <w:adjustRightInd w:val="0"/>
              <w:snapToGrid w:val="0"/>
              <w:spacing w:line="360" w:lineRule="auto"/>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注浆压力不能大于所选择关键层位以上地层的自重压力。为了控制上覆关键层的移动趋势，注浆压力须大于覆岩自重力。注浆压力（孔底压力）表示为：</w:t>
            </w:r>
          </w:p>
          <w:p w14:paraId="45B568B6">
            <w:pPr>
              <w:spacing w:line="500" w:lineRule="exact"/>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w:t>
            </w:r>
            <w:r>
              <w:rPr>
                <w:rFonts w:hint="default" w:ascii="Times New Roman" w:hAnsi="Times New Roman" w:eastAsia="宋体" w:cs="Times New Roman"/>
                <w:color w:val="auto"/>
                <w:sz w:val="24"/>
                <w:vertAlign w:val="subscript"/>
              </w:rPr>
              <w:t>注</w:t>
            </w:r>
            <w:r>
              <w:rPr>
                <w:rFonts w:hint="default" w:ascii="Times New Roman" w:hAnsi="Times New Roman" w:eastAsia="宋体" w:cs="Times New Roman"/>
                <w:color w:val="auto"/>
                <w:sz w:val="24"/>
              </w:rPr>
              <w:t>≥P</w:t>
            </w:r>
            <w:r>
              <w:rPr>
                <w:rFonts w:hint="default" w:ascii="Times New Roman" w:hAnsi="Times New Roman" w:eastAsia="宋体" w:cs="Times New Roman"/>
                <w:color w:val="auto"/>
                <w:sz w:val="24"/>
                <w:vertAlign w:val="subscript"/>
              </w:rPr>
              <w:t>地</w:t>
            </w:r>
          </w:p>
          <w:p w14:paraId="77FF7732">
            <w:pPr>
              <w:spacing w:line="500" w:lineRule="exact"/>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w:t>
            </w:r>
          </w:p>
          <w:p w14:paraId="4A474863">
            <w:pPr>
              <w:spacing w:line="50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w:t>
            </w:r>
            <w:r>
              <w:rPr>
                <w:rFonts w:hint="default" w:ascii="Times New Roman" w:hAnsi="Times New Roman" w:eastAsia="宋体" w:cs="Times New Roman"/>
                <w:color w:val="auto"/>
                <w:sz w:val="24"/>
                <w:vertAlign w:val="subscript"/>
              </w:rPr>
              <w:t>注</w:t>
            </w:r>
            <w:r>
              <w:rPr>
                <w:rFonts w:hint="default" w:ascii="Times New Roman" w:hAnsi="Times New Roman" w:eastAsia="宋体" w:cs="Times New Roman"/>
                <w:color w:val="auto"/>
                <w:sz w:val="24"/>
              </w:rPr>
              <w:t>—注浆充填压力，MPa；</w:t>
            </w:r>
          </w:p>
          <w:p w14:paraId="1C04270A">
            <w:pPr>
              <w:spacing w:line="500" w:lineRule="exact"/>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P</w:t>
            </w:r>
            <w:r>
              <w:rPr>
                <w:rFonts w:hint="default" w:ascii="Times New Roman" w:hAnsi="Times New Roman" w:eastAsia="宋体" w:cs="Times New Roman"/>
                <w:color w:val="auto"/>
                <w:sz w:val="24"/>
                <w:vertAlign w:val="subscript"/>
              </w:rPr>
              <w:t>地</w:t>
            </w:r>
            <w:r>
              <w:rPr>
                <w:rFonts w:hint="default" w:ascii="Times New Roman" w:hAnsi="Times New Roman" w:eastAsia="宋体" w:cs="Times New Roman"/>
                <w:color w:val="auto"/>
                <w:sz w:val="24"/>
              </w:rPr>
              <w:t>—注浆充填层以上地层自然压力，Mpa。</w:t>
            </w:r>
          </w:p>
          <w:p w14:paraId="498C3A13">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注浆含水率为50%，</w:t>
            </w:r>
            <w:r>
              <w:rPr>
                <w:rFonts w:hint="default" w:ascii="Times New Roman" w:hAnsi="Times New Roman" w:eastAsia="宋体" w:cs="Times New Roman"/>
                <w:color w:val="auto"/>
                <w:sz w:val="24"/>
              </w:rPr>
              <w:t>地层密度2.5t/m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rFonts w:hint="default" w:ascii="Times New Roman" w:hAnsi="Times New Roman" w:eastAsia="宋体" w:cs="Times New Roman"/>
                <w:color w:val="auto"/>
                <w:kern w:val="0"/>
                <w:sz w:val="24"/>
                <w:szCs w:val="24"/>
                <w:lang w:val="en-US" w:eastAsia="zh-CN" w:bidi="ar"/>
              </w:rPr>
              <w:t>浆体密度1.41t/m³，则末端注浆压力不小于：（25kN-14.1kN）×478.4=5.2MPa。本次设计注浆压力取5.2MPa，注浆前期、中期注浆压力较小，甚至表现为吸浆现象，注浆后期压力会有所升高，注浆过程中注浆压力依据实际注浆速率和注浆量来实时调整。</w:t>
            </w:r>
          </w:p>
          <w:p w14:paraId="75C1073B">
            <w:pPr>
              <w:keepNext w:val="0"/>
              <w:keepLines w:val="0"/>
              <w:widowControl/>
              <w:suppressLineNumbers w:val="0"/>
              <w:jc w:val="both"/>
              <w:rPr>
                <w:rFonts w:hint="default" w:ascii="Times New Roman" w:hAnsi="Times New Roman" w:eastAsia="宋体" w:cs="Times New Roman"/>
                <w:color w:val="auto"/>
                <w:kern w:val="2"/>
                <w:sz w:val="24"/>
                <w:szCs w:val="24"/>
                <w:highlight w:val="none"/>
                <w:shd w:val="clear" w:color="auto" w:fill="auto"/>
              </w:rPr>
            </w:pPr>
            <w:r>
              <w:rPr>
                <w:rFonts w:hint="default" w:ascii="Times New Roman" w:hAnsi="Times New Roman" w:eastAsia="宋体" w:cs="Times New Roman"/>
                <w:color w:val="auto"/>
                <w:kern w:val="0"/>
                <w:sz w:val="24"/>
                <w:szCs w:val="24"/>
                <w:lang w:val="en-US" w:eastAsia="zh-CN" w:bidi="ar"/>
              </w:rPr>
              <w:t>注浆实施区地层剖面图见下图2-7</w:t>
            </w:r>
            <w:r>
              <w:rPr>
                <w:rFonts w:hint="default" w:ascii="Times New Roman" w:hAnsi="Times New Roman" w:eastAsia="宋体" w:cs="Times New Roman"/>
                <w:color w:val="auto"/>
                <w:szCs w:val="21"/>
                <w:lang w:val="en-US" w:eastAsia="zh-CN" w:bidi="ar"/>
              </w:rPr>
              <w:t>。</w:t>
            </w:r>
            <w:r>
              <w:rPr>
                <w:rFonts w:hint="default" w:ascii="Times New Roman" w:hAnsi="Times New Roman" w:eastAsia="宋体" w:cs="Times New Roman"/>
                <w:color w:val="auto"/>
                <w:kern w:val="2"/>
                <w:sz w:val="24"/>
                <w:szCs w:val="24"/>
                <w:highlight w:val="none"/>
                <w:shd w:val="clear" w:color="auto" w:fill="auto"/>
              </w:rPr>
              <w:t>注浆</w:t>
            </w:r>
            <w:r>
              <w:rPr>
                <w:rFonts w:hint="default" w:ascii="Times New Roman" w:hAnsi="Times New Roman" w:eastAsia="宋体" w:cs="Times New Roman"/>
                <w:color w:val="auto"/>
                <w:kern w:val="2"/>
                <w:sz w:val="24"/>
                <w:szCs w:val="24"/>
                <w:highlight w:val="none"/>
                <w:shd w:val="clear" w:color="auto" w:fill="auto"/>
                <w:lang w:val="en-US" w:eastAsia="zh-CN"/>
              </w:rPr>
              <w:t>层位</w:t>
            </w:r>
            <w:r>
              <w:rPr>
                <w:rFonts w:hint="default" w:ascii="Times New Roman" w:hAnsi="Times New Roman" w:eastAsia="宋体" w:cs="Times New Roman"/>
                <w:color w:val="auto"/>
                <w:kern w:val="2"/>
                <w:sz w:val="24"/>
                <w:szCs w:val="24"/>
                <w:highlight w:val="none"/>
                <w:shd w:val="clear" w:color="auto" w:fill="auto"/>
              </w:rPr>
              <w:t>与导水裂隙带的关系见</w:t>
            </w:r>
            <w:r>
              <w:rPr>
                <w:rFonts w:hint="default" w:ascii="Times New Roman" w:hAnsi="Times New Roman" w:eastAsia="宋体" w:cs="Times New Roman"/>
                <w:color w:val="auto"/>
                <w:kern w:val="2"/>
                <w:sz w:val="24"/>
                <w:szCs w:val="24"/>
                <w:highlight w:val="none"/>
                <w:shd w:val="clear" w:color="auto" w:fill="auto"/>
                <w:lang w:val="en-US" w:eastAsia="zh-CN"/>
              </w:rPr>
              <w:t>下</w:t>
            </w:r>
            <w:r>
              <w:rPr>
                <w:rFonts w:hint="default" w:ascii="Times New Roman" w:hAnsi="Times New Roman" w:eastAsia="宋体" w:cs="Times New Roman"/>
                <w:color w:val="auto"/>
                <w:kern w:val="2"/>
                <w:sz w:val="24"/>
                <w:szCs w:val="24"/>
                <w:highlight w:val="none"/>
                <w:shd w:val="clear" w:color="auto" w:fill="auto"/>
              </w:rPr>
              <w:t>图</w:t>
            </w:r>
            <w:r>
              <w:rPr>
                <w:rFonts w:hint="default" w:ascii="Times New Roman" w:hAnsi="Times New Roman" w:eastAsia="宋体" w:cs="Times New Roman"/>
                <w:color w:val="auto"/>
                <w:kern w:val="2"/>
                <w:sz w:val="24"/>
                <w:szCs w:val="24"/>
                <w:highlight w:val="none"/>
                <w:shd w:val="clear" w:color="auto" w:fill="auto"/>
                <w:lang w:val="en-US" w:eastAsia="zh-CN"/>
              </w:rPr>
              <w:t>2-8</w:t>
            </w:r>
            <w:r>
              <w:rPr>
                <w:rFonts w:hint="default" w:ascii="Times New Roman" w:hAnsi="Times New Roman" w:eastAsia="宋体" w:cs="Times New Roman"/>
                <w:color w:val="auto"/>
                <w:kern w:val="2"/>
                <w:sz w:val="24"/>
                <w:szCs w:val="24"/>
                <w:highlight w:val="none"/>
                <w:shd w:val="clear" w:color="auto" w:fill="auto"/>
              </w:rPr>
              <w:t>。</w:t>
            </w:r>
          </w:p>
          <w:p w14:paraId="6080804C">
            <w:pPr>
              <w:keepNext w:val="0"/>
              <w:keepLines w:val="0"/>
              <w:widowControl/>
              <w:suppressLineNumbers w:val="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drawing>
                <wp:inline distT="0" distB="0" distL="0" distR="0">
                  <wp:extent cx="1101090" cy="6365240"/>
                  <wp:effectExtent l="0" t="0" r="3810" b="16510"/>
                  <wp:docPr id="8566320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32069" name="图片 1"/>
                          <pic:cNvPicPr>
                            <a:picLocks noChangeAspect="1"/>
                          </pic:cNvPicPr>
                        </pic:nvPicPr>
                        <pic:blipFill>
                          <a:blip r:embed="rId32"/>
                          <a:srcRect l="37839" r="37685"/>
                          <a:stretch>
                            <a:fillRect/>
                          </a:stretch>
                        </pic:blipFill>
                        <pic:spPr>
                          <a:xfrm>
                            <a:off x="0" y="0"/>
                            <a:ext cx="1101090" cy="6365240"/>
                          </a:xfrm>
                          <a:prstGeom prst="rect">
                            <a:avLst/>
                          </a:prstGeom>
                          <a:ln>
                            <a:noFill/>
                          </a:ln>
                        </pic:spPr>
                      </pic:pic>
                    </a:graphicData>
                  </a:graphic>
                </wp:inline>
              </w:drawing>
            </w:r>
          </w:p>
          <w:p w14:paraId="6DCD8323">
            <w:pPr>
              <w:widowControl w:val="0"/>
              <w:autoSpaceDE w:val="0"/>
              <w:autoSpaceDN w:val="0"/>
              <w:adjustRightInd w:val="0"/>
              <w:jc w:val="center"/>
              <w:rPr>
                <w:rFonts w:hint="default" w:ascii="Times New Roman" w:hAnsi="Times New Roman" w:eastAsia="宋体" w:cs="Times New Roman"/>
                <w:b/>
                <w:bCs/>
                <w:color w:val="auto"/>
                <w:sz w:val="24"/>
                <w:szCs w:val="24"/>
                <w:highlight w:val="none"/>
                <w:shd w:val="clear" w:color="auto" w:fill="auto"/>
                <w:lang w:val="en-US" w:eastAsia="zh-CN" w:bidi="ar-SA"/>
              </w:rPr>
            </w:pPr>
            <w:r>
              <w:rPr>
                <w:rFonts w:hint="default" w:ascii="Times New Roman" w:hAnsi="Times New Roman" w:eastAsia="宋体" w:cs="Times New Roman"/>
                <w:b/>
                <w:bCs/>
                <w:color w:val="auto"/>
                <w:sz w:val="24"/>
                <w:szCs w:val="24"/>
                <w:highlight w:val="none"/>
                <w:shd w:val="clear" w:color="auto" w:fill="auto"/>
                <w:lang w:val="en-US" w:eastAsia="zh-CN" w:bidi="ar-SA"/>
              </w:rPr>
              <w:t>图2-7  注浆实施区地层剖面图</w:t>
            </w:r>
          </w:p>
          <w:p w14:paraId="3DB75E3C">
            <w:pPr>
              <w:widowControl w:val="0"/>
              <w:spacing w:line="240" w:lineRule="auto"/>
              <w:ind w:left="0" w:leftChars="0" w:firstLine="0" w:firstLineChars="0"/>
              <w:jc w:val="center"/>
              <w:rPr>
                <w:rFonts w:hint="default" w:ascii="Times New Roman" w:hAnsi="Times New Roman" w:eastAsia="宋体" w:cs="Times New Roman"/>
                <w:color w:val="auto"/>
                <w:kern w:val="2"/>
                <w:sz w:val="21"/>
                <w:szCs w:val="24"/>
                <w:highlight w:val="none"/>
                <w:shd w:val="clear" w:color="auto" w:fill="auto"/>
              </w:rPr>
            </w:pPr>
            <w:r>
              <w:rPr>
                <w:color w:val="auto"/>
                <w:sz w:val="21"/>
              </w:rPr>
              <w:object>
                <v:shape id="_x0000_i1027" o:spt="75" type="#_x0000_t75" style="height:652.15pt;width:186.1pt;" o:ole="t" filled="f" o:preferrelative="t" stroked="f" coordsize="21600,21600">
                  <v:path/>
                  <v:fill on="f" focussize="0,0"/>
                  <v:stroke on="f"/>
                  <v:imagedata r:id="rId34" o:title=""/>
                  <o:lock v:ext="edit" aspectratio="f"/>
                  <w10:wrap type="none"/>
                  <w10:anchorlock/>
                </v:shape>
                <o:OLEObject Type="Embed" ProgID="Visio.Drawing.15" ShapeID="_x0000_i1027" DrawAspect="Content" ObjectID="_1468075727" r:id="rId33">
                  <o:LockedField>false</o:LockedField>
                </o:OLEObject>
              </w:object>
            </w:r>
          </w:p>
          <w:p w14:paraId="72060625">
            <w:pPr>
              <w:widowControl w:val="0"/>
              <w:autoSpaceDE w:val="0"/>
              <w:autoSpaceDN w:val="0"/>
              <w:adjustRightInd w:val="0"/>
              <w:jc w:val="center"/>
              <w:rPr>
                <w:rFonts w:hint="default" w:ascii="Times New Roman" w:hAnsi="Times New Roman" w:eastAsia="宋体" w:cs="Times New Roman"/>
                <w:b/>
                <w:bCs/>
                <w:color w:val="auto"/>
                <w:sz w:val="24"/>
                <w:szCs w:val="24"/>
                <w:highlight w:val="none"/>
                <w:shd w:val="clear" w:color="auto" w:fill="auto"/>
                <w:lang w:val="en-US" w:eastAsia="zh-CN" w:bidi="ar-SA"/>
              </w:rPr>
            </w:pPr>
            <w:r>
              <w:rPr>
                <w:rFonts w:hint="default" w:ascii="Times New Roman" w:hAnsi="Times New Roman" w:eastAsia="宋体" w:cs="Times New Roman"/>
                <w:b/>
                <w:bCs/>
                <w:color w:val="auto"/>
                <w:sz w:val="24"/>
                <w:szCs w:val="24"/>
                <w:highlight w:val="none"/>
                <w:shd w:val="clear" w:color="auto" w:fill="auto"/>
                <w:lang w:val="en-US" w:eastAsia="zh-CN" w:bidi="ar-SA"/>
              </w:rPr>
              <w:t>图2-8  注浆层位与导水裂隙带关系图</w:t>
            </w:r>
          </w:p>
          <w:p w14:paraId="5734E80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④注浆</w:t>
            </w:r>
            <w:r>
              <w:rPr>
                <w:rFonts w:hint="default" w:ascii="Times New Roman" w:hAnsi="Times New Roman" w:eastAsia="宋体" w:cs="Times New Roman"/>
                <w:color w:val="auto"/>
                <w:lang w:val="en-US" w:eastAsia="zh-CN"/>
              </w:rPr>
              <w:t>时机</w:t>
            </w:r>
          </w:p>
          <w:p w14:paraId="37F0CE8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工程经验表明，地层条件不同时，注浆有些超前工作面，有些滞后工作面，稳妥考虑，设计按超前工作面，目的在于提前形成注浆通道。</w:t>
            </w:r>
          </w:p>
          <w:p w14:paraId="2DC8AEF6">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充填的时机应在选定的关键层下方开始产生离层时进行注浆，离层注浆充填应紧跟回采工作面，保证关键层不断裂，防止离层空间压实闭合，保证注浆空间。离层空间随着煤层的开采逐步形成，注浆时机依据超前影响距离来确定。白家海子煤矿岩石移动角按照70°考虑，根据煤层埋藏深度和钻孔深度，计算出</w:t>
            </w:r>
            <w:r>
              <w:rPr>
                <w:rFonts w:hint="default" w:ascii="Times New Roman" w:hAnsi="Times New Roman" w:eastAsia="宋体" w:cs="Times New Roman"/>
                <w:color w:val="auto"/>
                <w:kern w:val="0"/>
                <w:sz w:val="24"/>
                <w:szCs w:val="24"/>
                <w:lang w:val="en-US" w:eastAsia="zh-CN" w:bidi="ar"/>
              </w:rPr>
              <w:t>注</w:t>
            </w:r>
            <w:r>
              <w:rPr>
                <w:rFonts w:hint="default" w:ascii="Times New Roman" w:hAnsi="Times New Roman" w:eastAsia="宋体" w:cs="Times New Roman"/>
                <w:color w:val="auto"/>
                <w:sz w:val="24"/>
              </w:rPr>
              <w:t>浆时间应在超前工作面70m左右开始注浆。注浆时机与工作面回采关系见图</w:t>
            </w:r>
            <w:r>
              <w:rPr>
                <w:rFonts w:hint="default" w:ascii="Times New Roman" w:hAnsi="Times New Roman" w:eastAsia="宋体" w:cs="Times New Roman"/>
                <w:color w:val="auto"/>
                <w:sz w:val="24"/>
                <w:lang w:val="en-US" w:eastAsia="zh-CN"/>
              </w:rPr>
              <w:t>2-9</w:t>
            </w:r>
            <w:r>
              <w:rPr>
                <w:rFonts w:hint="default" w:ascii="Times New Roman" w:hAnsi="Times New Roman" w:eastAsia="宋体" w:cs="Times New Roman"/>
                <w:color w:val="auto"/>
                <w:sz w:val="24"/>
              </w:rPr>
              <w:t>。</w:t>
            </w:r>
          </w:p>
          <w:p w14:paraId="22DDE4BB">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作面回采之前提前施工钻孔并连接注浆管线，当钻孔产生离层裂隙时即开始注浆。离层的实时监测主要依靠水压监测，通过水压变化判断离层的产生时机，注浆前进行水压监测，离层发育到注浆钻孔位置时，水压会突降，此时即开始注浆。工程实施前开展覆岩移动规律实测研究，对覆岩运动监测数据进行分析，掌握白家海子煤矿采动覆岩运动规律、离层发育时机及发育层位等数据，指导注浆钻孔施工。实际注浆中可根据注浆情况调整注浆时机，注浆时机与井下开采及离层发育密切相关，以钻孔附近刚开始发育离层空间即进行注浆为最优原则，避免离层发育后未及时注浆而导致离层闭合，充分利用离层发育空间。</w:t>
            </w:r>
          </w:p>
          <w:p w14:paraId="5E5D21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sz w:val="24"/>
                <w14:ligatures w14:val="standardContextual"/>
              </w:rPr>
            </w:pPr>
            <w:r>
              <w:rPr>
                <w:rFonts w:hint="default" w:ascii="Times New Roman" w:hAnsi="Times New Roman" w:eastAsia="宋体" w:cs="Times New Roman"/>
                <w:color w:val="auto"/>
                <w:sz w:val="24"/>
                <w14:ligatures w14:val="standardContextual"/>
              </w:rPr>
              <w:drawing>
                <wp:inline distT="0" distB="0" distL="0" distR="0">
                  <wp:extent cx="2650490" cy="2832100"/>
                  <wp:effectExtent l="0" t="0" r="16510" b="6350"/>
                  <wp:docPr id="11742888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288856" name="图片 5"/>
                          <pic:cNvPicPr>
                            <a:picLocks noChangeAspect="1"/>
                          </pic:cNvPicPr>
                        </pic:nvPicPr>
                        <pic:blipFill>
                          <a:blip r:embed="rId35"/>
                          <a:srcRect l="4079" t="13714" r="2315" b="15615"/>
                          <a:stretch>
                            <a:fillRect/>
                          </a:stretch>
                        </pic:blipFill>
                        <pic:spPr>
                          <a:xfrm>
                            <a:off x="0" y="0"/>
                            <a:ext cx="2655089" cy="2836472"/>
                          </a:xfrm>
                          <a:prstGeom prst="rect">
                            <a:avLst/>
                          </a:prstGeom>
                          <a:ln>
                            <a:noFill/>
                          </a:ln>
                        </pic:spPr>
                      </pic:pic>
                    </a:graphicData>
                  </a:graphic>
                </wp:inline>
              </w:drawing>
            </w:r>
          </w:p>
          <w:p w14:paraId="048561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sz w:val="24"/>
                <w:lang w:val="en-US" w:eastAsia="zh-CN"/>
                <w14:ligatures w14:val="standardContextual"/>
              </w:rPr>
            </w:pPr>
            <w:r>
              <w:rPr>
                <w:rFonts w:hint="default" w:ascii="Times New Roman" w:hAnsi="Times New Roman" w:eastAsia="宋体" w:cs="Times New Roman"/>
                <w:b/>
                <w:bCs/>
                <w:color w:val="auto"/>
                <w:sz w:val="24"/>
              </w:rPr>
              <w:t>图</w:t>
            </w:r>
            <w:r>
              <w:rPr>
                <w:rFonts w:hint="default" w:ascii="Times New Roman" w:hAnsi="Times New Roman" w:eastAsia="宋体" w:cs="Times New Roman"/>
                <w:b/>
                <w:bCs/>
                <w:color w:val="auto"/>
                <w:sz w:val="24"/>
                <w:lang w:val="en-US" w:eastAsia="zh-CN"/>
              </w:rPr>
              <w:t>2-9</w:t>
            </w:r>
            <w:r>
              <w:rPr>
                <w:rFonts w:hint="default" w:ascii="Times New Roman" w:hAnsi="Times New Roman" w:eastAsia="宋体" w:cs="Times New Roman"/>
                <w:b/>
                <w:bCs/>
                <w:color w:val="auto"/>
                <w:sz w:val="24"/>
              </w:rPr>
              <w:t xml:space="preserve"> 注浆时机与工作面回采关系示意图</w:t>
            </w:r>
          </w:p>
          <w:p w14:paraId="4027529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⑤注浆钻孔位置</w:t>
            </w:r>
          </w:p>
          <w:p w14:paraId="0018F031">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szCs w:val="24"/>
                <w:highlight w:val="none"/>
                <w:lang w:val="en-US" w:eastAsia="zh-CN" w:bidi="ar"/>
              </w:rPr>
              <w:t>本次设计钻孔暂定按双排孔布置。为确保注浆量，本次设计设置机动注浆孔，机动孔数量暂按正常注浆孔数量的50%考虑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rPr>
              <w:t>初步计划2201工作面共设计70个钻孔（实际根据现场注浆效果调整），单个钻孔占地面积约0.076m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，钻孔直径至稳定基岩段（一开）Φ311mm，至注浆段（二开）Φ215.9mm。</w:t>
            </w:r>
          </w:p>
          <w:p w14:paraId="11FBEDD9">
            <w:pPr>
              <w:keepNext w:val="0"/>
              <w:keepLines w:val="0"/>
              <w:pageBreakBefore w:val="0"/>
              <w:widowControl/>
              <w:suppressLineNumbers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设计首采2201工作面钻孔深度478.4m，固井段长度为418.4m，裸孔段（注浆段）长度60m，钻孔间距100m（钻孔数量及间距根据实际注浆效果调整）。首注面注浆钻孔布置图见下图2-10。首注面注浆钻孔结构见图2-11。</w:t>
            </w:r>
          </w:p>
          <w:p w14:paraId="5200923A">
            <w:pPr>
              <w:keepNext w:val="0"/>
              <w:keepLines w:val="0"/>
              <w:widowControl/>
              <w:suppressLineNumbers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1867535" cy="4178300"/>
                  <wp:effectExtent l="0" t="0" r="18415" b="12700"/>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36"/>
                          <a:stretch>
                            <a:fillRect/>
                          </a:stretch>
                        </pic:blipFill>
                        <pic:spPr>
                          <a:xfrm>
                            <a:off x="0" y="0"/>
                            <a:ext cx="1867535" cy="4178300"/>
                          </a:xfrm>
                          <a:prstGeom prst="rect">
                            <a:avLst/>
                          </a:prstGeom>
                          <a:noFill/>
                          <a:ln>
                            <a:noFill/>
                          </a:ln>
                        </pic:spPr>
                      </pic:pic>
                    </a:graphicData>
                  </a:graphic>
                </wp:inline>
              </w:drawing>
            </w:r>
          </w:p>
          <w:p w14:paraId="71B87CAA">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图2-10 首注面注浆钻孔布置图</w:t>
            </w:r>
          </w:p>
          <w:p w14:paraId="365A6F24">
            <w:pPr>
              <w:keepNext w:val="0"/>
              <w:keepLines w:val="0"/>
              <w:widowControl/>
              <w:suppressLineNumbers w:val="0"/>
              <w:jc w:val="center"/>
              <w:rPr>
                <w:rFonts w:hint="default" w:ascii="Times New Roman" w:hAnsi="Times New Roman" w:eastAsia="宋体" w:cs="Times New Roman"/>
                <w:color w:val="auto"/>
                <w:sz w:val="24"/>
                <w14:ligatures w14:val="standardContextual"/>
              </w:rPr>
            </w:pPr>
            <w:r>
              <w:rPr>
                <w:rFonts w:hint="default" w:ascii="Times New Roman" w:hAnsi="Times New Roman" w:eastAsia="宋体" w:cs="Times New Roman"/>
                <w:color w:val="auto"/>
                <w:sz w:val="24"/>
                <w14:ligatures w14:val="standardContextual"/>
              </w:rPr>
              <w:drawing>
                <wp:inline distT="0" distB="0" distL="0" distR="0">
                  <wp:extent cx="4473575" cy="3206750"/>
                  <wp:effectExtent l="0" t="0" r="3175" b="12700"/>
                  <wp:docPr id="5343479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347953" name="图片 3"/>
                          <pic:cNvPicPr>
                            <a:picLocks noChangeAspect="1"/>
                          </pic:cNvPicPr>
                        </pic:nvPicPr>
                        <pic:blipFill>
                          <a:blip r:embed="rId37"/>
                          <a:srcRect l="3528" r="2646" b="4836"/>
                          <a:stretch>
                            <a:fillRect/>
                          </a:stretch>
                        </pic:blipFill>
                        <pic:spPr>
                          <a:xfrm>
                            <a:off x="0" y="0"/>
                            <a:ext cx="4473575" cy="3206750"/>
                          </a:xfrm>
                          <a:prstGeom prst="rect">
                            <a:avLst/>
                          </a:prstGeom>
                          <a:ln>
                            <a:noFill/>
                          </a:ln>
                        </pic:spPr>
                      </pic:pic>
                    </a:graphicData>
                  </a:graphic>
                </wp:inline>
              </w:drawing>
            </w:r>
          </w:p>
          <w:p w14:paraId="57D44280">
            <w:pPr>
              <w:keepNext w:val="0"/>
              <w:keepLines w:val="0"/>
              <w:widowControl/>
              <w:suppressLineNumbers w:val="0"/>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图2-11  注浆钻孔结构简图</w:t>
            </w:r>
          </w:p>
          <w:p w14:paraId="1FA1A9D7">
            <w:pPr>
              <w:keepNext w:val="0"/>
              <w:keepLines w:val="0"/>
              <w:widowControl/>
              <w:suppressLineNumbers w:val="0"/>
              <w:jc w:val="both"/>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⑥注浆规模确定</w:t>
            </w:r>
          </w:p>
          <w:p w14:paraId="40D352C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color w:val="auto"/>
                <w:kern w:val="2"/>
                <w:sz w:val="24"/>
                <w:szCs w:val="24"/>
                <w:highlight w:val="none"/>
                <w:lang w:eastAsia="zh-CN"/>
              </w:rPr>
              <w:t>矿井22盘区2201工作面设计生产能力400万t/a，按40%的开采空间，离层空间高度按2m计算，工作面面长400m，日推进6.4m考虑，则年注浆量：2×400×6.4×330×1.41=238.2万t，注设计水灰（矸）质量比1:1，因此，注浆工作面生产能力通常在119万t/a左右，可以满足前期90万t/a的矸石处置要求。</w:t>
            </w:r>
          </w:p>
          <w:p w14:paraId="6716D0C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0"/>
              <w:textAlignment w:val="auto"/>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SA"/>
              </w:rPr>
              <w:t>五、主要设备</w:t>
            </w:r>
          </w:p>
          <w:p w14:paraId="4C64C225">
            <w:pPr>
              <w:widowControl w:val="0"/>
              <w:spacing w:line="360" w:lineRule="auto"/>
              <w:ind w:firstLine="482"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本项目</w:t>
            </w:r>
            <w:r>
              <w:rPr>
                <w:rFonts w:hint="default" w:ascii="Times New Roman" w:hAnsi="Times New Roman" w:eastAsia="宋体" w:cs="Times New Roman"/>
                <w:color w:val="auto"/>
                <w:kern w:val="2"/>
                <w:sz w:val="24"/>
                <w:szCs w:val="24"/>
              </w:rPr>
              <w:t>主要生产设备具体见表</w:t>
            </w:r>
            <w:r>
              <w:rPr>
                <w:rFonts w:hint="default" w:ascii="Times New Roman" w:hAnsi="Times New Roman" w:eastAsia="宋体" w:cs="Times New Roman"/>
                <w:color w:val="auto"/>
                <w:kern w:val="2"/>
                <w:sz w:val="24"/>
                <w:szCs w:val="24"/>
                <w:lang w:val="en-US" w:eastAsia="zh-CN"/>
              </w:rPr>
              <w:t>2-5</w:t>
            </w:r>
            <w:r>
              <w:rPr>
                <w:rFonts w:hint="default" w:ascii="Times New Roman" w:hAnsi="Times New Roman" w:eastAsia="宋体" w:cs="Times New Roman"/>
                <w:color w:val="auto"/>
                <w:kern w:val="2"/>
                <w:sz w:val="24"/>
                <w:szCs w:val="24"/>
              </w:rPr>
              <w:t>。</w:t>
            </w:r>
          </w:p>
          <w:p w14:paraId="62DEF4F5">
            <w:pPr>
              <w:widowControl w:val="0"/>
              <w:spacing w:line="240" w:lineRule="auto"/>
              <w:ind w:firstLine="0" w:firstLineChars="0"/>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rPr>
              <w:t>表</w:t>
            </w:r>
            <w:r>
              <w:rPr>
                <w:rFonts w:hint="default" w:ascii="Times New Roman" w:hAnsi="Times New Roman" w:eastAsia="宋体" w:cs="Times New Roman"/>
                <w:b/>
                <w:color w:val="auto"/>
                <w:kern w:val="2"/>
                <w:sz w:val="24"/>
                <w:szCs w:val="24"/>
                <w:lang w:val="en-US" w:eastAsia="zh-CN"/>
              </w:rPr>
              <w:t>2-5</w:t>
            </w:r>
            <w:r>
              <w:rPr>
                <w:rFonts w:hint="default" w:ascii="Times New Roman" w:hAnsi="Times New Roman" w:eastAsia="宋体" w:cs="Times New Roman"/>
                <w:b/>
                <w:color w:val="auto"/>
                <w:kern w:val="2"/>
                <w:sz w:val="24"/>
                <w:szCs w:val="24"/>
              </w:rPr>
              <w:t xml:space="preserve">   主要生产设备一览表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740"/>
              <w:gridCol w:w="3197"/>
              <w:gridCol w:w="1024"/>
              <w:gridCol w:w="1090"/>
              <w:gridCol w:w="5"/>
            </w:tblGrid>
            <w:tr w14:paraId="5388D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27AEDA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序号</w:t>
                  </w:r>
                </w:p>
              </w:tc>
              <w:tc>
                <w:tcPr>
                  <w:tcW w:w="1108" w:type="pct"/>
                  <w:noWrap w:val="0"/>
                  <w:vAlign w:val="center"/>
                </w:tcPr>
                <w:p w14:paraId="3AE6DE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设备名称</w:t>
                  </w:r>
                </w:p>
              </w:tc>
              <w:tc>
                <w:tcPr>
                  <w:tcW w:w="2035" w:type="pct"/>
                  <w:noWrap w:val="0"/>
                  <w:vAlign w:val="center"/>
                </w:tcPr>
                <w:p w14:paraId="4923F5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规格型号</w:t>
                  </w:r>
                </w:p>
              </w:tc>
              <w:tc>
                <w:tcPr>
                  <w:tcW w:w="652" w:type="pct"/>
                  <w:noWrap w:val="0"/>
                  <w:vAlign w:val="center"/>
                </w:tcPr>
                <w:p w14:paraId="08F732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单位</w:t>
                  </w:r>
                </w:p>
              </w:tc>
              <w:tc>
                <w:tcPr>
                  <w:tcW w:w="697" w:type="pct"/>
                  <w:gridSpan w:val="2"/>
                  <w:noWrap w:val="0"/>
                  <w:vAlign w:val="center"/>
                </w:tcPr>
                <w:p w14:paraId="787535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数量</w:t>
                  </w:r>
                </w:p>
              </w:tc>
            </w:tr>
            <w:tr w14:paraId="41790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13254A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c>
                <w:tcPr>
                  <w:tcW w:w="1108" w:type="pct"/>
                  <w:noWrap w:val="0"/>
                  <w:vAlign w:val="center"/>
                </w:tcPr>
                <w:p w14:paraId="0585B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1#皮带输送机</w:t>
                  </w:r>
                </w:p>
              </w:tc>
              <w:tc>
                <w:tcPr>
                  <w:tcW w:w="2035" w:type="pct"/>
                  <w:noWrap w:val="0"/>
                  <w:vAlign w:val="center"/>
                </w:tcPr>
                <w:p w14:paraId="1213F8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B=800mm，Q=</w:t>
                  </w:r>
                  <w:r>
                    <w:rPr>
                      <w:rFonts w:hint="default" w:ascii="Times New Roman" w:hAnsi="Times New Roman" w:eastAsia="宋体" w:cs="Times New Roman"/>
                      <w:color w:val="auto"/>
                      <w:kern w:val="2"/>
                      <w:sz w:val="21"/>
                      <w:szCs w:val="21"/>
                      <w:lang w:val="en-US" w:eastAsia="zh-CN"/>
                    </w:rPr>
                    <w:t>3</w:t>
                  </w:r>
                  <w:r>
                    <w:rPr>
                      <w:rFonts w:hint="default" w:ascii="Times New Roman" w:hAnsi="Times New Roman" w:eastAsia="宋体" w:cs="Times New Roman"/>
                      <w:color w:val="auto"/>
                      <w:kern w:val="2"/>
                      <w:sz w:val="21"/>
                      <w:szCs w:val="21"/>
                    </w:rPr>
                    <w:t>00t/h</w:t>
                  </w:r>
                </w:p>
              </w:tc>
              <w:tc>
                <w:tcPr>
                  <w:tcW w:w="652" w:type="pct"/>
                  <w:noWrap w:val="0"/>
                  <w:vAlign w:val="center"/>
                </w:tcPr>
                <w:p w14:paraId="3EBF09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016B77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r w14:paraId="03560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59969C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2</w:t>
                  </w:r>
                </w:p>
              </w:tc>
              <w:tc>
                <w:tcPr>
                  <w:tcW w:w="1108" w:type="pct"/>
                  <w:shd w:val="clear" w:color="auto" w:fill="auto"/>
                  <w:noWrap w:val="0"/>
                  <w:vAlign w:val="center"/>
                </w:tcPr>
                <w:p w14:paraId="3550B5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2#皮带输送机</w:t>
                  </w:r>
                </w:p>
              </w:tc>
              <w:tc>
                <w:tcPr>
                  <w:tcW w:w="2035" w:type="pct"/>
                  <w:shd w:val="clear" w:color="auto" w:fill="auto"/>
                  <w:noWrap w:val="0"/>
                  <w:vAlign w:val="center"/>
                </w:tcPr>
                <w:p w14:paraId="54A654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B=800mm，Q=</w:t>
                  </w:r>
                  <w:r>
                    <w:rPr>
                      <w:rFonts w:hint="default" w:ascii="Times New Roman" w:hAnsi="Times New Roman" w:eastAsia="宋体" w:cs="Times New Roman"/>
                      <w:color w:val="auto"/>
                      <w:kern w:val="2"/>
                      <w:sz w:val="21"/>
                      <w:szCs w:val="21"/>
                      <w:lang w:val="en-US" w:eastAsia="zh-CN"/>
                    </w:rPr>
                    <w:t>3</w:t>
                  </w:r>
                  <w:r>
                    <w:rPr>
                      <w:rFonts w:hint="default" w:ascii="Times New Roman" w:hAnsi="Times New Roman" w:eastAsia="宋体" w:cs="Times New Roman"/>
                      <w:color w:val="auto"/>
                      <w:kern w:val="2"/>
                      <w:sz w:val="21"/>
                      <w:szCs w:val="21"/>
                    </w:rPr>
                    <w:t>00t/h</w:t>
                  </w:r>
                </w:p>
              </w:tc>
              <w:tc>
                <w:tcPr>
                  <w:tcW w:w="652" w:type="pct"/>
                  <w:noWrap w:val="0"/>
                  <w:vAlign w:val="center"/>
                </w:tcPr>
                <w:p w14:paraId="301249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682966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r w14:paraId="248D4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73BF7D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3</w:t>
                  </w:r>
                </w:p>
              </w:tc>
              <w:tc>
                <w:tcPr>
                  <w:tcW w:w="1108" w:type="pct"/>
                  <w:noWrap w:val="0"/>
                  <w:vAlign w:val="center"/>
                </w:tcPr>
                <w:p w14:paraId="4D366C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仓下带式给煤机</w:t>
                  </w:r>
                </w:p>
              </w:tc>
              <w:tc>
                <w:tcPr>
                  <w:tcW w:w="2035" w:type="pct"/>
                  <w:noWrap w:val="0"/>
                  <w:vAlign w:val="center"/>
                </w:tcPr>
                <w:p w14:paraId="79CF9A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B=800mm，Q=</w:t>
                  </w:r>
                  <w:r>
                    <w:rPr>
                      <w:rFonts w:hint="default" w:ascii="Times New Roman" w:hAnsi="Times New Roman" w:eastAsia="宋体" w:cs="Times New Roman"/>
                      <w:color w:val="auto"/>
                      <w:kern w:val="2"/>
                      <w:sz w:val="21"/>
                      <w:szCs w:val="21"/>
                      <w:lang w:val="en-US" w:eastAsia="zh-CN"/>
                    </w:rPr>
                    <w:t>3</w:t>
                  </w:r>
                  <w:r>
                    <w:rPr>
                      <w:rFonts w:hint="default" w:ascii="Times New Roman" w:hAnsi="Times New Roman" w:eastAsia="宋体" w:cs="Times New Roman"/>
                      <w:color w:val="auto"/>
                      <w:kern w:val="2"/>
                      <w:sz w:val="21"/>
                      <w:szCs w:val="21"/>
                    </w:rPr>
                    <w:t>00t/h</w:t>
                  </w:r>
                </w:p>
              </w:tc>
              <w:tc>
                <w:tcPr>
                  <w:tcW w:w="652" w:type="pct"/>
                  <w:noWrap w:val="0"/>
                  <w:vAlign w:val="center"/>
                </w:tcPr>
                <w:p w14:paraId="2EC5EC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3CB886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r w14:paraId="2655F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21DBE5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4</w:t>
                  </w:r>
                </w:p>
              </w:tc>
              <w:tc>
                <w:tcPr>
                  <w:tcW w:w="1108" w:type="pct"/>
                  <w:noWrap w:val="0"/>
                  <w:vAlign w:val="center"/>
                </w:tcPr>
                <w:p w14:paraId="5E9FF8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除铁器</w:t>
                  </w:r>
                </w:p>
              </w:tc>
              <w:tc>
                <w:tcPr>
                  <w:tcW w:w="2035" w:type="pct"/>
                  <w:noWrap w:val="0"/>
                  <w:vAlign w:val="center"/>
                </w:tcPr>
                <w:p w14:paraId="2C2330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RCYD-8 永磁带式除铁器，磁场强度≥70Mt</w:t>
                  </w:r>
                </w:p>
                <w:p w14:paraId="223E01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悬挂高度250mm，带宽 800mm</w:t>
                  </w:r>
                </w:p>
              </w:tc>
              <w:tc>
                <w:tcPr>
                  <w:tcW w:w="652" w:type="pct"/>
                  <w:noWrap w:val="0"/>
                  <w:vAlign w:val="center"/>
                </w:tcPr>
                <w:p w14:paraId="16380D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2A0945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r w14:paraId="62952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69F39B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5</w:t>
                  </w:r>
                </w:p>
              </w:tc>
              <w:tc>
                <w:tcPr>
                  <w:tcW w:w="1108" w:type="pct"/>
                  <w:noWrap w:val="0"/>
                  <w:vAlign w:val="center"/>
                </w:tcPr>
                <w:p w14:paraId="01D879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反击式破碎机</w:t>
                  </w:r>
                </w:p>
              </w:tc>
              <w:tc>
                <w:tcPr>
                  <w:tcW w:w="2035" w:type="pct"/>
                  <w:noWrap w:val="0"/>
                  <w:vAlign w:val="center"/>
                </w:tcPr>
                <w:p w14:paraId="54A40A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Q=</w:t>
                  </w:r>
                  <w:r>
                    <w:rPr>
                      <w:rFonts w:hint="default" w:ascii="Times New Roman" w:hAnsi="Times New Roman" w:eastAsia="宋体" w:cs="Times New Roman"/>
                      <w:color w:val="auto"/>
                      <w:kern w:val="2"/>
                      <w:sz w:val="21"/>
                      <w:szCs w:val="21"/>
                      <w:lang w:val="en-US" w:eastAsia="zh-CN"/>
                    </w:rPr>
                    <w:t>2</w:t>
                  </w:r>
                  <w:r>
                    <w:rPr>
                      <w:rFonts w:hint="default" w:ascii="Times New Roman" w:hAnsi="Times New Roman" w:eastAsia="宋体" w:cs="Times New Roman"/>
                      <w:color w:val="auto"/>
                      <w:kern w:val="2"/>
                      <w:sz w:val="21"/>
                      <w:szCs w:val="21"/>
                    </w:rPr>
                    <w:t>00t/h，入料粒度200mm，</w:t>
                  </w:r>
                </w:p>
                <w:p w14:paraId="5DC7A8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出料粒度</w:t>
                  </w:r>
                  <w:r>
                    <w:rPr>
                      <w:rFonts w:hint="default" w:ascii="Times New Roman" w:hAnsi="Times New Roman" w:eastAsia="宋体" w:cs="Times New Roman"/>
                      <w:color w:val="auto"/>
                      <w:kern w:val="2"/>
                      <w:sz w:val="21"/>
                      <w:szCs w:val="21"/>
                      <w:lang w:val="en-US" w:eastAsia="zh-CN"/>
                    </w:rPr>
                    <w:t>30</w:t>
                  </w:r>
                  <w:r>
                    <w:rPr>
                      <w:rFonts w:hint="default" w:ascii="Times New Roman" w:hAnsi="Times New Roman" w:eastAsia="宋体" w:cs="Times New Roman"/>
                      <w:color w:val="auto"/>
                      <w:kern w:val="2"/>
                      <w:sz w:val="21"/>
                      <w:szCs w:val="21"/>
                    </w:rPr>
                    <w:t>mm</w:t>
                  </w:r>
                </w:p>
              </w:tc>
              <w:tc>
                <w:tcPr>
                  <w:tcW w:w="652" w:type="pct"/>
                  <w:shd w:val="clear" w:color="auto" w:fill="auto"/>
                  <w:noWrap w:val="0"/>
                  <w:vAlign w:val="center"/>
                </w:tcPr>
                <w:p w14:paraId="6E711E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6482BE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r>
            <w:tr w14:paraId="46109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25539F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6</w:t>
                  </w:r>
                </w:p>
              </w:tc>
              <w:tc>
                <w:tcPr>
                  <w:tcW w:w="1108" w:type="pct"/>
                  <w:shd w:val="clear" w:color="auto" w:fill="auto"/>
                  <w:noWrap w:val="0"/>
                  <w:vAlign w:val="center"/>
                </w:tcPr>
                <w:p w14:paraId="1FE2DA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对辊制砂机</w:t>
                  </w:r>
                </w:p>
              </w:tc>
              <w:tc>
                <w:tcPr>
                  <w:tcW w:w="2035" w:type="pct"/>
                  <w:shd w:val="clear" w:color="auto" w:fill="auto"/>
                  <w:noWrap w:val="0"/>
                  <w:vAlign w:val="center"/>
                </w:tcPr>
                <w:p w14:paraId="583DB9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Q=</w:t>
                  </w:r>
                  <w:r>
                    <w:rPr>
                      <w:rFonts w:hint="default" w:ascii="Times New Roman" w:hAnsi="Times New Roman" w:eastAsia="宋体" w:cs="Times New Roman"/>
                      <w:color w:val="auto"/>
                      <w:kern w:val="2"/>
                      <w:sz w:val="21"/>
                      <w:szCs w:val="21"/>
                      <w:lang w:val="en-US" w:eastAsia="zh-CN"/>
                    </w:rPr>
                    <w:t>180t</w:t>
                  </w:r>
                  <w:r>
                    <w:rPr>
                      <w:rFonts w:hint="default" w:ascii="Times New Roman" w:hAnsi="Times New Roman" w:eastAsia="宋体" w:cs="Times New Roman"/>
                      <w:color w:val="auto"/>
                      <w:kern w:val="2"/>
                      <w:sz w:val="21"/>
                      <w:szCs w:val="21"/>
                    </w:rPr>
                    <w:t>/h，</w:t>
                  </w:r>
                </w:p>
                <w:p w14:paraId="5DC0E3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入料粒度</w:t>
                  </w:r>
                  <w:r>
                    <w:rPr>
                      <w:rFonts w:hint="default" w:ascii="Times New Roman" w:hAnsi="Times New Roman" w:eastAsia="宋体" w:cs="Times New Roman"/>
                      <w:color w:val="auto"/>
                      <w:kern w:val="2"/>
                      <w:sz w:val="21"/>
                      <w:szCs w:val="21"/>
                      <w:lang w:val="en-US" w:eastAsia="zh-CN"/>
                    </w:rPr>
                    <w:t>30</w:t>
                  </w:r>
                  <w:r>
                    <w:rPr>
                      <w:rFonts w:hint="default" w:ascii="Times New Roman" w:hAnsi="Times New Roman" w:eastAsia="宋体" w:cs="Times New Roman"/>
                      <w:color w:val="auto"/>
                      <w:kern w:val="2"/>
                      <w:sz w:val="21"/>
                      <w:szCs w:val="21"/>
                    </w:rPr>
                    <w:t>mm，</w:t>
                  </w:r>
                </w:p>
                <w:p w14:paraId="1FEB36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出料粒度</w:t>
                  </w:r>
                  <w:r>
                    <w:rPr>
                      <w:rFonts w:hint="default" w:ascii="Times New Roman" w:hAnsi="Times New Roman" w:eastAsia="宋体" w:cs="Times New Roman"/>
                      <w:color w:val="auto"/>
                      <w:kern w:val="2"/>
                      <w:sz w:val="21"/>
                      <w:szCs w:val="21"/>
                      <w:lang w:val="en-US" w:eastAsia="zh-CN"/>
                    </w:rPr>
                    <w:t>8</w:t>
                  </w:r>
                  <w:r>
                    <w:rPr>
                      <w:rFonts w:hint="default" w:ascii="Times New Roman" w:hAnsi="Times New Roman" w:eastAsia="宋体" w:cs="Times New Roman"/>
                      <w:color w:val="auto"/>
                      <w:kern w:val="2"/>
                      <w:sz w:val="21"/>
                      <w:szCs w:val="21"/>
                    </w:rPr>
                    <w:t>mm</w:t>
                  </w:r>
                </w:p>
              </w:tc>
              <w:tc>
                <w:tcPr>
                  <w:tcW w:w="652" w:type="pct"/>
                  <w:shd w:val="clear" w:color="auto" w:fill="auto"/>
                  <w:noWrap w:val="0"/>
                  <w:vAlign w:val="center"/>
                </w:tcPr>
                <w:p w14:paraId="048961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台</w:t>
                  </w:r>
                </w:p>
              </w:tc>
              <w:tc>
                <w:tcPr>
                  <w:tcW w:w="697" w:type="pct"/>
                  <w:gridSpan w:val="2"/>
                  <w:shd w:val="clear" w:color="auto" w:fill="auto"/>
                  <w:noWrap w:val="0"/>
                  <w:vAlign w:val="center"/>
                </w:tcPr>
                <w:p w14:paraId="0F758E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r w14:paraId="3F5D9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09EEE9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7</w:t>
                  </w:r>
                </w:p>
              </w:tc>
              <w:tc>
                <w:tcPr>
                  <w:tcW w:w="1108" w:type="pct"/>
                  <w:shd w:val="clear" w:color="auto" w:fill="auto"/>
                  <w:noWrap w:val="0"/>
                  <w:vAlign w:val="center"/>
                </w:tcPr>
                <w:p w14:paraId="4AE8E0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湿式溢流型球磨机</w:t>
                  </w:r>
                </w:p>
              </w:tc>
              <w:tc>
                <w:tcPr>
                  <w:tcW w:w="2035" w:type="pct"/>
                  <w:shd w:val="clear" w:color="auto" w:fill="auto"/>
                  <w:noWrap w:val="0"/>
                  <w:vAlign w:val="center"/>
                </w:tcPr>
                <w:p w14:paraId="4DEFCC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φ3600×</w:t>
                  </w:r>
                  <w:r>
                    <w:rPr>
                      <w:rFonts w:hint="default" w:ascii="Times New Roman" w:hAnsi="Times New Roman" w:eastAsia="宋体" w:cs="Times New Roman"/>
                      <w:color w:val="auto"/>
                      <w:kern w:val="2"/>
                      <w:sz w:val="21"/>
                      <w:szCs w:val="21"/>
                      <w:lang w:val="en-US" w:eastAsia="zh-CN"/>
                    </w:rPr>
                    <w:t>8500</w:t>
                  </w:r>
                  <w:r>
                    <w:rPr>
                      <w:rFonts w:hint="default" w:ascii="Times New Roman" w:hAnsi="Times New Roman" w:eastAsia="宋体" w:cs="Times New Roman"/>
                      <w:color w:val="auto"/>
                      <w:kern w:val="2"/>
                      <w:sz w:val="21"/>
                      <w:szCs w:val="21"/>
                    </w:rPr>
                    <w:t>mm</w:t>
                  </w:r>
                </w:p>
              </w:tc>
              <w:tc>
                <w:tcPr>
                  <w:tcW w:w="652" w:type="pct"/>
                  <w:shd w:val="clear" w:color="auto" w:fill="auto"/>
                  <w:noWrap w:val="0"/>
                  <w:vAlign w:val="center"/>
                </w:tcPr>
                <w:p w14:paraId="3F33DB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shd w:val="clear" w:color="auto" w:fill="auto"/>
                  <w:noWrap w:val="0"/>
                  <w:vAlign w:val="center"/>
                </w:tcPr>
                <w:p w14:paraId="2105A1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2</w:t>
                  </w:r>
                </w:p>
              </w:tc>
            </w:tr>
            <w:tr w14:paraId="693D8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0E4919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8</w:t>
                  </w:r>
                </w:p>
              </w:tc>
              <w:tc>
                <w:tcPr>
                  <w:tcW w:w="1108" w:type="pct"/>
                  <w:shd w:val="clear" w:color="auto" w:fill="auto"/>
                  <w:noWrap w:val="0"/>
                  <w:vAlign w:val="center"/>
                </w:tcPr>
                <w:p w14:paraId="7D4AA4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振动筛</w:t>
                  </w:r>
                </w:p>
              </w:tc>
              <w:tc>
                <w:tcPr>
                  <w:tcW w:w="2035" w:type="pct"/>
                  <w:shd w:val="clear" w:color="auto" w:fill="auto"/>
                  <w:noWrap w:val="0"/>
                  <w:vAlign w:val="center"/>
                </w:tcPr>
                <w:p w14:paraId="540A65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配套球磨机，4mm筛分</w:t>
                  </w:r>
                </w:p>
              </w:tc>
              <w:tc>
                <w:tcPr>
                  <w:tcW w:w="652" w:type="pct"/>
                  <w:shd w:val="clear" w:color="auto" w:fill="auto"/>
                  <w:noWrap w:val="0"/>
                  <w:vAlign w:val="center"/>
                </w:tcPr>
                <w:p w14:paraId="77DA56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台</w:t>
                  </w:r>
                </w:p>
              </w:tc>
              <w:tc>
                <w:tcPr>
                  <w:tcW w:w="697" w:type="pct"/>
                  <w:gridSpan w:val="2"/>
                  <w:shd w:val="clear" w:color="auto" w:fill="auto"/>
                  <w:noWrap w:val="0"/>
                  <w:vAlign w:val="center"/>
                </w:tcPr>
                <w:p w14:paraId="0C6513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r w14:paraId="6961E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552E5D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9</w:t>
                  </w:r>
                </w:p>
              </w:tc>
              <w:tc>
                <w:tcPr>
                  <w:tcW w:w="1108" w:type="pct"/>
                  <w:noWrap w:val="0"/>
                  <w:vAlign w:val="center"/>
                </w:tcPr>
                <w:p w14:paraId="7D9E89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泥浆池搅拌机</w:t>
                  </w:r>
                </w:p>
              </w:tc>
              <w:tc>
                <w:tcPr>
                  <w:tcW w:w="2035" w:type="pct"/>
                  <w:noWrap w:val="0"/>
                  <w:vAlign w:val="center"/>
                </w:tcPr>
                <w:p w14:paraId="5ED4BA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JB-4000</w:t>
                  </w:r>
                  <w:r>
                    <w:rPr>
                      <w:rFonts w:hint="default" w:ascii="Times New Roman" w:hAnsi="Times New Roman" w:eastAsia="宋体" w:cs="Times New Roman"/>
                      <w:color w:val="auto"/>
                      <w:kern w:val="2"/>
                      <w:sz w:val="21"/>
                      <w:szCs w:val="21"/>
                      <w:lang w:eastAsia="zh-CN"/>
                    </w:rPr>
                    <w:t>，转速 19r/min 用于φ4m×3.5m 搅拌池</w:t>
                  </w:r>
                </w:p>
              </w:tc>
              <w:tc>
                <w:tcPr>
                  <w:tcW w:w="652" w:type="pct"/>
                  <w:noWrap w:val="0"/>
                  <w:vAlign w:val="center"/>
                </w:tcPr>
                <w:p w14:paraId="2E551B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266ED6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2</w:t>
                  </w:r>
                </w:p>
              </w:tc>
            </w:tr>
            <w:tr w14:paraId="6AAAA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505" w:type="pct"/>
                  <w:noWrap w:val="0"/>
                  <w:vAlign w:val="center"/>
                </w:tcPr>
                <w:p w14:paraId="0CF300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10</w:t>
                  </w:r>
                </w:p>
              </w:tc>
              <w:tc>
                <w:tcPr>
                  <w:tcW w:w="1108" w:type="pct"/>
                  <w:noWrap w:val="0"/>
                  <w:vAlign w:val="center"/>
                </w:tcPr>
                <w:p w14:paraId="6A625A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泥浆泵</w:t>
                  </w:r>
                </w:p>
              </w:tc>
              <w:tc>
                <w:tcPr>
                  <w:tcW w:w="2035" w:type="pct"/>
                  <w:noWrap w:val="0"/>
                  <w:vAlign w:val="center"/>
                </w:tcPr>
                <w:p w14:paraId="5B684C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5ZB-4000/15A，</w:t>
                  </w:r>
                </w:p>
              </w:tc>
              <w:tc>
                <w:tcPr>
                  <w:tcW w:w="652" w:type="pct"/>
                  <w:noWrap w:val="0"/>
                  <w:vAlign w:val="center"/>
                </w:tcPr>
                <w:p w14:paraId="533965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台</w:t>
                  </w:r>
                </w:p>
              </w:tc>
              <w:tc>
                <w:tcPr>
                  <w:tcW w:w="697" w:type="pct"/>
                  <w:gridSpan w:val="2"/>
                  <w:noWrap w:val="0"/>
                  <w:vAlign w:val="center"/>
                </w:tcPr>
                <w:p w14:paraId="100066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2</w:t>
                  </w:r>
                </w:p>
              </w:tc>
            </w:tr>
            <w:tr w14:paraId="1B5FE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0" w:hRule="atLeast"/>
              </w:trPr>
              <w:tc>
                <w:tcPr>
                  <w:tcW w:w="505" w:type="pct"/>
                  <w:shd w:val="clear" w:color="auto" w:fill="auto"/>
                  <w:noWrap w:val="0"/>
                  <w:vAlign w:val="center"/>
                </w:tcPr>
                <w:p w14:paraId="5D04CD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11</w:t>
                  </w:r>
                </w:p>
              </w:tc>
              <w:tc>
                <w:tcPr>
                  <w:tcW w:w="1108" w:type="pct"/>
                  <w:noWrap w:val="0"/>
                  <w:vAlign w:val="center"/>
                </w:tcPr>
                <w:p w14:paraId="322482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防爆湿式除尘洗气机</w:t>
                  </w:r>
                </w:p>
              </w:tc>
              <w:tc>
                <w:tcPr>
                  <w:tcW w:w="2035" w:type="pct"/>
                  <w:noWrap w:val="0"/>
                  <w:vAlign w:val="center"/>
                </w:tcPr>
                <w:p w14:paraId="6B7988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最大处理风量：</w:t>
                  </w:r>
                  <w:r>
                    <w:rPr>
                      <w:rFonts w:hint="eastAsia" w:cs="Times New Roman"/>
                      <w:color w:val="auto"/>
                      <w:kern w:val="2"/>
                      <w:sz w:val="21"/>
                      <w:szCs w:val="21"/>
                      <w:lang w:val="en-US" w:eastAsia="zh-CN"/>
                    </w:rPr>
                    <w:t>8</w:t>
                  </w:r>
                  <w:r>
                    <w:rPr>
                      <w:rFonts w:hint="default" w:ascii="Times New Roman" w:hAnsi="Times New Roman" w:eastAsia="宋体" w:cs="Times New Roman"/>
                      <w:color w:val="auto"/>
                      <w:kern w:val="2"/>
                      <w:sz w:val="21"/>
                      <w:szCs w:val="21"/>
                    </w:rPr>
                    <w:t>000m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/h，用水量：0.4~0.6m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/h，排放浓度≤30mg/m</w:t>
                  </w:r>
                  <w:r>
                    <w:rPr>
                      <w:rFonts w:hint="default" w:ascii="Times New Roman" w:hAnsi="Times New Roman" w:eastAsia="宋体" w:cs="Times New Roman"/>
                      <w:color w:val="auto"/>
                      <w:kern w:val="2"/>
                      <w:sz w:val="21"/>
                      <w:szCs w:val="21"/>
                      <w:vertAlign w:val="superscript"/>
                    </w:rPr>
                    <w:t>3</w:t>
                  </w:r>
                </w:p>
              </w:tc>
              <w:tc>
                <w:tcPr>
                  <w:tcW w:w="652" w:type="pct"/>
                  <w:noWrap w:val="0"/>
                  <w:vAlign w:val="center"/>
                </w:tcPr>
                <w:p w14:paraId="192CCE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台</w:t>
                  </w:r>
                </w:p>
              </w:tc>
              <w:tc>
                <w:tcPr>
                  <w:tcW w:w="694" w:type="pct"/>
                  <w:noWrap w:val="0"/>
                  <w:vAlign w:val="center"/>
                </w:tcPr>
                <w:p w14:paraId="2233DC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val="en-US"/>
                    </w:rPr>
                    <w:t>1</w:t>
                  </w:r>
                </w:p>
              </w:tc>
            </w:tr>
            <w:tr w14:paraId="3122A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0" w:hRule="atLeast"/>
              </w:trPr>
              <w:tc>
                <w:tcPr>
                  <w:tcW w:w="505" w:type="pct"/>
                  <w:shd w:val="clear" w:color="auto" w:fill="auto"/>
                  <w:noWrap w:val="0"/>
                  <w:vAlign w:val="center"/>
                </w:tcPr>
                <w:p w14:paraId="1CB67E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12</w:t>
                  </w:r>
                </w:p>
              </w:tc>
              <w:tc>
                <w:tcPr>
                  <w:tcW w:w="1108" w:type="pct"/>
                  <w:noWrap w:val="0"/>
                  <w:vAlign w:val="center"/>
                </w:tcPr>
                <w:p w14:paraId="04AD57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防爆湿式除尘洗气机</w:t>
                  </w:r>
                </w:p>
              </w:tc>
              <w:tc>
                <w:tcPr>
                  <w:tcW w:w="2035" w:type="pct"/>
                  <w:noWrap w:val="0"/>
                  <w:vAlign w:val="center"/>
                </w:tcPr>
                <w:p w14:paraId="1261B5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最大处理风量：</w:t>
                  </w:r>
                  <w:r>
                    <w:rPr>
                      <w:rFonts w:hint="eastAsia" w:cs="Times New Roman"/>
                      <w:color w:val="auto"/>
                      <w:kern w:val="2"/>
                      <w:sz w:val="21"/>
                      <w:szCs w:val="21"/>
                      <w:lang w:val="en-US" w:eastAsia="zh-CN"/>
                    </w:rPr>
                    <w:t>22</w:t>
                  </w:r>
                  <w:r>
                    <w:rPr>
                      <w:rFonts w:hint="default" w:ascii="Times New Roman" w:hAnsi="Times New Roman" w:eastAsia="宋体" w:cs="Times New Roman"/>
                      <w:color w:val="auto"/>
                      <w:kern w:val="2"/>
                      <w:sz w:val="21"/>
                      <w:szCs w:val="21"/>
                    </w:rPr>
                    <w:t>000m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/h，用水量：0.5~0.7m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/h，排放浓度≤30mg/m</w:t>
                  </w:r>
                  <w:r>
                    <w:rPr>
                      <w:rFonts w:hint="default" w:ascii="Times New Roman" w:hAnsi="Times New Roman" w:eastAsia="宋体" w:cs="Times New Roman"/>
                      <w:color w:val="auto"/>
                      <w:kern w:val="2"/>
                      <w:sz w:val="21"/>
                      <w:szCs w:val="21"/>
                      <w:vertAlign w:val="superscript"/>
                    </w:rPr>
                    <w:t>3</w:t>
                  </w:r>
                </w:p>
              </w:tc>
              <w:tc>
                <w:tcPr>
                  <w:tcW w:w="652" w:type="pct"/>
                  <w:noWrap w:val="0"/>
                  <w:vAlign w:val="center"/>
                </w:tcPr>
                <w:p w14:paraId="7795D7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台</w:t>
                  </w:r>
                </w:p>
              </w:tc>
              <w:tc>
                <w:tcPr>
                  <w:tcW w:w="694" w:type="pct"/>
                  <w:noWrap w:val="0"/>
                  <w:vAlign w:val="center"/>
                </w:tcPr>
                <w:p w14:paraId="439E07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w:t>
                  </w:r>
                </w:p>
              </w:tc>
            </w:tr>
            <w:tr w14:paraId="6A988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3" w:type="pct"/>
                <w:trHeight w:val="0" w:hRule="atLeast"/>
              </w:trPr>
              <w:tc>
                <w:tcPr>
                  <w:tcW w:w="505" w:type="pct"/>
                  <w:noWrap w:val="0"/>
                  <w:vAlign w:val="center"/>
                </w:tcPr>
                <w:p w14:paraId="65E4C1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13</w:t>
                  </w:r>
                </w:p>
              </w:tc>
              <w:tc>
                <w:tcPr>
                  <w:tcW w:w="1108" w:type="pct"/>
                  <w:noWrap w:val="0"/>
                  <w:vAlign w:val="center"/>
                </w:tcPr>
                <w:p w14:paraId="3B4F3C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防爆湿式除尘洗气机</w:t>
                  </w:r>
                </w:p>
              </w:tc>
              <w:tc>
                <w:tcPr>
                  <w:tcW w:w="2035" w:type="pct"/>
                  <w:noWrap w:val="0"/>
                  <w:vAlign w:val="center"/>
                </w:tcPr>
                <w:p w14:paraId="510EB9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最大处理风量：</w:t>
                  </w:r>
                  <w:r>
                    <w:rPr>
                      <w:rFonts w:hint="default" w:ascii="Times New Roman" w:hAnsi="Times New Roman" w:eastAsia="宋体" w:cs="Times New Roman"/>
                      <w:color w:val="auto"/>
                      <w:kern w:val="2"/>
                      <w:sz w:val="21"/>
                      <w:szCs w:val="21"/>
                      <w:lang w:val="en-US" w:eastAsia="zh-CN"/>
                    </w:rPr>
                    <w:t>6</w:t>
                  </w:r>
                  <w:r>
                    <w:rPr>
                      <w:rFonts w:hint="default" w:ascii="Times New Roman" w:hAnsi="Times New Roman" w:eastAsia="宋体" w:cs="Times New Roman"/>
                      <w:color w:val="auto"/>
                      <w:kern w:val="2"/>
                      <w:sz w:val="21"/>
                      <w:szCs w:val="21"/>
                    </w:rPr>
                    <w:t>000m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/h，用水量：0.5~0.7m</w:t>
                  </w:r>
                  <w:r>
                    <w:rPr>
                      <w:rFonts w:hint="default" w:ascii="Times New Roman" w:hAnsi="Times New Roman" w:eastAsia="宋体" w:cs="Times New Roman"/>
                      <w:color w:val="auto"/>
                      <w:kern w:val="2"/>
                      <w:sz w:val="21"/>
                      <w:szCs w:val="21"/>
                      <w:vertAlign w:val="superscript"/>
                    </w:rPr>
                    <w:t>3</w:t>
                  </w:r>
                  <w:r>
                    <w:rPr>
                      <w:rFonts w:hint="default" w:ascii="Times New Roman" w:hAnsi="Times New Roman" w:eastAsia="宋体" w:cs="Times New Roman"/>
                      <w:color w:val="auto"/>
                      <w:kern w:val="2"/>
                      <w:sz w:val="21"/>
                      <w:szCs w:val="21"/>
                    </w:rPr>
                    <w:t>/h，排放浓度≤30mg/m</w:t>
                  </w:r>
                  <w:r>
                    <w:rPr>
                      <w:rFonts w:hint="default" w:ascii="Times New Roman" w:hAnsi="Times New Roman" w:eastAsia="宋体" w:cs="Times New Roman"/>
                      <w:color w:val="auto"/>
                      <w:kern w:val="2"/>
                      <w:sz w:val="21"/>
                      <w:szCs w:val="21"/>
                      <w:vertAlign w:val="superscript"/>
                    </w:rPr>
                    <w:t>3</w:t>
                  </w:r>
                </w:p>
              </w:tc>
              <w:tc>
                <w:tcPr>
                  <w:tcW w:w="652" w:type="pct"/>
                  <w:noWrap w:val="0"/>
                  <w:vAlign w:val="center"/>
                </w:tcPr>
                <w:p w14:paraId="13A8C6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台</w:t>
                  </w:r>
                </w:p>
              </w:tc>
              <w:tc>
                <w:tcPr>
                  <w:tcW w:w="694" w:type="pct"/>
                  <w:noWrap w:val="0"/>
                  <w:vAlign w:val="center"/>
                </w:tcPr>
                <w:p w14:paraId="429540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w:t>
                  </w:r>
                </w:p>
              </w:tc>
            </w:tr>
          </w:tbl>
          <w:p w14:paraId="4A1B9B7A">
            <w:pPr>
              <w:widowControl w:val="0"/>
              <w:spacing w:after="120"/>
              <w:ind w:left="0" w:leftChars="0" w:firstLine="482" w:firstLineChars="200"/>
              <w:jc w:val="both"/>
              <w:rPr>
                <w:rFonts w:hint="default" w:ascii="Times New Roman" w:hAnsi="Times New Roman" w:eastAsia="宋体" w:cs="Times New Roman"/>
                <w:b/>
                <w:bCs/>
                <w:color w:val="auto"/>
                <w:kern w:val="0"/>
                <w:sz w:val="24"/>
                <w:szCs w:val="20"/>
                <w:highlight w:val="none"/>
                <w:lang w:val="en-US" w:eastAsia="zh-CN" w:bidi="ar-SA"/>
              </w:rPr>
            </w:pPr>
            <w:r>
              <w:rPr>
                <w:rFonts w:hint="default" w:ascii="Times New Roman" w:hAnsi="Times New Roman" w:eastAsia="宋体" w:cs="Times New Roman"/>
                <w:b/>
                <w:bCs/>
                <w:color w:val="auto"/>
                <w:kern w:val="0"/>
                <w:sz w:val="24"/>
                <w:szCs w:val="20"/>
                <w:highlight w:val="none"/>
                <w:lang w:val="en-US" w:eastAsia="zh-CN" w:bidi="ar-SA"/>
              </w:rPr>
              <w:t>六、原辅材料</w:t>
            </w:r>
          </w:p>
          <w:p w14:paraId="39EC6F70">
            <w:pPr>
              <w:widowControl w:val="0"/>
              <w:adjustRightInd w:val="0"/>
              <w:snapToGrid w:val="0"/>
              <w:spacing w:line="360" w:lineRule="auto"/>
              <w:ind w:firstLine="482" w:firstLineChars="200"/>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b/>
                <w:bCs/>
                <w:color w:val="auto"/>
                <w:kern w:val="2"/>
                <w:sz w:val="24"/>
                <w:szCs w:val="24"/>
                <w:highlight w:val="none"/>
                <w:lang w:val="en-US" w:eastAsia="zh-CN"/>
              </w:rPr>
              <w:t>1、</w:t>
            </w:r>
            <w:r>
              <w:rPr>
                <w:rFonts w:hint="default" w:ascii="Times New Roman" w:hAnsi="Times New Roman" w:eastAsia="宋体" w:cs="Times New Roman"/>
                <w:b/>
                <w:bCs/>
                <w:color w:val="auto"/>
                <w:kern w:val="2"/>
                <w:sz w:val="24"/>
                <w:szCs w:val="24"/>
                <w:highlight w:val="none"/>
              </w:rPr>
              <w:t>本项目原辅材料来源</w:t>
            </w:r>
          </w:p>
          <w:p w14:paraId="06FAEB93">
            <w:pPr>
              <w:widowControl w:val="0"/>
              <w:autoSpaceDE w:val="0"/>
              <w:autoSpaceDN w:val="0"/>
              <w:adjustRightInd w:val="0"/>
              <w:spacing w:line="240" w:lineRule="auto"/>
              <w:ind w:firstLine="0" w:firstLineChars="0"/>
              <w:jc w:val="center"/>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b/>
                <w:color w:val="auto"/>
                <w:kern w:val="2"/>
                <w:sz w:val="24"/>
                <w:szCs w:val="24"/>
                <w:highlight w:val="none"/>
              </w:rPr>
              <w:t>表</w:t>
            </w:r>
            <w:r>
              <w:rPr>
                <w:rFonts w:hint="default" w:ascii="Times New Roman" w:hAnsi="Times New Roman" w:eastAsia="宋体" w:cs="Times New Roman"/>
                <w:b/>
                <w:color w:val="auto"/>
                <w:kern w:val="2"/>
                <w:sz w:val="24"/>
                <w:szCs w:val="24"/>
                <w:highlight w:val="none"/>
                <w:lang w:val="en-US" w:eastAsia="zh-CN"/>
              </w:rPr>
              <w:t>2-6</w:t>
            </w:r>
            <w:r>
              <w:rPr>
                <w:rFonts w:hint="default" w:ascii="Times New Roman" w:hAnsi="Times New Roman" w:eastAsia="宋体" w:cs="Times New Roman"/>
                <w:b/>
                <w:color w:val="auto"/>
                <w:kern w:val="2"/>
                <w:sz w:val="24"/>
                <w:szCs w:val="24"/>
                <w:highlight w:val="none"/>
              </w:rPr>
              <w:t xml:space="preserve">    原辅材料</w:t>
            </w:r>
            <w:r>
              <w:rPr>
                <w:rFonts w:hint="default" w:ascii="Times New Roman" w:hAnsi="Times New Roman" w:eastAsia="宋体" w:cs="Times New Roman"/>
                <w:b/>
                <w:color w:val="auto"/>
                <w:kern w:val="2"/>
                <w:sz w:val="24"/>
                <w:szCs w:val="24"/>
                <w:highlight w:val="none"/>
                <w:lang w:val="en-US" w:eastAsia="zh-CN"/>
              </w:rPr>
              <w:t>来源</w:t>
            </w:r>
            <w:r>
              <w:rPr>
                <w:rFonts w:hint="default" w:ascii="Times New Roman" w:hAnsi="Times New Roman" w:eastAsia="宋体" w:cs="Times New Roman"/>
                <w:b/>
                <w:color w:val="auto"/>
                <w:kern w:val="2"/>
                <w:sz w:val="24"/>
                <w:szCs w:val="24"/>
                <w:highlight w:val="none"/>
              </w:rPr>
              <w:t>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1236"/>
              <w:gridCol w:w="2259"/>
              <w:gridCol w:w="1552"/>
              <w:gridCol w:w="2376"/>
            </w:tblGrid>
            <w:tr w14:paraId="68F3D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273" w:type="pct"/>
                  <w:noWrap w:val="0"/>
                  <w:vAlign w:val="center"/>
                </w:tcPr>
                <w:p w14:paraId="7BA7C6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u w:val="single"/>
                    </w:rPr>
                  </w:pPr>
                  <w:r>
                    <w:rPr>
                      <w:rFonts w:hint="default" w:ascii="Times New Roman" w:hAnsi="Times New Roman" w:eastAsia="宋体" w:cs="Times New Roman"/>
                      <w:color w:val="auto"/>
                      <w:kern w:val="2"/>
                      <w:sz w:val="21"/>
                      <w:szCs w:val="21"/>
                      <w:highlight w:val="none"/>
                    </w:rPr>
                    <w:t>序号</w:t>
                  </w:r>
                </w:p>
              </w:tc>
              <w:tc>
                <w:tcPr>
                  <w:tcW w:w="787" w:type="pct"/>
                  <w:noWrap w:val="0"/>
                  <w:vAlign w:val="center"/>
                </w:tcPr>
                <w:p w14:paraId="283FEB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名称</w:t>
                  </w:r>
                </w:p>
              </w:tc>
              <w:tc>
                <w:tcPr>
                  <w:tcW w:w="1438" w:type="pct"/>
                  <w:noWrap w:val="0"/>
                  <w:vAlign w:val="center"/>
                </w:tcPr>
                <w:p w14:paraId="3D294A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来源</w:t>
                  </w:r>
                </w:p>
              </w:tc>
              <w:tc>
                <w:tcPr>
                  <w:tcW w:w="988" w:type="pct"/>
                  <w:noWrap w:val="0"/>
                  <w:vAlign w:val="center"/>
                </w:tcPr>
                <w:p w14:paraId="5625E3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用量</w:t>
                  </w:r>
                </w:p>
              </w:tc>
              <w:tc>
                <w:tcPr>
                  <w:tcW w:w="1512" w:type="pct"/>
                  <w:noWrap w:val="0"/>
                  <w:vAlign w:val="center"/>
                </w:tcPr>
                <w:p w14:paraId="73DD1D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暂存方式</w:t>
                  </w:r>
                </w:p>
              </w:tc>
            </w:tr>
            <w:tr w14:paraId="63490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73" w:type="pct"/>
                  <w:noWrap w:val="0"/>
                  <w:vAlign w:val="center"/>
                </w:tcPr>
                <w:p w14:paraId="2806A7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p>
              </w:tc>
              <w:tc>
                <w:tcPr>
                  <w:tcW w:w="787" w:type="pct"/>
                  <w:noWrap w:val="0"/>
                  <w:vAlign w:val="center"/>
                </w:tcPr>
                <w:p w14:paraId="1B3767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rPr>
                    <w:t>煤矸石</w:t>
                  </w:r>
                </w:p>
              </w:tc>
              <w:tc>
                <w:tcPr>
                  <w:tcW w:w="1438" w:type="pct"/>
                  <w:noWrap w:val="0"/>
                  <w:vAlign w:val="center"/>
                </w:tcPr>
                <w:p w14:paraId="31E309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eastAsia="zh-CN"/>
                    </w:rPr>
                    <w:t>白家海子</w:t>
                  </w:r>
                  <w:r>
                    <w:rPr>
                      <w:rFonts w:hint="default" w:ascii="Times New Roman" w:hAnsi="Times New Roman" w:eastAsia="宋体" w:cs="Times New Roman"/>
                      <w:color w:val="auto"/>
                      <w:kern w:val="2"/>
                      <w:sz w:val="21"/>
                      <w:szCs w:val="21"/>
                    </w:rPr>
                    <w:t>煤矿</w:t>
                  </w:r>
                </w:p>
              </w:tc>
              <w:tc>
                <w:tcPr>
                  <w:tcW w:w="988" w:type="pct"/>
                  <w:noWrap w:val="0"/>
                  <w:vAlign w:val="center"/>
                </w:tcPr>
                <w:p w14:paraId="5AF7E0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90万吨/年</w:t>
                  </w:r>
                </w:p>
              </w:tc>
              <w:tc>
                <w:tcPr>
                  <w:tcW w:w="1512" w:type="pct"/>
                  <w:noWrap w:val="0"/>
                  <w:vAlign w:val="center"/>
                </w:tcPr>
                <w:p w14:paraId="2AD2F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依托煤矿现有1个</w:t>
                  </w:r>
                  <w:r>
                    <w:rPr>
                      <w:rFonts w:hint="default" w:ascii="Times New Roman" w:hAnsi="Times New Roman" w:eastAsia="宋体" w:cs="Times New Roman"/>
                      <w:color w:val="auto"/>
                      <w:kern w:val="2"/>
                      <w:sz w:val="21"/>
                      <w:szCs w:val="21"/>
                    </w:rPr>
                    <w:t>φ</w:t>
                  </w:r>
                  <w:r>
                    <w:rPr>
                      <w:rFonts w:hint="default" w:ascii="Times New Roman" w:hAnsi="Times New Roman" w:eastAsia="宋体" w:cs="Times New Roman"/>
                      <w:color w:val="auto"/>
                      <w:kern w:val="2"/>
                      <w:sz w:val="21"/>
                      <w:szCs w:val="21"/>
                      <w:lang w:val="en-US" w:eastAsia="zh-CN"/>
                    </w:rPr>
                    <w:t>18m，高30m的矸石仓</w:t>
                  </w:r>
                </w:p>
              </w:tc>
            </w:tr>
            <w:tr w14:paraId="60B64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73" w:type="pct"/>
                  <w:noWrap w:val="0"/>
                  <w:vAlign w:val="center"/>
                </w:tcPr>
                <w:p w14:paraId="14E97B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2</w:t>
                  </w:r>
                </w:p>
              </w:tc>
              <w:tc>
                <w:tcPr>
                  <w:tcW w:w="787" w:type="pct"/>
                  <w:noWrap w:val="0"/>
                  <w:vAlign w:val="center"/>
                </w:tcPr>
                <w:p w14:paraId="629D0B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制浆用水</w:t>
                  </w:r>
                </w:p>
              </w:tc>
              <w:tc>
                <w:tcPr>
                  <w:tcW w:w="1438" w:type="pct"/>
                  <w:noWrap w:val="0"/>
                  <w:vAlign w:val="center"/>
                </w:tcPr>
                <w:p w14:paraId="55FC8D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eastAsia="zh-CN"/>
                    </w:rPr>
                    <w:t>白家海子</w:t>
                  </w:r>
                  <w:r>
                    <w:rPr>
                      <w:rFonts w:hint="default" w:ascii="Times New Roman" w:hAnsi="Times New Roman" w:eastAsia="宋体" w:cs="Times New Roman"/>
                      <w:color w:val="auto"/>
                      <w:kern w:val="2"/>
                      <w:sz w:val="21"/>
                      <w:szCs w:val="21"/>
                    </w:rPr>
                    <w:t>煤矿矿井水处理站</w:t>
                  </w:r>
                  <w:r>
                    <w:rPr>
                      <w:rFonts w:hint="default" w:ascii="Times New Roman" w:hAnsi="Times New Roman" w:eastAsia="宋体" w:cs="Times New Roman"/>
                      <w:color w:val="auto"/>
                      <w:kern w:val="2"/>
                      <w:sz w:val="21"/>
                      <w:szCs w:val="21"/>
                      <w:lang w:val="en-US" w:eastAsia="zh-CN"/>
                    </w:rPr>
                    <w:t>处理后的矿井水</w:t>
                  </w:r>
                </w:p>
              </w:tc>
              <w:tc>
                <w:tcPr>
                  <w:tcW w:w="988" w:type="pct"/>
                  <w:noWrap w:val="0"/>
                  <w:vAlign w:val="center"/>
                </w:tcPr>
                <w:p w14:paraId="4BE6EB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97.64万m</w:t>
                  </w:r>
                  <w:r>
                    <w:rPr>
                      <w:rFonts w:hint="default" w:ascii="Times New Roman" w:hAnsi="Times New Roman" w:eastAsia="宋体" w:cs="Times New Roman"/>
                      <w:color w:val="auto"/>
                      <w:kern w:val="2"/>
                      <w:sz w:val="21"/>
                      <w:szCs w:val="21"/>
                      <w:vertAlign w:val="superscript"/>
                      <w:lang w:val="en-US" w:eastAsia="zh-CN"/>
                    </w:rPr>
                    <w:t>3</w:t>
                  </w:r>
                  <w:r>
                    <w:rPr>
                      <w:rFonts w:hint="default" w:ascii="Times New Roman" w:hAnsi="Times New Roman" w:eastAsia="宋体" w:cs="Times New Roman"/>
                      <w:color w:val="auto"/>
                      <w:kern w:val="2"/>
                      <w:sz w:val="21"/>
                      <w:szCs w:val="21"/>
                      <w:lang w:val="en-US" w:eastAsia="zh-CN"/>
                    </w:rPr>
                    <w:t>/年</w:t>
                  </w:r>
                </w:p>
              </w:tc>
              <w:tc>
                <w:tcPr>
                  <w:tcW w:w="1512" w:type="pct"/>
                  <w:noWrap w:val="0"/>
                  <w:vAlign w:val="center"/>
                </w:tcPr>
                <w:p w14:paraId="6B53E2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注浆站内200m</w:t>
                  </w:r>
                  <w:r>
                    <w:rPr>
                      <w:rFonts w:hint="default" w:ascii="Times New Roman" w:hAnsi="Times New Roman" w:eastAsia="宋体" w:cs="Times New Roman"/>
                      <w:color w:val="auto"/>
                      <w:kern w:val="2"/>
                      <w:sz w:val="21"/>
                      <w:szCs w:val="21"/>
                      <w:vertAlign w:val="superscript"/>
                      <w:lang w:val="en-US" w:eastAsia="zh-CN"/>
                    </w:rPr>
                    <w:t>3</w:t>
                  </w:r>
                  <w:r>
                    <w:rPr>
                      <w:rFonts w:hint="default" w:ascii="Times New Roman" w:hAnsi="Times New Roman" w:eastAsia="宋体" w:cs="Times New Roman"/>
                      <w:color w:val="auto"/>
                      <w:kern w:val="2"/>
                      <w:sz w:val="21"/>
                      <w:szCs w:val="21"/>
                      <w:lang w:val="en-US" w:eastAsia="zh-CN"/>
                    </w:rPr>
                    <w:t>的缓存水池</w:t>
                  </w:r>
                </w:p>
              </w:tc>
            </w:tr>
            <w:tr w14:paraId="02F7A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73" w:type="pct"/>
                  <w:noWrap w:val="0"/>
                  <w:vAlign w:val="center"/>
                </w:tcPr>
                <w:p w14:paraId="58BD8C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w:t>
                  </w:r>
                </w:p>
              </w:tc>
              <w:tc>
                <w:tcPr>
                  <w:tcW w:w="787" w:type="pct"/>
                  <w:noWrap w:val="0"/>
                  <w:vAlign w:val="center"/>
                </w:tcPr>
                <w:p w14:paraId="1465B7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生活用水</w:t>
                  </w:r>
                </w:p>
              </w:tc>
              <w:tc>
                <w:tcPr>
                  <w:tcW w:w="1438" w:type="pct"/>
                  <w:noWrap w:val="0"/>
                  <w:vAlign w:val="center"/>
                </w:tcPr>
                <w:p w14:paraId="565402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eastAsia="zh-CN"/>
                    </w:rPr>
                    <w:t>以地下水和深度处理后的矿井水作为生活取水水源</w:t>
                  </w:r>
                </w:p>
              </w:tc>
              <w:tc>
                <w:tcPr>
                  <w:tcW w:w="988" w:type="pct"/>
                  <w:noWrap w:val="0"/>
                  <w:vAlign w:val="center"/>
                </w:tcPr>
                <w:p w14:paraId="5B6780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1108.8m</w:t>
                  </w:r>
                  <w:r>
                    <w:rPr>
                      <w:rFonts w:hint="default" w:ascii="Times New Roman" w:hAnsi="Times New Roman" w:eastAsia="宋体" w:cs="Times New Roman"/>
                      <w:color w:val="auto"/>
                      <w:kern w:val="2"/>
                      <w:sz w:val="21"/>
                      <w:szCs w:val="21"/>
                      <w:vertAlign w:val="superscript"/>
                      <w:lang w:val="en-US" w:eastAsia="zh-CN"/>
                    </w:rPr>
                    <w:t>3</w:t>
                  </w:r>
                  <w:r>
                    <w:rPr>
                      <w:rFonts w:hint="default" w:ascii="Times New Roman" w:hAnsi="Times New Roman" w:eastAsia="宋体" w:cs="Times New Roman"/>
                      <w:color w:val="auto"/>
                      <w:kern w:val="2"/>
                      <w:sz w:val="21"/>
                      <w:szCs w:val="21"/>
                      <w:lang w:val="en-US" w:eastAsia="zh-CN"/>
                    </w:rPr>
                    <w:t>/年</w:t>
                  </w:r>
                </w:p>
              </w:tc>
              <w:tc>
                <w:tcPr>
                  <w:tcW w:w="1512" w:type="pct"/>
                  <w:noWrap w:val="0"/>
                  <w:vAlign w:val="center"/>
                </w:tcPr>
                <w:p w14:paraId="1770E6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w:t>
                  </w:r>
                </w:p>
              </w:tc>
            </w:tr>
          </w:tbl>
          <w:p w14:paraId="27A20F0A">
            <w:pPr>
              <w:keepNext w:val="0"/>
              <w:keepLines w:val="0"/>
              <w:pageBreakBefore w:val="0"/>
              <w:widowControl w:val="0"/>
              <w:kinsoku/>
              <w:wordWrap/>
              <w:overflowPunct/>
              <w:topLinePunct/>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2、原辅材料</w:t>
            </w:r>
            <w:r>
              <w:rPr>
                <w:rFonts w:hint="eastAsia" w:cs="Times New Roman"/>
                <w:b/>
                <w:bCs/>
                <w:color w:val="auto"/>
                <w:kern w:val="0"/>
                <w:sz w:val="24"/>
                <w:szCs w:val="24"/>
                <w:lang w:val="en-US" w:eastAsia="zh-CN" w:bidi="ar-SA"/>
              </w:rPr>
              <w:t>成分</w:t>
            </w:r>
          </w:p>
          <w:p w14:paraId="5979D906">
            <w:pPr>
              <w:keepNext w:val="0"/>
              <w:keepLines w:val="0"/>
              <w:pageBreakBefore w:val="0"/>
              <w:widowControl w:val="0"/>
              <w:kinsoku/>
              <w:wordWrap/>
              <w:overflowPunct/>
              <w:topLinePunct/>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（1）煤矸石</w:t>
            </w:r>
            <w:r>
              <w:rPr>
                <w:rFonts w:hint="eastAsia" w:cs="Times New Roman"/>
                <w:color w:val="auto"/>
                <w:kern w:val="0"/>
                <w:sz w:val="24"/>
                <w:szCs w:val="24"/>
                <w:lang w:val="en-US" w:eastAsia="zh-CN" w:bidi="ar-SA"/>
              </w:rPr>
              <w:t>成分及</w:t>
            </w:r>
            <w:r>
              <w:rPr>
                <w:rFonts w:hint="default" w:ascii="Times New Roman" w:hAnsi="Times New Roman" w:eastAsia="宋体" w:cs="Times New Roman"/>
                <w:color w:val="auto"/>
                <w:kern w:val="0"/>
                <w:sz w:val="24"/>
                <w:szCs w:val="24"/>
                <w:lang w:val="en-US" w:eastAsia="zh-CN" w:bidi="ar-SA"/>
              </w:rPr>
              <w:t>性质</w:t>
            </w:r>
          </w:p>
          <w:p w14:paraId="22F9FA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val="en-US" w:eastAsia="zh-CN"/>
              </w:rPr>
              <w:t>①</w:t>
            </w:r>
            <w:r>
              <w:rPr>
                <w:rFonts w:hint="default" w:ascii="Times New Roman" w:hAnsi="Times New Roman" w:eastAsia="宋体" w:cs="Times New Roman"/>
                <w:color w:val="auto"/>
                <w:kern w:val="2"/>
                <w:sz w:val="24"/>
                <w:szCs w:val="24"/>
                <w:highlight w:val="none"/>
                <w:lang w:eastAsia="zh-CN"/>
              </w:rPr>
              <w:t>化学性质</w:t>
            </w:r>
          </w:p>
          <w:p w14:paraId="2F2002B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eastAsia="zh-CN"/>
              </w:rPr>
              <w:fldChar w:fldCharType="begin"/>
            </w:r>
            <w:r>
              <w:rPr>
                <w:rFonts w:hint="default" w:ascii="Times New Roman" w:hAnsi="Times New Roman" w:eastAsia="宋体" w:cs="Times New Roman"/>
                <w:color w:val="auto"/>
                <w:kern w:val="2"/>
                <w:sz w:val="24"/>
                <w:szCs w:val="24"/>
                <w:highlight w:val="none"/>
                <w:lang w:eastAsia="zh-CN"/>
              </w:rPr>
              <w:instrText xml:space="preserve"> = 1 \* alphabetic \* MERGEFORMAT </w:instrText>
            </w:r>
            <w:r>
              <w:rPr>
                <w:rFonts w:hint="default" w:ascii="Times New Roman" w:hAnsi="Times New Roman" w:eastAsia="宋体" w:cs="Times New Roman"/>
                <w:color w:val="auto"/>
                <w:kern w:val="2"/>
                <w:sz w:val="24"/>
                <w:szCs w:val="24"/>
                <w:highlight w:val="none"/>
                <w:lang w:eastAsia="zh-CN"/>
              </w:rPr>
              <w:fldChar w:fldCharType="separate"/>
            </w:r>
            <w:r>
              <w:rPr>
                <w:rFonts w:hint="default" w:ascii="Times New Roman" w:hAnsi="Times New Roman" w:eastAsia="宋体" w:cs="Times New Roman"/>
                <w:color w:val="auto"/>
                <w:kern w:val="2"/>
                <w:sz w:val="24"/>
                <w:szCs w:val="24"/>
                <w:highlight w:val="none"/>
              </w:rPr>
              <w:t>a</w:t>
            </w:r>
            <w:r>
              <w:rPr>
                <w:rFonts w:hint="default" w:ascii="Times New Roman" w:hAnsi="Times New Roman" w:eastAsia="宋体" w:cs="Times New Roman"/>
                <w:color w:val="auto"/>
                <w:kern w:val="2"/>
                <w:sz w:val="24"/>
                <w:szCs w:val="24"/>
                <w:highlight w:val="none"/>
                <w:lang w:eastAsia="zh-CN"/>
              </w:rPr>
              <w:fldChar w:fldCharType="end"/>
            </w:r>
            <w:r>
              <w:rPr>
                <w:rFonts w:hint="default"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eastAsia="zh-CN"/>
              </w:rPr>
              <w:t>煤矸石是多种岩块的混合物，其成分相当复杂，从化学组成上看，煤矸石是由无机质和少量有机质组成的混合物。构成煤矸石的元素达十多种，一般以SiO</w:t>
            </w:r>
            <w:r>
              <w:rPr>
                <w:rFonts w:hint="default" w:ascii="Times New Roman" w:hAnsi="Times New Roman" w:eastAsia="宋体" w:cs="Times New Roman"/>
                <w:color w:val="auto"/>
                <w:kern w:val="2"/>
                <w:sz w:val="24"/>
                <w:szCs w:val="24"/>
                <w:highlight w:val="none"/>
                <w:vertAlign w:val="subscript"/>
                <w:lang w:eastAsia="zh-CN"/>
              </w:rPr>
              <w:t>2</w:t>
            </w:r>
            <w:r>
              <w:rPr>
                <w:rFonts w:hint="default" w:ascii="Times New Roman" w:hAnsi="Times New Roman" w:eastAsia="宋体" w:cs="Times New Roman"/>
                <w:color w:val="auto"/>
                <w:kern w:val="2"/>
                <w:sz w:val="24"/>
                <w:szCs w:val="24"/>
                <w:highlight w:val="none"/>
                <w:lang w:eastAsia="zh-CN"/>
              </w:rPr>
              <w:t>、Al</w:t>
            </w:r>
            <w:r>
              <w:rPr>
                <w:rFonts w:hint="default" w:ascii="Times New Roman" w:hAnsi="Times New Roman" w:eastAsia="宋体" w:cs="Times New Roman"/>
                <w:color w:val="auto"/>
                <w:kern w:val="2"/>
                <w:sz w:val="24"/>
                <w:szCs w:val="24"/>
                <w:highlight w:val="none"/>
                <w:vertAlign w:val="subscript"/>
                <w:lang w:eastAsia="zh-CN"/>
              </w:rPr>
              <w:t>2</w:t>
            </w:r>
            <w:r>
              <w:rPr>
                <w:rFonts w:hint="default" w:ascii="Times New Roman" w:hAnsi="Times New Roman" w:eastAsia="宋体" w:cs="Times New Roman"/>
                <w:color w:val="auto"/>
                <w:kern w:val="2"/>
                <w:sz w:val="24"/>
                <w:szCs w:val="24"/>
                <w:highlight w:val="none"/>
                <w:lang w:eastAsia="zh-CN"/>
              </w:rPr>
              <w:t>O</w:t>
            </w:r>
            <w:r>
              <w:rPr>
                <w:rFonts w:hint="default" w:ascii="Times New Roman" w:hAnsi="Times New Roman" w:eastAsia="宋体" w:cs="Times New Roman"/>
                <w:color w:val="auto"/>
                <w:kern w:val="2"/>
                <w:sz w:val="24"/>
                <w:szCs w:val="24"/>
                <w:highlight w:val="none"/>
                <w:vertAlign w:val="subscript"/>
                <w:lang w:eastAsia="zh-CN"/>
              </w:rPr>
              <w:t>3</w:t>
            </w:r>
            <w:r>
              <w:rPr>
                <w:rFonts w:hint="default" w:ascii="Times New Roman" w:hAnsi="Times New Roman" w:eastAsia="宋体" w:cs="Times New Roman"/>
                <w:color w:val="auto"/>
                <w:kern w:val="2"/>
                <w:sz w:val="24"/>
                <w:szCs w:val="24"/>
                <w:highlight w:val="none"/>
                <w:lang w:eastAsia="zh-CN"/>
              </w:rPr>
              <w:t>为主要成分，另外含有数量不等的Fe</w:t>
            </w:r>
            <w:r>
              <w:rPr>
                <w:rFonts w:hint="default" w:ascii="Times New Roman" w:hAnsi="Times New Roman" w:eastAsia="宋体" w:cs="Times New Roman"/>
                <w:color w:val="auto"/>
                <w:kern w:val="2"/>
                <w:sz w:val="24"/>
                <w:szCs w:val="24"/>
                <w:highlight w:val="none"/>
                <w:vertAlign w:val="subscript"/>
                <w:lang w:eastAsia="zh-CN"/>
              </w:rPr>
              <w:t>2</w:t>
            </w:r>
            <w:r>
              <w:rPr>
                <w:rFonts w:hint="default" w:ascii="Times New Roman" w:hAnsi="Times New Roman" w:eastAsia="宋体" w:cs="Times New Roman"/>
                <w:color w:val="auto"/>
                <w:kern w:val="2"/>
                <w:sz w:val="24"/>
                <w:szCs w:val="24"/>
                <w:highlight w:val="none"/>
                <w:lang w:eastAsia="zh-CN"/>
              </w:rPr>
              <w:t>O</w:t>
            </w:r>
            <w:r>
              <w:rPr>
                <w:rFonts w:hint="default" w:ascii="Times New Roman" w:hAnsi="Times New Roman" w:eastAsia="宋体" w:cs="Times New Roman"/>
                <w:color w:val="auto"/>
                <w:kern w:val="2"/>
                <w:sz w:val="24"/>
                <w:szCs w:val="24"/>
                <w:highlight w:val="none"/>
                <w:vertAlign w:val="subscript"/>
                <w:lang w:eastAsia="zh-CN"/>
              </w:rPr>
              <w:t>3</w:t>
            </w:r>
            <w:r>
              <w:rPr>
                <w:rFonts w:hint="default" w:ascii="Times New Roman" w:hAnsi="Times New Roman" w:eastAsia="宋体" w:cs="Times New Roman"/>
                <w:color w:val="auto"/>
                <w:kern w:val="2"/>
                <w:sz w:val="24"/>
                <w:szCs w:val="24"/>
                <w:highlight w:val="none"/>
                <w:lang w:eastAsia="zh-CN"/>
              </w:rPr>
              <w:t>、CaO、MgO、SO</w:t>
            </w:r>
            <w:r>
              <w:rPr>
                <w:rFonts w:hint="default" w:ascii="Times New Roman" w:hAnsi="Times New Roman" w:eastAsia="宋体" w:cs="Times New Roman"/>
                <w:color w:val="auto"/>
                <w:kern w:val="2"/>
                <w:sz w:val="24"/>
                <w:szCs w:val="24"/>
                <w:highlight w:val="none"/>
                <w:vertAlign w:val="subscript"/>
                <w:lang w:eastAsia="zh-CN"/>
              </w:rPr>
              <w:t>3</w:t>
            </w:r>
            <w:r>
              <w:rPr>
                <w:rFonts w:hint="default" w:ascii="Times New Roman" w:hAnsi="Times New Roman" w:eastAsia="宋体" w:cs="Times New Roman"/>
                <w:color w:val="auto"/>
                <w:kern w:val="2"/>
                <w:sz w:val="24"/>
                <w:szCs w:val="24"/>
                <w:highlight w:val="none"/>
                <w:lang w:eastAsia="zh-CN"/>
              </w:rPr>
              <w:t>、K</w:t>
            </w:r>
            <w:r>
              <w:rPr>
                <w:rFonts w:hint="default" w:ascii="Times New Roman" w:hAnsi="Times New Roman" w:eastAsia="宋体" w:cs="Times New Roman"/>
                <w:color w:val="auto"/>
                <w:kern w:val="2"/>
                <w:sz w:val="24"/>
                <w:szCs w:val="24"/>
                <w:highlight w:val="none"/>
                <w:vertAlign w:val="subscript"/>
                <w:lang w:eastAsia="zh-CN"/>
              </w:rPr>
              <w:t>2</w:t>
            </w:r>
            <w:r>
              <w:rPr>
                <w:rFonts w:hint="default" w:ascii="Times New Roman" w:hAnsi="Times New Roman" w:eastAsia="宋体" w:cs="Times New Roman"/>
                <w:color w:val="auto"/>
                <w:kern w:val="2"/>
                <w:sz w:val="24"/>
                <w:szCs w:val="24"/>
                <w:highlight w:val="none"/>
                <w:lang w:eastAsia="zh-CN"/>
              </w:rPr>
              <w:t>O、Na</w:t>
            </w:r>
            <w:r>
              <w:rPr>
                <w:rFonts w:hint="default" w:ascii="Times New Roman" w:hAnsi="Times New Roman" w:eastAsia="宋体" w:cs="Times New Roman"/>
                <w:color w:val="auto"/>
                <w:kern w:val="2"/>
                <w:sz w:val="24"/>
                <w:szCs w:val="24"/>
                <w:highlight w:val="none"/>
                <w:vertAlign w:val="subscript"/>
                <w:lang w:eastAsia="zh-CN"/>
              </w:rPr>
              <w:t>2</w:t>
            </w:r>
            <w:r>
              <w:rPr>
                <w:rFonts w:hint="default" w:ascii="Times New Roman" w:hAnsi="Times New Roman" w:eastAsia="宋体" w:cs="Times New Roman"/>
                <w:color w:val="auto"/>
                <w:kern w:val="2"/>
                <w:sz w:val="24"/>
                <w:szCs w:val="24"/>
                <w:highlight w:val="none"/>
                <w:lang w:eastAsia="zh-CN"/>
              </w:rPr>
              <w:t>O等无机物，以及微量的稀有元素</w:t>
            </w:r>
            <w:r>
              <w:rPr>
                <w:rFonts w:hint="eastAsia"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eastAsia="zh-CN"/>
              </w:rPr>
              <w:t>钛、钒、钴等</w:t>
            </w:r>
            <w:r>
              <w:rPr>
                <w:rFonts w:hint="eastAsia"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eastAsia="zh-CN"/>
              </w:rPr>
              <w:t>。煤矸石的化学成分极不稳定，不同地区的煤矸石成分也不一样，</w:t>
            </w:r>
            <w:r>
              <w:rPr>
                <w:rFonts w:hint="default" w:ascii="Times New Roman" w:hAnsi="Times New Roman" w:eastAsia="宋体" w:cs="Times New Roman"/>
                <w:color w:val="auto"/>
                <w:kern w:val="2"/>
                <w:sz w:val="24"/>
                <w:szCs w:val="24"/>
                <w:highlight w:val="none"/>
                <w:lang w:val="en-US" w:eastAsia="zh-CN"/>
              </w:rPr>
              <w:t>根据参考周边葫芦素井田矸石成分，白家海子井田内煤灰成分以SiO</w:t>
            </w:r>
            <w:r>
              <w:rPr>
                <w:rFonts w:hint="default" w:ascii="Times New Roman" w:hAnsi="Times New Roman" w:eastAsia="宋体" w:cs="Times New Roman"/>
                <w:color w:val="auto"/>
                <w:kern w:val="2"/>
                <w:sz w:val="24"/>
                <w:szCs w:val="24"/>
                <w:highlight w:val="none"/>
                <w:vertAlign w:val="subscript"/>
                <w:lang w:val="en-US" w:eastAsia="zh-CN"/>
              </w:rPr>
              <w:t>2</w:t>
            </w:r>
            <w:r>
              <w:rPr>
                <w:rFonts w:hint="default" w:ascii="Times New Roman" w:hAnsi="Times New Roman" w:eastAsia="宋体" w:cs="Times New Roman"/>
                <w:color w:val="auto"/>
                <w:kern w:val="2"/>
                <w:sz w:val="24"/>
                <w:szCs w:val="24"/>
                <w:highlight w:val="none"/>
                <w:lang w:val="en-US" w:eastAsia="zh-CN"/>
              </w:rPr>
              <w:t>为主，含量在56.31%左右；Al</w:t>
            </w:r>
            <w:r>
              <w:rPr>
                <w:rFonts w:hint="default" w:ascii="Times New Roman" w:hAnsi="Times New Roman" w:eastAsia="宋体" w:cs="Times New Roman"/>
                <w:color w:val="auto"/>
                <w:kern w:val="2"/>
                <w:sz w:val="24"/>
                <w:szCs w:val="24"/>
                <w:highlight w:val="none"/>
                <w:vertAlign w:val="subscript"/>
                <w:lang w:val="en-US" w:eastAsia="zh-CN"/>
              </w:rPr>
              <w:t>2</w:t>
            </w:r>
            <w:r>
              <w:rPr>
                <w:rFonts w:hint="default" w:ascii="Times New Roman" w:hAnsi="Times New Roman" w:eastAsia="宋体" w:cs="Times New Roman"/>
                <w:color w:val="auto"/>
                <w:kern w:val="2"/>
                <w:sz w:val="24"/>
                <w:szCs w:val="24"/>
                <w:highlight w:val="none"/>
                <w:lang w:val="en-US" w:eastAsia="zh-CN"/>
              </w:rPr>
              <w:t>O</w:t>
            </w:r>
            <w:r>
              <w:rPr>
                <w:rFonts w:hint="default" w:ascii="Times New Roman" w:hAnsi="Times New Roman" w:eastAsia="宋体" w:cs="Times New Roman"/>
                <w:color w:val="auto"/>
                <w:kern w:val="2"/>
                <w:sz w:val="24"/>
                <w:szCs w:val="24"/>
                <w:highlight w:val="none"/>
                <w:vertAlign w:val="subscript"/>
                <w:lang w:val="en-US" w:eastAsia="zh-CN"/>
              </w:rPr>
              <w:t>3</w:t>
            </w:r>
            <w:r>
              <w:rPr>
                <w:rFonts w:hint="default" w:ascii="Times New Roman" w:hAnsi="Times New Roman" w:eastAsia="宋体" w:cs="Times New Roman"/>
                <w:color w:val="auto"/>
                <w:kern w:val="2"/>
                <w:sz w:val="24"/>
                <w:szCs w:val="24"/>
                <w:highlight w:val="none"/>
                <w:lang w:val="en-US" w:eastAsia="zh-CN"/>
              </w:rPr>
              <w:t>含量在18.55%左右；Fe</w:t>
            </w:r>
            <w:r>
              <w:rPr>
                <w:rFonts w:hint="default" w:ascii="Times New Roman" w:hAnsi="Times New Roman" w:eastAsia="宋体" w:cs="Times New Roman"/>
                <w:color w:val="auto"/>
                <w:kern w:val="2"/>
                <w:sz w:val="24"/>
                <w:szCs w:val="24"/>
                <w:highlight w:val="none"/>
                <w:vertAlign w:val="subscript"/>
                <w:lang w:val="en-US" w:eastAsia="zh-CN"/>
              </w:rPr>
              <w:t>2</w:t>
            </w:r>
            <w:r>
              <w:rPr>
                <w:rFonts w:hint="default" w:ascii="Times New Roman" w:hAnsi="Times New Roman" w:eastAsia="宋体" w:cs="Times New Roman"/>
                <w:color w:val="auto"/>
                <w:kern w:val="2"/>
                <w:sz w:val="24"/>
                <w:szCs w:val="24"/>
                <w:highlight w:val="none"/>
                <w:lang w:val="en-US" w:eastAsia="zh-CN"/>
              </w:rPr>
              <w:t>O</w:t>
            </w:r>
            <w:r>
              <w:rPr>
                <w:rFonts w:hint="default" w:ascii="Times New Roman" w:hAnsi="Times New Roman" w:eastAsia="宋体" w:cs="Times New Roman"/>
                <w:color w:val="auto"/>
                <w:kern w:val="2"/>
                <w:sz w:val="24"/>
                <w:szCs w:val="24"/>
                <w:highlight w:val="none"/>
                <w:vertAlign w:val="subscript"/>
                <w:lang w:val="en-US" w:eastAsia="zh-CN"/>
              </w:rPr>
              <w:t>3</w:t>
            </w:r>
            <w:r>
              <w:rPr>
                <w:rFonts w:hint="default" w:ascii="Times New Roman" w:hAnsi="Times New Roman" w:eastAsia="宋体" w:cs="Times New Roman"/>
                <w:color w:val="auto"/>
                <w:kern w:val="2"/>
                <w:sz w:val="24"/>
                <w:szCs w:val="24"/>
                <w:highlight w:val="none"/>
                <w:lang w:val="en-US" w:eastAsia="zh-CN"/>
              </w:rPr>
              <w:t>含量在3.92%左右；SO</w:t>
            </w:r>
            <w:r>
              <w:rPr>
                <w:rFonts w:hint="default" w:ascii="Times New Roman" w:hAnsi="Times New Roman" w:eastAsia="宋体" w:cs="Times New Roman"/>
                <w:color w:val="auto"/>
                <w:kern w:val="2"/>
                <w:sz w:val="24"/>
                <w:szCs w:val="24"/>
                <w:highlight w:val="none"/>
                <w:vertAlign w:val="subscript"/>
                <w:lang w:val="en-US" w:eastAsia="zh-CN"/>
              </w:rPr>
              <w:t>3</w:t>
            </w:r>
            <w:r>
              <w:rPr>
                <w:rFonts w:hint="default" w:ascii="Times New Roman" w:hAnsi="Times New Roman" w:eastAsia="宋体" w:cs="Times New Roman"/>
                <w:color w:val="auto"/>
                <w:kern w:val="2"/>
                <w:sz w:val="24"/>
                <w:szCs w:val="24"/>
                <w:highlight w:val="none"/>
                <w:lang w:val="en-US" w:eastAsia="zh-CN"/>
              </w:rPr>
              <w:t>含量在2.18%左右；</w:t>
            </w:r>
            <w:r>
              <w:rPr>
                <w:rFonts w:hint="default" w:ascii="Times New Roman" w:hAnsi="Times New Roman" w:eastAsia="宋体" w:cs="Times New Roman"/>
                <w:color w:val="auto"/>
                <w:kern w:val="2"/>
                <w:sz w:val="24"/>
                <w:szCs w:val="24"/>
                <w:highlight w:val="none"/>
                <w:lang w:eastAsia="zh-CN"/>
              </w:rPr>
              <w:t>K</w:t>
            </w:r>
            <w:r>
              <w:rPr>
                <w:rFonts w:hint="default" w:ascii="Times New Roman" w:hAnsi="Times New Roman" w:eastAsia="宋体" w:cs="Times New Roman"/>
                <w:color w:val="auto"/>
                <w:kern w:val="2"/>
                <w:sz w:val="24"/>
                <w:szCs w:val="24"/>
                <w:highlight w:val="none"/>
                <w:vertAlign w:val="subscript"/>
                <w:lang w:eastAsia="zh-CN"/>
              </w:rPr>
              <w:t>2</w:t>
            </w:r>
            <w:r>
              <w:rPr>
                <w:rFonts w:hint="default" w:ascii="Times New Roman" w:hAnsi="Times New Roman" w:eastAsia="宋体" w:cs="Times New Roman"/>
                <w:color w:val="auto"/>
                <w:kern w:val="2"/>
                <w:sz w:val="24"/>
                <w:szCs w:val="24"/>
                <w:highlight w:val="none"/>
                <w:lang w:eastAsia="zh-CN"/>
              </w:rPr>
              <w:t>O</w:t>
            </w:r>
            <w:r>
              <w:rPr>
                <w:rFonts w:hint="default" w:ascii="Times New Roman" w:hAnsi="Times New Roman" w:eastAsia="宋体" w:cs="Times New Roman"/>
                <w:color w:val="auto"/>
                <w:kern w:val="2"/>
                <w:sz w:val="24"/>
                <w:szCs w:val="24"/>
                <w:highlight w:val="none"/>
                <w:lang w:val="en-US" w:eastAsia="zh-CN"/>
              </w:rPr>
              <w:t>含量在2.07%左右。</w:t>
            </w:r>
          </w:p>
          <w:p w14:paraId="75A47E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eastAsia="zh-CN"/>
              </w:rPr>
              <w:fldChar w:fldCharType="begin"/>
            </w:r>
            <w:r>
              <w:rPr>
                <w:rFonts w:hint="default" w:ascii="Times New Roman" w:hAnsi="Times New Roman" w:eastAsia="宋体" w:cs="Times New Roman"/>
                <w:color w:val="auto"/>
                <w:kern w:val="2"/>
                <w:sz w:val="24"/>
                <w:szCs w:val="24"/>
                <w:highlight w:val="none"/>
                <w:lang w:eastAsia="zh-CN"/>
              </w:rPr>
              <w:instrText xml:space="preserve"> = 2 \* alphabetic \* MERGEFORMAT </w:instrText>
            </w:r>
            <w:r>
              <w:rPr>
                <w:rFonts w:hint="default" w:ascii="Times New Roman" w:hAnsi="Times New Roman" w:eastAsia="宋体" w:cs="Times New Roman"/>
                <w:color w:val="auto"/>
                <w:kern w:val="2"/>
                <w:sz w:val="24"/>
                <w:szCs w:val="24"/>
                <w:highlight w:val="none"/>
                <w:lang w:eastAsia="zh-CN"/>
              </w:rPr>
              <w:fldChar w:fldCharType="separate"/>
            </w:r>
            <w:r>
              <w:rPr>
                <w:rFonts w:hint="default" w:ascii="Times New Roman" w:hAnsi="Times New Roman" w:eastAsia="宋体" w:cs="Times New Roman"/>
                <w:color w:val="auto"/>
                <w:kern w:val="2"/>
                <w:sz w:val="24"/>
                <w:szCs w:val="24"/>
                <w:highlight w:val="none"/>
              </w:rPr>
              <w:t>b</w:t>
            </w:r>
            <w:r>
              <w:rPr>
                <w:rFonts w:hint="default" w:ascii="Times New Roman" w:hAnsi="Times New Roman" w:eastAsia="宋体" w:cs="Times New Roman"/>
                <w:color w:val="auto"/>
                <w:kern w:val="2"/>
                <w:sz w:val="24"/>
                <w:szCs w:val="24"/>
                <w:highlight w:val="none"/>
                <w:lang w:eastAsia="zh-CN"/>
              </w:rPr>
              <w:fldChar w:fldCharType="end"/>
            </w:r>
            <w:r>
              <w:rPr>
                <w:rFonts w:hint="default" w:ascii="Times New Roman" w:hAnsi="Times New Roman" w:eastAsia="宋体" w:cs="Times New Roman"/>
                <w:color w:val="auto"/>
                <w:kern w:val="2"/>
                <w:sz w:val="24"/>
                <w:szCs w:val="24"/>
                <w:highlight w:val="none"/>
                <w:lang w:val="en-US" w:eastAsia="zh-CN"/>
              </w:rPr>
              <w:t>.由于白家海子煤矿目前还未投入运行，无煤矸石成分检测报告，因此煤矸石数据引用营盘壕煤矿2020年7月16日~2020年7月21日煤矸石浸出实验数据，该煤矿与本煤矿属于同一矿区。矸石浸出方法采用《固体废物 浸出毒性浸出方法 水平振荡法》，营盘壕煤矿淋溶浸出试验监测情况见表2-7。白家海子煤矿投产后产生矸石应按照管理要求对煤矸石进行补充监测。</w:t>
            </w:r>
          </w:p>
          <w:p w14:paraId="1CAF2C0F">
            <w:pPr>
              <w:keepNext w:val="0"/>
              <w:keepLines w:val="0"/>
              <w:pageBreakBefore w:val="0"/>
              <w:widowControl w:val="0"/>
              <w:kinsoku/>
              <w:wordWrap/>
              <w:overflowPunct/>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b/>
                <w:bCs/>
                <w:color w:val="auto"/>
                <w:kern w:val="2"/>
                <w:sz w:val="24"/>
                <w:szCs w:val="24"/>
                <w:highlight w:val="none"/>
              </w:rPr>
              <w:t>表</w:t>
            </w:r>
            <w:r>
              <w:rPr>
                <w:rFonts w:hint="default" w:ascii="Times New Roman" w:hAnsi="Times New Roman" w:eastAsia="宋体" w:cs="Times New Roman"/>
                <w:b/>
                <w:bCs/>
                <w:color w:val="auto"/>
                <w:kern w:val="2"/>
                <w:sz w:val="24"/>
                <w:szCs w:val="24"/>
                <w:highlight w:val="none"/>
                <w:lang w:val="en-US" w:eastAsia="zh-CN"/>
              </w:rPr>
              <w:t>2-7</w:t>
            </w:r>
            <w:r>
              <w:rPr>
                <w:rFonts w:hint="eastAsia" w:cs="Times New Roman"/>
                <w:b/>
                <w:bCs/>
                <w:color w:val="auto"/>
                <w:kern w:val="2"/>
                <w:sz w:val="24"/>
                <w:szCs w:val="24"/>
                <w:highlight w:val="none"/>
                <w:lang w:val="en-US" w:eastAsia="zh-CN"/>
              </w:rPr>
              <w:t xml:space="preserve">  </w:t>
            </w:r>
            <w:r>
              <w:rPr>
                <w:rFonts w:hint="default" w:ascii="Times New Roman" w:hAnsi="Times New Roman" w:eastAsia="宋体" w:cs="Times New Roman"/>
                <w:b/>
                <w:bCs/>
                <w:color w:val="auto"/>
                <w:kern w:val="2"/>
                <w:sz w:val="24"/>
                <w:szCs w:val="24"/>
                <w:highlight w:val="none"/>
                <w:lang w:val="en-US" w:eastAsia="zh-CN"/>
              </w:rPr>
              <w:t>煤矿</w:t>
            </w:r>
            <w:r>
              <w:rPr>
                <w:rFonts w:hint="default" w:ascii="Times New Roman" w:hAnsi="Times New Roman" w:eastAsia="宋体" w:cs="Times New Roman"/>
                <w:b/>
                <w:bCs/>
                <w:color w:val="auto"/>
                <w:kern w:val="2"/>
                <w:sz w:val="24"/>
                <w:szCs w:val="24"/>
                <w:highlight w:val="none"/>
              </w:rPr>
              <w:t>矸石淋溶浸出试验结果单位：mg/</w:t>
            </w:r>
            <w:r>
              <w:rPr>
                <w:rFonts w:hint="default" w:ascii="Times New Roman" w:hAnsi="Times New Roman" w:eastAsia="宋体" w:cs="Times New Roman"/>
                <w:b/>
                <w:bCs/>
                <w:color w:val="auto"/>
                <w:kern w:val="2"/>
                <w:sz w:val="24"/>
                <w:szCs w:val="24"/>
                <w:highlight w:val="none"/>
                <w:lang w:val="en-US" w:eastAsia="zh-CN"/>
              </w:rPr>
              <w:t>L</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8"/>
              <w:gridCol w:w="2061"/>
              <w:gridCol w:w="1840"/>
              <w:gridCol w:w="2313"/>
            </w:tblGrid>
            <w:tr w14:paraId="2DFE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1014" w:type="pct"/>
                  <w:vMerge w:val="restart"/>
                  <w:noWrap/>
                  <w:vAlign w:val="center"/>
                </w:tcPr>
                <w:p w14:paraId="3B00AACB">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分析项目</w:t>
                  </w:r>
                </w:p>
              </w:tc>
              <w:tc>
                <w:tcPr>
                  <w:tcW w:w="2501" w:type="pct"/>
                  <w:gridSpan w:val="2"/>
                  <w:noWrap/>
                  <w:vAlign w:val="center"/>
                </w:tcPr>
                <w:p w14:paraId="4EDFFF96">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浸出液</w:t>
                  </w:r>
                </w:p>
                <w:p w14:paraId="7AEB1518">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HJ557-2010</w:t>
                  </w:r>
                </w:p>
              </w:tc>
              <w:tc>
                <w:tcPr>
                  <w:tcW w:w="1483" w:type="pct"/>
                  <w:vMerge w:val="restart"/>
                  <w:noWrap/>
                  <w:vAlign w:val="center"/>
                </w:tcPr>
                <w:p w14:paraId="114AB1C4">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标准值</w:t>
                  </w:r>
                </w:p>
                <w:p w14:paraId="35512D5D">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GB8978-1996</w:t>
                  </w:r>
                </w:p>
              </w:tc>
            </w:tr>
            <w:tr w14:paraId="5682D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1014" w:type="pct"/>
                  <w:vMerge w:val="continue"/>
                  <w:noWrap w:val="0"/>
                  <w:vAlign w:val="center"/>
                </w:tcPr>
                <w:p w14:paraId="31CFC0E1">
                  <w:pPr>
                    <w:keepNext w:val="0"/>
                    <w:keepLines w:val="0"/>
                    <w:pageBreakBefore w:val="0"/>
                    <w:widowControl/>
                    <w:kinsoku/>
                    <w:wordWrap/>
                    <w:overflowPunct/>
                    <w:autoSpaceDE/>
                    <w:autoSpaceDN/>
                    <w:bidi w:val="0"/>
                    <w:snapToGrid w:val="0"/>
                    <w:spacing w:line="240" w:lineRule="auto"/>
                    <w:ind w:firstLine="0" w:firstLineChars="0"/>
                    <w:jc w:val="left"/>
                    <w:rPr>
                      <w:rFonts w:hint="default" w:ascii="Times New Roman" w:hAnsi="Times New Roman" w:eastAsia="宋体" w:cs="Times New Roman"/>
                      <w:color w:val="auto"/>
                      <w:kern w:val="2"/>
                      <w:sz w:val="21"/>
                      <w:szCs w:val="21"/>
                      <w:highlight w:val="none"/>
                    </w:rPr>
                  </w:pPr>
                </w:p>
              </w:tc>
              <w:tc>
                <w:tcPr>
                  <w:tcW w:w="1322" w:type="pct"/>
                  <w:noWrap/>
                  <w:vAlign w:val="center"/>
                </w:tcPr>
                <w:p w14:paraId="0715CE2A">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1#样品</w:t>
                  </w:r>
                </w:p>
              </w:tc>
              <w:tc>
                <w:tcPr>
                  <w:tcW w:w="1179" w:type="pct"/>
                  <w:noWrap/>
                  <w:vAlign w:val="center"/>
                </w:tcPr>
                <w:p w14:paraId="7437F57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2#样品</w:t>
                  </w:r>
                </w:p>
              </w:tc>
              <w:tc>
                <w:tcPr>
                  <w:tcW w:w="1483" w:type="pct"/>
                  <w:vMerge w:val="continue"/>
                  <w:noWrap w:val="0"/>
                  <w:vAlign w:val="center"/>
                </w:tcPr>
                <w:p w14:paraId="386633F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r>
            <w:tr w14:paraId="2A713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20CD0DB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w:t>
                  </w:r>
                </w:p>
              </w:tc>
              <w:tc>
                <w:tcPr>
                  <w:tcW w:w="1322" w:type="pct"/>
                  <w:noWrap/>
                  <w:vAlign w:val="center"/>
                </w:tcPr>
                <w:p w14:paraId="6AF75CF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8.94</w:t>
                  </w:r>
                </w:p>
              </w:tc>
              <w:tc>
                <w:tcPr>
                  <w:tcW w:w="1179" w:type="pct"/>
                  <w:noWrap/>
                  <w:vAlign w:val="center"/>
                </w:tcPr>
                <w:p w14:paraId="2C00BF20">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8.94</w:t>
                  </w:r>
                </w:p>
              </w:tc>
              <w:tc>
                <w:tcPr>
                  <w:tcW w:w="1483" w:type="pct"/>
                  <w:noWrap w:val="0"/>
                  <w:vAlign w:val="center"/>
                </w:tcPr>
                <w:p w14:paraId="6C2CBAC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6-9</w:t>
                  </w:r>
                </w:p>
              </w:tc>
            </w:tr>
            <w:tr w14:paraId="781C1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4F72BAC0">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铜（mg/L）</w:t>
                  </w:r>
                </w:p>
              </w:tc>
              <w:tc>
                <w:tcPr>
                  <w:tcW w:w="1322" w:type="pct"/>
                  <w:noWrap/>
                  <w:vAlign w:val="center"/>
                </w:tcPr>
                <w:p w14:paraId="246CA3CC">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0.04L</w:t>
                  </w:r>
                </w:p>
              </w:tc>
              <w:tc>
                <w:tcPr>
                  <w:tcW w:w="1179" w:type="pct"/>
                  <w:noWrap/>
                  <w:vAlign w:val="center"/>
                </w:tcPr>
                <w:p w14:paraId="39CBB0B4">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0.04L</w:t>
                  </w:r>
                </w:p>
              </w:tc>
              <w:tc>
                <w:tcPr>
                  <w:tcW w:w="1483" w:type="pct"/>
                  <w:noWrap w:val="0"/>
                  <w:vAlign w:val="center"/>
                </w:tcPr>
                <w:p w14:paraId="25EDFDA4">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w:t>
                  </w:r>
                </w:p>
              </w:tc>
            </w:tr>
            <w:tr w14:paraId="2DAAB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3EA6F52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锌（mg/L）</w:t>
                  </w:r>
                </w:p>
              </w:tc>
              <w:tc>
                <w:tcPr>
                  <w:tcW w:w="1322" w:type="pct"/>
                  <w:noWrap/>
                  <w:vAlign w:val="center"/>
                </w:tcPr>
                <w:p w14:paraId="3CE82568">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0.021</w:t>
                  </w:r>
                </w:p>
              </w:tc>
              <w:tc>
                <w:tcPr>
                  <w:tcW w:w="1179" w:type="pct"/>
                  <w:noWrap/>
                  <w:vAlign w:val="center"/>
                </w:tcPr>
                <w:p w14:paraId="053D2886">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0.021</w:t>
                  </w:r>
                </w:p>
              </w:tc>
              <w:tc>
                <w:tcPr>
                  <w:tcW w:w="1483" w:type="pct"/>
                  <w:noWrap w:val="0"/>
                  <w:vAlign w:val="center"/>
                </w:tcPr>
                <w:p w14:paraId="595A56F6">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2.0</w:t>
                  </w:r>
                </w:p>
              </w:tc>
            </w:tr>
            <w:tr w14:paraId="76943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7EC76D8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镉（μg/L）</w:t>
                  </w:r>
                </w:p>
              </w:tc>
              <w:tc>
                <w:tcPr>
                  <w:tcW w:w="1322" w:type="pct"/>
                  <w:noWrap/>
                  <w:vAlign w:val="center"/>
                </w:tcPr>
                <w:p w14:paraId="39FCF2EE">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0.025L</w:t>
                  </w:r>
                </w:p>
              </w:tc>
              <w:tc>
                <w:tcPr>
                  <w:tcW w:w="1179" w:type="pct"/>
                  <w:noWrap/>
                  <w:vAlign w:val="center"/>
                </w:tcPr>
                <w:p w14:paraId="3AF2937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0.025L</w:t>
                  </w:r>
                </w:p>
              </w:tc>
              <w:tc>
                <w:tcPr>
                  <w:tcW w:w="1483" w:type="pct"/>
                  <w:noWrap w:val="0"/>
                  <w:vAlign w:val="center"/>
                </w:tcPr>
                <w:p w14:paraId="6BE9E4ED">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0.1</w:t>
                  </w:r>
                </w:p>
              </w:tc>
            </w:tr>
            <w:tr w14:paraId="6EF09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28A1842E">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铅（μg/L）</w:t>
                  </w:r>
                </w:p>
              </w:tc>
              <w:tc>
                <w:tcPr>
                  <w:tcW w:w="1322" w:type="pct"/>
                  <w:noWrap/>
                  <w:vAlign w:val="center"/>
                </w:tcPr>
                <w:p w14:paraId="7067529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0.25L</w:t>
                  </w:r>
                </w:p>
              </w:tc>
              <w:tc>
                <w:tcPr>
                  <w:tcW w:w="1179" w:type="pct"/>
                  <w:noWrap/>
                  <w:vAlign w:val="center"/>
                </w:tcPr>
                <w:p w14:paraId="5977C432">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0.25L</w:t>
                  </w:r>
                </w:p>
              </w:tc>
              <w:tc>
                <w:tcPr>
                  <w:tcW w:w="1483" w:type="pct"/>
                  <w:noWrap w:val="0"/>
                  <w:vAlign w:val="center"/>
                </w:tcPr>
                <w:p w14:paraId="30A398C4">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w:t>
                  </w:r>
                </w:p>
              </w:tc>
            </w:tr>
            <w:tr w14:paraId="566F0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401F4E6E">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总铬（mg/L）</w:t>
                  </w:r>
                </w:p>
              </w:tc>
              <w:tc>
                <w:tcPr>
                  <w:tcW w:w="1322" w:type="pct"/>
                  <w:noWrap/>
                  <w:vAlign w:val="center"/>
                </w:tcPr>
                <w:p w14:paraId="06921C3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0.03L</w:t>
                  </w:r>
                </w:p>
              </w:tc>
              <w:tc>
                <w:tcPr>
                  <w:tcW w:w="1179" w:type="pct"/>
                  <w:noWrap/>
                  <w:vAlign w:val="center"/>
                </w:tcPr>
                <w:p w14:paraId="73F80A2D">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0.03L</w:t>
                  </w:r>
                </w:p>
              </w:tc>
              <w:tc>
                <w:tcPr>
                  <w:tcW w:w="1483" w:type="pct"/>
                  <w:noWrap w:val="0"/>
                  <w:vAlign w:val="center"/>
                </w:tcPr>
                <w:p w14:paraId="7BDA722F">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1.5</w:t>
                  </w:r>
                </w:p>
              </w:tc>
            </w:tr>
            <w:tr w14:paraId="3A134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7912078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六价铬（mg/L）</w:t>
                  </w:r>
                </w:p>
              </w:tc>
              <w:tc>
                <w:tcPr>
                  <w:tcW w:w="1322" w:type="pct"/>
                  <w:noWrap/>
                  <w:vAlign w:val="center"/>
                </w:tcPr>
                <w:p w14:paraId="55059A17">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0.004L</w:t>
                  </w:r>
                </w:p>
              </w:tc>
              <w:tc>
                <w:tcPr>
                  <w:tcW w:w="1179" w:type="pct"/>
                  <w:noWrap/>
                  <w:vAlign w:val="center"/>
                </w:tcPr>
                <w:p w14:paraId="5D1BD04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0.004L</w:t>
                  </w:r>
                </w:p>
              </w:tc>
              <w:tc>
                <w:tcPr>
                  <w:tcW w:w="1483" w:type="pct"/>
                  <w:noWrap w:val="0"/>
                  <w:vAlign w:val="center"/>
                </w:tcPr>
                <w:p w14:paraId="014D3DDD">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r>
            <w:tr w14:paraId="2D4A4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2C4AFBF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汞（μg/L）</w:t>
                  </w:r>
                </w:p>
              </w:tc>
              <w:tc>
                <w:tcPr>
                  <w:tcW w:w="1322" w:type="pct"/>
                  <w:shd w:val="clear" w:color="auto" w:fill="auto"/>
                  <w:noWrap/>
                  <w:vAlign w:val="center"/>
                </w:tcPr>
                <w:p w14:paraId="07693D9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1179" w:type="pct"/>
                  <w:shd w:val="clear" w:color="auto" w:fill="auto"/>
                  <w:noWrap/>
                  <w:vAlign w:val="center"/>
                </w:tcPr>
                <w:p w14:paraId="476C9EEE">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1483" w:type="pct"/>
                  <w:noWrap w:val="0"/>
                  <w:vAlign w:val="center"/>
                </w:tcPr>
                <w:p w14:paraId="3A4B4113">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50</w:t>
                  </w:r>
                </w:p>
              </w:tc>
            </w:tr>
            <w:tr w14:paraId="225EB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608F35AB">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铍（μg/L）</w:t>
                  </w:r>
                </w:p>
              </w:tc>
              <w:tc>
                <w:tcPr>
                  <w:tcW w:w="1322" w:type="pct"/>
                  <w:noWrap/>
                  <w:vAlign w:val="center"/>
                </w:tcPr>
                <w:p w14:paraId="088AAE1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0.02L</w:t>
                  </w:r>
                </w:p>
              </w:tc>
              <w:tc>
                <w:tcPr>
                  <w:tcW w:w="1179" w:type="pct"/>
                  <w:noWrap/>
                  <w:vAlign w:val="center"/>
                </w:tcPr>
                <w:p w14:paraId="31095068">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0.02L</w:t>
                  </w:r>
                </w:p>
              </w:tc>
              <w:tc>
                <w:tcPr>
                  <w:tcW w:w="1483" w:type="pct"/>
                  <w:noWrap w:val="0"/>
                  <w:vAlign w:val="center"/>
                </w:tcPr>
                <w:p w14:paraId="2A18D6D5">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w:t>
                  </w:r>
                </w:p>
              </w:tc>
            </w:tr>
            <w:tr w14:paraId="565D5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02531822">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钡（mg/L）</w:t>
                  </w:r>
                </w:p>
              </w:tc>
              <w:tc>
                <w:tcPr>
                  <w:tcW w:w="1322" w:type="pct"/>
                  <w:noWrap/>
                  <w:vAlign w:val="center"/>
                </w:tcPr>
                <w:p w14:paraId="5E42AFB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w:t>
                  </w:r>
                </w:p>
              </w:tc>
              <w:tc>
                <w:tcPr>
                  <w:tcW w:w="1179" w:type="pct"/>
                  <w:noWrap/>
                  <w:vAlign w:val="center"/>
                </w:tcPr>
                <w:p w14:paraId="6285F257">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w:t>
                  </w:r>
                </w:p>
              </w:tc>
              <w:tc>
                <w:tcPr>
                  <w:tcW w:w="1483" w:type="pct"/>
                  <w:noWrap w:val="0"/>
                  <w:vAlign w:val="center"/>
                </w:tcPr>
                <w:p w14:paraId="2E135EBE">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r>
            <w:tr w14:paraId="64973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3D444354">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镍（mg/L）</w:t>
                  </w:r>
                </w:p>
              </w:tc>
              <w:tc>
                <w:tcPr>
                  <w:tcW w:w="1322" w:type="pct"/>
                  <w:noWrap/>
                  <w:vAlign w:val="center"/>
                </w:tcPr>
                <w:p w14:paraId="2B6D5A4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0.007L</w:t>
                  </w:r>
                </w:p>
              </w:tc>
              <w:tc>
                <w:tcPr>
                  <w:tcW w:w="1179" w:type="pct"/>
                  <w:noWrap/>
                  <w:vAlign w:val="center"/>
                </w:tcPr>
                <w:p w14:paraId="0DB4227A">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0.007L</w:t>
                  </w:r>
                </w:p>
              </w:tc>
              <w:tc>
                <w:tcPr>
                  <w:tcW w:w="1483" w:type="pct"/>
                  <w:noWrap w:val="0"/>
                  <w:vAlign w:val="center"/>
                </w:tcPr>
                <w:p w14:paraId="31758DF6">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1.0</w:t>
                  </w:r>
                </w:p>
              </w:tc>
            </w:tr>
            <w:tr w14:paraId="34BFC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2B3A622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银（mg/L）</w:t>
                  </w:r>
                </w:p>
              </w:tc>
              <w:tc>
                <w:tcPr>
                  <w:tcW w:w="1322" w:type="pct"/>
                  <w:noWrap/>
                  <w:vAlign w:val="center"/>
                </w:tcPr>
                <w:p w14:paraId="273ECF6B">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0.03L</w:t>
                  </w:r>
                </w:p>
              </w:tc>
              <w:tc>
                <w:tcPr>
                  <w:tcW w:w="1179" w:type="pct"/>
                  <w:noWrap/>
                  <w:vAlign w:val="center"/>
                </w:tcPr>
                <w:p w14:paraId="62AC81D2">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0.03L</w:t>
                  </w:r>
                </w:p>
              </w:tc>
              <w:tc>
                <w:tcPr>
                  <w:tcW w:w="1483" w:type="pct"/>
                  <w:noWrap w:val="0"/>
                  <w:vAlign w:val="center"/>
                </w:tcPr>
                <w:p w14:paraId="1837BBD6">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w:t>
                  </w:r>
                </w:p>
              </w:tc>
            </w:tr>
            <w:tr w14:paraId="727A2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22A088D6">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锰（mg/L）</w:t>
                  </w:r>
                </w:p>
              </w:tc>
              <w:tc>
                <w:tcPr>
                  <w:tcW w:w="1322" w:type="pct"/>
                  <w:shd w:val="clear" w:color="auto" w:fill="auto"/>
                  <w:noWrap/>
                  <w:vAlign w:val="center"/>
                </w:tcPr>
                <w:p w14:paraId="03682599">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0.01L</w:t>
                  </w:r>
                </w:p>
              </w:tc>
              <w:tc>
                <w:tcPr>
                  <w:tcW w:w="1179" w:type="pct"/>
                  <w:shd w:val="clear" w:color="auto" w:fill="auto"/>
                  <w:noWrap/>
                  <w:vAlign w:val="center"/>
                </w:tcPr>
                <w:p w14:paraId="1582967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0.01L</w:t>
                  </w:r>
                </w:p>
              </w:tc>
              <w:tc>
                <w:tcPr>
                  <w:tcW w:w="1483" w:type="pct"/>
                  <w:shd w:val="clear" w:color="auto" w:fill="auto"/>
                  <w:noWrap w:val="0"/>
                  <w:vAlign w:val="center"/>
                </w:tcPr>
                <w:p w14:paraId="75DD7202">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2.0</w:t>
                  </w:r>
                </w:p>
              </w:tc>
            </w:tr>
            <w:tr w14:paraId="7D761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1014" w:type="pct"/>
                  <w:shd w:val="clear" w:color="auto" w:fill="auto"/>
                  <w:noWrap/>
                  <w:vAlign w:val="center"/>
                </w:tcPr>
                <w:p w14:paraId="0D95E0A6">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砷（μg/L）</w:t>
                  </w:r>
                </w:p>
              </w:tc>
              <w:tc>
                <w:tcPr>
                  <w:tcW w:w="1322" w:type="pct"/>
                  <w:noWrap/>
                  <w:vAlign w:val="center"/>
                </w:tcPr>
                <w:p w14:paraId="43A72CC4">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0.3L</w:t>
                  </w:r>
                </w:p>
              </w:tc>
              <w:tc>
                <w:tcPr>
                  <w:tcW w:w="1179" w:type="pct"/>
                  <w:noWrap/>
                  <w:vAlign w:val="center"/>
                </w:tcPr>
                <w:p w14:paraId="22B640C8">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0.3L</w:t>
                  </w:r>
                </w:p>
              </w:tc>
              <w:tc>
                <w:tcPr>
                  <w:tcW w:w="1483" w:type="pct"/>
                  <w:noWrap w:val="0"/>
                  <w:vAlign w:val="center"/>
                </w:tcPr>
                <w:p w14:paraId="35814991">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w:t>
                  </w:r>
                </w:p>
              </w:tc>
            </w:tr>
            <w:tr w14:paraId="7CE29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shd w:val="clear" w:color="auto" w:fill="auto"/>
                  <w:noWrap/>
                  <w:vAlign w:val="center"/>
                </w:tcPr>
                <w:p w14:paraId="4873667A">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硒（μg/L）</w:t>
                  </w:r>
                </w:p>
              </w:tc>
              <w:tc>
                <w:tcPr>
                  <w:tcW w:w="1322" w:type="pct"/>
                  <w:shd w:val="clear" w:color="auto" w:fill="auto"/>
                  <w:noWrap/>
                  <w:vAlign w:val="center"/>
                </w:tcPr>
                <w:p w14:paraId="7DA7352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0.4L</w:t>
                  </w:r>
                </w:p>
              </w:tc>
              <w:tc>
                <w:tcPr>
                  <w:tcW w:w="1179" w:type="pct"/>
                  <w:shd w:val="clear" w:color="auto" w:fill="auto"/>
                  <w:noWrap/>
                  <w:vAlign w:val="center"/>
                </w:tcPr>
                <w:p w14:paraId="16C55903">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0.4L</w:t>
                  </w:r>
                </w:p>
              </w:tc>
              <w:tc>
                <w:tcPr>
                  <w:tcW w:w="1483" w:type="pct"/>
                  <w:noWrap w:val="0"/>
                  <w:vAlign w:val="center"/>
                </w:tcPr>
                <w:p w14:paraId="25FFF2CA">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w:t>
                  </w:r>
                </w:p>
              </w:tc>
            </w:tr>
            <w:tr w14:paraId="46D10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1014" w:type="pct"/>
                  <w:noWrap/>
                  <w:vAlign w:val="center"/>
                </w:tcPr>
                <w:p w14:paraId="57B6C694">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氟化物（mg/L）</w:t>
                  </w:r>
                </w:p>
              </w:tc>
              <w:tc>
                <w:tcPr>
                  <w:tcW w:w="1322" w:type="pct"/>
                  <w:noWrap/>
                  <w:vAlign w:val="center"/>
                </w:tcPr>
                <w:p w14:paraId="4FE643CB">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1179" w:type="pct"/>
                  <w:noWrap/>
                  <w:vAlign w:val="center"/>
                </w:tcPr>
                <w:p w14:paraId="4C6F6D3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1483" w:type="pct"/>
                  <w:noWrap w:val="0"/>
                  <w:vAlign w:val="center"/>
                </w:tcPr>
                <w:p w14:paraId="5C506F29">
                  <w:pPr>
                    <w:keepNext w:val="0"/>
                    <w:keepLines w:val="0"/>
                    <w:pageBreakBefore w:val="0"/>
                    <w:widowControl w:val="0"/>
                    <w:kinsoku/>
                    <w:wordWrap/>
                    <w:overflowPunct/>
                    <w:autoSpaceDE/>
                    <w:autoSpaceDN/>
                    <w:bidi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10</w:t>
                  </w:r>
                </w:p>
              </w:tc>
            </w:tr>
            <w:tr w14:paraId="45F83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26854126">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氰化物（mg/L）</w:t>
                  </w:r>
                </w:p>
              </w:tc>
              <w:tc>
                <w:tcPr>
                  <w:tcW w:w="1322" w:type="pct"/>
                  <w:noWrap/>
                  <w:vAlign w:val="center"/>
                </w:tcPr>
                <w:p w14:paraId="62E700B5">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0.001L</w:t>
                  </w:r>
                </w:p>
              </w:tc>
              <w:tc>
                <w:tcPr>
                  <w:tcW w:w="1179" w:type="pct"/>
                  <w:noWrap/>
                  <w:vAlign w:val="center"/>
                </w:tcPr>
                <w:p w14:paraId="5DEF6EAE">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0.001L</w:t>
                  </w:r>
                </w:p>
              </w:tc>
              <w:tc>
                <w:tcPr>
                  <w:tcW w:w="1483" w:type="pct"/>
                  <w:noWrap w:val="0"/>
                  <w:vAlign w:val="center"/>
                </w:tcPr>
                <w:p w14:paraId="517268EE">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r>
            <w:tr w14:paraId="4C22D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4A24A18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硫化物（mg/L）</w:t>
                  </w:r>
                </w:p>
              </w:tc>
              <w:tc>
                <w:tcPr>
                  <w:tcW w:w="1322" w:type="pct"/>
                  <w:shd w:val="clear" w:color="auto" w:fill="auto"/>
                  <w:noWrap/>
                  <w:vAlign w:val="center"/>
                </w:tcPr>
                <w:p w14:paraId="2C8074E1">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0.005L</w:t>
                  </w:r>
                </w:p>
              </w:tc>
              <w:tc>
                <w:tcPr>
                  <w:tcW w:w="1179" w:type="pct"/>
                  <w:shd w:val="clear" w:color="auto" w:fill="auto"/>
                  <w:noWrap/>
                  <w:vAlign w:val="center"/>
                </w:tcPr>
                <w:p w14:paraId="2980647F">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0.005L</w:t>
                  </w:r>
                </w:p>
              </w:tc>
              <w:tc>
                <w:tcPr>
                  <w:tcW w:w="1483" w:type="pct"/>
                  <w:noWrap w:val="0"/>
                  <w:vAlign w:val="center"/>
                </w:tcPr>
                <w:p w14:paraId="0600948C">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r>
            <w:tr w14:paraId="0EAED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014" w:type="pct"/>
                  <w:noWrap/>
                  <w:vAlign w:val="center"/>
                </w:tcPr>
                <w:p w14:paraId="62B25D26">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备注</w:t>
                  </w:r>
                </w:p>
              </w:tc>
              <w:tc>
                <w:tcPr>
                  <w:tcW w:w="3985" w:type="pct"/>
                  <w:gridSpan w:val="3"/>
                  <w:shd w:val="clear" w:color="auto" w:fill="auto"/>
                  <w:noWrap/>
                  <w:vAlign w:val="center"/>
                </w:tcPr>
                <w:p w14:paraId="27BCD853">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1.HJ557-2010：《固体废弃物 浸出毒性浸出方法 水平振荡法》</w:t>
                  </w:r>
                </w:p>
                <w:p w14:paraId="06B37EFB">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 GB8978-1996：《污水综合排放标准》</w:t>
                  </w:r>
                </w:p>
                <w:p w14:paraId="4AA6D56C">
                  <w:pPr>
                    <w:keepNext w:val="0"/>
                    <w:keepLines w:val="0"/>
                    <w:pageBreakBefore w:val="0"/>
                    <w:widowControl w:val="0"/>
                    <w:kinsoku/>
                    <w:wordWrap/>
                    <w:overflowPunct/>
                    <w:topLinePunct/>
                    <w:autoSpaceDE/>
                    <w:autoSpaceDN/>
                    <w:bidi w:val="0"/>
                    <w:adjustRightInd w:val="0"/>
                    <w:snapToGrid w:val="0"/>
                    <w:spacing w:line="240" w:lineRule="auto"/>
                    <w:ind w:firstLine="0" w:firstLineChars="0"/>
                    <w:jc w:val="both"/>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3.方法检出限值加标志位“L”表示检测结果低于方法检出限，如 0.04L</w:t>
                  </w:r>
                </w:p>
              </w:tc>
            </w:tr>
          </w:tbl>
          <w:p w14:paraId="33AE813F">
            <w:pPr>
              <w:keepNext w:val="0"/>
              <w:keepLines w:val="0"/>
              <w:pageBreakBefore w:val="0"/>
              <w:widowControl w:val="0"/>
              <w:kinsoku/>
              <w:wordWrap/>
              <w:overflowPunct/>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eastAsia="zh-CN"/>
              </w:rPr>
              <w:t>由表</w:t>
            </w:r>
            <w:r>
              <w:rPr>
                <w:rFonts w:hint="default" w:ascii="Times New Roman" w:hAnsi="Times New Roman" w:eastAsia="宋体" w:cs="Times New Roman"/>
                <w:color w:val="auto"/>
                <w:kern w:val="2"/>
                <w:sz w:val="24"/>
                <w:szCs w:val="24"/>
                <w:highlight w:val="none"/>
                <w:lang w:val="en-US" w:eastAsia="zh-CN"/>
              </w:rPr>
              <w:t>2-</w:t>
            </w:r>
            <w:r>
              <w:rPr>
                <w:rFonts w:hint="eastAsia" w:cs="Times New Roman"/>
                <w:color w:val="auto"/>
                <w:kern w:val="2"/>
                <w:sz w:val="24"/>
                <w:szCs w:val="24"/>
                <w:highlight w:val="none"/>
                <w:lang w:val="en-US" w:eastAsia="zh-CN"/>
              </w:rPr>
              <w:t>7</w:t>
            </w:r>
            <w:r>
              <w:rPr>
                <w:rFonts w:hint="default" w:ascii="Times New Roman" w:hAnsi="Times New Roman" w:eastAsia="宋体" w:cs="Times New Roman"/>
                <w:color w:val="auto"/>
                <w:kern w:val="2"/>
                <w:sz w:val="24"/>
                <w:szCs w:val="24"/>
                <w:highlight w:val="none"/>
                <w:lang w:val="en-US" w:eastAsia="zh-CN"/>
              </w:rPr>
              <w:t>可知，根据《一般工业固体废物贮存、处置场污染控制标准》（GB18599-2001）中的相关规定，按照《固体废弃物 浸出毒性浸出方法 水平振荡法》（HJ557-2010）规定方法获得的浸出液中任何一种特征污染物浓度均未超过《污水综合排放标准》（GB8978-1996）最高允许排放浓度（第二类污染物最高允许排放浓度按照一级标准执行），且pH值在6～9范围之内的一般工业固体废物属于第Ⅰ类一般工业固体废物。综上所述，矸石为第Ⅰ类一般工业固体废物。</w:t>
            </w:r>
          </w:p>
          <w:p w14:paraId="1B2355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val="en-US" w:eastAsia="zh-CN"/>
              </w:rPr>
              <w:t>②</w:t>
            </w:r>
            <w:r>
              <w:rPr>
                <w:rFonts w:hint="default" w:ascii="Times New Roman" w:hAnsi="Times New Roman" w:eastAsia="宋体" w:cs="Times New Roman"/>
                <w:color w:val="auto"/>
                <w:kern w:val="2"/>
                <w:sz w:val="24"/>
                <w:szCs w:val="24"/>
                <w:highlight w:val="none"/>
                <w:lang w:eastAsia="zh-CN"/>
              </w:rPr>
              <w:t>物理性质</w:t>
            </w:r>
          </w:p>
          <w:p w14:paraId="2429CD0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eastAsia="zh-CN"/>
              </w:rPr>
              <w:fldChar w:fldCharType="begin"/>
            </w:r>
            <w:r>
              <w:rPr>
                <w:rFonts w:hint="default" w:ascii="Times New Roman" w:hAnsi="Times New Roman" w:eastAsia="宋体" w:cs="Times New Roman"/>
                <w:color w:val="auto"/>
                <w:kern w:val="2"/>
                <w:sz w:val="24"/>
                <w:szCs w:val="24"/>
                <w:highlight w:val="none"/>
                <w:lang w:eastAsia="zh-CN"/>
              </w:rPr>
              <w:instrText xml:space="preserve"> = 1 \* alphabetic \* MERGEFORMAT </w:instrText>
            </w:r>
            <w:r>
              <w:rPr>
                <w:rFonts w:hint="default" w:ascii="Times New Roman" w:hAnsi="Times New Roman" w:eastAsia="宋体" w:cs="Times New Roman"/>
                <w:color w:val="auto"/>
                <w:kern w:val="2"/>
                <w:sz w:val="24"/>
                <w:szCs w:val="24"/>
                <w:highlight w:val="none"/>
                <w:lang w:eastAsia="zh-CN"/>
              </w:rPr>
              <w:fldChar w:fldCharType="separate"/>
            </w:r>
            <w:r>
              <w:rPr>
                <w:rFonts w:hint="default" w:ascii="Times New Roman" w:hAnsi="Times New Roman" w:eastAsia="宋体" w:cs="Times New Roman"/>
                <w:color w:val="auto"/>
                <w:kern w:val="2"/>
                <w:sz w:val="24"/>
                <w:szCs w:val="24"/>
                <w:highlight w:val="none"/>
              </w:rPr>
              <w:t>a</w:t>
            </w:r>
            <w:r>
              <w:rPr>
                <w:rFonts w:hint="default" w:ascii="Times New Roman" w:hAnsi="Times New Roman" w:eastAsia="宋体" w:cs="Times New Roman"/>
                <w:color w:val="auto"/>
                <w:kern w:val="2"/>
                <w:sz w:val="24"/>
                <w:szCs w:val="24"/>
                <w:highlight w:val="none"/>
                <w:lang w:eastAsia="zh-CN"/>
              </w:rPr>
              <w:fldChar w:fldCharType="end"/>
            </w:r>
            <w:r>
              <w:rPr>
                <w:rFonts w:hint="default"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eastAsia="zh-CN"/>
              </w:rPr>
              <w:t>力学性能：煤矸石的硬度与其岩石种类有关，含砂岩的煤矸石约为4~5，而含有页岩的煤矸石硬度只有2~3。煤矸石的抗压强度受风化影响严重，随着其风化程度的加大而降低，一般在300~700Pa之间。</w:t>
            </w:r>
          </w:p>
          <w:p w14:paraId="7EEC8C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2"/>
                <w:sz w:val="24"/>
                <w:szCs w:val="24"/>
                <w:highlight w:val="none"/>
                <w:lang w:eastAsia="zh-CN"/>
              </w:rPr>
            </w:pPr>
            <w:r>
              <w:rPr>
                <w:rFonts w:hint="default" w:ascii="Times New Roman" w:hAnsi="Times New Roman" w:eastAsia="宋体" w:cs="Times New Roman"/>
                <w:b w:val="0"/>
                <w:bCs w:val="0"/>
                <w:color w:val="auto"/>
                <w:kern w:val="2"/>
                <w:sz w:val="24"/>
                <w:szCs w:val="24"/>
                <w:highlight w:val="none"/>
                <w:lang w:eastAsia="zh-CN"/>
              </w:rPr>
              <w:fldChar w:fldCharType="begin"/>
            </w:r>
            <w:r>
              <w:rPr>
                <w:rFonts w:hint="default" w:ascii="Times New Roman" w:hAnsi="Times New Roman" w:eastAsia="宋体" w:cs="Times New Roman"/>
                <w:b w:val="0"/>
                <w:bCs w:val="0"/>
                <w:color w:val="auto"/>
                <w:kern w:val="2"/>
                <w:sz w:val="24"/>
                <w:szCs w:val="24"/>
                <w:highlight w:val="none"/>
                <w:lang w:eastAsia="zh-CN"/>
              </w:rPr>
              <w:instrText xml:space="preserve"> = 2 \* alphabetic \* MERGEFORMAT </w:instrText>
            </w:r>
            <w:r>
              <w:rPr>
                <w:rFonts w:hint="default" w:ascii="Times New Roman" w:hAnsi="Times New Roman" w:eastAsia="宋体" w:cs="Times New Roman"/>
                <w:b w:val="0"/>
                <w:bCs w:val="0"/>
                <w:color w:val="auto"/>
                <w:kern w:val="2"/>
                <w:sz w:val="24"/>
                <w:szCs w:val="24"/>
                <w:highlight w:val="none"/>
                <w:lang w:eastAsia="zh-CN"/>
              </w:rPr>
              <w:fldChar w:fldCharType="separate"/>
            </w:r>
            <w:r>
              <w:rPr>
                <w:rFonts w:hint="default" w:ascii="Times New Roman" w:hAnsi="Times New Roman" w:eastAsia="宋体" w:cs="Times New Roman"/>
                <w:b w:val="0"/>
                <w:bCs w:val="0"/>
                <w:color w:val="auto"/>
                <w:kern w:val="2"/>
                <w:sz w:val="24"/>
                <w:szCs w:val="24"/>
                <w:highlight w:val="none"/>
              </w:rPr>
              <w:t>b</w:t>
            </w:r>
            <w:r>
              <w:rPr>
                <w:rFonts w:hint="default" w:ascii="Times New Roman" w:hAnsi="Times New Roman" w:eastAsia="宋体" w:cs="Times New Roman"/>
                <w:b w:val="0"/>
                <w:bCs w:val="0"/>
                <w:color w:val="auto"/>
                <w:kern w:val="2"/>
                <w:sz w:val="24"/>
                <w:szCs w:val="24"/>
                <w:highlight w:val="none"/>
                <w:lang w:eastAsia="zh-CN"/>
              </w:rPr>
              <w:fldChar w:fldCharType="end"/>
            </w:r>
            <w:r>
              <w:rPr>
                <w:rFonts w:hint="default" w:ascii="Times New Roman" w:hAnsi="Times New Roman" w:eastAsia="宋体" w:cs="Times New Roman"/>
                <w:b w:val="0"/>
                <w:bCs w:val="0"/>
                <w:color w:val="auto"/>
                <w:kern w:val="2"/>
                <w:sz w:val="24"/>
                <w:szCs w:val="24"/>
                <w:highlight w:val="none"/>
                <w:lang w:val="en-US" w:eastAsia="zh-CN"/>
              </w:rPr>
              <w:t>.</w:t>
            </w:r>
            <w:r>
              <w:rPr>
                <w:rFonts w:hint="default" w:ascii="Times New Roman" w:hAnsi="Times New Roman" w:eastAsia="宋体" w:cs="Times New Roman"/>
                <w:b w:val="0"/>
                <w:bCs w:val="0"/>
                <w:color w:val="auto"/>
                <w:kern w:val="2"/>
                <w:sz w:val="24"/>
                <w:szCs w:val="24"/>
                <w:highlight w:val="none"/>
                <w:lang w:eastAsia="zh-CN"/>
              </w:rPr>
              <w:t>堆积密度：煤矸石的密度约为</w:t>
            </w:r>
            <w:r>
              <w:rPr>
                <w:rFonts w:hint="default" w:ascii="Times New Roman" w:hAnsi="Times New Roman" w:eastAsia="宋体" w:cs="Times New Roman"/>
                <w:b w:val="0"/>
                <w:bCs w:val="0"/>
                <w:color w:val="auto"/>
                <w:kern w:val="2"/>
                <w:sz w:val="24"/>
                <w:szCs w:val="24"/>
                <w:highlight w:val="none"/>
                <w:lang w:val="en-US" w:eastAsia="zh-CN"/>
              </w:rPr>
              <w:t>2.4t</w:t>
            </w:r>
            <w:r>
              <w:rPr>
                <w:rFonts w:hint="default" w:ascii="Times New Roman" w:hAnsi="Times New Roman" w:eastAsia="宋体" w:cs="Times New Roman"/>
                <w:b w:val="0"/>
                <w:bCs w:val="0"/>
                <w:color w:val="auto"/>
                <w:kern w:val="2"/>
                <w:sz w:val="24"/>
                <w:szCs w:val="24"/>
                <w:highlight w:val="none"/>
                <w:lang w:eastAsia="zh-CN"/>
              </w:rPr>
              <w:t>/m</w:t>
            </w:r>
            <w:r>
              <w:rPr>
                <w:rFonts w:hint="default" w:ascii="Times New Roman" w:hAnsi="Times New Roman" w:eastAsia="宋体" w:cs="Times New Roman"/>
                <w:b w:val="0"/>
                <w:bCs w:val="0"/>
                <w:color w:val="auto"/>
                <w:kern w:val="2"/>
                <w:sz w:val="24"/>
                <w:szCs w:val="24"/>
                <w:highlight w:val="none"/>
                <w:vertAlign w:val="superscript"/>
                <w:lang w:eastAsia="zh-CN"/>
              </w:rPr>
              <w:t>3</w:t>
            </w:r>
            <w:r>
              <w:rPr>
                <w:rFonts w:hint="default" w:ascii="Times New Roman" w:hAnsi="Times New Roman" w:eastAsia="宋体" w:cs="Times New Roman"/>
                <w:b w:val="0"/>
                <w:bCs w:val="0"/>
                <w:color w:val="auto"/>
                <w:kern w:val="2"/>
                <w:sz w:val="24"/>
                <w:szCs w:val="24"/>
                <w:highlight w:val="none"/>
                <w:lang w:eastAsia="zh-CN"/>
              </w:rPr>
              <w:t>，煤矸石自然堆积密度约为</w:t>
            </w:r>
            <w:r>
              <w:rPr>
                <w:rFonts w:hint="default" w:ascii="Times New Roman" w:hAnsi="Times New Roman" w:eastAsia="宋体" w:cs="Times New Roman"/>
                <w:b w:val="0"/>
                <w:bCs w:val="0"/>
                <w:color w:val="auto"/>
                <w:kern w:val="2"/>
                <w:sz w:val="24"/>
                <w:szCs w:val="24"/>
                <w:highlight w:val="none"/>
                <w:lang w:val="en-US" w:eastAsia="zh-CN"/>
              </w:rPr>
              <w:t>1.3t</w:t>
            </w:r>
            <w:r>
              <w:rPr>
                <w:rFonts w:hint="default" w:ascii="Times New Roman" w:hAnsi="Times New Roman" w:eastAsia="宋体" w:cs="Times New Roman"/>
                <w:b w:val="0"/>
                <w:bCs w:val="0"/>
                <w:color w:val="auto"/>
                <w:kern w:val="2"/>
                <w:sz w:val="24"/>
                <w:szCs w:val="24"/>
                <w:highlight w:val="none"/>
                <w:lang w:eastAsia="zh-CN"/>
              </w:rPr>
              <w:t>/m</w:t>
            </w:r>
            <w:r>
              <w:rPr>
                <w:rFonts w:hint="default" w:ascii="Times New Roman" w:hAnsi="Times New Roman" w:eastAsia="宋体" w:cs="Times New Roman"/>
                <w:b w:val="0"/>
                <w:bCs w:val="0"/>
                <w:color w:val="auto"/>
                <w:kern w:val="2"/>
                <w:sz w:val="24"/>
                <w:szCs w:val="24"/>
                <w:highlight w:val="none"/>
                <w:vertAlign w:val="superscript"/>
                <w:lang w:eastAsia="zh-CN"/>
              </w:rPr>
              <w:t>3</w:t>
            </w:r>
            <w:r>
              <w:rPr>
                <w:rFonts w:hint="default" w:ascii="Times New Roman" w:hAnsi="Times New Roman" w:eastAsia="宋体" w:cs="Times New Roman"/>
                <w:b w:val="0"/>
                <w:bCs w:val="0"/>
                <w:color w:val="auto"/>
                <w:kern w:val="2"/>
                <w:sz w:val="24"/>
                <w:szCs w:val="24"/>
                <w:highlight w:val="none"/>
                <w:lang w:eastAsia="zh-CN"/>
              </w:rPr>
              <w:t>。</w:t>
            </w:r>
          </w:p>
          <w:p w14:paraId="12B02A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kern w:val="2"/>
                <w:sz w:val="24"/>
                <w:szCs w:val="24"/>
                <w:highlight w:val="none"/>
                <w:lang w:eastAsia="zh-CN"/>
              </w:rPr>
              <w:fldChar w:fldCharType="begin"/>
            </w:r>
            <w:r>
              <w:rPr>
                <w:rFonts w:hint="default" w:ascii="Times New Roman" w:hAnsi="Times New Roman" w:eastAsia="宋体" w:cs="Times New Roman"/>
                <w:color w:val="auto"/>
                <w:kern w:val="2"/>
                <w:sz w:val="24"/>
                <w:szCs w:val="24"/>
                <w:highlight w:val="none"/>
                <w:lang w:eastAsia="zh-CN"/>
              </w:rPr>
              <w:instrText xml:space="preserve"> = 3 \* alphabetic \* MERGEFORMAT </w:instrText>
            </w:r>
            <w:r>
              <w:rPr>
                <w:rFonts w:hint="default" w:ascii="Times New Roman" w:hAnsi="Times New Roman" w:eastAsia="宋体" w:cs="Times New Roman"/>
                <w:color w:val="auto"/>
                <w:kern w:val="2"/>
                <w:sz w:val="24"/>
                <w:szCs w:val="24"/>
                <w:highlight w:val="none"/>
                <w:lang w:eastAsia="zh-CN"/>
              </w:rPr>
              <w:fldChar w:fldCharType="separate"/>
            </w:r>
            <w:r>
              <w:rPr>
                <w:rFonts w:hint="default" w:ascii="Times New Roman" w:hAnsi="Times New Roman" w:eastAsia="宋体" w:cs="Times New Roman"/>
                <w:color w:val="auto"/>
                <w:kern w:val="2"/>
                <w:sz w:val="24"/>
                <w:szCs w:val="24"/>
                <w:highlight w:val="none"/>
              </w:rPr>
              <w:t>c</w:t>
            </w:r>
            <w:r>
              <w:rPr>
                <w:rFonts w:hint="default" w:ascii="Times New Roman" w:hAnsi="Times New Roman" w:eastAsia="宋体" w:cs="Times New Roman"/>
                <w:color w:val="auto"/>
                <w:kern w:val="2"/>
                <w:sz w:val="24"/>
                <w:szCs w:val="24"/>
                <w:highlight w:val="none"/>
                <w:lang w:eastAsia="zh-CN"/>
              </w:rPr>
              <w:fldChar w:fldCharType="end"/>
            </w:r>
            <w:r>
              <w:rPr>
                <w:rFonts w:hint="default"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eastAsia="zh-CN"/>
              </w:rPr>
              <w:t>吸水性：煤矸石的吸水性能取决于其多孔结构，煤矸石的吸水率约为2.0%~6.0%。</w:t>
            </w:r>
          </w:p>
          <w:p w14:paraId="593B4F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（2）制浆用水</w:t>
            </w:r>
          </w:p>
          <w:p w14:paraId="2B8B1A64">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sz w:val="24"/>
                <w:szCs w:val="24"/>
                <w:highlight w:val="none"/>
                <w:lang w:val="en-US" w:eastAsia="zh-CN" w:bidi="ar-SA"/>
              </w:rPr>
              <w:t>制浆车间生产补充水采用矿井水处理站处理后的矿井水，平时存储于井下水处理站调节水池，由潜水泵加压后供制浆车间，供水管路架空敷设，并做电伴热保温。经处理后的矿井涌水水质满足《城市污水再生利用-城市杂用水水质》（GB-T18290-2020），如下：PH6-9，悬浮物（SS）≦30mg/L，溶解性总固体≦1000mg/L。</w:t>
            </w:r>
          </w:p>
          <w:p w14:paraId="3E893622">
            <w:pPr>
              <w:keepNext w:val="0"/>
              <w:keepLines w:val="0"/>
              <w:pageBreakBefore w:val="0"/>
              <w:widowControl w:val="0"/>
              <w:numPr>
                <w:ilvl w:val="0"/>
                <w:numId w:val="2"/>
              </w:numPr>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生活用水</w:t>
            </w:r>
          </w:p>
          <w:p w14:paraId="5B282414">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highlight w:val="none"/>
                <w:lang w:val="en-US" w:eastAsia="zh-CN" w:bidi="ar-SA"/>
              </w:rPr>
              <w:t>生活用水以地下水和深度处理后的矿井水作为生活取水水源；经深度处理后的矿井水水质满足《生活饮用水卫生标准》（GB5749－85），如下：溶解性总固体≦1000mg/L。</w:t>
            </w:r>
          </w:p>
          <w:p w14:paraId="6913A720">
            <w:pPr>
              <w:keepNext w:val="0"/>
              <w:keepLines w:val="0"/>
              <w:pageBreakBefore w:val="0"/>
              <w:widowControl w:val="0"/>
              <w:kinsoku/>
              <w:wordWrap/>
              <w:overflowPunct/>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2"/>
                <w:sz w:val="24"/>
                <w:szCs w:val="24"/>
                <w:lang w:val="en-US" w:eastAsia="zh-CN"/>
              </w:rPr>
            </w:pPr>
            <w:r>
              <w:rPr>
                <w:rFonts w:hint="default" w:ascii="Times New Roman" w:hAnsi="Times New Roman" w:eastAsia="宋体" w:cs="Times New Roman"/>
                <w:b/>
                <w:bCs/>
                <w:color w:val="auto"/>
                <w:kern w:val="2"/>
                <w:sz w:val="24"/>
                <w:szCs w:val="24"/>
                <w:lang w:val="en-US" w:eastAsia="zh-CN"/>
              </w:rPr>
              <w:t>八、公用工程</w:t>
            </w:r>
          </w:p>
          <w:p w14:paraId="3F0C6FB6">
            <w:pPr>
              <w:widowControl w:val="0"/>
              <w:spacing w:line="360" w:lineRule="auto"/>
              <w:ind w:firstLine="482" w:firstLineChars="200"/>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1</w:t>
            </w:r>
            <w:r>
              <w:rPr>
                <w:rFonts w:hint="default" w:ascii="Times New Roman" w:hAnsi="Times New Roman" w:eastAsia="宋体" w:cs="Times New Roman"/>
                <w:b/>
                <w:bCs/>
                <w:color w:val="auto"/>
                <w:kern w:val="2"/>
                <w:sz w:val="24"/>
                <w:szCs w:val="24"/>
                <w:lang w:eastAsia="zh-CN"/>
              </w:rPr>
              <w:t>、</w:t>
            </w:r>
            <w:r>
              <w:rPr>
                <w:rFonts w:hint="default" w:ascii="Times New Roman" w:hAnsi="Times New Roman" w:eastAsia="宋体" w:cs="Times New Roman"/>
                <w:b/>
                <w:bCs/>
                <w:color w:val="auto"/>
                <w:kern w:val="2"/>
                <w:sz w:val="24"/>
                <w:szCs w:val="24"/>
              </w:rPr>
              <w:t>给水</w:t>
            </w:r>
          </w:p>
          <w:p w14:paraId="565B28DC">
            <w:pPr>
              <w:pStyle w:val="15"/>
              <w:jc w:val="both"/>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sz w:val="24"/>
                <w:szCs w:val="24"/>
                <w:highlight w:val="none"/>
                <w:lang w:val="en-US" w:eastAsia="zh-CN" w:bidi="ar-SA"/>
              </w:rPr>
              <w:t>生活用水以地下水和深度处理后的矿井水作为生活取水水源，</w:t>
            </w:r>
            <w:r>
              <w:rPr>
                <w:rFonts w:hint="default" w:ascii="Times New Roman" w:hAnsi="Times New Roman" w:eastAsia="宋体" w:cs="Times New Roman"/>
                <w:snapToGrid w:val="0"/>
                <w:color w:val="auto"/>
                <w:lang w:val="en-US" w:eastAsia="zh-CN"/>
              </w:rPr>
              <w:t>取水许可审批准予行政许可决定书见附件9；</w:t>
            </w:r>
            <w:r>
              <w:rPr>
                <w:rFonts w:hint="default" w:ascii="Times New Roman" w:hAnsi="Times New Roman" w:eastAsia="宋体" w:cs="Times New Roman"/>
                <w:color w:val="auto"/>
                <w:kern w:val="2"/>
                <w:sz w:val="24"/>
                <w:szCs w:val="24"/>
                <w:highlight w:val="none"/>
                <w:lang w:val="en-US" w:eastAsia="zh-CN"/>
              </w:rPr>
              <w:t>生产用水</w:t>
            </w:r>
            <w:r>
              <w:rPr>
                <w:rFonts w:hint="eastAsia" w:cs="Times New Roman"/>
                <w:color w:val="auto"/>
                <w:kern w:val="2"/>
                <w:sz w:val="24"/>
                <w:szCs w:val="24"/>
                <w:highlight w:val="none"/>
                <w:lang w:val="en-US" w:eastAsia="zh-CN"/>
              </w:rPr>
              <w:t>采用</w:t>
            </w:r>
            <w:r>
              <w:rPr>
                <w:rFonts w:hint="default" w:ascii="Times New Roman" w:hAnsi="Times New Roman" w:eastAsia="宋体" w:cs="Times New Roman"/>
                <w:color w:val="auto"/>
                <w:kern w:val="2"/>
                <w:sz w:val="24"/>
                <w:szCs w:val="24"/>
                <w:highlight w:val="none"/>
                <w:lang w:val="en-US" w:eastAsia="zh-CN"/>
              </w:rPr>
              <w:t>矿井水处理站处理后的矿井水</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经计算，本项目生活用水量为</w:t>
            </w:r>
            <w:r>
              <w:rPr>
                <w:rFonts w:hint="default" w:ascii="Times New Roman" w:hAnsi="Times New Roman" w:eastAsia="宋体" w:cs="Times New Roman"/>
                <w:color w:val="auto"/>
                <w:kern w:val="0"/>
                <w:sz w:val="24"/>
                <w:szCs w:val="24"/>
                <w:highlight w:val="none"/>
              </w:rPr>
              <w:t>3.36m³/d</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1108.8</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2"/>
                <w:sz w:val="24"/>
                <w:szCs w:val="24"/>
                <w:highlight w:val="none"/>
              </w:rPr>
              <w:t>，</w:t>
            </w:r>
            <w:r>
              <w:rPr>
                <w:rFonts w:hint="default" w:ascii="Times New Roman" w:hAnsi="Times New Roman" w:eastAsia="宋体" w:cs="Times New Roman"/>
                <w:color w:val="auto"/>
                <w:kern w:val="2"/>
                <w:sz w:val="24"/>
                <w:szCs w:val="24"/>
                <w:highlight w:val="none"/>
                <w:lang w:val="en-US" w:eastAsia="zh-CN"/>
              </w:rPr>
              <w:t>生产</w:t>
            </w:r>
            <w:r>
              <w:rPr>
                <w:rFonts w:hint="default" w:ascii="Times New Roman" w:hAnsi="Times New Roman" w:eastAsia="宋体" w:cs="Times New Roman"/>
                <w:color w:val="auto"/>
                <w:kern w:val="2"/>
                <w:sz w:val="24"/>
                <w:szCs w:val="24"/>
                <w:highlight w:val="none"/>
              </w:rPr>
              <w:t>用水量</w:t>
            </w:r>
            <w:r>
              <w:rPr>
                <w:rFonts w:hint="eastAsia" w:cs="Times New Roman"/>
                <w:color w:val="auto"/>
                <w:kern w:val="2"/>
                <w:sz w:val="24"/>
                <w:szCs w:val="24"/>
                <w:highlight w:val="none"/>
                <w:lang w:eastAsia="zh-CN"/>
              </w:rPr>
              <w:t>共</w:t>
            </w:r>
            <w:r>
              <w:rPr>
                <w:rFonts w:hint="default" w:ascii="Times New Roman" w:hAnsi="Times New Roman" w:eastAsia="宋体" w:cs="Times New Roman"/>
                <w:color w:val="auto"/>
                <w:kern w:val="2"/>
                <w:sz w:val="24"/>
                <w:szCs w:val="24"/>
                <w:highlight w:val="none"/>
                <w:lang w:val="en-US" w:eastAsia="zh-CN"/>
              </w:rPr>
              <w:t>5692.8</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/d</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1878624</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/a</w:t>
            </w: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w:t>
            </w:r>
          </w:p>
          <w:p w14:paraId="050026FE">
            <w:pPr>
              <w:widowControl w:val="0"/>
              <w:spacing w:line="360" w:lineRule="auto"/>
              <w:ind w:firstLine="482"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1）生活用水</w:t>
            </w:r>
          </w:p>
          <w:p w14:paraId="12D01018">
            <w:pPr>
              <w:widowControl w:val="0"/>
              <w:spacing w:line="360" w:lineRule="auto"/>
              <w:ind w:firstLine="482"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0"/>
                <w:sz w:val="24"/>
                <w:szCs w:val="24"/>
              </w:rPr>
              <w:t>本项目新增劳动定员56人，项目全年实际生产天数为330天。根据《内蒙古自治区行业用水定额》（DB15/T385-2020），工作人员生活用水按60L/（人·d），用水量为3.36m³/d，即1108.8m³/a</w:t>
            </w:r>
            <w:r>
              <w:rPr>
                <w:rFonts w:hint="default" w:ascii="Times New Roman" w:hAnsi="Times New Roman" w:eastAsia="宋体" w:cs="Times New Roman"/>
                <w:color w:val="auto"/>
                <w:kern w:val="2"/>
                <w:sz w:val="24"/>
                <w:szCs w:val="24"/>
              </w:rPr>
              <w:t>。</w:t>
            </w:r>
          </w:p>
          <w:p w14:paraId="5C08AFCF">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val="en-US" w:eastAsia="zh-CN"/>
              </w:rPr>
              <w:t>2</w:t>
            </w:r>
            <w:r>
              <w:rPr>
                <w:rFonts w:hint="default" w:ascii="Times New Roman" w:hAnsi="Times New Roman" w:eastAsia="宋体" w:cs="Times New Roman"/>
                <w:color w:val="auto"/>
                <w:kern w:val="2"/>
                <w:sz w:val="24"/>
                <w:szCs w:val="24"/>
                <w:highlight w:val="none"/>
              </w:rPr>
              <w:t>）生</w:t>
            </w:r>
            <w:r>
              <w:rPr>
                <w:rFonts w:hint="default" w:ascii="Times New Roman" w:hAnsi="Times New Roman" w:eastAsia="宋体" w:cs="Times New Roman"/>
                <w:color w:val="auto"/>
                <w:kern w:val="2"/>
                <w:sz w:val="24"/>
                <w:szCs w:val="24"/>
                <w:highlight w:val="none"/>
                <w:lang w:val="en-US" w:eastAsia="zh-CN"/>
              </w:rPr>
              <w:t>产</w:t>
            </w:r>
            <w:r>
              <w:rPr>
                <w:rFonts w:hint="default" w:ascii="Times New Roman" w:hAnsi="Times New Roman" w:eastAsia="宋体" w:cs="Times New Roman"/>
                <w:color w:val="auto"/>
                <w:kern w:val="2"/>
                <w:sz w:val="24"/>
                <w:szCs w:val="24"/>
                <w:highlight w:val="none"/>
              </w:rPr>
              <w:t>用水</w:t>
            </w:r>
          </w:p>
          <w:p w14:paraId="676D824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①球磨制浆用水</w:t>
            </w:r>
          </w:p>
          <w:p w14:paraId="553C6A0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根据充填材料用量以及配比</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水矸质量比1:1</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，水用量为</w:t>
            </w:r>
            <w:r>
              <w:rPr>
                <w:rFonts w:hint="default" w:ascii="Times New Roman" w:hAnsi="Times New Roman" w:eastAsia="宋体" w:cs="Times New Roman"/>
                <w:color w:val="auto"/>
                <w:kern w:val="2"/>
                <w:sz w:val="24"/>
                <w:szCs w:val="24"/>
                <w:lang w:val="en-US" w:eastAsia="zh-CN"/>
              </w:rPr>
              <w:t>900000</w:t>
            </w:r>
            <w:r>
              <w:rPr>
                <w:rFonts w:hint="default" w:ascii="Times New Roman" w:hAnsi="Times New Roman" w:eastAsia="宋体" w:cs="Times New Roman"/>
                <w:color w:val="auto"/>
                <w:kern w:val="2"/>
                <w:sz w:val="24"/>
                <w:szCs w:val="24"/>
              </w:rPr>
              <w:t>m³/a，计算得出充填浆体用水量为</w:t>
            </w:r>
            <w:r>
              <w:rPr>
                <w:rFonts w:hint="default" w:ascii="Times New Roman" w:hAnsi="Times New Roman" w:eastAsia="宋体" w:cs="Times New Roman"/>
                <w:color w:val="auto"/>
                <w:kern w:val="2"/>
                <w:sz w:val="24"/>
                <w:szCs w:val="24"/>
                <w:lang w:val="en-US" w:eastAsia="zh-CN"/>
              </w:rPr>
              <w:t>2727.27</w:t>
            </w:r>
            <w:r>
              <w:rPr>
                <w:rFonts w:hint="default" w:ascii="Times New Roman" w:hAnsi="Times New Roman" w:eastAsia="宋体" w:cs="Times New Roman"/>
                <w:color w:val="auto"/>
                <w:kern w:val="2"/>
                <w:sz w:val="24"/>
                <w:szCs w:val="24"/>
              </w:rPr>
              <w:t>m³/d。</w:t>
            </w:r>
          </w:p>
          <w:p w14:paraId="3B81546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②室内地面冲洗用水</w:t>
            </w:r>
          </w:p>
          <w:p w14:paraId="63D77509">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冲洗面积为776.76m</w:t>
            </w:r>
            <w:r>
              <w:rPr>
                <w:rFonts w:hint="default" w:ascii="Times New Roman" w:hAnsi="Times New Roman" w:eastAsia="宋体" w:cs="Times New Roman"/>
                <w:color w:val="auto"/>
                <w:kern w:val="2"/>
                <w:sz w:val="24"/>
                <w:szCs w:val="24"/>
                <w:vertAlign w:val="superscript"/>
                <w:lang w:val="en-US" w:eastAsia="zh-CN"/>
              </w:rPr>
              <w:t>2</w:t>
            </w:r>
            <w:r>
              <w:rPr>
                <w:rFonts w:hint="default" w:ascii="Times New Roman" w:hAnsi="Times New Roman" w:eastAsia="宋体" w:cs="Times New Roman"/>
                <w:color w:val="auto"/>
                <w:kern w:val="2"/>
                <w:sz w:val="24"/>
                <w:szCs w:val="24"/>
                <w:lang w:val="en-US" w:eastAsia="zh-CN"/>
              </w:rPr>
              <w:t>，用水标准为5L/m</w:t>
            </w:r>
            <w:r>
              <w:rPr>
                <w:rFonts w:hint="default" w:ascii="Times New Roman" w:hAnsi="Times New Roman" w:eastAsia="宋体" w:cs="Times New Roman"/>
                <w:color w:val="auto"/>
                <w:kern w:val="2"/>
                <w:sz w:val="24"/>
                <w:szCs w:val="24"/>
                <w:vertAlign w:val="superscript"/>
                <w:lang w:val="en-US" w:eastAsia="zh-CN"/>
              </w:rPr>
              <w:t>2</w:t>
            </w:r>
            <w:r>
              <w:rPr>
                <w:rFonts w:hint="default" w:ascii="Times New Roman" w:hAnsi="Times New Roman" w:eastAsia="宋体" w:cs="Times New Roman"/>
                <w:color w:val="auto"/>
                <w:kern w:val="2"/>
                <w:sz w:val="24"/>
                <w:szCs w:val="24"/>
                <w:lang w:val="en-US" w:eastAsia="zh-CN"/>
              </w:rPr>
              <w:t>/d，则</w:t>
            </w:r>
            <w:r>
              <w:rPr>
                <w:rFonts w:hint="default" w:ascii="Times New Roman" w:hAnsi="Times New Roman" w:eastAsia="宋体" w:cs="Times New Roman"/>
                <w:color w:val="auto"/>
                <w:kern w:val="2"/>
                <w:sz w:val="24"/>
                <w:szCs w:val="24"/>
              </w:rPr>
              <w:t>地面冲洗用水总量为</w:t>
            </w:r>
            <w:r>
              <w:rPr>
                <w:rFonts w:hint="default" w:ascii="Times New Roman" w:hAnsi="Times New Roman" w:eastAsia="宋体" w:cs="Times New Roman"/>
                <w:color w:val="auto"/>
                <w:kern w:val="2"/>
                <w:sz w:val="24"/>
                <w:szCs w:val="24"/>
                <w:lang w:val="en-US" w:eastAsia="zh-CN"/>
              </w:rPr>
              <w:t>3.88</w:t>
            </w:r>
            <w:r>
              <w:rPr>
                <w:rFonts w:hint="default" w:ascii="Times New Roman" w:hAnsi="Times New Roman" w:eastAsia="宋体" w:cs="Times New Roman"/>
                <w:color w:val="auto"/>
                <w:kern w:val="2"/>
                <w:sz w:val="24"/>
                <w:szCs w:val="24"/>
              </w:rPr>
              <w:t>m³/d（</w:t>
            </w:r>
            <w:r>
              <w:rPr>
                <w:rFonts w:hint="default" w:ascii="Times New Roman" w:hAnsi="Times New Roman" w:eastAsia="宋体" w:cs="Times New Roman"/>
                <w:color w:val="auto"/>
                <w:kern w:val="2"/>
                <w:sz w:val="24"/>
                <w:szCs w:val="24"/>
                <w:lang w:val="en-US" w:eastAsia="zh-CN"/>
              </w:rPr>
              <w:t>1281.65</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/a）。</w:t>
            </w:r>
          </w:p>
          <w:p w14:paraId="69FC46C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③注浆管道冲洗用水</w:t>
            </w:r>
          </w:p>
          <w:p w14:paraId="0D045984">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根据甲方提供的设计文件，注浆管道冲洗用水</w:t>
            </w:r>
            <w:r>
              <w:rPr>
                <w:rFonts w:hint="default" w:ascii="Times New Roman" w:hAnsi="Times New Roman" w:eastAsia="宋体" w:cs="Times New Roman"/>
                <w:color w:val="auto"/>
                <w:kern w:val="2"/>
                <w:sz w:val="24"/>
                <w:szCs w:val="24"/>
              </w:rPr>
              <w:t>总量为</w:t>
            </w:r>
            <w:r>
              <w:rPr>
                <w:rFonts w:hint="default" w:ascii="Times New Roman" w:hAnsi="Times New Roman" w:eastAsia="宋体" w:cs="Times New Roman"/>
                <w:color w:val="auto"/>
                <w:kern w:val="2"/>
                <w:sz w:val="24"/>
                <w:szCs w:val="24"/>
                <w:lang w:val="en-US" w:eastAsia="zh-CN"/>
              </w:rPr>
              <w:t>149</w:t>
            </w:r>
            <w:r>
              <w:rPr>
                <w:rFonts w:hint="default" w:ascii="Times New Roman" w:hAnsi="Times New Roman" w:eastAsia="宋体" w:cs="Times New Roman"/>
                <w:color w:val="auto"/>
                <w:kern w:val="2"/>
                <w:sz w:val="24"/>
                <w:szCs w:val="24"/>
              </w:rPr>
              <w:t>m³/d，（</w:t>
            </w:r>
            <w:r>
              <w:rPr>
                <w:rFonts w:hint="default" w:ascii="Times New Roman" w:hAnsi="Times New Roman" w:eastAsia="宋体" w:cs="Times New Roman"/>
                <w:color w:val="auto"/>
                <w:kern w:val="2"/>
                <w:sz w:val="24"/>
                <w:szCs w:val="24"/>
                <w:lang w:val="en-US" w:eastAsia="zh-CN"/>
              </w:rPr>
              <w:t>49170</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/a）。</w:t>
            </w:r>
          </w:p>
          <w:p w14:paraId="6CE11CC0">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④洒水</w:t>
            </w:r>
            <w:r>
              <w:rPr>
                <w:rFonts w:hint="default" w:ascii="Times New Roman" w:hAnsi="Times New Roman" w:eastAsia="宋体" w:cs="Times New Roman"/>
                <w:color w:val="auto"/>
                <w:kern w:val="2"/>
                <w:sz w:val="24"/>
                <w:szCs w:val="24"/>
              </w:rPr>
              <w:t>抑尘用水</w:t>
            </w:r>
          </w:p>
          <w:p w14:paraId="71EFB836">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w:t>
            </w:r>
            <w:r>
              <w:rPr>
                <w:rFonts w:hint="default" w:ascii="Times New Roman" w:hAnsi="Times New Roman" w:eastAsia="宋体" w:cs="Times New Roman"/>
                <w:color w:val="auto"/>
                <w:kern w:val="2"/>
                <w:sz w:val="24"/>
                <w:szCs w:val="24"/>
                <w:lang w:val="en-US" w:eastAsia="zh-CN"/>
              </w:rPr>
              <w:t>洒水</w:t>
            </w:r>
            <w:r>
              <w:rPr>
                <w:rFonts w:hint="default" w:ascii="Times New Roman" w:hAnsi="Times New Roman" w:eastAsia="宋体" w:cs="Times New Roman"/>
                <w:color w:val="auto"/>
                <w:kern w:val="2"/>
                <w:sz w:val="24"/>
                <w:szCs w:val="24"/>
              </w:rPr>
              <w:t>抑尘用水量为</w:t>
            </w:r>
            <w:r>
              <w:rPr>
                <w:rFonts w:hint="default" w:ascii="Times New Roman" w:hAnsi="Times New Roman" w:eastAsia="宋体" w:cs="Times New Roman"/>
                <w:color w:val="auto"/>
                <w:kern w:val="2"/>
                <w:sz w:val="24"/>
                <w:szCs w:val="24"/>
                <w:lang w:val="en-US" w:eastAsia="zh-CN"/>
              </w:rPr>
              <w:t>31.20</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/d，</w:t>
            </w:r>
            <w:r>
              <w:rPr>
                <w:rFonts w:hint="default" w:ascii="Times New Roman" w:hAnsi="Times New Roman" w:eastAsia="宋体" w:cs="Times New Roman"/>
                <w:color w:val="auto"/>
                <w:kern w:val="2"/>
                <w:sz w:val="24"/>
                <w:szCs w:val="24"/>
                <w:lang w:val="en-US" w:eastAsia="zh-CN"/>
              </w:rPr>
              <w:t>10296</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/a。</w:t>
            </w:r>
          </w:p>
          <w:p w14:paraId="65D2151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⑤湿式除尘器</w:t>
            </w:r>
            <w:r>
              <w:rPr>
                <w:rFonts w:hint="default" w:ascii="Times New Roman" w:hAnsi="Times New Roman" w:eastAsia="宋体" w:cs="Times New Roman"/>
                <w:color w:val="auto"/>
                <w:kern w:val="2"/>
                <w:sz w:val="24"/>
                <w:szCs w:val="24"/>
              </w:rPr>
              <w:t>用水</w:t>
            </w:r>
          </w:p>
          <w:p w14:paraId="1A5942D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w:t>
            </w:r>
            <w:r>
              <w:rPr>
                <w:rFonts w:hint="default" w:ascii="Times New Roman" w:hAnsi="Times New Roman" w:eastAsia="宋体" w:cs="Times New Roman"/>
                <w:color w:val="auto"/>
                <w:kern w:val="2"/>
                <w:sz w:val="24"/>
                <w:szCs w:val="24"/>
                <w:lang w:val="en-US" w:eastAsia="zh-CN"/>
              </w:rPr>
              <w:t>湿式除尘器（3个）</w:t>
            </w:r>
            <w:r>
              <w:rPr>
                <w:rFonts w:hint="default" w:ascii="Times New Roman" w:hAnsi="Times New Roman" w:eastAsia="宋体" w:cs="Times New Roman"/>
                <w:color w:val="auto"/>
                <w:kern w:val="2"/>
                <w:sz w:val="24"/>
                <w:szCs w:val="24"/>
              </w:rPr>
              <w:t>用水量为</w:t>
            </w:r>
            <w:r>
              <w:rPr>
                <w:rFonts w:hint="default" w:ascii="Times New Roman" w:hAnsi="Times New Roman" w:eastAsia="宋体" w:cs="Times New Roman"/>
                <w:color w:val="auto"/>
                <w:kern w:val="2"/>
                <w:sz w:val="24"/>
                <w:szCs w:val="24"/>
                <w:lang w:val="en-US" w:eastAsia="zh-CN"/>
              </w:rPr>
              <w:t>50.4</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/d，</w:t>
            </w:r>
            <w:r>
              <w:rPr>
                <w:rFonts w:hint="default" w:ascii="Times New Roman" w:hAnsi="Times New Roman" w:eastAsia="宋体" w:cs="Times New Roman"/>
                <w:color w:val="auto"/>
                <w:kern w:val="2"/>
                <w:sz w:val="24"/>
                <w:szCs w:val="24"/>
                <w:lang w:val="en-US" w:eastAsia="zh-CN"/>
              </w:rPr>
              <w:t>16632</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/a。</w:t>
            </w:r>
          </w:p>
          <w:p w14:paraId="34807D56">
            <w:pPr>
              <w:keepNext w:val="0"/>
              <w:keepLines w:val="0"/>
              <w:pageBreakBefore w:val="0"/>
              <w:widowControl w:val="0"/>
              <w:kinsoku/>
              <w:wordWrap/>
              <w:overflowPunct/>
              <w:topLinePunct w:val="0"/>
              <w:bidi w:val="0"/>
              <w:snapToGrid w:val="0"/>
              <w:spacing w:line="360" w:lineRule="auto"/>
              <w:ind w:firstLine="482" w:firstLineChars="200"/>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rPr>
              <w:t>2</w:t>
            </w:r>
            <w:r>
              <w:rPr>
                <w:rFonts w:hint="default" w:ascii="Times New Roman" w:hAnsi="Times New Roman" w:eastAsia="宋体" w:cs="Times New Roman"/>
                <w:b/>
                <w:bCs/>
                <w:color w:val="auto"/>
                <w:kern w:val="2"/>
                <w:sz w:val="24"/>
                <w:szCs w:val="24"/>
                <w:lang w:eastAsia="zh-CN"/>
              </w:rPr>
              <w:t>、</w:t>
            </w:r>
            <w:r>
              <w:rPr>
                <w:rFonts w:hint="default" w:ascii="Times New Roman" w:hAnsi="Times New Roman" w:eastAsia="宋体" w:cs="Times New Roman"/>
                <w:b/>
                <w:bCs/>
                <w:color w:val="auto"/>
                <w:kern w:val="2"/>
                <w:sz w:val="24"/>
                <w:szCs w:val="24"/>
              </w:rPr>
              <w:t>排水</w:t>
            </w:r>
          </w:p>
          <w:p w14:paraId="1E948926">
            <w:pPr>
              <w:keepNext w:val="0"/>
              <w:keepLines w:val="0"/>
              <w:pageBreakBefore w:val="0"/>
              <w:widowControl/>
              <w:suppressLineNumbers w:val="0"/>
              <w:kinsoku/>
              <w:wordWrap/>
              <w:overflowPunct/>
              <w:topLinePunct w:val="0"/>
              <w:bidi w:val="0"/>
              <w:snapToGrid w:val="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浆体泌水：本项目浆体注入离层空间后，浆体中的水在煤矸石自身泌水特性和压力作用下持续渗入离层围岩，由于离层注浆段岩层含水性弱，不作为供水含水层，同时该含水层上部为多层隔水层，不会和上部地表水构成水力联系，钻孔采用套管固井对含水层进行封堵，防止含水层进入离层空间，同时防止浆液注入含水层中，避免污染含水层水系，虽然注浆浆液具有良好的泌水性，在持续注浆过程中会析出</w:t>
            </w:r>
            <w:r>
              <w:rPr>
                <w:rFonts w:hint="eastAsia" w:cs="Times New Roman"/>
                <w:color w:val="auto"/>
                <w:kern w:val="0"/>
                <w:sz w:val="24"/>
                <w:szCs w:val="24"/>
                <w:lang w:val="en-US" w:eastAsia="zh-CN" w:bidi="ar"/>
              </w:rPr>
              <w:t>水分</w:t>
            </w:r>
            <w:r>
              <w:rPr>
                <w:rFonts w:hint="default" w:ascii="Times New Roman" w:hAnsi="Times New Roman" w:eastAsia="宋体" w:cs="Times New Roman"/>
                <w:color w:val="auto"/>
                <w:kern w:val="0"/>
                <w:sz w:val="24"/>
                <w:szCs w:val="24"/>
                <w:lang w:val="en-US" w:eastAsia="zh-CN" w:bidi="ar"/>
              </w:rPr>
              <w:t>，但越流进入矿井涌水中的比例很小。根据以往离层注浆工程经验，离层区浆液可能与下部煤层存在一定的水力联系，但基本不会增加矿井涌水量，离层中的浆液产生泌水现象后，地压会将水挤入周围及远处岩石孔隙，注浆区域离层空间内最终以沉淀后的矸石为主，呈固态。因此，本项目不考虑浆体泌水产生。</w:t>
            </w:r>
          </w:p>
          <w:p w14:paraId="3772F0DB">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本项目废水主要为日常生活污水</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地面</w:t>
            </w:r>
            <w:r>
              <w:rPr>
                <w:rFonts w:hint="default" w:ascii="Times New Roman" w:hAnsi="Times New Roman" w:eastAsia="宋体" w:cs="Times New Roman"/>
                <w:color w:val="auto"/>
                <w:kern w:val="2"/>
                <w:sz w:val="24"/>
                <w:szCs w:val="24"/>
              </w:rPr>
              <w:t>冲洗废水</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注浆管道</w:t>
            </w:r>
            <w:r>
              <w:rPr>
                <w:rFonts w:hint="default" w:ascii="Times New Roman" w:hAnsi="Times New Roman" w:eastAsia="宋体" w:cs="Times New Roman"/>
                <w:color w:val="auto"/>
                <w:kern w:val="2"/>
                <w:sz w:val="24"/>
                <w:szCs w:val="24"/>
              </w:rPr>
              <w:t>冲洗</w:t>
            </w:r>
            <w:r>
              <w:rPr>
                <w:rFonts w:hint="default" w:ascii="Times New Roman" w:hAnsi="Times New Roman" w:eastAsia="宋体" w:cs="Times New Roman"/>
                <w:color w:val="auto"/>
                <w:kern w:val="2"/>
                <w:sz w:val="24"/>
                <w:szCs w:val="24"/>
                <w:lang w:val="en-US" w:eastAsia="zh-CN"/>
              </w:rPr>
              <w:t>废</w:t>
            </w:r>
            <w:r>
              <w:rPr>
                <w:rFonts w:hint="default" w:ascii="Times New Roman" w:hAnsi="Times New Roman" w:eastAsia="宋体" w:cs="Times New Roman"/>
                <w:color w:val="auto"/>
                <w:kern w:val="2"/>
                <w:sz w:val="24"/>
                <w:szCs w:val="24"/>
              </w:rPr>
              <w:t>水。</w:t>
            </w:r>
          </w:p>
          <w:p w14:paraId="5A11ED05">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1）生活污水</w:t>
            </w:r>
          </w:p>
          <w:p w14:paraId="75316545">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生活污水产生量按用水量的80%计，则生活污水产量为2.6</w:t>
            </w:r>
            <w:r>
              <w:rPr>
                <w:rFonts w:hint="default" w:ascii="Times New Roman" w:hAnsi="Times New Roman" w:eastAsia="宋体" w:cs="Times New Roman"/>
                <w:color w:val="auto"/>
                <w:kern w:val="2"/>
                <w:sz w:val="24"/>
                <w:szCs w:val="24"/>
                <w:lang w:val="en-US" w:eastAsia="zh-CN"/>
              </w:rPr>
              <w:t>9</w:t>
            </w:r>
            <w:r>
              <w:rPr>
                <w:rFonts w:hint="default" w:ascii="Times New Roman" w:hAnsi="Times New Roman" w:eastAsia="宋体" w:cs="Times New Roman"/>
                <w:color w:val="auto"/>
                <w:kern w:val="2"/>
                <w:sz w:val="24"/>
                <w:szCs w:val="24"/>
              </w:rPr>
              <w:t>m³/d，即887.04m³/a，依托现有</w:t>
            </w:r>
            <w:r>
              <w:rPr>
                <w:rFonts w:hint="default" w:ascii="Times New Roman" w:hAnsi="Times New Roman" w:eastAsia="宋体" w:cs="Times New Roman"/>
                <w:color w:val="auto"/>
                <w:kern w:val="2"/>
                <w:sz w:val="24"/>
                <w:szCs w:val="24"/>
                <w:lang w:eastAsia="zh-CN"/>
              </w:rPr>
              <w:t>白家海子</w:t>
            </w:r>
            <w:r>
              <w:rPr>
                <w:rFonts w:hint="default" w:ascii="Times New Roman" w:hAnsi="Times New Roman" w:eastAsia="宋体" w:cs="Times New Roman"/>
                <w:color w:val="auto"/>
                <w:kern w:val="2"/>
                <w:sz w:val="24"/>
                <w:szCs w:val="24"/>
              </w:rPr>
              <w:t>煤矿工业场地生活污水处理站处理达标后用于绿化和降尘洒水等。</w:t>
            </w:r>
          </w:p>
          <w:p w14:paraId="3D6818BF">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2）室内地面冲洗废水</w:t>
            </w:r>
          </w:p>
          <w:p w14:paraId="0B35585F">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冲洗废水</w:t>
            </w:r>
            <w:r>
              <w:rPr>
                <w:rFonts w:hint="default" w:ascii="Times New Roman" w:hAnsi="Times New Roman" w:eastAsia="宋体" w:cs="Times New Roman"/>
                <w:color w:val="auto"/>
                <w:kern w:val="2"/>
                <w:sz w:val="24"/>
                <w:szCs w:val="24"/>
                <w:lang w:val="en-US" w:eastAsia="zh-CN"/>
              </w:rPr>
              <w:t>为</w:t>
            </w:r>
            <w:r>
              <w:rPr>
                <w:rFonts w:hint="default" w:ascii="Times New Roman" w:hAnsi="Times New Roman" w:eastAsia="宋体" w:cs="Times New Roman"/>
                <w:color w:val="auto"/>
                <w:kern w:val="2"/>
                <w:sz w:val="24"/>
                <w:szCs w:val="24"/>
              </w:rPr>
              <w:t>室内地面冲洗废水</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产生量按用水量的</w:t>
            </w:r>
            <w:r>
              <w:rPr>
                <w:rFonts w:hint="default" w:ascii="Times New Roman" w:hAnsi="Times New Roman" w:eastAsia="宋体" w:cs="Times New Roman"/>
                <w:color w:val="auto"/>
                <w:kern w:val="2"/>
                <w:sz w:val="24"/>
                <w:szCs w:val="24"/>
                <w:lang w:val="en-US" w:eastAsia="zh-CN"/>
              </w:rPr>
              <w:t>8</w:t>
            </w:r>
            <w:r>
              <w:rPr>
                <w:rFonts w:hint="default" w:ascii="Times New Roman" w:hAnsi="Times New Roman" w:eastAsia="宋体" w:cs="Times New Roman"/>
                <w:color w:val="auto"/>
                <w:kern w:val="2"/>
                <w:sz w:val="24"/>
                <w:szCs w:val="24"/>
              </w:rPr>
              <w:t>0%计算，</w:t>
            </w:r>
            <w:r>
              <w:rPr>
                <w:rFonts w:hint="default" w:ascii="Times New Roman" w:hAnsi="Times New Roman" w:eastAsia="宋体" w:cs="Times New Roman"/>
                <w:color w:val="auto"/>
                <w:kern w:val="2"/>
                <w:sz w:val="24"/>
                <w:szCs w:val="24"/>
                <w:lang w:val="en-US" w:eastAsia="zh-CN"/>
              </w:rPr>
              <w:t>产生</w:t>
            </w:r>
            <w:r>
              <w:rPr>
                <w:rFonts w:hint="default" w:ascii="Times New Roman" w:hAnsi="Times New Roman" w:eastAsia="宋体" w:cs="Times New Roman"/>
                <w:color w:val="auto"/>
                <w:kern w:val="2"/>
                <w:sz w:val="24"/>
                <w:szCs w:val="24"/>
              </w:rPr>
              <w:t>污水量为</w:t>
            </w:r>
            <w:r>
              <w:rPr>
                <w:rFonts w:hint="default" w:ascii="Times New Roman" w:hAnsi="Times New Roman" w:eastAsia="宋体" w:cs="Times New Roman"/>
                <w:color w:val="auto"/>
                <w:kern w:val="2"/>
                <w:sz w:val="24"/>
                <w:szCs w:val="24"/>
                <w:lang w:val="en-US" w:eastAsia="zh-CN"/>
              </w:rPr>
              <w:t>3.11</w:t>
            </w:r>
            <w:r>
              <w:rPr>
                <w:rFonts w:hint="default" w:ascii="Times New Roman" w:hAnsi="Times New Roman" w:eastAsia="宋体" w:cs="Times New Roman"/>
                <w:color w:val="auto"/>
                <w:kern w:val="2"/>
                <w:sz w:val="24"/>
                <w:szCs w:val="24"/>
              </w:rPr>
              <w:t>m³/d，</w:t>
            </w:r>
            <w:r>
              <w:rPr>
                <w:rFonts w:hint="default" w:ascii="Times New Roman" w:hAnsi="Times New Roman" w:eastAsia="宋体" w:cs="Times New Roman"/>
                <w:color w:val="auto"/>
                <w:kern w:val="2"/>
                <w:sz w:val="24"/>
                <w:szCs w:val="24"/>
                <w:lang w:val="en-US" w:eastAsia="zh-CN"/>
              </w:rPr>
              <w:t>1025.32</w:t>
            </w:r>
            <w:r>
              <w:rPr>
                <w:rFonts w:hint="default" w:ascii="Times New Roman" w:hAnsi="Times New Roman" w:eastAsia="宋体" w:cs="Times New Roman"/>
                <w:color w:val="auto"/>
                <w:kern w:val="2"/>
                <w:sz w:val="24"/>
                <w:szCs w:val="24"/>
              </w:rPr>
              <w:t>m³/a，经收集池收集后回用于</w:t>
            </w:r>
            <w:r>
              <w:rPr>
                <w:rFonts w:hint="default" w:ascii="Times New Roman" w:hAnsi="Times New Roman" w:eastAsia="宋体" w:cs="Times New Roman"/>
                <w:color w:val="auto"/>
                <w:kern w:val="2"/>
                <w:sz w:val="24"/>
                <w:szCs w:val="24"/>
                <w:lang w:eastAsia="zh-CN"/>
              </w:rPr>
              <w:t>球磨</w:t>
            </w:r>
            <w:r>
              <w:rPr>
                <w:rFonts w:hint="default" w:ascii="Times New Roman" w:hAnsi="Times New Roman" w:eastAsia="宋体" w:cs="Times New Roman"/>
                <w:color w:val="auto"/>
                <w:kern w:val="2"/>
                <w:sz w:val="24"/>
                <w:szCs w:val="24"/>
              </w:rPr>
              <w:t>工序。</w:t>
            </w:r>
          </w:p>
          <w:p w14:paraId="3421056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（3）注浆管道冲洗废水</w:t>
            </w:r>
          </w:p>
          <w:p w14:paraId="5EC30CEF">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注浆管道冲洗废</w:t>
            </w:r>
            <w:r>
              <w:rPr>
                <w:rFonts w:hint="default" w:ascii="Times New Roman" w:hAnsi="Times New Roman" w:eastAsia="宋体" w:cs="Times New Roman"/>
                <w:color w:val="auto"/>
                <w:kern w:val="2"/>
                <w:sz w:val="24"/>
                <w:szCs w:val="24"/>
              </w:rPr>
              <w:t>总量为</w:t>
            </w:r>
            <w:r>
              <w:rPr>
                <w:rFonts w:hint="default" w:ascii="Times New Roman" w:hAnsi="Times New Roman" w:eastAsia="宋体" w:cs="Times New Roman"/>
                <w:color w:val="auto"/>
                <w:kern w:val="2"/>
                <w:sz w:val="24"/>
                <w:szCs w:val="24"/>
                <w:lang w:val="en-US" w:eastAsia="zh-CN"/>
              </w:rPr>
              <w:t>149</w:t>
            </w:r>
            <w:r>
              <w:rPr>
                <w:rFonts w:hint="default" w:ascii="Times New Roman" w:hAnsi="Times New Roman" w:eastAsia="宋体" w:cs="Times New Roman"/>
                <w:color w:val="auto"/>
                <w:kern w:val="2"/>
                <w:sz w:val="24"/>
                <w:szCs w:val="24"/>
              </w:rPr>
              <w:t>m³/d，（</w:t>
            </w:r>
            <w:r>
              <w:rPr>
                <w:rFonts w:hint="default" w:ascii="Times New Roman" w:hAnsi="Times New Roman" w:eastAsia="宋体" w:cs="Times New Roman"/>
                <w:color w:val="auto"/>
                <w:kern w:val="2"/>
                <w:sz w:val="24"/>
                <w:szCs w:val="24"/>
                <w:lang w:val="en-US" w:eastAsia="zh-CN"/>
              </w:rPr>
              <w:t>49170</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/a）</w:t>
            </w:r>
            <w:r>
              <w:rPr>
                <w:rFonts w:hint="default" w:ascii="Times New Roman" w:hAnsi="Times New Roman" w:eastAsia="宋体" w:cs="Times New Roman"/>
                <w:color w:val="auto"/>
                <w:kern w:val="2"/>
                <w:sz w:val="24"/>
                <w:szCs w:val="24"/>
                <w:lang w:eastAsia="zh-CN"/>
              </w:rPr>
              <w:t>，进入注浆管道随矸石浆液充填井下</w:t>
            </w:r>
            <w:r>
              <w:rPr>
                <w:rFonts w:hint="default" w:ascii="Times New Roman" w:hAnsi="Times New Roman" w:eastAsia="宋体" w:cs="Times New Roman"/>
                <w:color w:val="auto"/>
                <w:kern w:val="2"/>
                <w:sz w:val="24"/>
                <w:szCs w:val="24"/>
              </w:rPr>
              <w:t>。</w:t>
            </w:r>
          </w:p>
          <w:p w14:paraId="12038C00">
            <w:pPr>
              <w:keepNext w:val="0"/>
              <w:keepLines w:val="0"/>
              <w:pageBreakBefore w:val="0"/>
              <w:widowControl w:val="0"/>
              <w:kinsoku/>
              <w:wordWrap/>
              <w:overflowPunct/>
              <w:topLinePunct w:val="0"/>
              <w:bidi w:val="0"/>
              <w:snapToGrid w:val="0"/>
              <w:spacing w:line="360" w:lineRule="auto"/>
              <w:ind w:firstLine="482" w:firstLineChars="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本项目给排水平衡表见下表。</w:t>
            </w:r>
          </w:p>
          <w:p w14:paraId="20DB7EC2">
            <w:pPr>
              <w:widowControl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b/>
                <w:color w:val="auto"/>
                <w:kern w:val="2"/>
                <w:sz w:val="24"/>
                <w:szCs w:val="28"/>
              </w:rPr>
              <w:t>表</w:t>
            </w:r>
            <w:r>
              <w:rPr>
                <w:rFonts w:hint="default" w:ascii="Times New Roman" w:hAnsi="Times New Roman" w:eastAsia="宋体" w:cs="Times New Roman"/>
                <w:b/>
                <w:color w:val="auto"/>
                <w:kern w:val="2"/>
                <w:sz w:val="24"/>
                <w:szCs w:val="28"/>
                <w:lang w:val="en-US" w:eastAsia="zh-CN"/>
              </w:rPr>
              <w:t>2-8</w:t>
            </w:r>
            <w:r>
              <w:rPr>
                <w:rFonts w:hint="default" w:ascii="Times New Roman" w:hAnsi="Times New Roman" w:eastAsia="宋体" w:cs="Times New Roman"/>
                <w:b/>
                <w:color w:val="auto"/>
                <w:kern w:val="2"/>
                <w:sz w:val="24"/>
                <w:szCs w:val="28"/>
              </w:rPr>
              <w:t xml:space="preserve">    本项目给排水平衡表    单位：m</w:t>
            </w:r>
            <w:r>
              <w:rPr>
                <w:rFonts w:hint="default" w:ascii="Times New Roman" w:hAnsi="Times New Roman" w:eastAsia="宋体" w:cs="Times New Roman"/>
                <w:b/>
                <w:color w:val="auto"/>
                <w:kern w:val="2"/>
                <w:sz w:val="24"/>
                <w:szCs w:val="28"/>
                <w:vertAlign w:val="superscript"/>
              </w:rPr>
              <w:t>3</w:t>
            </w:r>
            <w:r>
              <w:rPr>
                <w:rFonts w:hint="default" w:ascii="Times New Roman" w:hAnsi="Times New Roman" w:eastAsia="宋体" w:cs="Times New Roman"/>
                <w:b/>
                <w:color w:val="auto"/>
                <w:kern w:val="2"/>
                <w:sz w:val="24"/>
                <w:szCs w:val="28"/>
              </w:rPr>
              <w:t>/</w:t>
            </w:r>
            <w:r>
              <w:rPr>
                <w:rFonts w:hint="default" w:ascii="Times New Roman" w:hAnsi="Times New Roman" w:eastAsia="宋体" w:cs="Times New Roman"/>
                <w:b/>
                <w:color w:val="auto"/>
                <w:kern w:val="2"/>
                <w:sz w:val="24"/>
                <w:szCs w:val="28"/>
                <w:lang w:val="en-US" w:eastAsia="zh-CN"/>
              </w:rPr>
              <w:t>d</w:t>
            </w:r>
          </w:p>
          <w:tbl>
            <w:tblPr>
              <w:tblStyle w:val="25"/>
              <w:tblW w:w="794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3"/>
              <w:gridCol w:w="774"/>
              <w:gridCol w:w="903"/>
              <w:gridCol w:w="844"/>
              <w:gridCol w:w="1201"/>
              <w:gridCol w:w="900"/>
              <w:gridCol w:w="761"/>
              <w:gridCol w:w="718"/>
              <w:gridCol w:w="1151"/>
            </w:tblGrid>
            <w:tr w14:paraId="01E42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F3A8D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用水项目</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58711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规模</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DD4D8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用水标准</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5B42F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用水来源</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E2946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用水量</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ED81F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损耗量</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DDDEE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产生量</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D69C1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排放量</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08FC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去向</w:t>
                  </w:r>
                </w:p>
              </w:tc>
            </w:tr>
            <w:tr w14:paraId="43EA0D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B5FA4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职工饮用水</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61983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56人</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AD04F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60L/人·d</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EB5CD2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矿井水深度处理</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15FBB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3.36</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8A38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0.67</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CFC16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2.69</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FB118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A217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白家海子煤矿工业场地生活污水处理站</w:t>
                  </w:r>
                </w:p>
              </w:tc>
            </w:tr>
            <w:tr w14:paraId="244A7F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BCFEE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球磨制浆用水</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97660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634AA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3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1D1816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矿井水、冲洗水</w:t>
                  </w: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8AF5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2727.27（矿井水2724.17、冲洗水3.11）</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2CFDE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2727.27 </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3E6BA8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E5881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6FCAD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充填井下</w:t>
                  </w:r>
                </w:p>
              </w:tc>
            </w:tr>
            <w:tr w14:paraId="4EACC0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17930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室内地面冲洗用水</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7AA8F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E0BCE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5L/m</w:t>
                  </w:r>
                  <w:r>
                    <w:rPr>
                      <w:rFonts w:hint="default" w:ascii="Times New Roman" w:hAnsi="Times New Roman" w:eastAsia="宋体" w:cs="Times New Roman"/>
                      <w:i w:val="0"/>
                      <w:iCs w:val="0"/>
                      <w:color w:val="auto"/>
                      <w:kern w:val="0"/>
                      <w:sz w:val="21"/>
                      <w:szCs w:val="21"/>
                      <w:u w:val="none"/>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/d</w:t>
                  </w:r>
                </w:p>
              </w:tc>
              <w:tc>
                <w:tcPr>
                  <w:tcW w:w="5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7DCBA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2FC3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3.88 </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EDA576">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0.78 </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92873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3.11 </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5C310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329E5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经收集池收集后回用于球磨工序</w:t>
                  </w:r>
                </w:p>
              </w:tc>
            </w:tr>
            <w:tr w14:paraId="13E754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598CC5">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注浆管道冲洗用水</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6AA79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2E561C">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BD6E6B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A229A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149</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1515D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149</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D9B41">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49D26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70D71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进入注浆管道随矸石浆液充填井下</w:t>
                  </w:r>
                </w:p>
              </w:tc>
            </w:tr>
            <w:tr w14:paraId="5754BD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E5DE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洒水抑尘用水</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A5F0D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2DBA9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705295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2DEEE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31.2</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7A761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31.2</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0D55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F535E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814E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自然挥发</w:t>
                  </w:r>
                </w:p>
              </w:tc>
            </w:tr>
            <w:tr w14:paraId="66227D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04CF0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湿式除尘器用水</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FA85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4038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3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307F08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7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CE665B">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50.4</w:t>
                  </w:r>
                </w:p>
              </w:tc>
              <w:tc>
                <w:tcPr>
                  <w:tcW w:w="5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11B042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50.4</w:t>
                  </w:r>
                </w:p>
              </w:tc>
              <w:tc>
                <w:tcPr>
                  <w:tcW w:w="48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7C0AE0">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4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B325D">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F97A1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除尘器污泥</w:t>
                  </w:r>
                </w:p>
              </w:tc>
            </w:tr>
            <w:tr w14:paraId="1F86A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4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F2EB2A">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总计</w:t>
                  </w:r>
                </w:p>
              </w:tc>
              <w:tc>
                <w:tcPr>
                  <w:tcW w:w="49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9F0BC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7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90A98">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636C6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7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7E4B7">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2962.01 </w:t>
                  </w:r>
                </w:p>
              </w:tc>
              <w:tc>
                <w:tcPr>
                  <w:tcW w:w="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54AEAE">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2956.21 </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613E3">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5.80 </w:t>
                  </w:r>
                </w:p>
              </w:tc>
              <w:tc>
                <w:tcPr>
                  <w:tcW w:w="4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97609">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73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21659F">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r>
          </w:tbl>
          <w:p w14:paraId="7409A269">
            <w:pPr>
              <w:widowControl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object>
                <v:shape id="_x0000_i1028" o:spt="75" type="#_x0000_t75" style="height:340.55pt;width:356.55pt;" o:ole="t" filled="f" o:preferrelative="t" stroked="f" coordsize="21600,21600">
                  <v:path/>
                  <v:fill on="f" focussize="0,0"/>
                  <v:stroke on="f"/>
                  <v:imagedata r:id="rId39" o:title=""/>
                  <o:lock v:ext="edit" aspectratio="f"/>
                  <w10:wrap type="none"/>
                  <w10:anchorlock/>
                </v:shape>
                <o:OLEObject Type="Embed" ProgID="Visio.Drawing.15" ShapeID="_x0000_i1028" DrawAspect="Content" ObjectID="_1468075728" r:id="rId38">
                  <o:LockedField>false</o:LockedField>
                </o:OLEObject>
              </w:object>
            </w:r>
          </w:p>
          <w:p w14:paraId="329D3E74">
            <w:pPr>
              <w:widowControl w:val="0"/>
              <w:spacing w:line="360" w:lineRule="auto"/>
              <w:ind w:firstLine="482" w:firstLineChars="200"/>
              <w:jc w:val="center"/>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图2-12   水平衡（m</w:t>
            </w:r>
            <w:r>
              <w:rPr>
                <w:rFonts w:hint="default" w:ascii="Times New Roman" w:hAnsi="Times New Roman" w:eastAsia="宋体" w:cs="Times New Roman"/>
                <w:b/>
                <w:bCs/>
                <w:color w:val="auto"/>
                <w:sz w:val="24"/>
                <w:vertAlign w:val="superscript"/>
                <w:lang w:val="en-US" w:eastAsia="zh-CN"/>
              </w:rPr>
              <w:t>3</w:t>
            </w:r>
            <w:r>
              <w:rPr>
                <w:rFonts w:hint="default" w:ascii="Times New Roman" w:hAnsi="Times New Roman" w:eastAsia="宋体" w:cs="Times New Roman"/>
                <w:b/>
                <w:bCs/>
                <w:color w:val="auto"/>
                <w:sz w:val="24"/>
                <w:lang w:val="en-US" w:eastAsia="zh-CN"/>
              </w:rPr>
              <w:t>/d）</w:t>
            </w:r>
          </w:p>
          <w:p w14:paraId="549947FC">
            <w:pPr>
              <w:widowControl w:val="0"/>
              <w:spacing w:line="360" w:lineRule="auto"/>
              <w:ind w:firstLine="482" w:firstLineChars="200"/>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b/>
                <w:bCs/>
                <w:color w:val="auto"/>
                <w:kern w:val="2"/>
                <w:sz w:val="24"/>
                <w:szCs w:val="24"/>
                <w:highlight w:val="none"/>
                <w:lang w:val="en-US" w:eastAsia="zh-CN"/>
              </w:rPr>
              <w:t>3</w:t>
            </w:r>
            <w:r>
              <w:rPr>
                <w:rFonts w:hint="default" w:ascii="Times New Roman" w:hAnsi="Times New Roman" w:eastAsia="宋体" w:cs="Times New Roman"/>
                <w:b/>
                <w:bCs/>
                <w:color w:val="auto"/>
                <w:kern w:val="2"/>
                <w:sz w:val="24"/>
                <w:szCs w:val="24"/>
                <w:highlight w:val="none"/>
                <w:lang w:eastAsia="zh-CN"/>
              </w:rPr>
              <w:t>、</w:t>
            </w:r>
            <w:r>
              <w:rPr>
                <w:rFonts w:hint="default" w:ascii="Times New Roman" w:hAnsi="Times New Roman" w:eastAsia="宋体" w:cs="Times New Roman"/>
                <w:b/>
                <w:bCs/>
                <w:color w:val="auto"/>
                <w:kern w:val="2"/>
                <w:sz w:val="24"/>
                <w:szCs w:val="24"/>
                <w:highlight w:val="none"/>
              </w:rPr>
              <w:t>采暖供暖</w:t>
            </w:r>
          </w:p>
          <w:p w14:paraId="2ED2FF0F">
            <w:pPr>
              <w:widowControl w:val="0"/>
              <w:spacing w:line="360" w:lineRule="auto"/>
              <w:ind w:firstLine="482" w:firstLineChars="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注浆站及其附近建筑依托现有供热设施供热；</w:t>
            </w:r>
          </w:p>
          <w:p w14:paraId="57FDE960">
            <w:pPr>
              <w:widowControl w:val="0"/>
              <w:spacing w:line="360" w:lineRule="auto"/>
              <w:ind w:firstLine="482" w:firstLineChars="200"/>
              <w:rPr>
                <w:rFonts w:hint="default" w:ascii="Times New Roman" w:hAnsi="Times New Roman" w:eastAsia="宋体" w:cs="Times New Roman"/>
                <w:b/>
                <w:bCs/>
                <w:color w:val="auto"/>
                <w:kern w:val="2"/>
                <w:sz w:val="24"/>
                <w:szCs w:val="24"/>
                <w:highlight w:val="none"/>
              </w:rPr>
            </w:pPr>
            <w:r>
              <w:rPr>
                <w:rFonts w:hint="default" w:ascii="Times New Roman" w:hAnsi="Times New Roman" w:eastAsia="宋体" w:cs="Times New Roman"/>
                <w:b/>
                <w:bCs/>
                <w:color w:val="auto"/>
                <w:kern w:val="2"/>
                <w:sz w:val="24"/>
                <w:szCs w:val="24"/>
                <w:highlight w:val="none"/>
                <w:lang w:val="en-US" w:eastAsia="zh-CN"/>
              </w:rPr>
              <w:t>4</w:t>
            </w:r>
            <w:r>
              <w:rPr>
                <w:rFonts w:hint="default" w:ascii="Times New Roman" w:hAnsi="Times New Roman" w:eastAsia="宋体" w:cs="Times New Roman"/>
                <w:b/>
                <w:bCs/>
                <w:color w:val="auto"/>
                <w:kern w:val="2"/>
                <w:sz w:val="24"/>
                <w:szCs w:val="24"/>
                <w:highlight w:val="none"/>
                <w:lang w:eastAsia="zh-CN"/>
              </w:rPr>
              <w:t>、</w:t>
            </w:r>
            <w:r>
              <w:rPr>
                <w:rFonts w:hint="default" w:ascii="Times New Roman" w:hAnsi="Times New Roman" w:eastAsia="宋体" w:cs="Times New Roman"/>
                <w:b/>
                <w:bCs/>
                <w:color w:val="auto"/>
                <w:kern w:val="2"/>
                <w:sz w:val="24"/>
                <w:szCs w:val="24"/>
                <w:highlight w:val="none"/>
              </w:rPr>
              <w:t>供电</w:t>
            </w:r>
          </w:p>
          <w:p w14:paraId="735AD92A">
            <w:pPr>
              <w:keepNext w:val="0"/>
              <w:keepLines w:val="0"/>
              <w:pageBreakBefore w:val="0"/>
              <w:widowControl w:val="0"/>
              <w:kinsoku/>
              <w:wordWrap/>
              <w:overflowPunct/>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color w:val="auto"/>
                <w:kern w:val="2"/>
                <w:sz w:val="24"/>
                <w:szCs w:val="24"/>
                <w:lang w:val="en-US" w:eastAsia="zh-CN"/>
              </w:rPr>
            </w:pPr>
            <w:r>
              <w:rPr>
                <w:rFonts w:hint="default" w:ascii="Times New Roman" w:hAnsi="Times New Roman" w:eastAsia="宋体" w:cs="Times New Roman"/>
                <w:color w:val="auto"/>
                <w:kern w:val="2"/>
                <w:sz w:val="24"/>
                <w:szCs w:val="24"/>
                <w:highlight w:val="none"/>
                <w:lang w:val="en-US" w:eastAsia="zh-CN"/>
              </w:rPr>
              <w:t>在制浆车间南侧联建一座 10kV 变电所，为整个充填项目提供电源，电源引自矿井地面 110kV 变电所。</w:t>
            </w:r>
          </w:p>
          <w:p w14:paraId="6D2ACB72">
            <w:pPr>
              <w:keepNext w:val="0"/>
              <w:keepLines w:val="0"/>
              <w:pageBreakBefore w:val="0"/>
              <w:widowControl w:val="0"/>
              <w:kinsoku/>
              <w:wordWrap/>
              <w:overflowPunct/>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rPr>
              <w:t>九、</w:t>
            </w:r>
            <w:r>
              <w:rPr>
                <w:rFonts w:hint="default" w:ascii="Times New Roman" w:hAnsi="Times New Roman" w:eastAsia="宋体" w:cs="Times New Roman"/>
                <w:b/>
                <w:bCs/>
                <w:color w:val="auto"/>
                <w:kern w:val="2"/>
                <w:sz w:val="24"/>
                <w:szCs w:val="24"/>
              </w:rPr>
              <w:t>依托</w:t>
            </w:r>
            <w:r>
              <w:rPr>
                <w:rFonts w:hint="default" w:ascii="Times New Roman" w:hAnsi="Times New Roman" w:eastAsia="宋体" w:cs="Times New Roman"/>
                <w:b/>
                <w:bCs/>
                <w:color w:val="auto"/>
                <w:kern w:val="2"/>
                <w:sz w:val="24"/>
                <w:szCs w:val="24"/>
                <w:lang w:val="en-US" w:eastAsia="zh-CN"/>
              </w:rPr>
              <w:t>可行</w:t>
            </w:r>
            <w:r>
              <w:rPr>
                <w:rFonts w:hint="default" w:ascii="Times New Roman" w:hAnsi="Times New Roman" w:eastAsia="宋体" w:cs="Times New Roman"/>
                <w:b/>
                <w:bCs/>
                <w:color w:val="auto"/>
                <w:kern w:val="2"/>
                <w:sz w:val="24"/>
                <w:szCs w:val="24"/>
              </w:rPr>
              <w:t>性分析</w:t>
            </w:r>
          </w:p>
          <w:p w14:paraId="3C333681">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ascii="Times New Roman" w:hAnsi="Times New Roman" w:eastAsia="宋体" w:cs="Times New Roman"/>
                <w:b/>
                <w:bCs/>
                <w:color w:val="auto"/>
                <w:sz w:val="24"/>
                <w:szCs w:val="24"/>
                <w:lang w:val="en-US" w:eastAsia="zh-CN" w:bidi="ar-SA"/>
              </w:rPr>
            </w:pPr>
            <w:r>
              <w:rPr>
                <w:rFonts w:hint="default" w:ascii="Times New Roman" w:hAnsi="Times New Roman" w:eastAsia="宋体" w:cs="Times New Roman"/>
                <w:b/>
                <w:bCs/>
                <w:color w:val="auto"/>
                <w:sz w:val="24"/>
                <w:szCs w:val="24"/>
                <w:lang w:val="en-US" w:eastAsia="zh-CN" w:bidi="ar-SA"/>
              </w:rPr>
              <w:t>1、给水系统</w:t>
            </w:r>
          </w:p>
          <w:p w14:paraId="6454A35B">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企业目前开采规模按照800万t/a核定，矿井水产生量为618.67m</w:t>
            </w:r>
            <w:r>
              <w:rPr>
                <w:rFonts w:hint="default" w:ascii="Times New Roman" w:hAnsi="Times New Roman" w:eastAsia="宋体" w:cs="Times New Roman"/>
                <w:color w:val="auto"/>
                <w:sz w:val="24"/>
                <w:szCs w:val="24"/>
                <w:highlight w:val="none"/>
                <w:vertAlign w:val="superscript"/>
                <w:lang w:val="en-US" w:eastAsia="zh-CN" w:bidi="ar-SA"/>
              </w:rPr>
              <w:t>3</w:t>
            </w:r>
            <w:r>
              <w:rPr>
                <w:rFonts w:hint="default" w:ascii="Times New Roman" w:hAnsi="Times New Roman" w:eastAsia="宋体" w:cs="Times New Roman"/>
                <w:color w:val="auto"/>
                <w:sz w:val="24"/>
                <w:szCs w:val="24"/>
                <w:highlight w:val="none"/>
                <w:lang w:val="en-US" w:eastAsia="zh-CN" w:bidi="ar-SA"/>
              </w:rPr>
              <w:t>/h（14848m</w:t>
            </w:r>
            <w:r>
              <w:rPr>
                <w:rFonts w:hint="default" w:ascii="Times New Roman" w:hAnsi="Times New Roman" w:eastAsia="宋体" w:cs="Times New Roman"/>
                <w:color w:val="auto"/>
                <w:sz w:val="24"/>
                <w:szCs w:val="24"/>
                <w:highlight w:val="none"/>
                <w:vertAlign w:val="superscript"/>
                <w:lang w:val="en-US" w:eastAsia="zh-CN" w:bidi="ar-SA"/>
              </w:rPr>
              <w:t>3</w:t>
            </w:r>
            <w:r>
              <w:rPr>
                <w:rFonts w:hint="default" w:ascii="Times New Roman" w:hAnsi="Times New Roman" w:eastAsia="宋体" w:cs="Times New Roman"/>
                <w:color w:val="auto"/>
                <w:sz w:val="24"/>
                <w:szCs w:val="24"/>
                <w:highlight w:val="none"/>
                <w:lang w:val="en-US" w:eastAsia="zh-CN" w:bidi="ar-SA"/>
              </w:rPr>
              <w:t>/d），本项目用水量为2962.01m</w:t>
            </w:r>
            <w:r>
              <w:rPr>
                <w:rFonts w:hint="default" w:ascii="Times New Roman" w:hAnsi="Times New Roman" w:eastAsia="宋体" w:cs="Times New Roman"/>
                <w:color w:val="auto"/>
                <w:sz w:val="24"/>
                <w:szCs w:val="24"/>
                <w:highlight w:val="none"/>
                <w:vertAlign w:val="superscript"/>
                <w:lang w:val="en-US" w:eastAsia="zh-CN" w:bidi="ar-SA"/>
              </w:rPr>
              <w:t>3</w:t>
            </w:r>
            <w:r>
              <w:rPr>
                <w:rFonts w:hint="default" w:ascii="Times New Roman" w:hAnsi="Times New Roman" w:eastAsia="宋体" w:cs="Times New Roman"/>
                <w:color w:val="auto"/>
                <w:sz w:val="24"/>
                <w:szCs w:val="24"/>
                <w:highlight w:val="none"/>
                <w:lang w:val="en-US" w:eastAsia="zh-CN" w:bidi="ar-SA"/>
              </w:rPr>
              <w:t>/d，矿井水完全满足本项目使用。</w:t>
            </w:r>
          </w:p>
          <w:p w14:paraId="24A7CAB8">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根据企业原环评，矿井水处理后部分用于联海化工和乌审旗水系工程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本项目实施后水先满足企业自行使用，多余水用于其他。经矿井水处理站处理后注浆站用水标准应满足《地表水环境质量标准》（GB3838-2002）</w:t>
            </w:r>
            <w:r>
              <w:rPr>
                <w:rFonts w:hint="eastAsia" w:cs="Times New Roman"/>
                <w:color w:val="auto"/>
                <w:highlight w:val="none"/>
                <w:lang w:val="en-US" w:eastAsia="zh-CN"/>
              </w:rPr>
              <w:t>Ⅲ类</w:t>
            </w:r>
            <w:r>
              <w:rPr>
                <w:rFonts w:hint="default" w:ascii="Times New Roman" w:hAnsi="Times New Roman" w:eastAsia="宋体" w:cs="Times New Roman"/>
                <w:color w:val="auto"/>
                <w:highlight w:val="none"/>
                <w:lang w:val="en-US" w:eastAsia="zh-CN"/>
              </w:rPr>
              <w:t>标准。</w:t>
            </w:r>
          </w:p>
          <w:p w14:paraId="05FDAC23">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ascii="Times New Roman" w:hAnsi="Times New Roman" w:eastAsia="宋体" w:cs="Times New Roman"/>
                <w:b/>
                <w:bCs/>
                <w:color w:val="auto"/>
                <w:sz w:val="24"/>
                <w:szCs w:val="24"/>
                <w:lang w:val="en-US" w:eastAsia="zh-CN" w:bidi="ar-SA"/>
              </w:rPr>
            </w:pPr>
            <w:r>
              <w:rPr>
                <w:rFonts w:hint="default" w:ascii="Times New Roman" w:hAnsi="Times New Roman" w:eastAsia="宋体" w:cs="Times New Roman"/>
                <w:b/>
                <w:bCs/>
                <w:color w:val="auto"/>
                <w:sz w:val="24"/>
                <w:szCs w:val="24"/>
                <w:lang w:val="en-US" w:eastAsia="zh-CN" w:bidi="ar-SA"/>
              </w:rPr>
              <w:t>2、排水系统</w:t>
            </w:r>
          </w:p>
          <w:p w14:paraId="58F521ED">
            <w:pPr>
              <w:keepNext w:val="0"/>
              <w:keepLines w:val="0"/>
              <w:pageBreakBefore w:val="0"/>
              <w:widowControl w:val="0"/>
              <w:kinsoku/>
              <w:wordWrap/>
              <w:overflowPunct/>
              <w:topLinePunct w:val="0"/>
              <w:bidi w:val="0"/>
              <w:snapToGrid/>
              <w:spacing w:line="360" w:lineRule="auto"/>
              <w:ind w:left="0" w:leftChars="0" w:right="0" w:firstLine="472"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pacing w:val="-2"/>
                <w:kern w:val="2"/>
                <w:sz w:val="24"/>
                <w:szCs w:val="24"/>
                <w:lang w:val="en-US" w:eastAsia="zh-CN" w:bidi="ar-SA"/>
              </w:rPr>
              <w:t>（1）生活污水水量依托可行性分析</w:t>
            </w:r>
          </w:p>
          <w:p w14:paraId="3CB55D90">
            <w:pPr>
              <w:keepNext w:val="0"/>
              <w:keepLines w:val="0"/>
              <w:pageBreakBefore w:val="0"/>
              <w:widowControl w:val="0"/>
              <w:kinsoku/>
              <w:wordWrap/>
              <w:overflowPunct/>
              <w:topLinePunct w:val="0"/>
              <w:bidi w:val="0"/>
              <w:snapToGrid/>
              <w:spacing w:line="360" w:lineRule="auto"/>
              <w:ind w:left="0" w:leftChars="0" w:right="0" w:firstLine="48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本项目生活污水经现有中水一体化处理设备处理后的污水水质达到《城市污水再生利用城市杂用水水质》（GB/T18920-202</w:t>
            </w:r>
            <w:r>
              <w:rPr>
                <w:rFonts w:hint="default" w:ascii="Times New Roman" w:hAnsi="Times New Roman" w:eastAsia="宋体" w:cs="Times New Roman"/>
                <w:color w:val="auto"/>
                <w:spacing w:val="-1"/>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pacing w:val="-1"/>
                <w:kern w:val="2"/>
                <w:sz w:val="24"/>
                <w:szCs w:val="24"/>
                <w:lang w:val="en-US" w:eastAsia="zh-CN" w:bidi="ar-SA"/>
              </w:rPr>
              <w:t>中绿化标准，用于道路洒水降尘以及植</w:t>
            </w:r>
            <w:r>
              <w:rPr>
                <w:rFonts w:hint="default" w:ascii="Times New Roman" w:hAnsi="Times New Roman" w:eastAsia="宋体" w:cs="Times New Roman"/>
                <w:color w:val="auto"/>
                <w:spacing w:val="-2"/>
                <w:kern w:val="2"/>
                <w:sz w:val="24"/>
                <w:szCs w:val="24"/>
                <w:lang w:val="en-US" w:eastAsia="zh-CN" w:bidi="ar-SA"/>
              </w:rPr>
              <w:t>被绿化等。</w:t>
            </w:r>
          </w:p>
          <w:p w14:paraId="3040A801">
            <w:pPr>
              <w:keepNext w:val="0"/>
              <w:keepLines w:val="0"/>
              <w:pageBreakBefore w:val="0"/>
              <w:widowControl w:val="0"/>
              <w:kinsoku/>
              <w:wordWrap/>
              <w:overflowPunct/>
              <w:topLinePunct w:val="0"/>
              <w:bidi w:val="0"/>
              <w:snapToGrid/>
              <w:spacing w:line="360" w:lineRule="auto"/>
              <w:ind w:left="0" w:leftChars="0" w:right="0" w:firstLine="48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生活污水采用“AO+过滤”，规模1800m³/d，目前处理污水量为1259.0m³/d，本项目新增污水量为</w:t>
            </w:r>
            <w:r>
              <w:rPr>
                <w:rFonts w:hint="default" w:ascii="Times New Roman" w:hAnsi="Times New Roman" w:eastAsia="宋体" w:cs="Times New Roman"/>
                <w:color w:val="auto"/>
                <w:kern w:val="2"/>
                <w:sz w:val="24"/>
                <w:szCs w:val="24"/>
                <w:lang w:val="en-US" w:eastAsia="en-US" w:bidi="ar-SA"/>
              </w:rPr>
              <w:t>2.6</w:t>
            </w:r>
            <w:r>
              <w:rPr>
                <w:rFonts w:hint="default" w:ascii="Times New Roman" w:hAnsi="Times New Roman" w:eastAsia="宋体" w:cs="Times New Roman"/>
                <w:color w:val="auto"/>
                <w:kern w:val="2"/>
                <w:sz w:val="24"/>
                <w:szCs w:val="24"/>
                <w:lang w:val="en-US" w:eastAsia="zh-CN" w:bidi="ar-SA"/>
              </w:rPr>
              <w:t>9</w:t>
            </w:r>
            <w:r>
              <w:rPr>
                <w:rFonts w:hint="default" w:ascii="Times New Roman" w:hAnsi="Times New Roman" w:eastAsia="宋体" w:cs="Times New Roman"/>
                <w:color w:val="auto"/>
                <w:kern w:val="2"/>
                <w:sz w:val="24"/>
                <w:szCs w:val="24"/>
                <w:lang w:val="en-US" w:eastAsia="en-US" w:bidi="ar-SA"/>
              </w:rPr>
              <w:t>m³/d</w:t>
            </w:r>
            <w:r>
              <w:rPr>
                <w:rFonts w:hint="default" w:ascii="Times New Roman" w:hAnsi="Times New Roman" w:eastAsia="宋体" w:cs="Times New Roman"/>
                <w:color w:val="auto"/>
                <w:kern w:val="2"/>
                <w:sz w:val="24"/>
                <w:szCs w:val="24"/>
                <w:lang w:val="en-US" w:eastAsia="zh-CN" w:bidi="ar-SA"/>
              </w:rPr>
              <w:t>，因此，满足本项目的污水处理需求。</w:t>
            </w:r>
          </w:p>
          <w:p w14:paraId="1F2EDDF7">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（2）生活污水水质依托可行性分析</w:t>
            </w:r>
          </w:p>
          <w:p w14:paraId="14B7BBF5">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bidi="ar-SA"/>
              </w:rPr>
              <w:t>根据《内蒙古鄂尔多斯联海煤业有限公司白家海子矿井及选煤厂环境影响报告书》分析，生活污水经处理后能够满足</w:t>
            </w:r>
            <w:r>
              <w:rPr>
                <w:rFonts w:hint="default" w:ascii="Times New Roman" w:hAnsi="Times New Roman" w:eastAsia="宋体" w:cs="Times New Roman"/>
                <w:color w:val="auto"/>
                <w:kern w:val="2"/>
                <w:sz w:val="24"/>
                <w:szCs w:val="24"/>
                <w:lang w:val="en-US" w:eastAsia="zh-CN" w:bidi="ar-SA"/>
              </w:rPr>
              <w:t>《城市污水再生利用城市杂用水水质》（GB/T18920-202</w:t>
            </w:r>
            <w:r>
              <w:rPr>
                <w:rFonts w:hint="default" w:ascii="Times New Roman" w:hAnsi="Times New Roman" w:eastAsia="宋体" w:cs="Times New Roman"/>
                <w:color w:val="auto"/>
                <w:spacing w:val="-1"/>
                <w:kern w:val="2"/>
                <w:sz w:val="24"/>
                <w:szCs w:val="24"/>
                <w:lang w:val="en-US" w:eastAsia="zh-CN" w:bidi="ar-SA"/>
              </w:rPr>
              <w:t>0</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pacing w:val="-1"/>
                <w:kern w:val="2"/>
                <w:sz w:val="24"/>
                <w:szCs w:val="24"/>
                <w:lang w:val="en-US" w:eastAsia="zh-CN" w:bidi="ar-SA"/>
              </w:rPr>
              <w:t>中绿化标准。</w:t>
            </w:r>
          </w:p>
          <w:p w14:paraId="79E46067">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ascii="Times New Roman" w:hAnsi="Times New Roman" w:eastAsia="宋体" w:cs="Times New Roman"/>
                <w:b/>
                <w:bCs/>
                <w:color w:val="auto"/>
                <w:sz w:val="24"/>
                <w:szCs w:val="24"/>
                <w:lang w:val="en-US" w:eastAsia="zh-CN" w:bidi="ar-SA"/>
              </w:rPr>
            </w:pPr>
            <w:r>
              <w:rPr>
                <w:rFonts w:hint="default" w:ascii="Times New Roman" w:hAnsi="Times New Roman" w:eastAsia="宋体" w:cs="Times New Roman"/>
                <w:b/>
                <w:bCs/>
                <w:color w:val="auto"/>
                <w:sz w:val="24"/>
                <w:szCs w:val="24"/>
                <w:lang w:val="en-US" w:eastAsia="zh-CN" w:bidi="ar-SA"/>
              </w:rPr>
              <w:t>3、危废库</w:t>
            </w:r>
          </w:p>
          <w:p w14:paraId="72A907D5">
            <w:pPr>
              <w:keepNext w:val="0"/>
              <w:keepLines w:val="0"/>
              <w:pageBreakBefore w:val="0"/>
              <w:widowControl w:val="0"/>
              <w:kinsoku/>
              <w:wordWrap/>
              <w:overflowPunct/>
              <w:topLinePunct w:val="0"/>
              <w:bidi w:val="0"/>
              <w:snapToGrid/>
              <w:spacing w:line="360" w:lineRule="auto"/>
              <w:ind w:left="0" w:leftChars="0" w:right="0" w:firstLine="48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煤矿已建一座701.25m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危废暂存库，本项目危废（废矿物油及废油桶）产生量约0.3t/a，煤矿危废库可满足要求，因此本项目危废依托煤矿危废库可行。</w:t>
            </w:r>
          </w:p>
          <w:p w14:paraId="5E67FA35">
            <w:pPr>
              <w:keepNext w:val="0"/>
              <w:keepLines w:val="0"/>
              <w:pageBreakBefore w:val="0"/>
              <w:widowControl w:val="0"/>
              <w:kinsoku/>
              <w:wordWrap/>
              <w:overflowPunct/>
              <w:topLinePunct w:val="0"/>
              <w:autoSpaceDE w:val="0"/>
              <w:autoSpaceDN w:val="0"/>
              <w:bidi w:val="0"/>
              <w:adjustRightInd w:val="0"/>
              <w:snapToGrid/>
              <w:spacing w:line="360" w:lineRule="auto"/>
              <w:textAlignment w:val="auto"/>
              <w:rPr>
                <w:rFonts w:hint="default" w:ascii="Times New Roman" w:hAnsi="Times New Roman" w:eastAsia="宋体" w:cs="Times New Roman"/>
                <w:b/>
                <w:bCs/>
                <w:color w:val="auto"/>
                <w:sz w:val="24"/>
                <w:szCs w:val="24"/>
                <w:lang w:val="en-US" w:eastAsia="zh-CN" w:bidi="ar-SA"/>
              </w:rPr>
            </w:pPr>
            <w:r>
              <w:rPr>
                <w:rFonts w:hint="default" w:ascii="Times New Roman" w:hAnsi="Times New Roman" w:eastAsia="宋体" w:cs="Times New Roman"/>
                <w:b/>
                <w:bCs/>
                <w:color w:val="auto"/>
                <w:sz w:val="24"/>
                <w:szCs w:val="24"/>
                <w:lang w:val="en-US" w:eastAsia="zh-CN" w:bidi="ar-SA"/>
              </w:rPr>
              <w:t>4、矸石仓</w:t>
            </w:r>
          </w:p>
          <w:p w14:paraId="51691BA8">
            <w:pPr>
              <w:keepNext w:val="0"/>
              <w:keepLines w:val="0"/>
              <w:pageBreakBefore w:val="0"/>
              <w:widowControl w:val="0"/>
              <w:kinsoku/>
              <w:wordWrap/>
              <w:overflowPunct/>
              <w:topLinePunct w:val="0"/>
              <w:bidi w:val="0"/>
              <w:snapToGrid/>
              <w:spacing w:line="360" w:lineRule="auto"/>
              <w:ind w:left="0" w:leftChars="0" w:right="0" w:firstLine="48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煤矿已建1座φ18m，高30m的矸石仓，单仓储存能力为5000t，本项目矸石使用量产生量约2727.27t/d，1座矸石仓可满足约1.83d的暂存量，因此本项目依托煤矿已建1座矸石仓可行。</w:t>
            </w:r>
          </w:p>
          <w:p w14:paraId="20CDC7DD">
            <w:pPr>
              <w:keepNext w:val="0"/>
              <w:keepLines w:val="0"/>
              <w:pageBreakBefore w:val="0"/>
              <w:widowControl w:val="0"/>
              <w:kinsoku/>
              <w:wordWrap/>
              <w:overflowPunct/>
              <w:topLinePunct w:val="0"/>
              <w:bidi w:val="0"/>
              <w:snapToGrid/>
              <w:spacing w:line="360" w:lineRule="auto"/>
              <w:ind w:left="0" w:leftChars="0" w:right="0" w:firstLine="480"/>
              <w:jc w:val="both"/>
              <w:textAlignment w:val="auto"/>
              <w:rPr>
                <w:rFonts w:hint="default" w:ascii="Times New Roman" w:hAnsi="Times New Roman" w:eastAsia="宋体" w:cs="Times New Roman"/>
                <w:b/>
                <w:bCs/>
                <w:color w:val="auto"/>
                <w:kern w:val="2"/>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rPr>
              <w:t>九、项目占地</w:t>
            </w:r>
          </w:p>
          <w:p w14:paraId="01F534DC">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bCs/>
                <w:color w:val="auto"/>
                <w:kern w:val="2"/>
                <w:sz w:val="24"/>
                <w:szCs w:val="24"/>
                <w:highlight w:val="none"/>
                <w:lang w:val="en-US" w:eastAsia="zh-CN"/>
              </w:rPr>
            </w:pPr>
            <w:r>
              <w:rPr>
                <w:rFonts w:hint="default" w:ascii="Times New Roman" w:hAnsi="Times New Roman" w:eastAsia="宋体" w:cs="Times New Roman"/>
                <w:bCs/>
                <w:color w:val="auto"/>
                <w:sz w:val="24"/>
                <w:szCs w:val="24"/>
                <w:highlight w:val="none"/>
                <w:shd w:val="clear" w:color="auto" w:fill="auto"/>
                <w:lang w:val="en-US" w:eastAsia="zh-CN" w:bidi="ar-SA"/>
              </w:rPr>
              <w:t>项目</w:t>
            </w:r>
            <w:r>
              <w:rPr>
                <w:rFonts w:hint="eastAsia" w:cs="Times New Roman"/>
                <w:bCs/>
                <w:color w:val="auto"/>
                <w:sz w:val="24"/>
                <w:szCs w:val="24"/>
                <w:highlight w:val="none"/>
                <w:shd w:val="clear" w:color="auto" w:fill="auto"/>
                <w:lang w:val="en-US" w:eastAsia="zh-CN" w:bidi="ar-SA"/>
              </w:rPr>
              <w:t>建设</w:t>
            </w:r>
            <w:r>
              <w:rPr>
                <w:rFonts w:hint="default" w:ascii="Times New Roman" w:hAnsi="Times New Roman" w:eastAsia="宋体" w:cs="Times New Roman"/>
                <w:bCs/>
                <w:color w:val="auto"/>
                <w:sz w:val="24"/>
                <w:szCs w:val="24"/>
                <w:highlight w:val="none"/>
                <w:shd w:val="clear" w:color="auto" w:fill="auto"/>
                <w:lang w:val="en-US" w:eastAsia="zh-CN" w:bidi="ar-SA"/>
              </w:rPr>
              <w:t>总占地面积为13166.33m</w:t>
            </w:r>
            <w:r>
              <w:rPr>
                <w:rFonts w:hint="default" w:ascii="Times New Roman" w:hAnsi="Times New Roman" w:eastAsia="宋体" w:cs="Times New Roman"/>
                <w:bCs/>
                <w:color w:val="auto"/>
                <w:sz w:val="24"/>
                <w:szCs w:val="24"/>
                <w:highlight w:val="none"/>
                <w:shd w:val="clear" w:color="auto" w:fill="auto"/>
                <w:vertAlign w:val="superscript"/>
                <w:lang w:val="en-US" w:eastAsia="zh-CN" w:bidi="ar-SA"/>
              </w:rPr>
              <w:t>2</w:t>
            </w:r>
            <w:r>
              <w:rPr>
                <w:rFonts w:hint="default" w:ascii="Times New Roman" w:hAnsi="Times New Roman" w:eastAsia="宋体" w:cs="Times New Roman"/>
                <w:bCs/>
                <w:color w:val="auto"/>
                <w:kern w:val="2"/>
                <w:sz w:val="24"/>
                <w:szCs w:val="24"/>
                <w:highlight w:val="none"/>
                <w:lang w:val="en-US" w:eastAsia="zh-CN"/>
              </w:rPr>
              <w:t>，永久占地面积870.33</w:t>
            </w:r>
            <w:r>
              <w:rPr>
                <w:rFonts w:hint="default" w:ascii="Times New Roman" w:hAnsi="Times New Roman" w:eastAsia="宋体" w:cs="Times New Roman"/>
                <w:bCs/>
                <w:color w:val="auto"/>
                <w:sz w:val="24"/>
                <w:szCs w:val="24"/>
                <w:highlight w:val="none"/>
                <w:shd w:val="clear" w:color="auto" w:fill="auto"/>
                <w:lang w:val="en-US" w:eastAsia="zh-CN" w:bidi="ar-SA"/>
              </w:rPr>
              <w:t>m</w:t>
            </w:r>
            <w:r>
              <w:rPr>
                <w:rFonts w:hint="default" w:ascii="Times New Roman" w:hAnsi="Times New Roman" w:eastAsia="宋体" w:cs="Times New Roman"/>
                <w:bCs/>
                <w:color w:val="auto"/>
                <w:sz w:val="24"/>
                <w:szCs w:val="24"/>
                <w:highlight w:val="none"/>
                <w:shd w:val="clear" w:color="auto" w:fill="auto"/>
                <w:vertAlign w:val="superscript"/>
                <w:lang w:val="en-US" w:eastAsia="zh-CN" w:bidi="ar-SA"/>
              </w:rPr>
              <w:t>2</w:t>
            </w:r>
            <w:r>
              <w:rPr>
                <w:rFonts w:hint="default" w:ascii="Times New Roman" w:hAnsi="Times New Roman" w:eastAsia="宋体" w:cs="Times New Roman"/>
                <w:bCs/>
                <w:color w:val="auto"/>
                <w:sz w:val="24"/>
                <w:szCs w:val="24"/>
                <w:highlight w:val="none"/>
                <w:shd w:val="clear" w:color="auto" w:fill="auto"/>
                <w:lang w:val="en-US" w:eastAsia="zh-CN" w:bidi="ar-SA"/>
              </w:rPr>
              <w:t>（</w:t>
            </w:r>
            <w:r>
              <w:rPr>
                <w:rFonts w:hint="default" w:ascii="Times New Roman" w:hAnsi="Times New Roman" w:eastAsia="宋体" w:cs="Times New Roman"/>
                <w:bCs/>
                <w:color w:val="auto"/>
                <w:kern w:val="2"/>
                <w:sz w:val="24"/>
                <w:szCs w:val="24"/>
                <w:highlight w:val="none"/>
                <w:lang w:val="en-US" w:eastAsia="zh-CN"/>
              </w:rPr>
              <w:t>注浆站占地面积776.76m</w:t>
            </w:r>
            <w:r>
              <w:rPr>
                <w:rFonts w:hint="default" w:ascii="Times New Roman" w:hAnsi="Times New Roman" w:eastAsia="宋体" w:cs="Times New Roman"/>
                <w:bCs/>
                <w:color w:val="auto"/>
                <w:kern w:val="2"/>
                <w:sz w:val="24"/>
                <w:szCs w:val="24"/>
                <w:highlight w:val="none"/>
                <w:vertAlign w:val="superscript"/>
                <w:lang w:val="en-US" w:eastAsia="zh-CN"/>
              </w:rPr>
              <w:t>2</w:t>
            </w:r>
            <w:r>
              <w:rPr>
                <w:rFonts w:hint="eastAsia" w:cs="Times New Roman"/>
                <w:bCs/>
                <w:color w:val="auto"/>
                <w:kern w:val="2"/>
                <w:sz w:val="24"/>
                <w:szCs w:val="24"/>
                <w:highlight w:val="none"/>
                <w:vertAlign w:val="baseline"/>
                <w:lang w:val="en-US" w:eastAsia="zh-CN"/>
              </w:rPr>
              <w:t>）</w:t>
            </w:r>
            <w:r>
              <w:rPr>
                <w:rFonts w:hint="default" w:ascii="Times New Roman" w:hAnsi="Times New Roman" w:eastAsia="宋体" w:cs="Times New Roman"/>
                <w:bCs/>
                <w:color w:val="auto"/>
                <w:kern w:val="2"/>
                <w:sz w:val="24"/>
                <w:szCs w:val="24"/>
                <w:highlight w:val="none"/>
                <w:lang w:val="en-US" w:eastAsia="zh-CN"/>
              </w:rPr>
              <w:t>、</w:t>
            </w:r>
            <w:r>
              <w:rPr>
                <w:rFonts w:hint="eastAsia" w:cs="Times New Roman"/>
                <w:color w:val="auto"/>
                <w:kern w:val="2"/>
                <w:sz w:val="24"/>
                <w:szCs w:val="24"/>
                <w:highlight w:val="none"/>
                <w:vertAlign w:val="baseline"/>
                <w:lang w:val="en-US" w:eastAsia="zh-CN"/>
              </w:rPr>
              <w:t>地埋注浆管线（工业场地内）</w:t>
            </w:r>
            <w:r>
              <w:rPr>
                <w:rFonts w:hint="default" w:ascii="Times New Roman" w:hAnsi="Times New Roman" w:eastAsia="宋体" w:cs="Times New Roman"/>
                <w:bCs/>
                <w:color w:val="auto"/>
                <w:kern w:val="2"/>
                <w:sz w:val="24"/>
                <w:szCs w:val="24"/>
                <w:highlight w:val="none"/>
                <w:lang w:val="en-US" w:eastAsia="zh-CN"/>
              </w:rPr>
              <w:t>占地面积93.57m</w:t>
            </w:r>
            <w:r>
              <w:rPr>
                <w:rFonts w:hint="eastAsia" w:cs="Times New Roman"/>
                <w:bCs/>
                <w:color w:val="auto"/>
                <w:kern w:val="2"/>
                <w:sz w:val="24"/>
                <w:szCs w:val="24"/>
                <w:highlight w:val="none"/>
                <w:vertAlign w:val="superscript"/>
                <w:lang w:val="en-US" w:eastAsia="zh-CN"/>
              </w:rPr>
              <w:t>2</w:t>
            </w:r>
            <w:r>
              <w:rPr>
                <w:rFonts w:hint="default" w:ascii="Times New Roman" w:hAnsi="Times New Roman" w:eastAsia="宋体" w:cs="Times New Roman"/>
                <w:bCs/>
                <w:color w:val="auto"/>
                <w:kern w:val="2"/>
                <w:sz w:val="24"/>
                <w:szCs w:val="24"/>
                <w:highlight w:val="none"/>
                <w:lang w:val="en-US" w:eastAsia="zh-CN"/>
              </w:rPr>
              <w:t>，已纳入工业场地范围内，不涉及新增</w:t>
            </w:r>
            <w:r>
              <w:rPr>
                <w:rFonts w:hint="eastAsia" w:cs="Times New Roman"/>
                <w:bCs/>
                <w:color w:val="auto"/>
                <w:kern w:val="2"/>
                <w:sz w:val="24"/>
                <w:szCs w:val="24"/>
                <w:highlight w:val="none"/>
                <w:lang w:val="en-US" w:eastAsia="zh-CN"/>
              </w:rPr>
              <w:t>；施工期临时占地主要为施工便道临时占地，占地面积约为5200</w:t>
            </w:r>
            <w:r>
              <w:rPr>
                <w:rFonts w:hint="default" w:ascii="Times New Roman" w:hAnsi="Times New Roman" w:eastAsia="宋体" w:cs="Times New Roman"/>
                <w:bCs/>
                <w:color w:val="auto"/>
                <w:sz w:val="24"/>
                <w:szCs w:val="24"/>
                <w:highlight w:val="none"/>
                <w:shd w:val="clear" w:color="auto" w:fill="auto"/>
                <w:lang w:val="en-US" w:eastAsia="zh-CN" w:bidi="ar-SA"/>
              </w:rPr>
              <w:t>m</w:t>
            </w:r>
            <w:r>
              <w:rPr>
                <w:rFonts w:hint="default" w:ascii="Times New Roman" w:hAnsi="Times New Roman" w:eastAsia="宋体" w:cs="Times New Roman"/>
                <w:bCs/>
                <w:color w:val="auto"/>
                <w:sz w:val="24"/>
                <w:szCs w:val="24"/>
                <w:highlight w:val="none"/>
                <w:shd w:val="clear" w:color="auto" w:fill="auto"/>
                <w:vertAlign w:val="superscript"/>
                <w:lang w:val="en-US" w:eastAsia="zh-CN" w:bidi="ar-SA"/>
              </w:rPr>
              <w:t>2</w:t>
            </w:r>
            <w:r>
              <w:rPr>
                <w:rFonts w:hint="eastAsia" w:cs="Times New Roman"/>
                <w:bCs/>
                <w:color w:val="auto"/>
                <w:sz w:val="24"/>
                <w:szCs w:val="24"/>
                <w:highlight w:val="none"/>
                <w:shd w:val="clear" w:color="auto" w:fill="auto"/>
                <w:vertAlign w:val="baseline"/>
                <w:lang w:val="en-US" w:eastAsia="zh-CN" w:bidi="ar-SA"/>
              </w:rPr>
              <w:t>；运营期</w:t>
            </w:r>
            <w:r>
              <w:rPr>
                <w:rFonts w:hint="default" w:ascii="Times New Roman" w:hAnsi="Times New Roman" w:eastAsia="宋体" w:cs="Times New Roman"/>
                <w:bCs/>
                <w:color w:val="auto"/>
                <w:kern w:val="2"/>
                <w:sz w:val="24"/>
                <w:szCs w:val="24"/>
                <w:highlight w:val="none"/>
                <w:lang w:val="en-US" w:eastAsia="zh-CN"/>
              </w:rPr>
              <w:t>临时占地面积</w:t>
            </w:r>
            <w:r>
              <w:rPr>
                <w:rFonts w:hint="eastAsia" w:cs="Times New Roman"/>
                <w:bCs/>
                <w:color w:val="auto"/>
                <w:kern w:val="2"/>
                <w:sz w:val="24"/>
                <w:szCs w:val="24"/>
                <w:highlight w:val="none"/>
                <w:lang w:val="en-US" w:eastAsia="zh-CN"/>
              </w:rPr>
              <w:t>7096</w:t>
            </w:r>
            <w:r>
              <w:rPr>
                <w:rFonts w:hint="default" w:ascii="Times New Roman" w:hAnsi="Times New Roman" w:eastAsia="宋体" w:cs="Times New Roman"/>
                <w:bCs/>
                <w:color w:val="auto"/>
                <w:sz w:val="24"/>
                <w:szCs w:val="24"/>
                <w:highlight w:val="none"/>
                <w:shd w:val="clear" w:color="auto" w:fill="auto"/>
                <w:lang w:val="en-US" w:eastAsia="zh-CN" w:bidi="ar-SA"/>
              </w:rPr>
              <w:t>m</w:t>
            </w:r>
            <w:r>
              <w:rPr>
                <w:rFonts w:hint="default" w:ascii="Times New Roman" w:hAnsi="Times New Roman" w:eastAsia="宋体" w:cs="Times New Roman"/>
                <w:bCs/>
                <w:color w:val="auto"/>
                <w:sz w:val="24"/>
                <w:szCs w:val="24"/>
                <w:highlight w:val="none"/>
                <w:shd w:val="clear" w:color="auto" w:fill="auto"/>
                <w:vertAlign w:val="superscript"/>
                <w:lang w:val="en-US" w:eastAsia="zh-CN" w:bidi="ar-SA"/>
              </w:rPr>
              <w:t>2</w:t>
            </w:r>
            <w:r>
              <w:rPr>
                <w:rFonts w:hint="default" w:ascii="Times New Roman" w:hAnsi="Times New Roman" w:eastAsia="宋体" w:cs="Times New Roman"/>
                <w:bCs/>
                <w:color w:val="auto"/>
                <w:sz w:val="24"/>
                <w:szCs w:val="24"/>
                <w:highlight w:val="none"/>
                <w:shd w:val="clear" w:color="auto" w:fill="auto"/>
                <w:lang w:val="en-US" w:eastAsia="zh-CN" w:bidi="ar-SA"/>
              </w:rPr>
              <w:t>（</w:t>
            </w:r>
            <w:r>
              <w:rPr>
                <w:rFonts w:hint="default" w:ascii="Times New Roman" w:hAnsi="Times New Roman" w:eastAsia="宋体" w:cs="Times New Roman"/>
                <w:bCs/>
                <w:color w:val="auto"/>
                <w:kern w:val="2"/>
                <w:sz w:val="24"/>
                <w:szCs w:val="24"/>
                <w:highlight w:val="none"/>
                <w:lang w:val="en-US" w:eastAsia="zh-CN"/>
              </w:rPr>
              <w:t>管线支架占地面积</w:t>
            </w:r>
            <w:r>
              <w:rPr>
                <w:rFonts w:hint="eastAsia" w:cs="Times New Roman"/>
                <w:bCs/>
                <w:color w:val="auto"/>
                <w:kern w:val="2"/>
                <w:sz w:val="24"/>
                <w:szCs w:val="24"/>
                <w:highlight w:val="none"/>
                <w:lang w:val="en-US" w:eastAsia="zh-CN"/>
              </w:rPr>
              <w:t>96</w:t>
            </w:r>
            <w:r>
              <w:rPr>
                <w:rFonts w:hint="default" w:ascii="Times New Roman" w:hAnsi="Times New Roman" w:eastAsia="宋体" w:cs="Times New Roman"/>
                <w:bCs/>
                <w:color w:val="auto"/>
                <w:kern w:val="2"/>
                <w:sz w:val="24"/>
                <w:szCs w:val="24"/>
                <w:highlight w:val="none"/>
                <w:lang w:val="en-US" w:eastAsia="zh-CN"/>
              </w:rPr>
              <w:t>m</w:t>
            </w:r>
            <w:r>
              <w:rPr>
                <w:rFonts w:hint="default" w:ascii="Times New Roman" w:hAnsi="Times New Roman" w:eastAsia="宋体" w:cs="Times New Roman"/>
                <w:bCs/>
                <w:color w:val="auto"/>
                <w:kern w:val="2"/>
                <w:sz w:val="24"/>
                <w:szCs w:val="24"/>
                <w:highlight w:val="none"/>
                <w:vertAlign w:val="superscript"/>
                <w:lang w:val="en-US" w:eastAsia="zh-CN"/>
              </w:rPr>
              <w:t>2</w:t>
            </w:r>
            <w:r>
              <w:rPr>
                <w:rFonts w:hint="default" w:ascii="Times New Roman" w:hAnsi="Times New Roman" w:eastAsia="宋体" w:cs="Times New Roman"/>
                <w:bCs/>
                <w:color w:val="auto"/>
                <w:kern w:val="2"/>
                <w:sz w:val="24"/>
                <w:szCs w:val="24"/>
                <w:highlight w:val="none"/>
                <w:lang w:val="en-US" w:eastAsia="zh-CN"/>
              </w:rPr>
              <w:t>、钻孔占地面积</w:t>
            </w:r>
            <w:r>
              <w:rPr>
                <w:rFonts w:hint="eastAsia" w:cs="Times New Roman"/>
                <w:bCs/>
                <w:color w:val="auto"/>
                <w:kern w:val="2"/>
                <w:sz w:val="24"/>
                <w:szCs w:val="24"/>
                <w:highlight w:val="none"/>
                <w:lang w:val="en-US" w:eastAsia="zh-CN"/>
              </w:rPr>
              <w:t>7000</w:t>
            </w:r>
            <w:r>
              <w:rPr>
                <w:rFonts w:hint="default" w:ascii="Times New Roman" w:hAnsi="Times New Roman" w:eastAsia="宋体" w:cs="Times New Roman"/>
                <w:bCs/>
                <w:color w:val="auto"/>
                <w:kern w:val="2"/>
                <w:sz w:val="24"/>
                <w:szCs w:val="24"/>
                <w:highlight w:val="none"/>
                <w:lang w:val="en-US" w:eastAsia="zh-CN"/>
              </w:rPr>
              <w:t>m</w:t>
            </w:r>
            <w:r>
              <w:rPr>
                <w:rFonts w:hint="default" w:ascii="Times New Roman" w:hAnsi="Times New Roman" w:eastAsia="宋体" w:cs="Times New Roman"/>
                <w:bCs/>
                <w:color w:val="auto"/>
                <w:kern w:val="2"/>
                <w:sz w:val="24"/>
                <w:szCs w:val="24"/>
                <w:highlight w:val="none"/>
                <w:vertAlign w:val="superscript"/>
                <w:lang w:val="en-US" w:eastAsia="zh-CN"/>
              </w:rPr>
              <w:t>2</w:t>
            </w:r>
            <w:r>
              <w:rPr>
                <w:rFonts w:hint="default" w:ascii="Times New Roman" w:hAnsi="Times New Roman" w:eastAsia="宋体" w:cs="Times New Roman"/>
                <w:bCs/>
                <w:color w:val="auto"/>
                <w:kern w:val="2"/>
                <w:sz w:val="24"/>
                <w:szCs w:val="24"/>
                <w:highlight w:val="none"/>
                <w:lang w:val="en-US" w:eastAsia="zh-CN"/>
              </w:rPr>
              <w:t>）。</w:t>
            </w:r>
          </w:p>
          <w:p w14:paraId="685A8366">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shd w:val="clear" w:color="auto" w:fill="auto"/>
                <w:lang w:val="en-US" w:eastAsia="zh-CN" w:bidi="ar-SA"/>
              </w:rPr>
            </w:pPr>
            <w:r>
              <w:rPr>
                <w:rFonts w:hint="default" w:ascii="Times New Roman" w:hAnsi="Times New Roman" w:eastAsia="宋体" w:cs="Times New Roman"/>
                <w:bCs/>
                <w:color w:val="auto"/>
                <w:sz w:val="24"/>
                <w:szCs w:val="24"/>
                <w:highlight w:val="none"/>
                <w:shd w:val="clear" w:color="auto" w:fill="auto"/>
                <w:lang w:val="en-US" w:eastAsia="zh-CN" w:bidi="ar-SA"/>
              </w:rPr>
              <w:t>其中注浆站全部在工业场地围墙内，注浆管线整体均在矿界范围内，总长度4961m，其中注浆管线沿制浆车间西侧道路埋地敷设长度为731m（该部分均在工业场地范围内），向北出工业场地后，向东北4.23km架空敷设直接到2201工作面注浆孔（该部分均在矿界范围内）。工业场地范围内管线占地已算入煤矿工业场地内，厂区外管线采取架空敷设，不涉及占地，</w:t>
            </w:r>
            <w:r>
              <w:rPr>
                <w:rFonts w:hint="eastAsia" w:ascii="Times New Roman" w:hAnsi="Times New Roman" w:eastAsia="宋体" w:cs="Times New Roman"/>
                <w:color w:val="auto"/>
                <w:sz w:val="24"/>
              </w:rPr>
              <w:t>架空管线采用</w:t>
            </w:r>
            <w:r>
              <w:rPr>
                <w:rFonts w:hint="eastAsia" w:ascii="Times New Roman" w:hAnsi="Times New Roman" w:eastAsia="宋体" w:cs="Times New Roman"/>
                <w:color w:val="auto"/>
                <w:sz w:val="24"/>
                <w:lang w:val="en-US" w:eastAsia="zh-CN"/>
              </w:rPr>
              <w:t>6</w:t>
            </w:r>
            <w:r>
              <w:rPr>
                <w:rFonts w:hint="eastAsia" w:ascii="Times New Roman" w:hAnsi="Times New Roman" w:eastAsia="宋体" w:cs="Times New Roman"/>
                <w:color w:val="auto"/>
                <w:sz w:val="24"/>
              </w:rPr>
              <w:t>个钢支架，单支架占地面积1.0m×1.0m</w:t>
            </w:r>
            <w:r>
              <w:rPr>
                <w:rFonts w:hint="eastAsia" w:cs="Times New Roman"/>
                <w:color w:val="auto"/>
                <w:sz w:val="24"/>
                <w:lang w:eastAsia="zh-CN"/>
              </w:rPr>
              <w:t>，基坑开挖尺寸4.0m×4.0m，</w:t>
            </w:r>
            <w:r>
              <w:rPr>
                <w:rFonts w:hint="default" w:ascii="Times New Roman" w:hAnsi="Times New Roman" w:eastAsia="宋体" w:cs="Times New Roman"/>
                <w:color w:val="auto"/>
                <w:sz w:val="24"/>
                <w:lang w:val="en-US" w:eastAsia="zh-CN"/>
              </w:rPr>
              <w:t>总计</w:t>
            </w:r>
            <w:r>
              <w:rPr>
                <w:rFonts w:hint="eastAsia" w:cs="Times New Roman"/>
                <w:color w:val="auto"/>
                <w:sz w:val="24"/>
                <w:lang w:val="en-US" w:eastAsia="zh-CN"/>
              </w:rPr>
              <w:t>96</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vertAlign w:val="superscript"/>
                <w:lang w:val="en-US" w:eastAsia="zh-CN"/>
              </w:rPr>
              <w:t>2</w:t>
            </w:r>
            <w:r>
              <w:rPr>
                <w:rFonts w:hint="eastAsia" w:cs="Times New Roman"/>
                <w:color w:val="auto"/>
                <w:sz w:val="24"/>
                <w:lang w:eastAsia="zh-CN"/>
              </w:rPr>
              <w:t>；</w:t>
            </w:r>
            <w:r>
              <w:rPr>
                <w:rFonts w:hint="default" w:ascii="Times New Roman" w:hAnsi="Times New Roman" w:eastAsia="宋体" w:cs="Times New Roman"/>
                <w:color w:val="auto"/>
                <w:sz w:val="24"/>
              </w:rPr>
              <w:t>初步计划2201工作面共设计70个钻孔（实际根据现场注浆效果调整），单个钻孔占地面积约0.076m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lang w:eastAsia="zh-CN"/>
              </w:rPr>
              <w:t>，</w:t>
            </w:r>
            <w:r>
              <w:rPr>
                <w:rFonts w:hint="eastAsia" w:cs="Times New Roman"/>
                <w:color w:val="auto"/>
                <w:sz w:val="24"/>
                <w:lang w:val="en-US" w:eastAsia="zh-CN"/>
              </w:rPr>
              <w:t>单个钻孔临时施工面积10m</w:t>
            </w:r>
            <w:r>
              <w:rPr>
                <w:rFonts w:hint="default" w:ascii="Arial" w:hAnsi="Arial" w:cs="Arial"/>
                <w:color w:val="auto"/>
                <w:sz w:val="24"/>
                <w:lang w:val="en-US" w:eastAsia="zh-CN"/>
              </w:rPr>
              <w:t>×</w:t>
            </w:r>
            <w:r>
              <w:rPr>
                <w:rFonts w:hint="eastAsia" w:cs="Times New Roman"/>
                <w:color w:val="auto"/>
                <w:sz w:val="24"/>
                <w:lang w:val="en-US" w:eastAsia="zh-CN"/>
              </w:rPr>
              <w:t>10m，总计7000</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vertAlign w:val="superscript"/>
                <w:lang w:val="en-US" w:eastAsia="zh-CN"/>
              </w:rPr>
              <w:t>2</w:t>
            </w:r>
            <w:r>
              <w:rPr>
                <w:rFonts w:hint="eastAsia" w:cs="Times New Roman"/>
                <w:bCs/>
                <w:color w:val="auto"/>
                <w:sz w:val="24"/>
                <w:szCs w:val="24"/>
                <w:highlight w:val="none"/>
                <w:shd w:val="clear" w:color="auto" w:fill="auto"/>
                <w:lang w:val="en-US" w:eastAsia="zh-CN" w:bidi="ar-SA"/>
              </w:rPr>
              <w:t>；施工便道长度为1040m，宽度为5m，占地面积为5200</w:t>
            </w:r>
            <w:r>
              <w:rPr>
                <w:rFonts w:hint="default" w:ascii="Times New Roman" w:hAnsi="Times New Roman" w:eastAsia="宋体" w:cs="Times New Roman"/>
                <w:color w:val="auto"/>
                <w:sz w:val="24"/>
                <w:lang w:val="en-US" w:eastAsia="zh-CN"/>
              </w:rPr>
              <w:t>m</w:t>
            </w:r>
            <w:r>
              <w:rPr>
                <w:rFonts w:hint="default" w:ascii="Times New Roman" w:hAnsi="Times New Roman" w:eastAsia="宋体" w:cs="Times New Roman"/>
                <w:color w:val="auto"/>
                <w:sz w:val="24"/>
                <w:vertAlign w:val="superscript"/>
                <w:lang w:val="en-US" w:eastAsia="zh-CN"/>
              </w:rPr>
              <w:t>2</w:t>
            </w:r>
            <w:r>
              <w:rPr>
                <w:rFonts w:hint="eastAsia" w:cs="Times New Roman"/>
                <w:color w:val="auto"/>
                <w:sz w:val="24"/>
                <w:vertAlign w:val="baseline"/>
                <w:lang w:val="en-US" w:eastAsia="zh-CN"/>
              </w:rPr>
              <w:t>。</w:t>
            </w:r>
          </w:p>
          <w:p w14:paraId="2A46DE9C">
            <w:pPr>
              <w:widowControl w:val="0"/>
              <w:adjustRightInd w:val="0"/>
              <w:snapToGrid w:val="0"/>
              <w:spacing w:line="240" w:lineRule="auto"/>
              <w:ind w:firstLine="964" w:firstLineChars="400"/>
              <w:jc w:val="center"/>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表2-9    建设用地一览表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1633"/>
              <w:gridCol w:w="531"/>
              <w:gridCol w:w="1321"/>
              <w:gridCol w:w="1891"/>
              <w:gridCol w:w="1891"/>
            </w:tblGrid>
            <w:tr w14:paraId="6E5E9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1" w:type="pct"/>
                  <w:noWrap w:val="0"/>
                  <w:vAlign w:val="center"/>
                </w:tcPr>
                <w:p w14:paraId="02854709">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序号</w:t>
                  </w:r>
                </w:p>
              </w:tc>
              <w:tc>
                <w:tcPr>
                  <w:tcW w:w="1039" w:type="pct"/>
                  <w:noWrap w:val="0"/>
                  <w:vAlign w:val="center"/>
                </w:tcPr>
                <w:p w14:paraId="3D86CA8E">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建设用地项目</w:t>
                  </w:r>
                </w:p>
              </w:tc>
              <w:tc>
                <w:tcPr>
                  <w:tcW w:w="338" w:type="pct"/>
                  <w:noWrap w:val="0"/>
                  <w:vAlign w:val="center"/>
                </w:tcPr>
                <w:p w14:paraId="3A4C89C4">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单位</w:t>
                  </w:r>
                </w:p>
              </w:tc>
              <w:tc>
                <w:tcPr>
                  <w:tcW w:w="841" w:type="pct"/>
                  <w:noWrap w:val="0"/>
                  <w:vAlign w:val="center"/>
                </w:tcPr>
                <w:p w14:paraId="3476E0E9">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用地数量</w:t>
                  </w:r>
                </w:p>
              </w:tc>
              <w:tc>
                <w:tcPr>
                  <w:tcW w:w="1204" w:type="pct"/>
                  <w:noWrap w:val="0"/>
                  <w:vAlign w:val="center"/>
                </w:tcPr>
                <w:p w14:paraId="44B7D177">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占地类型</w:t>
                  </w:r>
                </w:p>
              </w:tc>
              <w:tc>
                <w:tcPr>
                  <w:tcW w:w="1204" w:type="pct"/>
                  <w:noWrap w:val="0"/>
                  <w:vAlign w:val="center"/>
                </w:tcPr>
                <w:p w14:paraId="2041890B">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备注</w:t>
                  </w:r>
                </w:p>
              </w:tc>
            </w:tr>
            <w:tr w14:paraId="0CC65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1" w:type="pct"/>
                  <w:noWrap w:val="0"/>
                  <w:vAlign w:val="center"/>
                </w:tcPr>
                <w:p w14:paraId="7AAD30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w:t>
                  </w:r>
                </w:p>
              </w:tc>
              <w:tc>
                <w:tcPr>
                  <w:tcW w:w="1039" w:type="pct"/>
                  <w:noWrap w:val="0"/>
                  <w:vAlign w:val="center"/>
                </w:tcPr>
                <w:p w14:paraId="30700F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注浆站用地（工业场地内）</w:t>
                  </w:r>
                </w:p>
              </w:tc>
              <w:tc>
                <w:tcPr>
                  <w:tcW w:w="338" w:type="pct"/>
                  <w:noWrap w:val="0"/>
                  <w:vAlign w:val="center"/>
                </w:tcPr>
                <w:p w14:paraId="76E86002">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841" w:type="pct"/>
                  <w:noWrap w:val="0"/>
                  <w:vAlign w:val="center"/>
                </w:tcPr>
                <w:p w14:paraId="7F6188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776.76</w:t>
                  </w:r>
                </w:p>
              </w:tc>
              <w:tc>
                <w:tcPr>
                  <w:tcW w:w="1204" w:type="pct"/>
                  <w:shd w:val="clear" w:color="auto" w:fill="auto"/>
                  <w:noWrap w:val="0"/>
                  <w:vAlign w:val="center"/>
                </w:tcPr>
                <w:p w14:paraId="73EB1037">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工业用地</w:t>
                  </w:r>
                </w:p>
              </w:tc>
              <w:tc>
                <w:tcPr>
                  <w:tcW w:w="1204" w:type="pct"/>
                  <w:noWrap w:val="0"/>
                  <w:vAlign w:val="center"/>
                </w:tcPr>
                <w:p w14:paraId="380D2163">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永久占地</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bCs/>
                      <w:color w:val="auto"/>
                      <w:kern w:val="2"/>
                      <w:sz w:val="21"/>
                      <w:szCs w:val="21"/>
                      <w:highlight w:val="none"/>
                      <w:lang w:val="en-US" w:eastAsia="zh-CN"/>
                    </w:rPr>
                    <w:t>已</w:t>
                  </w:r>
                  <w:r>
                    <w:rPr>
                      <w:rFonts w:hint="eastAsia" w:cs="Times New Roman"/>
                      <w:bCs/>
                      <w:color w:val="auto"/>
                      <w:kern w:val="2"/>
                      <w:sz w:val="21"/>
                      <w:szCs w:val="21"/>
                      <w:highlight w:val="none"/>
                      <w:lang w:val="en-US" w:eastAsia="zh-CN"/>
                    </w:rPr>
                    <w:t>纳</w:t>
                  </w:r>
                  <w:r>
                    <w:rPr>
                      <w:rFonts w:hint="default" w:ascii="Times New Roman" w:hAnsi="Times New Roman" w:eastAsia="宋体" w:cs="Times New Roman"/>
                      <w:bCs/>
                      <w:color w:val="auto"/>
                      <w:kern w:val="2"/>
                      <w:sz w:val="21"/>
                      <w:szCs w:val="21"/>
                      <w:highlight w:val="none"/>
                      <w:lang w:val="en-US" w:eastAsia="zh-CN"/>
                    </w:rPr>
                    <w:t>入工业场地范围</w:t>
                  </w:r>
                </w:p>
              </w:tc>
            </w:tr>
            <w:tr w14:paraId="3AEB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1" w:type="pct"/>
                  <w:noWrap w:val="0"/>
                  <w:vAlign w:val="center"/>
                </w:tcPr>
                <w:p w14:paraId="7C418E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w:t>
                  </w:r>
                </w:p>
              </w:tc>
              <w:tc>
                <w:tcPr>
                  <w:tcW w:w="1633" w:type="dxa"/>
                  <w:noWrap w:val="0"/>
                  <w:vAlign w:val="center"/>
                </w:tcPr>
                <w:p w14:paraId="526EDC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地埋</w:t>
                  </w:r>
                  <w:r>
                    <w:rPr>
                      <w:rFonts w:hint="default" w:ascii="Times New Roman" w:hAnsi="Times New Roman" w:eastAsia="宋体" w:cs="Times New Roman"/>
                      <w:color w:val="auto"/>
                      <w:kern w:val="2"/>
                      <w:sz w:val="21"/>
                      <w:szCs w:val="21"/>
                      <w:highlight w:val="none"/>
                      <w:vertAlign w:val="baseline"/>
                      <w:lang w:val="en-US" w:eastAsia="zh-CN"/>
                    </w:rPr>
                    <w:t>注浆管线</w:t>
                  </w:r>
                  <w:r>
                    <w:rPr>
                      <w:rFonts w:hint="eastAsia" w:cs="Times New Roman"/>
                      <w:color w:val="auto"/>
                      <w:kern w:val="2"/>
                      <w:sz w:val="21"/>
                      <w:szCs w:val="21"/>
                      <w:highlight w:val="none"/>
                      <w:vertAlign w:val="baseline"/>
                      <w:lang w:val="en-US" w:eastAsia="zh-CN"/>
                    </w:rPr>
                    <w:t>（工业场地内）</w:t>
                  </w:r>
                </w:p>
              </w:tc>
              <w:tc>
                <w:tcPr>
                  <w:tcW w:w="338" w:type="pct"/>
                  <w:noWrap w:val="0"/>
                  <w:vAlign w:val="center"/>
                </w:tcPr>
                <w:p w14:paraId="64C1E8ED">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841" w:type="pct"/>
                  <w:noWrap w:val="0"/>
                  <w:vAlign w:val="center"/>
                </w:tcPr>
                <w:p w14:paraId="7BE0F1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93.57</w:t>
                  </w:r>
                </w:p>
              </w:tc>
              <w:tc>
                <w:tcPr>
                  <w:tcW w:w="1204" w:type="pct"/>
                  <w:shd w:val="clear" w:color="auto" w:fill="auto"/>
                  <w:noWrap w:val="0"/>
                  <w:vAlign w:val="center"/>
                </w:tcPr>
                <w:p w14:paraId="281CD59E">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工业用地</w:t>
                  </w:r>
                </w:p>
              </w:tc>
              <w:tc>
                <w:tcPr>
                  <w:tcW w:w="1204" w:type="pct"/>
                  <w:noWrap w:val="0"/>
                  <w:vAlign w:val="center"/>
                </w:tcPr>
                <w:p w14:paraId="397C3823">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永久占地</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bCs/>
                      <w:color w:val="auto"/>
                      <w:kern w:val="2"/>
                      <w:sz w:val="21"/>
                      <w:szCs w:val="21"/>
                      <w:highlight w:val="none"/>
                      <w:lang w:val="en-US" w:eastAsia="zh-CN"/>
                    </w:rPr>
                    <w:t>已</w:t>
                  </w:r>
                  <w:r>
                    <w:rPr>
                      <w:rFonts w:hint="eastAsia" w:cs="Times New Roman"/>
                      <w:bCs/>
                      <w:color w:val="auto"/>
                      <w:kern w:val="2"/>
                      <w:sz w:val="21"/>
                      <w:szCs w:val="21"/>
                      <w:highlight w:val="none"/>
                      <w:lang w:val="en-US" w:eastAsia="zh-CN"/>
                    </w:rPr>
                    <w:t>纳</w:t>
                  </w:r>
                  <w:r>
                    <w:rPr>
                      <w:rFonts w:hint="default" w:ascii="Times New Roman" w:hAnsi="Times New Roman" w:eastAsia="宋体" w:cs="Times New Roman"/>
                      <w:bCs/>
                      <w:color w:val="auto"/>
                      <w:kern w:val="2"/>
                      <w:sz w:val="21"/>
                      <w:szCs w:val="21"/>
                      <w:highlight w:val="none"/>
                      <w:lang w:val="en-US" w:eastAsia="zh-CN"/>
                    </w:rPr>
                    <w:t>入工业场地范围</w:t>
                  </w:r>
                </w:p>
              </w:tc>
            </w:tr>
            <w:tr w14:paraId="7A64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1" w:type="pct"/>
                  <w:noWrap w:val="0"/>
                  <w:vAlign w:val="center"/>
                </w:tcPr>
                <w:p w14:paraId="6D6297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w:t>
                  </w:r>
                </w:p>
              </w:tc>
              <w:tc>
                <w:tcPr>
                  <w:tcW w:w="1633" w:type="dxa"/>
                  <w:noWrap w:val="0"/>
                  <w:vAlign w:val="center"/>
                </w:tcPr>
                <w:p w14:paraId="355A93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vertAlign w:val="baseline"/>
                      <w:lang w:val="en-US" w:eastAsia="zh-CN"/>
                    </w:rPr>
                    <w:t>架空</w:t>
                  </w:r>
                  <w:r>
                    <w:rPr>
                      <w:rFonts w:hint="default" w:ascii="Times New Roman" w:hAnsi="Times New Roman" w:eastAsia="宋体" w:cs="Times New Roman"/>
                      <w:color w:val="auto"/>
                      <w:kern w:val="2"/>
                      <w:sz w:val="21"/>
                      <w:szCs w:val="21"/>
                      <w:highlight w:val="none"/>
                      <w:vertAlign w:val="baseline"/>
                      <w:lang w:val="en-US" w:eastAsia="zh-CN"/>
                    </w:rPr>
                    <w:t>注浆管线</w:t>
                  </w:r>
                  <w:r>
                    <w:rPr>
                      <w:rFonts w:hint="eastAsia" w:cs="Times New Roman"/>
                      <w:color w:val="auto"/>
                      <w:kern w:val="2"/>
                      <w:sz w:val="21"/>
                      <w:szCs w:val="21"/>
                      <w:highlight w:val="none"/>
                      <w:vertAlign w:val="baseline"/>
                      <w:lang w:val="en-US" w:eastAsia="zh-CN"/>
                    </w:rPr>
                    <w:t>（</w:t>
                  </w:r>
                  <w:r>
                    <w:rPr>
                      <w:rFonts w:hint="default" w:ascii="Times New Roman" w:hAnsi="Times New Roman" w:eastAsia="宋体" w:cs="Times New Roman"/>
                      <w:color w:val="auto"/>
                      <w:kern w:val="2"/>
                      <w:sz w:val="21"/>
                      <w:szCs w:val="21"/>
                      <w:highlight w:val="none"/>
                      <w:vertAlign w:val="baseline"/>
                      <w:lang w:val="en-US" w:eastAsia="zh-CN"/>
                    </w:rPr>
                    <w:t>厂</w:t>
                  </w:r>
                  <w:r>
                    <w:rPr>
                      <w:rFonts w:hint="eastAsia" w:cs="Times New Roman"/>
                      <w:color w:val="auto"/>
                      <w:kern w:val="2"/>
                      <w:sz w:val="21"/>
                      <w:szCs w:val="21"/>
                      <w:highlight w:val="none"/>
                      <w:vertAlign w:val="baseline"/>
                      <w:lang w:val="en-US" w:eastAsia="zh-CN"/>
                    </w:rPr>
                    <w:t>渠外）支架占地</w:t>
                  </w:r>
                </w:p>
              </w:tc>
              <w:tc>
                <w:tcPr>
                  <w:tcW w:w="338" w:type="pct"/>
                  <w:noWrap w:val="0"/>
                  <w:vAlign w:val="center"/>
                </w:tcPr>
                <w:p w14:paraId="73063D01">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841" w:type="pct"/>
                  <w:noWrap w:val="0"/>
                  <w:vAlign w:val="center"/>
                </w:tcPr>
                <w:p w14:paraId="3ACCDE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eastAsia" w:cs="Times New Roman"/>
                      <w:color w:val="auto"/>
                      <w:sz w:val="21"/>
                      <w:szCs w:val="21"/>
                      <w:lang w:val="en-US" w:eastAsia="zh-CN"/>
                    </w:rPr>
                    <w:t>96</w:t>
                  </w:r>
                </w:p>
              </w:tc>
              <w:tc>
                <w:tcPr>
                  <w:tcW w:w="1204" w:type="pct"/>
                  <w:shd w:val="clear" w:color="auto" w:fill="auto"/>
                  <w:noWrap w:val="0"/>
                  <w:vAlign w:val="center"/>
                </w:tcPr>
                <w:p w14:paraId="3C8DBBEE">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厂外管线采用</w:t>
                  </w:r>
                  <w:r>
                    <w:rPr>
                      <w:rFonts w:hint="default" w:ascii="Times New Roman" w:hAnsi="Times New Roman" w:eastAsia="宋体" w:cs="Times New Roman"/>
                      <w:color w:val="auto"/>
                      <w:kern w:val="2"/>
                      <w:sz w:val="21"/>
                      <w:szCs w:val="21"/>
                    </w:rPr>
                    <w:t>架空敷设</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lang w:val="en-US" w:eastAsia="zh-CN"/>
                    </w:rPr>
                    <w:t>不涉及占地；管线支架</w:t>
                  </w:r>
                  <w:r>
                    <w:rPr>
                      <w:rFonts w:hint="eastAsia" w:cs="Times New Roman"/>
                      <w:color w:val="auto"/>
                      <w:kern w:val="2"/>
                      <w:sz w:val="21"/>
                      <w:szCs w:val="21"/>
                      <w:lang w:val="en-US" w:eastAsia="zh-CN"/>
                    </w:rPr>
                    <w:t>占用天然牧草地</w:t>
                  </w:r>
                </w:p>
              </w:tc>
              <w:tc>
                <w:tcPr>
                  <w:tcW w:w="1204" w:type="pct"/>
                  <w:noWrap w:val="0"/>
                  <w:vAlign w:val="center"/>
                </w:tcPr>
                <w:p w14:paraId="09E678C3">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运营期临时占地</w:t>
                  </w:r>
                </w:p>
              </w:tc>
            </w:tr>
            <w:tr w14:paraId="41F8C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1" w:type="pct"/>
                  <w:noWrap w:val="0"/>
                  <w:vAlign w:val="center"/>
                </w:tcPr>
                <w:p w14:paraId="4027E9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4</w:t>
                  </w:r>
                </w:p>
              </w:tc>
              <w:tc>
                <w:tcPr>
                  <w:tcW w:w="1039" w:type="pct"/>
                  <w:noWrap w:val="0"/>
                  <w:vAlign w:val="center"/>
                </w:tcPr>
                <w:p w14:paraId="2C7B2C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钻孔（70个）</w:t>
                  </w:r>
                </w:p>
              </w:tc>
              <w:tc>
                <w:tcPr>
                  <w:tcW w:w="338" w:type="pct"/>
                  <w:noWrap w:val="0"/>
                  <w:vAlign w:val="center"/>
                </w:tcPr>
                <w:p w14:paraId="1DC5A713">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841" w:type="pct"/>
                  <w:noWrap w:val="0"/>
                  <w:vAlign w:val="center"/>
                </w:tcPr>
                <w:p w14:paraId="142AD2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eastAsia" w:cs="Times New Roman"/>
                      <w:bCs/>
                      <w:color w:val="auto"/>
                      <w:kern w:val="2"/>
                      <w:sz w:val="21"/>
                      <w:szCs w:val="21"/>
                      <w:highlight w:val="none"/>
                      <w:lang w:val="en-US" w:eastAsia="zh-CN"/>
                    </w:rPr>
                    <w:t>7000</w:t>
                  </w:r>
                </w:p>
              </w:tc>
              <w:tc>
                <w:tcPr>
                  <w:tcW w:w="1204" w:type="pct"/>
                  <w:shd w:val="clear" w:color="auto" w:fill="auto"/>
                  <w:noWrap w:val="0"/>
                  <w:vAlign w:val="center"/>
                </w:tcPr>
                <w:p w14:paraId="5C8DA4C3">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rPr>
                    <w:t>钻孔占</w:t>
                  </w:r>
                  <w:r>
                    <w:rPr>
                      <w:rFonts w:hint="eastAsia" w:cs="Times New Roman"/>
                      <w:color w:val="auto"/>
                      <w:kern w:val="2"/>
                      <w:sz w:val="21"/>
                      <w:szCs w:val="21"/>
                      <w:lang w:val="en-US" w:eastAsia="zh-CN"/>
                    </w:rPr>
                    <w:t>用天然牧草地和其他草地</w:t>
                  </w:r>
                </w:p>
              </w:tc>
              <w:tc>
                <w:tcPr>
                  <w:tcW w:w="1204" w:type="pct"/>
                  <w:noWrap w:val="0"/>
                  <w:vAlign w:val="center"/>
                </w:tcPr>
                <w:p w14:paraId="209E2958">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运营期临时占地</w:t>
                  </w:r>
                </w:p>
              </w:tc>
            </w:tr>
            <w:tr w14:paraId="2AE12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71" w:type="pct"/>
                  <w:noWrap w:val="0"/>
                  <w:vAlign w:val="center"/>
                </w:tcPr>
                <w:p w14:paraId="7D58D9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w:t>
                  </w:r>
                </w:p>
              </w:tc>
              <w:tc>
                <w:tcPr>
                  <w:tcW w:w="1039" w:type="pct"/>
                  <w:noWrap w:val="0"/>
                  <w:vAlign w:val="center"/>
                </w:tcPr>
                <w:p w14:paraId="2C9815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施工便道</w:t>
                  </w:r>
                </w:p>
              </w:tc>
              <w:tc>
                <w:tcPr>
                  <w:tcW w:w="338" w:type="pct"/>
                  <w:noWrap w:val="0"/>
                  <w:vAlign w:val="center"/>
                </w:tcPr>
                <w:p w14:paraId="020D971E">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841" w:type="pct"/>
                  <w:noWrap w:val="0"/>
                  <w:vAlign w:val="center"/>
                </w:tcPr>
                <w:p w14:paraId="43034B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Cs/>
                      <w:color w:val="auto"/>
                      <w:kern w:val="2"/>
                      <w:sz w:val="21"/>
                      <w:szCs w:val="21"/>
                      <w:highlight w:val="none"/>
                      <w:lang w:val="en-US" w:eastAsia="zh-CN"/>
                    </w:rPr>
                  </w:pPr>
                  <w:r>
                    <w:rPr>
                      <w:rFonts w:hint="eastAsia" w:cs="Times New Roman"/>
                      <w:bCs/>
                      <w:color w:val="auto"/>
                      <w:kern w:val="2"/>
                      <w:sz w:val="21"/>
                      <w:szCs w:val="21"/>
                      <w:highlight w:val="none"/>
                      <w:lang w:val="en-US" w:eastAsia="zh-CN"/>
                    </w:rPr>
                    <w:t>5200</w:t>
                  </w:r>
                </w:p>
              </w:tc>
              <w:tc>
                <w:tcPr>
                  <w:tcW w:w="1204" w:type="pct"/>
                  <w:shd w:val="clear" w:color="auto" w:fill="auto"/>
                  <w:noWrap w:val="0"/>
                  <w:vAlign w:val="center"/>
                </w:tcPr>
                <w:p w14:paraId="4F07E6F1">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农村道路和天然牧草地</w:t>
                  </w:r>
                </w:p>
              </w:tc>
              <w:tc>
                <w:tcPr>
                  <w:tcW w:w="1204" w:type="pct"/>
                  <w:noWrap w:val="0"/>
                  <w:vAlign w:val="center"/>
                </w:tcPr>
                <w:p w14:paraId="1474D9E8">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施工期临时占地</w:t>
                  </w:r>
                </w:p>
              </w:tc>
            </w:tr>
            <w:tr w14:paraId="297E0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11" w:type="pct"/>
                  <w:gridSpan w:val="2"/>
                  <w:noWrap w:val="0"/>
                  <w:vAlign w:val="center"/>
                </w:tcPr>
                <w:p w14:paraId="68A34E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合计</w:t>
                  </w:r>
                </w:p>
              </w:tc>
              <w:tc>
                <w:tcPr>
                  <w:tcW w:w="338" w:type="pct"/>
                  <w:noWrap w:val="0"/>
                  <w:vAlign w:val="center"/>
                </w:tcPr>
                <w:p w14:paraId="02AFC685">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841" w:type="pct"/>
                  <w:noWrap w:val="0"/>
                  <w:vAlign w:val="center"/>
                </w:tcPr>
                <w:p w14:paraId="177F71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eastAsia" w:cs="Times New Roman"/>
                      <w:bCs/>
                      <w:color w:val="auto"/>
                      <w:kern w:val="2"/>
                      <w:sz w:val="21"/>
                      <w:szCs w:val="21"/>
                      <w:highlight w:val="none"/>
                      <w:lang w:val="en-US" w:eastAsia="zh-CN"/>
                    </w:rPr>
                    <w:t>13166.33</w:t>
                  </w:r>
                </w:p>
              </w:tc>
              <w:tc>
                <w:tcPr>
                  <w:tcW w:w="1204" w:type="pct"/>
                  <w:noWrap w:val="0"/>
                  <w:vAlign w:val="center"/>
                </w:tcPr>
                <w:p w14:paraId="1E2167D4">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204" w:type="pct"/>
                  <w:noWrap w:val="0"/>
                  <w:vAlign w:val="center"/>
                </w:tcPr>
                <w:p w14:paraId="70141A34">
                  <w:pPr>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bl>
          <w:p w14:paraId="3E6A33FE">
            <w:pPr>
              <w:widowControl w:val="0"/>
              <w:spacing w:before="120" w:beforeLines="50" w:line="360" w:lineRule="auto"/>
              <w:ind w:firstLine="482" w:firstLineChars="200"/>
              <w:rPr>
                <w:rFonts w:hint="default" w:ascii="Times New Roman" w:hAnsi="Times New Roman" w:eastAsia="宋体" w:cs="Times New Roman"/>
                <w:b/>
                <w:bCs/>
                <w:color w:val="auto"/>
                <w:kern w:val="2"/>
                <w:sz w:val="24"/>
                <w:szCs w:val="24"/>
                <w:highlight w:val="none"/>
                <w:lang w:val="en-US" w:eastAsia="zh-CN"/>
              </w:rPr>
            </w:pPr>
            <w:r>
              <w:rPr>
                <w:rFonts w:hint="default" w:ascii="Times New Roman" w:hAnsi="Times New Roman" w:eastAsia="宋体" w:cs="Times New Roman"/>
                <w:b/>
                <w:bCs/>
                <w:color w:val="auto"/>
                <w:kern w:val="2"/>
                <w:sz w:val="24"/>
                <w:szCs w:val="24"/>
                <w:highlight w:val="none"/>
                <w:lang w:val="en-US" w:eastAsia="zh-CN"/>
              </w:rPr>
              <w:t>十、土石方</w:t>
            </w:r>
          </w:p>
          <w:p w14:paraId="5C48F534">
            <w:pPr>
              <w:widowControl w:val="0"/>
              <w:spacing w:line="360" w:lineRule="auto"/>
              <w:ind w:firstLine="470" w:firstLineChars="196"/>
              <w:rPr>
                <w:rFonts w:hint="default" w:ascii="Times New Roman" w:hAnsi="Times New Roman" w:eastAsia="宋体" w:cs="Times New Roman"/>
                <w:color w:val="auto"/>
                <w:kern w:val="2"/>
                <w:sz w:val="24"/>
                <w:szCs w:val="32"/>
              </w:rPr>
            </w:pPr>
            <w:r>
              <w:rPr>
                <w:rFonts w:hint="default" w:ascii="Times New Roman" w:hAnsi="Times New Roman" w:eastAsia="宋体" w:cs="Times New Roman"/>
                <w:color w:val="auto"/>
                <w:kern w:val="2"/>
                <w:sz w:val="24"/>
                <w:szCs w:val="32"/>
              </w:rPr>
              <w:t>工程具体土石方量情况见表</w:t>
            </w:r>
            <w:r>
              <w:rPr>
                <w:rFonts w:hint="default" w:ascii="Times New Roman" w:hAnsi="Times New Roman" w:eastAsia="宋体" w:cs="Times New Roman"/>
                <w:b w:val="0"/>
                <w:bCs w:val="0"/>
                <w:color w:val="auto"/>
                <w:kern w:val="2"/>
                <w:sz w:val="24"/>
                <w:szCs w:val="32"/>
                <w:lang w:val="en-US" w:eastAsia="zh-CN"/>
              </w:rPr>
              <w:t>2-10</w:t>
            </w:r>
            <w:r>
              <w:rPr>
                <w:rFonts w:hint="default" w:ascii="Times New Roman" w:hAnsi="Times New Roman" w:eastAsia="宋体" w:cs="Times New Roman"/>
                <w:color w:val="auto"/>
                <w:kern w:val="2"/>
                <w:sz w:val="24"/>
                <w:szCs w:val="32"/>
              </w:rPr>
              <w:t>。</w:t>
            </w:r>
          </w:p>
          <w:p w14:paraId="62CD866D">
            <w:pPr>
              <w:widowControl w:val="0"/>
              <w:adjustRightInd w:val="0"/>
              <w:snapToGrid w:val="0"/>
              <w:spacing w:line="240" w:lineRule="auto"/>
              <w:ind w:firstLine="964" w:firstLineChars="400"/>
              <w:jc w:val="center"/>
              <w:rPr>
                <w:rFonts w:hint="default" w:ascii="Times New Roman" w:hAnsi="Times New Roman" w:eastAsia="宋体" w:cs="Times New Roman"/>
                <w:b/>
                <w:bCs w:val="0"/>
                <w:color w:val="auto"/>
                <w:kern w:val="2"/>
                <w:sz w:val="24"/>
                <w:szCs w:val="24"/>
                <w:highlight w:val="none"/>
                <w:lang w:val="en-US" w:eastAsia="zh-CN" w:bidi="ar-SA"/>
              </w:rPr>
            </w:pPr>
            <w:r>
              <w:rPr>
                <w:rFonts w:hint="default" w:ascii="Times New Roman" w:hAnsi="Times New Roman" w:eastAsia="宋体" w:cs="Times New Roman"/>
                <w:b/>
                <w:bCs w:val="0"/>
                <w:color w:val="auto"/>
                <w:kern w:val="2"/>
                <w:sz w:val="24"/>
                <w:szCs w:val="24"/>
                <w:highlight w:val="none"/>
                <w:lang w:val="en-US" w:eastAsia="zh-CN" w:bidi="ar-SA"/>
              </w:rPr>
              <w:t>表2-10  土石方数量表</w:t>
            </w:r>
          </w:p>
          <w:tbl>
            <w:tblPr>
              <w:tblStyle w:val="25"/>
              <w:tblW w:w="4998" w:type="pct"/>
              <w:tblInd w:w="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627"/>
              <w:gridCol w:w="1628"/>
              <w:gridCol w:w="1628"/>
              <w:gridCol w:w="1338"/>
              <w:gridCol w:w="1628"/>
            </w:tblGrid>
            <w:tr w14:paraId="604CE2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513479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工程</w:t>
                  </w:r>
                </w:p>
              </w:tc>
              <w:tc>
                <w:tcPr>
                  <w:tcW w:w="1037" w:type="pct"/>
                  <w:tcBorders>
                    <w:tl2br w:val="nil"/>
                    <w:tr2bl w:val="nil"/>
                  </w:tcBorders>
                  <w:shd w:val="clear" w:color="auto" w:fill="auto"/>
                  <w:vAlign w:val="center"/>
                </w:tcPr>
                <w:p w14:paraId="03FFD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挖方（m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vertAlign w:val="baseline"/>
                      <w:lang w:val="en-US" w:eastAsia="zh-CN"/>
                    </w:rPr>
                    <w:t>）</w:t>
                  </w:r>
                </w:p>
              </w:tc>
              <w:tc>
                <w:tcPr>
                  <w:tcW w:w="1037" w:type="pct"/>
                  <w:tcBorders>
                    <w:tl2br w:val="nil"/>
                    <w:tr2bl w:val="nil"/>
                  </w:tcBorders>
                  <w:shd w:val="clear" w:color="auto" w:fill="auto"/>
                  <w:vAlign w:val="center"/>
                </w:tcPr>
                <w:p w14:paraId="4415D6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填方（m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vertAlign w:val="baseline"/>
                      <w:lang w:val="en-US" w:eastAsia="zh-CN"/>
                    </w:rPr>
                    <w:t>）</w:t>
                  </w:r>
                </w:p>
              </w:tc>
              <w:tc>
                <w:tcPr>
                  <w:tcW w:w="852" w:type="pct"/>
                  <w:tcBorders>
                    <w:tl2br w:val="nil"/>
                    <w:tr2bl w:val="nil"/>
                  </w:tcBorders>
                  <w:shd w:val="clear" w:color="auto" w:fill="auto"/>
                  <w:vAlign w:val="center"/>
                </w:tcPr>
                <w:p w14:paraId="72AD52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余方（m</w:t>
                  </w:r>
                  <w:r>
                    <w:rPr>
                      <w:rFonts w:hint="default" w:ascii="Times New Roman" w:hAnsi="Times New Roman" w:eastAsia="宋体" w:cs="Times New Roman"/>
                      <w:color w:val="auto"/>
                      <w:kern w:val="2"/>
                      <w:sz w:val="21"/>
                      <w:szCs w:val="21"/>
                      <w:highlight w:val="none"/>
                      <w:vertAlign w:val="superscript"/>
                      <w:lang w:val="en-US" w:eastAsia="zh-CN"/>
                    </w:rPr>
                    <w:t>3</w:t>
                  </w:r>
                  <w:r>
                    <w:rPr>
                      <w:rFonts w:hint="default" w:ascii="Times New Roman" w:hAnsi="Times New Roman" w:eastAsia="宋体" w:cs="Times New Roman"/>
                      <w:color w:val="auto"/>
                      <w:kern w:val="2"/>
                      <w:sz w:val="21"/>
                      <w:szCs w:val="21"/>
                      <w:highlight w:val="none"/>
                      <w:vertAlign w:val="baseline"/>
                      <w:lang w:val="en-US" w:eastAsia="zh-CN"/>
                    </w:rPr>
                    <w:t>）</w:t>
                  </w:r>
                </w:p>
              </w:tc>
              <w:tc>
                <w:tcPr>
                  <w:tcW w:w="1037" w:type="pct"/>
                  <w:tcBorders>
                    <w:tl2br w:val="nil"/>
                    <w:tr2bl w:val="nil"/>
                  </w:tcBorders>
                  <w:shd w:val="clear" w:color="auto" w:fill="auto"/>
                  <w:vAlign w:val="center"/>
                </w:tcPr>
                <w:p w14:paraId="64E8FE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去向</w:t>
                  </w:r>
                </w:p>
              </w:tc>
            </w:tr>
            <w:tr w14:paraId="63653D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43C5E8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注浆站</w:t>
                  </w:r>
                </w:p>
              </w:tc>
              <w:tc>
                <w:tcPr>
                  <w:tcW w:w="1037" w:type="pct"/>
                  <w:tcBorders>
                    <w:tl2br w:val="nil"/>
                    <w:tr2bl w:val="nil"/>
                  </w:tcBorders>
                  <w:shd w:val="clear" w:color="auto" w:fill="auto"/>
                  <w:vAlign w:val="center"/>
                </w:tcPr>
                <w:p w14:paraId="18363B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1200</w:t>
                  </w:r>
                </w:p>
              </w:tc>
              <w:tc>
                <w:tcPr>
                  <w:tcW w:w="1037" w:type="pct"/>
                  <w:tcBorders>
                    <w:tl2br w:val="nil"/>
                    <w:tr2bl w:val="nil"/>
                  </w:tcBorders>
                  <w:shd w:val="clear" w:color="auto" w:fill="auto"/>
                  <w:vAlign w:val="center"/>
                </w:tcPr>
                <w:p w14:paraId="279DCF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1200</w:t>
                  </w:r>
                </w:p>
              </w:tc>
              <w:tc>
                <w:tcPr>
                  <w:tcW w:w="852" w:type="pct"/>
                  <w:tcBorders>
                    <w:tl2br w:val="nil"/>
                    <w:tr2bl w:val="nil"/>
                  </w:tcBorders>
                  <w:shd w:val="clear" w:color="auto" w:fill="auto"/>
                  <w:vAlign w:val="center"/>
                </w:tcPr>
                <w:p w14:paraId="2949CB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0</w:t>
                  </w:r>
                </w:p>
              </w:tc>
              <w:tc>
                <w:tcPr>
                  <w:tcW w:w="1037" w:type="pct"/>
                  <w:tcBorders>
                    <w:tl2br w:val="nil"/>
                    <w:tr2bl w:val="nil"/>
                  </w:tcBorders>
                  <w:shd w:val="clear" w:color="auto" w:fill="auto"/>
                  <w:vAlign w:val="center"/>
                </w:tcPr>
                <w:p w14:paraId="1620DE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w:t>
                  </w:r>
                </w:p>
              </w:tc>
            </w:tr>
            <w:tr w14:paraId="104C83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5A63CD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地埋</w:t>
                  </w:r>
                  <w:r>
                    <w:rPr>
                      <w:rFonts w:hint="default" w:ascii="Times New Roman" w:hAnsi="Times New Roman" w:eastAsia="宋体" w:cs="Times New Roman"/>
                      <w:color w:val="auto"/>
                      <w:kern w:val="2"/>
                      <w:sz w:val="21"/>
                      <w:szCs w:val="21"/>
                      <w:highlight w:val="none"/>
                      <w:vertAlign w:val="baseline"/>
                      <w:lang w:val="en-US" w:eastAsia="zh-CN"/>
                    </w:rPr>
                    <w:t>注浆管线</w:t>
                  </w:r>
                  <w:r>
                    <w:rPr>
                      <w:rFonts w:hint="eastAsia" w:cs="Times New Roman"/>
                      <w:color w:val="auto"/>
                      <w:kern w:val="2"/>
                      <w:sz w:val="21"/>
                      <w:szCs w:val="21"/>
                      <w:highlight w:val="none"/>
                      <w:vertAlign w:val="baseline"/>
                      <w:lang w:val="en-US" w:eastAsia="zh-CN"/>
                    </w:rPr>
                    <w:t>（工业场地内）</w:t>
                  </w:r>
                </w:p>
              </w:tc>
              <w:tc>
                <w:tcPr>
                  <w:tcW w:w="1037" w:type="pct"/>
                  <w:tcBorders>
                    <w:tl2br w:val="nil"/>
                    <w:tr2bl w:val="nil"/>
                  </w:tcBorders>
                  <w:shd w:val="clear" w:color="auto" w:fill="auto"/>
                  <w:vAlign w:val="center"/>
                </w:tcPr>
                <w:p w14:paraId="4A172F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233.9</w:t>
                  </w:r>
                </w:p>
              </w:tc>
              <w:tc>
                <w:tcPr>
                  <w:tcW w:w="1037" w:type="pct"/>
                  <w:tcBorders>
                    <w:tl2br w:val="nil"/>
                    <w:tr2bl w:val="nil"/>
                  </w:tcBorders>
                  <w:shd w:val="clear" w:color="auto" w:fill="auto"/>
                  <w:vAlign w:val="center"/>
                </w:tcPr>
                <w:p w14:paraId="7F2231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233.9</w:t>
                  </w:r>
                </w:p>
              </w:tc>
              <w:tc>
                <w:tcPr>
                  <w:tcW w:w="852" w:type="pct"/>
                  <w:tcBorders>
                    <w:tl2br w:val="nil"/>
                    <w:tr2bl w:val="nil"/>
                  </w:tcBorders>
                  <w:shd w:val="clear" w:color="auto" w:fill="auto"/>
                  <w:vAlign w:val="center"/>
                </w:tcPr>
                <w:p w14:paraId="1045A0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0</w:t>
                  </w:r>
                </w:p>
              </w:tc>
              <w:tc>
                <w:tcPr>
                  <w:tcW w:w="1037" w:type="pct"/>
                  <w:tcBorders>
                    <w:tl2br w:val="nil"/>
                    <w:tr2bl w:val="nil"/>
                  </w:tcBorders>
                  <w:shd w:val="clear" w:color="auto" w:fill="auto"/>
                  <w:vAlign w:val="center"/>
                </w:tcPr>
                <w:p w14:paraId="46072C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w:t>
                  </w:r>
                </w:p>
              </w:tc>
            </w:tr>
            <w:tr w14:paraId="7C726E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70E6A8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架空</w:t>
                  </w:r>
                  <w:r>
                    <w:rPr>
                      <w:rFonts w:hint="default" w:ascii="Times New Roman" w:hAnsi="Times New Roman" w:eastAsia="宋体" w:cs="Times New Roman"/>
                      <w:color w:val="auto"/>
                      <w:kern w:val="2"/>
                      <w:sz w:val="21"/>
                      <w:szCs w:val="21"/>
                      <w:highlight w:val="none"/>
                      <w:vertAlign w:val="baseline"/>
                      <w:lang w:val="en-US" w:eastAsia="zh-CN"/>
                    </w:rPr>
                    <w:t>注浆管线</w:t>
                  </w:r>
                  <w:r>
                    <w:rPr>
                      <w:rFonts w:hint="eastAsia" w:cs="Times New Roman"/>
                      <w:color w:val="auto"/>
                      <w:kern w:val="2"/>
                      <w:sz w:val="21"/>
                      <w:szCs w:val="21"/>
                      <w:highlight w:val="none"/>
                      <w:vertAlign w:val="baseline"/>
                      <w:lang w:val="en-US" w:eastAsia="zh-CN"/>
                    </w:rPr>
                    <w:t>（</w:t>
                  </w:r>
                  <w:r>
                    <w:rPr>
                      <w:rFonts w:hint="default" w:ascii="Times New Roman" w:hAnsi="Times New Roman" w:eastAsia="宋体" w:cs="Times New Roman"/>
                      <w:color w:val="auto"/>
                      <w:kern w:val="2"/>
                      <w:sz w:val="21"/>
                      <w:szCs w:val="21"/>
                      <w:highlight w:val="none"/>
                      <w:vertAlign w:val="baseline"/>
                      <w:lang w:val="en-US" w:eastAsia="zh-CN"/>
                    </w:rPr>
                    <w:t>厂</w:t>
                  </w:r>
                  <w:r>
                    <w:rPr>
                      <w:rFonts w:hint="eastAsia" w:cs="Times New Roman"/>
                      <w:color w:val="auto"/>
                      <w:kern w:val="2"/>
                      <w:sz w:val="21"/>
                      <w:szCs w:val="21"/>
                      <w:highlight w:val="none"/>
                      <w:vertAlign w:val="baseline"/>
                      <w:lang w:val="en-US" w:eastAsia="zh-CN"/>
                    </w:rPr>
                    <w:t>渠外）支架占地</w:t>
                  </w:r>
                </w:p>
              </w:tc>
              <w:tc>
                <w:tcPr>
                  <w:tcW w:w="1037" w:type="pct"/>
                  <w:tcBorders>
                    <w:tl2br w:val="nil"/>
                    <w:tr2bl w:val="nil"/>
                  </w:tcBorders>
                  <w:shd w:val="clear" w:color="auto" w:fill="auto"/>
                  <w:vAlign w:val="center"/>
                </w:tcPr>
                <w:p w14:paraId="68AFB8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192</w:t>
                  </w:r>
                </w:p>
              </w:tc>
              <w:tc>
                <w:tcPr>
                  <w:tcW w:w="1037" w:type="pct"/>
                  <w:tcBorders>
                    <w:tl2br w:val="nil"/>
                    <w:tr2bl w:val="nil"/>
                  </w:tcBorders>
                  <w:shd w:val="clear" w:color="auto" w:fill="auto"/>
                  <w:vAlign w:val="center"/>
                </w:tcPr>
                <w:p w14:paraId="510938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192</w:t>
                  </w:r>
                </w:p>
              </w:tc>
              <w:tc>
                <w:tcPr>
                  <w:tcW w:w="852" w:type="pct"/>
                  <w:tcBorders>
                    <w:tl2br w:val="nil"/>
                    <w:tr2bl w:val="nil"/>
                  </w:tcBorders>
                  <w:shd w:val="clear" w:color="auto" w:fill="auto"/>
                  <w:vAlign w:val="center"/>
                </w:tcPr>
                <w:p w14:paraId="4A622F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0</w:t>
                  </w:r>
                </w:p>
              </w:tc>
              <w:tc>
                <w:tcPr>
                  <w:tcW w:w="1037" w:type="pct"/>
                  <w:tcBorders>
                    <w:tl2br w:val="nil"/>
                    <w:tr2bl w:val="nil"/>
                  </w:tcBorders>
                  <w:shd w:val="clear" w:color="auto" w:fill="auto"/>
                  <w:vAlign w:val="center"/>
                </w:tcPr>
                <w:p w14:paraId="7B9769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w:t>
                  </w:r>
                </w:p>
              </w:tc>
            </w:tr>
            <w:tr w14:paraId="14981A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7FB7DC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钻孔（</w:t>
                  </w:r>
                  <w:r>
                    <w:rPr>
                      <w:rFonts w:hint="eastAsia" w:cs="Times New Roman"/>
                      <w:color w:val="auto"/>
                      <w:kern w:val="2"/>
                      <w:sz w:val="21"/>
                      <w:szCs w:val="21"/>
                      <w:highlight w:val="none"/>
                      <w:vertAlign w:val="baseline"/>
                      <w:lang w:val="en-US" w:eastAsia="zh-CN"/>
                    </w:rPr>
                    <w:t>70</w:t>
                  </w:r>
                  <w:r>
                    <w:rPr>
                      <w:rFonts w:hint="default" w:ascii="Times New Roman" w:hAnsi="Times New Roman" w:eastAsia="宋体" w:cs="Times New Roman"/>
                      <w:color w:val="auto"/>
                      <w:kern w:val="2"/>
                      <w:sz w:val="21"/>
                      <w:szCs w:val="21"/>
                      <w:highlight w:val="none"/>
                      <w:vertAlign w:val="baseline"/>
                      <w:lang w:val="en-US" w:eastAsia="zh-CN"/>
                    </w:rPr>
                    <w:t>个）</w:t>
                  </w:r>
                </w:p>
              </w:tc>
              <w:tc>
                <w:tcPr>
                  <w:tcW w:w="1037" w:type="pct"/>
                  <w:tcBorders>
                    <w:tl2br w:val="nil"/>
                    <w:tr2bl w:val="nil"/>
                  </w:tcBorders>
                  <w:shd w:val="clear" w:color="auto" w:fill="auto"/>
                  <w:vAlign w:val="center"/>
                </w:tcPr>
                <w:p w14:paraId="5D7F51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3500</w:t>
                  </w:r>
                </w:p>
              </w:tc>
              <w:tc>
                <w:tcPr>
                  <w:tcW w:w="1037" w:type="pct"/>
                  <w:tcBorders>
                    <w:tl2br w:val="nil"/>
                    <w:tr2bl w:val="nil"/>
                  </w:tcBorders>
                  <w:shd w:val="clear" w:color="auto" w:fill="auto"/>
                  <w:vAlign w:val="center"/>
                </w:tcPr>
                <w:p w14:paraId="66CD73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3500</w:t>
                  </w:r>
                </w:p>
              </w:tc>
              <w:tc>
                <w:tcPr>
                  <w:tcW w:w="852" w:type="pct"/>
                  <w:tcBorders>
                    <w:tl2br w:val="nil"/>
                    <w:tr2bl w:val="nil"/>
                  </w:tcBorders>
                  <w:shd w:val="clear" w:color="auto" w:fill="auto"/>
                  <w:vAlign w:val="center"/>
                </w:tcPr>
                <w:p w14:paraId="6A3FA6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0</w:t>
                  </w:r>
                </w:p>
              </w:tc>
              <w:tc>
                <w:tcPr>
                  <w:tcW w:w="1037" w:type="pct"/>
                  <w:tcBorders>
                    <w:tl2br w:val="nil"/>
                    <w:tr2bl w:val="nil"/>
                  </w:tcBorders>
                  <w:shd w:val="clear" w:color="auto" w:fill="auto"/>
                  <w:vAlign w:val="center"/>
                </w:tcPr>
                <w:p w14:paraId="01F7C8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w:t>
                  </w:r>
                </w:p>
              </w:tc>
            </w:tr>
            <w:tr w14:paraId="5902CB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7627E6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表土</w:t>
                  </w:r>
                </w:p>
              </w:tc>
              <w:tc>
                <w:tcPr>
                  <w:tcW w:w="1037" w:type="pct"/>
                  <w:tcBorders>
                    <w:tl2br w:val="nil"/>
                    <w:tr2bl w:val="nil"/>
                  </w:tcBorders>
                  <w:shd w:val="clear" w:color="auto" w:fill="auto"/>
                  <w:vAlign w:val="center"/>
                </w:tcPr>
                <w:p w14:paraId="2064C7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rPr>
                    <w:t>2100</w:t>
                  </w:r>
                </w:p>
              </w:tc>
              <w:tc>
                <w:tcPr>
                  <w:tcW w:w="1037" w:type="pct"/>
                  <w:tcBorders>
                    <w:tl2br w:val="nil"/>
                    <w:tr2bl w:val="nil"/>
                  </w:tcBorders>
                  <w:shd w:val="clear" w:color="auto" w:fill="auto"/>
                  <w:vAlign w:val="center"/>
                </w:tcPr>
                <w:p w14:paraId="644E9A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rPr>
                    <w:t>2100</w:t>
                  </w:r>
                </w:p>
              </w:tc>
              <w:tc>
                <w:tcPr>
                  <w:tcW w:w="852" w:type="pct"/>
                  <w:tcBorders>
                    <w:tl2br w:val="nil"/>
                    <w:tr2bl w:val="nil"/>
                  </w:tcBorders>
                  <w:shd w:val="clear" w:color="auto" w:fill="auto"/>
                  <w:vAlign w:val="center"/>
                </w:tcPr>
                <w:p w14:paraId="6B1881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rPr>
                    <w:t>0</w:t>
                  </w:r>
                </w:p>
              </w:tc>
              <w:tc>
                <w:tcPr>
                  <w:tcW w:w="1037" w:type="pct"/>
                  <w:tcBorders>
                    <w:tl2br w:val="nil"/>
                    <w:tr2bl w:val="nil"/>
                  </w:tcBorders>
                  <w:shd w:val="clear" w:color="auto" w:fill="auto"/>
                  <w:vAlign w:val="center"/>
                </w:tcPr>
                <w:p w14:paraId="69C19F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表土用于植被恢复</w:t>
                  </w:r>
                </w:p>
              </w:tc>
            </w:tr>
            <w:tr w14:paraId="753CB7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0" w:hRule="atLeast"/>
              </w:trPr>
              <w:tc>
                <w:tcPr>
                  <w:tcW w:w="1036" w:type="pct"/>
                  <w:tcBorders>
                    <w:tl2br w:val="nil"/>
                    <w:tr2bl w:val="nil"/>
                  </w:tcBorders>
                  <w:shd w:val="clear" w:color="auto" w:fill="auto"/>
                  <w:vAlign w:val="center"/>
                </w:tcPr>
                <w:p w14:paraId="640B94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rPr>
                    <w:t>合计</w:t>
                  </w:r>
                </w:p>
              </w:tc>
              <w:tc>
                <w:tcPr>
                  <w:tcW w:w="1037" w:type="pct"/>
                  <w:tcBorders>
                    <w:tl2br w:val="nil"/>
                    <w:tr2bl w:val="nil"/>
                  </w:tcBorders>
                  <w:shd w:val="clear" w:color="auto" w:fill="auto"/>
                  <w:vAlign w:val="center"/>
                </w:tcPr>
                <w:p w14:paraId="1969CD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rPr>
                    <w:t>7225.90</w:t>
                  </w:r>
                </w:p>
              </w:tc>
              <w:tc>
                <w:tcPr>
                  <w:tcW w:w="1037" w:type="pct"/>
                  <w:tcBorders>
                    <w:tl2br w:val="nil"/>
                    <w:tr2bl w:val="nil"/>
                  </w:tcBorders>
                  <w:shd w:val="clear" w:color="auto" w:fill="auto"/>
                  <w:vAlign w:val="center"/>
                </w:tcPr>
                <w:p w14:paraId="7C28AD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rPr>
                    <w:t>7225.90</w:t>
                  </w:r>
                </w:p>
              </w:tc>
              <w:tc>
                <w:tcPr>
                  <w:tcW w:w="852" w:type="pct"/>
                  <w:tcBorders>
                    <w:tl2br w:val="nil"/>
                    <w:tr2bl w:val="nil"/>
                  </w:tcBorders>
                  <w:shd w:val="clear" w:color="auto" w:fill="auto"/>
                  <w:vAlign w:val="center"/>
                </w:tcPr>
                <w:p w14:paraId="5EB70C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rPr>
                    <w:t>0</w:t>
                  </w:r>
                </w:p>
              </w:tc>
              <w:tc>
                <w:tcPr>
                  <w:tcW w:w="1037" w:type="pct"/>
                  <w:tcBorders>
                    <w:tl2br w:val="nil"/>
                    <w:tr2bl w:val="nil"/>
                  </w:tcBorders>
                  <w:shd w:val="clear" w:color="auto" w:fill="auto"/>
                  <w:vAlign w:val="center"/>
                </w:tcPr>
                <w:p w14:paraId="0654AD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bl>
          <w:p w14:paraId="1C3F549B">
            <w:pPr>
              <w:widowControl w:val="0"/>
              <w:spacing w:before="120" w:beforeLines="50" w:line="360" w:lineRule="auto"/>
              <w:ind w:firstLine="482" w:firstLineChars="200"/>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rPr>
              <w:t>十一、</w:t>
            </w:r>
            <w:r>
              <w:rPr>
                <w:rFonts w:hint="default" w:ascii="Times New Roman" w:hAnsi="Times New Roman" w:eastAsia="宋体" w:cs="Times New Roman"/>
                <w:b/>
                <w:bCs/>
                <w:color w:val="auto"/>
                <w:kern w:val="2"/>
                <w:sz w:val="24"/>
                <w:szCs w:val="24"/>
              </w:rPr>
              <w:t>平面布置</w:t>
            </w:r>
          </w:p>
          <w:p w14:paraId="5F406C35">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按照平面布置原则，结合现有场地建（构）筑物、道路、管线等设施条件进行总平面布置，确定如下方案：</w:t>
            </w:r>
          </w:p>
          <w:p w14:paraId="7DBB9FBF">
            <w:pPr>
              <w:keepNext w:val="0"/>
              <w:keepLines w:val="0"/>
              <w:pageBreakBefore w:val="0"/>
              <w:widowControl/>
              <w:suppressLineNumbers w:val="0"/>
              <w:kinsoku/>
              <w:wordWrap/>
              <w:overflowPunct/>
              <w:topLinePunct w:val="0"/>
              <w:autoSpaceDE/>
              <w:autoSpaceDN/>
              <w:bidi w:val="0"/>
              <w:adjustRightInd w:val="0"/>
              <w:snapToGrid w:val="0"/>
              <w:spacing w:line="360" w:lineRule="auto"/>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新建矸石覆岩离层注浆场地位于矿井工业场地西南部，系统起点为现有矸石仓。矸石覆岩离层注浆系统由北至南，由东向西主要布置有：矸石破碎车间、制浆车间以及系统间相互联系的带式输送机栈桥等设施。</w:t>
            </w:r>
          </w:p>
          <w:p w14:paraId="6264D6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2"/>
                <w:sz w:val="24"/>
                <w:szCs w:val="24"/>
                <w:highlight w:val="none"/>
                <w:lang w:val="en-US" w:eastAsia="zh-CN"/>
              </w:rPr>
              <w:t>总体平面布置图见附图2-</w:t>
            </w:r>
            <w:r>
              <w:rPr>
                <w:rFonts w:hint="eastAsia" w:cs="Times New Roman"/>
                <w:color w:val="auto"/>
                <w:kern w:val="2"/>
                <w:sz w:val="24"/>
                <w:szCs w:val="24"/>
                <w:highlight w:val="none"/>
                <w:lang w:val="en-US" w:eastAsia="zh-CN"/>
              </w:rPr>
              <w:t>13</w:t>
            </w:r>
            <w:r>
              <w:rPr>
                <w:rFonts w:hint="default" w:ascii="Times New Roman" w:hAnsi="Times New Roman" w:eastAsia="宋体" w:cs="Times New Roman"/>
                <w:color w:val="auto"/>
                <w:kern w:val="2"/>
                <w:sz w:val="24"/>
                <w:szCs w:val="24"/>
                <w:highlight w:val="none"/>
                <w:lang w:val="en-US" w:eastAsia="zh-CN"/>
              </w:rPr>
              <w:t>。</w:t>
            </w:r>
          </w:p>
          <w:p w14:paraId="23CF0B08">
            <w:pPr>
              <w:bidi w:val="0"/>
              <w:ind w:left="0" w:leftChars="0" w:firstLine="0" w:firstLineChars="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013325" cy="3497580"/>
                  <wp:effectExtent l="0" t="0" r="15875" b="7620"/>
                  <wp:docPr id="17" name="图片 17" descr="白家海子煤矿矸石覆岩离层注浆站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白家海子煤矿矸石覆岩离层注浆站平面布置图"/>
                          <pic:cNvPicPr>
                            <a:picLocks noChangeAspect="1"/>
                          </pic:cNvPicPr>
                        </pic:nvPicPr>
                        <pic:blipFill>
                          <a:blip r:embed="rId40"/>
                          <a:stretch>
                            <a:fillRect/>
                          </a:stretch>
                        </pic:blipFill>
                        <pic:spPr>
                          <a:xfrm>
                            <a:off x="0" y="0"/>
                            <a:ext cx="5013325" cy="3497580"/>
                          </a:xfrm>
                          <a:prstGeom prst="rect">
                            <a:avLst/>
                          </a:prstGeom>
                        </pic:spPr>
                      </pic:pic>
                    </a:graphicData>
                  </a:graphic>
                </wp:inline>
              </w:drawing>
            </w:r>
          </w:p>
          <w:p w14:paraId="40FE13CF">
            <w:pPr>
              <w:bidi w:val="0"/>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图2-13   注浆站平面图</w:t>
            </w:r>
          </w:p>
          <w:p w14:paraId="6A23BD16">
            <w:pPr>
              <w:bidi w:val="0"/>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sz w:val="24"/>
              </w:rPr>
              <w:object>
                <v:shape id="_x0000_i1029" o:spt="75" type="#_x0000_t75" style="height:522.9pt;width:393.15pt;" o:ole="t" filled="f" o:preferrelative="t" stroked="f" coordsize="21600,21600">
                  <v:path/>
                  <v:fill on="f" focussize="0,0"/>
                  <v:stroke on="f"/>
                  <v:imagedata r:id="rId42" o:title=""/>
                  <o:lock v:ext="edit" aspectratio="f"/>
                  <w10:wrap type="none"/>
                  <w10:anchorlock/>
                </v:shape>
                <o:OLEObject Type="Embed" ProgID="Visio.Drawing.15" ShapeID="_x0000_i1029" DrawAspect="Content" ObjectID="_1468075729" r:id="rId41">
                  <o:LockedField>false</o:LockedField>
                </o:OLEObject>
              </w:object>
            </w:r>
            <w:r>
              <w:rPr>
                <w:rFonts w:hint="default" w:ascii="Times New Roman" w:hAnsi="Times New Roman" w:eastAsia="宋体" w:cs="Times New Roman"/>
                <w:b/>
                <w:bCs/>
                <w:color w:val="auto"/>
                <w:lang w:val="en-US" w:eastAsia="zh-CN"/>
              </w:rPr>
              <w:t>图2-14  管线方案平面图</w:t>
            </w:r>
          </w:p>
          <w:p w14:paraId="4DD41F94">
            <w:pPr>
              <w:bidi w:val="0"/>
              <w:ind w:left="0" w:leftChars="0" w:firstLine="0" w:firstLineChars="0"/>
              <w:jc w:val="center"/>
              <w:rPr>
                <w:rFonts w:hint="default" w:ascii="Times New Roman" w:hAnsi="Times New Roman" w:eastAsia="宋体" w:cs="Times New Roman"/>
                <w:b/>
                <w:bCs/>
                <w:color w:val="auto"/>
                <w:lang w:val="en-US" w:eastAsia="zh-CN"/>
              </w:rPr>
            </w:pP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3712845</wp:posOffset>
                      </wp:positionH>
                      <wp:positionV relativeFrom="paragraph">
                        <wp:posOffset>2865755</wp:posOffset>
                      </wp:positionV>
                      <wp:extent cx="925195" cy="408940"/>
                      <wp:effectExtent l="1067435" t="6350" r="7620" b="480060"/>
                      <wp:wrapNone/>
                      <wp:docPr id="60" name="矩形标注 60"/>
                      <wp:cNvGraphicFramePr/>
                      <a:graphic xmlns:a="http://schemas.openxmlformats.org/drawingml/2006/main">
                        <a:graphicData uri="http://schemas.microsoft.com/office/word/2010/wordprocessingShape">
                          <wps:wsp>
                            <wps:cNvSpPr/>
                            <wps:spPr>
                              <a:xfrm>
                                <a:off x="5229860" y="4025265"/>
                                <a:ext cx="925195" cy="408940"/>
                              </a:xfrm>
                              <a:prstGeom prst="wedgeRectCallout">
                                <a:avLst>
                                  <a:gd name="adj1" fmla="val -160020"/>
                                  <a:gd name="adj2" fmla="val 161024"/>
                                </a:avLst>
                              </a:prstGeom>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525FD5C">
                                  <w:pPr>
                                    <w:ind w:left="0" w:leftChars="0" w:firstLine="0" w:firstLineChars="0"/>
                                    <w:jc w:val="both"/>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管线支架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2.35pt;margin-top:225.65pt;height:32.2pt;width:72.85pt;z-index:251676672;v-text-anchor:middle;mso-width-relative:page;mso-height-relative:page;" fillcolor="#4472C4 [3204]" filled="t" stroked="t" coordsize="21600,21600" o:gfxdata="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oPmotdcAAAALAQAADwAAAAAAAAAB&#10;ACAAAAAiAAAAZHJzL2Rvd25yZXYueG1sUEsBAhQAFAAAAAgAh07iQOUUTwm8AgAAcgUAAA4AAAAA&#10;AAAAAQAgAAAAJgEAAGRycy9lMm9Eb2MueG1sUEsFBgAAAAAGAAYAWQEAAFQGAAAAAA==&#10;" adj="-23764,45581">
                      <v:fill on="t" focussize="0,0"/>
                      <v:stroke weight="1pt" color="#000000 [3213]" miterlimit="8" joinstyle="miter"/>
                      <v:imagedata o:title=""/>
                      <o:lock v:ext="edit" aspectratio="f"/>
                      <v:textbox>
                        <w:txbxContent>
                          <w:p w14:paraId="3525FD5C">
                            <w:pPr>
                              <w:ind w:left="0" w:leftChars="0" w:firstLine="0" w:firstLineChars="0"/>
                              <w:jc w:val="both"/>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管线支架</w:t>
                            </w:r>
                          </w:p>
                        </w:txbxContent>
                      </v:textbox>
                    </v:shape>
                  </w:pict>
                </mc:Fallback>
              </mc:AlternateContent>
            </w:r>
            <w:r>
              <w:rPr>
                <w:color w:val="auto"/>
                <w:sz w:val="24"/>
              </w:rPr>
              <w:object>
                <v:shape id="_x0000_i1030" o:spt="75" type="#_x0000_t75" style="height:548.15pt;width:389.15pt;" o:ole="t" filled="f" o:preferrelative="t" stroked="f" coordsize="21600,21600">
                  <v:path/>
                  <v:fill on="f" focussize="0,0"/>
                  <v:stroke on="f"/>
                  <v:imagedata r:id="rId44" o:title=""/>
                  <o:lock v:ext="edit" aspectratio="f"/>
                  <w10:wrap type="none"/>
                  <w10:anchorlock/>
                </v:shape>
                <o:OLEObject Type="Embed" ProgID="Visio.Drawing.15" ShapeID="_x0000_i1030" DrawAspect="Content" ObjectID="_1468075730" r:id="rId43">
                  <o:LockedField>false</o:LockedField>
                </o:OLEObject>
              </w:object>
            </w:r>
          </w:p>
          <w:p w14:paraId="5C766726">
            <w:pPr>
              <w:bidi w:val="0"/>
              <w:ind w:left="0" w:leftChars="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bCs/>
                <w:color w:val="auto"/>
                <w:lang w:val="en-US" w:eastAsia="zh-CN"/>
              </w:rPr>
              <w:t>图2-1</w:t>
            </w:r>
            <w:r>
              <w:rPr>
                <w:rFonts w:hint="eastAsia" w:cs="Times New Roman"/>
                <w:b/>
                <w:bCs/>
                <w:color w:val="auto"/>
                <w:lang w:val="en-US" w:eastAsia="zh-CN"/>
              </w:rPr>
              <w:t>5</w:t>
            </w:r>
            <w:r>
              <w:rPr>
                <w:rFonts w:hint="default" w:ascii="Times New Roman" w:hAnsi="Times New Roman" w:eastAsia="宋体" w:cs="Times New Roman"/>
                <w:b/>
                <w:bCs/>
                <w:color w:val="auto"/>
                <w:lang w:val="en-US" w:eastAsia="zh-CN"/>
              </w:rPr>
              <w:t xml:space="preserve">  </w:t>
            </w:r>
            <w:r>
              <w:rPr>
                <w:rFonts w:hint="eastAsia" w:cs="Times New Roman"/>
                <w:b/>
                <w:bCs/>
                <w:color w:val="auto"/>
                <w:lang w:val="en-US" w:eastAsia="zh-CN"/>
              </w:rPr>
              <w:t>管线支架位置</w:t>
            </w:r>
            <w:r>
              <w:rPr>
                <w:rFonts w:hint="default" w:ascii="Times New Roman" w:hAnsi="Times New Roman" w:eastAsia="宋体" w:cs="Times New Roman"/>
                <w:b/>
                <w:bCs/>
                <w:color w:val="auto"/>
                <w:lang w:val="en-US" w:eastAsia="zh-CN"/>
              </w:rPr>
              <w:t>图</w:t>
            </w:r>
          </w:p>
        </w:tc>
      </w:tr>
      <w:tr w14:paraId="5AE7C2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26" w:hRule="atLeast"/>
        </w:trPr>
        <w:tc>
          <w:tcPr>
            <w:tcW w:w="303" w:type="pct"/>
            <w:vAlign w:val="center"/>
          </w:tcPr>
          <w:p w14:paraId="5C84CD7E">
            <w:pPr>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工艺流程和产排污环节</w:t>
            </w:r>
          </w:p>
        </w:tc>
        <w:tc>
          <w:tcPr>
            <w:tcW w:w="4696" w:type="pct"/>
          </w:tcPr>
          <w:p w14:paraId="012C540D">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一、</w:t>
            </w:r>
            <w:r>
              <w:rPr>
                <w:rFonts w:hint="default" w:ascii="Times New Roman" w:hAnsi="Times New Roman" w:eastAsia="宋体" w:cs="Times New Roman"/>
                <w:b/>
                <w:bCs/>
                <w:color w:val="auto"/>
              </w:rPr>
              <w:t>施工期工艺流程及产污节点</w:t>
            </w:r>
          </w:p>
          <w:p w14:paraId="1FA89709">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1、项目施工期工艺流程见下图。</w:t>
            </w:r>
          </w:p>
          <w:p w14:paraId="7A0456DC">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本项目施工期主要包括场地平整、土建工程（注浆站、破碎楼、配电室、转载点、带式输送机栈桥等）、钻井工程、管线工程等建设工序，施工过程会产生少量扬尘、污水、噪声和固体废弃物等。</w:t>
            </w:r>
          </w:p>
          <w:p w14:paraId="01013318">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（1）土建工程</w:t>
            </w:r>
          </w:p>
          <w:p w14:paraId="06F8F9F3">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drawing>
                <wp:inline distT="0" distB="0" distL="114300" distR="114300">
                  <wp:extent cx="3761740" cy="883920"/>
                  <wp:effectExtent l="0" t="0" r="10160" b="1270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45"/>
                          <a:stretch>
                            <a:fillRect/>
                          </a:stretch>
                        </pic:blipFill>
                        <pic:spPr>
                          <a:xfrm>
                            <a:off x="0" y="0"/>
                            <a:ext cx="3761740" cy="883920"/>
                          </a:xfrm>
                          <a:prstGeom prst="rect">
                            <a:avLst/>
                          </a:prstGeom>
                          <a:noFill/>
                          <a:ln>
                            <a:noFill/>
                          </a:ln>
                        </pic:spPr>
                      </pic:pic>
                    </a:graphicData>
                  </a:graphic>
                </wp:inline>
              </w:drawing>
            </w:r>
          </w:p>
          <w:p w14:paraId="302AEF47">
            <w:pPr>
              <w:bidi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 xml:space="preserve">图 </w:t>
            </w:r>
            <w:r>
              <w:rPr>
                <w:rFonts w:hint="default" w:ascii="Times New Roman" w:hAnsi="Times New Roman" w:eastAsia="宋体" w:cs="Times New Roman"/>
                <w:b/>
                <w:bCs/>
                <w:color w:val="auto"/>
                <w:lang w:val="en-US" w:eastAsia="zh-CN"/>
              </w:rPr>
              <w:t>2-1</w:t>
            </w:r>
            <w:r>
              <w:rPr>
                <w:rFonts w:hint="eastAsia" w:cs="Times New Roman"/>
                <w:b/>
                <w:bCs/>
                <w:color w:val="auto"/>
                <w:lang w:val="en-US" w:eastAsia="zh-CN"/>
              </w:rPr>
              <w:t>6</w:t>
            </w:r>
            <w:r>
              <w:rPr>
                <w:rFonts w:hint="default" w:ascii="Times New Roman" w:hAnsi="Times New Roman" w:eastAsia="宋体" w:cs="Times New Roman"/>
                <w:b/>
                <w:bCs/>
                <w:color w:val="auto"/>
              </w:rPr>
              <w:t xml:space="preserve"> 土建工程施工流程图</w:t>
            </w:r>
          </w:p>
          <w:p w14:paraId="4438B342">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场平工程：通过对施工场地进行前期施工测量，并提出合理的土石方调配方案，选择符合要求的施工机械，在以上基础上得出较为完善的施工组织计划，通过场地土石方的填筑作业和建立必要的、能够满足施工要求的供水、排水、供电、道路以及临时建筑等基础设施，保证下一阶段施工能顺利开展。主要污染物为：粉尘、废水、施工噪声及工程弃渣。</w:t>
            </w:r>
          </w:p>
          <w:p w14:paraId="66AF34B7">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基础开挖工程：基础开挖工程主要施工工艺为：场地测量定位→机械进场→土石方开挖→人工修边角→基底平整→基底普探，主要采用挖掘机、装载机及自卸汽车等施工机械，按照设计要求，开挖出符合主体工程施工要求的基础，保证下一阶段主体工程顺利开展。主要污染物为：粉尘、废水、施工噪声及工程弃渣。</w:t>
            </w:r>
          </w:p>
          <w:p w14:paraId="5878223F">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主体工程：主体工程主要施工工艺为：施工测量放线→基础混凝土内预埋螺栓→钢结构安装，主要采用塔吊、自卸汽车、起升机、钢筋折弯机、电焊机及万能木工圆锯等施工机械。主要污染物为：粉尘、废水、施工噪声及建筑垃圾。</w:t>
            </w:r>
          </w:p>
          <w:p w14:paraId="4203D2F6">
            <w:pPr>
              <w:keepNext w:val="0"/>
              <w:keepLines w:val="0"/>
              <w:pageBreakBefore w:val="0"/>
              <w:widowControl/>
              <w:kinsoku/>
              <w:wordWrap/>
              <w:overflowPunct/>
              <w:topLinePunct w:val="0"/>
              <w:autoSpaceDE/>
              <w:autoSpaceDN/>
              <w:bidi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装饰工程：装饰装修工程是为保护建筑物的主体结构、完善建筑物的物理性能、使用功能和美化建筑物，采用装饰装修材料或饰物对建筑物的内外表面及空间进行的各种处理过程。主要采用电动台锯、手电钻、电刨、空压机、砂轮机及电焊机等。主要污染物为：粉尘及有机废气、废水、施工噪声、建筑垃圾。</w:t>
            </w:r>
          </w:p>
          <w:p w14:paraId="5E29C23F">
            <w:pPr>
              <w:keepNext w:val="0"/>
              <w:keepLines w:val="0"/>
              <w:pageBreakBefore w:val="0"/>
              <w:widowControl/>
              <w:kinsoku/>
              <w:wordWrap/>
              <w:overflowPunct/>
              <w:topLinePunct w:val="0"/>
              <w:autoSpaceDE/>
              <w:autoSpaceDN/>
              <w:bidi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⑤安装工程：安装工程包括各种设备、装置的安装工程，通常包括电气、通风、给排水以及设备安装等工作内容。主要采用剪板机、联合角咬口机、汽车吊、电焊机、砂轮切割机、手电钻等。主要污染物为：粉尘、废水、施工噪声、建筑垃圾及危险废物。</w:t>
            </w:r>
          </w:p>
          <w:p w14:paraId="7D085ADD">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4702175" cy="1264920"/>
                  <wp:effectExtent l="0" t="0" r="0" b="1206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46"/>
                          <a:stretch>
                            <a:fillRect/>
                          </a:stretch>
                        </pic:blipFill>
                        <pic:spPr>
                          <a:xfrm>
                            <a:off x="0" y="0"/>
                            <a:ext cx="4702175" cy="1264920"/>
                          </a:xfrm>
                          <a:prstGeom prst="rect">
                            <a:avLst/>
                          </a:prstGeom>
                          <a:noFill/>
                          <a:ln>
                            <a:noFill/>
                          </a:ln>
                        </pic:spPr>
                      </pic:pic>
                    </a:graphicData>
                  </a:graphic>
                </wp:inline>
              </w:drawing>
            </w:r>
          </w:p>
          <w:p w14:paraId="73DBBD5E">
            <w:pPr>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图 2-1</w:t>
            </w:r>
            <w:r>
              <w:rPr>
                <w:rFonts w:hint="eastAsia" w:cs="Times New Roman"/>
                <w:b/>
                <w:bCs/>
                <w:color w:val="auto"/>
                <w:lang w:val="en-US" w:eastAsia="zh-CN"/>
              </w:rPr>
              <w:t>7</w:t>
            </w:r>
            <w:r>
              <w:rPr>
                <w:rFonts w:hint="default" w:ascii="Times New Roman" w:hAnsi="Times New Roman" w:eastAsia="宋体" w:cs="Times New Roman"/>
                <w:b/>
                <w:bCs/>
                <w:color w:val="auto"/>
                <w:lang w:val="en-US" w:eastAsia="zh-CN"/>
              </w:rPr>
              <w:t xml:space="preserve"> 钻孔工程施工流程图</w:t>
            </w:r>
          </w:p>
          <w:p w14:paraId="7B0A53E1">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（2）钻孔工程</w:t>
            </w:r>
          </w:p>
          <w:p w14:paraId="15258C6D">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钻孔施工过程中对离层空间以上采用下套管固井封闭含水层。钻孔施工主要施工顺序为：</w:t>
            </w:r>
          </w:p>
          <w:p w14:paraId="22CDD682">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钻孔定位→场地整理→钻机安装→技术指标校正→钻探→下套管固井→钻探→施工至预定岩层→终孔报验。</w:t>
            </w:r>
          </w:p>
          <w:p w14:paraId="6AACC06D">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钻井施工包括：一开Φ400mm钻头施工穿过表土层底部以下10m，进入基岩硬盘，下入Φ377×6mm螺旋管并水泥固井；二开采用Φ311mm钻头施工至白垩系底部，下入Φ244.5×8.94mm套管并水泥固井；三开采用Φ215.9mm钻头钻进白垩系底部，然后下入Φ177.8×8.05mm套管并水泥固井，且177.8套管露出地表0.3m；四开采用Φ152mm钻头施工至孔底；Φ177.8mm套管内下放Φ101.6×5.74mm的注浆管。</w:t>
            </w:r>
          </w:p>
          <w:p w14:paraId="3DBF289F">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 w:val="24"/>
                <w:szCs w:val="24"/>
                <w:highlight w:val="none"/>
                <w:shd w:val="clear" w:color="auto" w:fill="auto"/>
                <w:lang w:eastAsia="zh-CN"/>
              </w:rPr>
            </w:pPr>
            <w:r>
              <w:rPr>
                <w:rFonts w:hint="default" w:ascii="Times New Roman" w:hAnsi="Times New Roman" w:eastAsia="宋体" w:cs="Times New Roman"/>
                <w:color w:val="auto"/>
                <w:szCs w:val="21"/>
                <w:lang w:val="en-US" w:eastAsia="zh-CN" w:bidi="ar"/>
              </w:rPr>
              <w:t>设计每个钻孔设置一个泥浆坑（25m</w:t>
            </w:r>
            <w:r>
              <w:rPr>
                <w:rFonts w:hint="default" w:ascii="Times New Roman" w:hAnsi="Times New Roman" w:eastAsia="宋体" w:cs="Times New Roman"/>
                <w:color w:val="auto"/>
                <w:szCs w:val="21"/>
                <w:vertAlign w:val="superscript"/>
                <w:lang w:val="en-US" w:eastAsia="zh-CN" w:bidi="ar"/>
              </w:rPr>
              <w:t>3</w:t>
            </w:r>
            <w:r>
              <w:rPr>
                <w:rFonts w:hint="default" w:ascii="Times New Roman" w:hAnsi="Times New Roman" w:eastAsia="宋体" w:cs="Times New Roman"/>
                <w:color w:val="auto"/>
                <w:szCs w:val="21"/>
                <w:lang w:val="en-US" w:eastAsia="zh-CN" w:bidi="ar"/>
              </w:rPr>
              <w:t>），采用混凝土进行防渗处理，钻孔施工完毕后</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sz w:val="24"/>
                <w:szCs w:val="24"/>
                <w:highlight w:val="none"/>
                <w:shd w:val="clear" w:color="auto" w:fill="auto"/>
              </w:rPr>
              <w:t>钻井液</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lang w:val="en-US" w:eastAsia="zh-CN"/>
              </w:rPr>
              <w:t>水井钻井液</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主要由黄泥和水按一定比例配制而成。</w:t>
            </w:r>
            <w:r>
              <w:rPr>
                <w:rFonts w:hint="default" w:ascii="Times New Roman" w:hAnsi="Times New Roman" w:eastAsia="宋体" w:cs="Times New Roman"/>
                <w:color w:val="auto"/>
                <w:kern w:val="0"/>
                <w:sz w:val="24"/>
                <w:szCs w:val="24"/>
                <w:highlight w:val="none"/>
                <w:lang w:val="en-US" w:eastAsia="zh-CN" w:bidi="ar"/>
              </w:rPr>
              <w:t>废弃泥浆为钻井过程中无法利用或钻井完工后弃置的钻井泥浆。根据建设单位过往项目经验，本次钻井深度为400米，项目每个钻井泥浆产生量为20m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kern w:val="0"/>
                <w:sz w:val="24"/>
                <w:szCs w:val="24"/>
                <w:highlight w:val="none"/>
                <w:lang w:val="en-US" w:eastAsia="zh-CN" w:bidi="ar"/>
              </w:rPr>
              <w:t>本项目注浆钻孔数量为70个，钻孔泥浆产生量为1400m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/a，钻井泥浆主要污染物为悬浮物等，钻井泥浆收集后委托有资质单位进行处置，不外排；钻孔土岩、岩屑：钻井岩屑是钻井过程中钻头切屑地层岩石而产生的碎屑和土层，每钻井400m进尺产生岩屑10m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。钻孔施工结束后，钻孔岩屑收集后委托有资质单位进行处置，不外排</w:t>
            </w:r>
            <w:r>
              <w:rPr>
                <w:rFonts w:hint="default" w:ascii="Times New Roman" w:hAnsi="Times New Roman" w:eastAsia="宋体" w:cs="Times New Roman"/>
                <w:color w:val="auto"/>
                <w:szCs w:val="21"/>
                <w:lang w:val="en-US" w:eastAsia="zh-CN" w:bidi="ar"/>
              </w:rPr>
              <w:t>。</w:t>
            </w:r>
          </w:p>
          <w:p w14:paraId="453CA51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钻进过程包括随钻测斜、丈量钻具以及简易水文观测（出现漏浆时进行）等工作。钻孔施工时，钻孔深度、结构需根据实际揭露地层情况重新确定。注浆钻孔需要超前形成，等待离层形成及时注浆，超前时间需要依据实际地质情况判断，若该地层中，钻孔成孔后不易塌孔，可放宽提前成孔的时间。应根据注浆时机、钻进效率，提前施工钻孔，钻孔施工完毕距注浆时间间距不宜过长，初定为1～3个月。</w:t>
            </w:r>
          </w:p>
          <w:p w14:paraId="693F6FF2">
            <w:pPr>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drawing>
                <wp:inline distT="0" distB="0" distL="114300" distR="114300">
                  <wp:extent cx="4257040" cy="1072515"/>
                  <wp:effectExtent l="0" t="0" r="10160" b="1333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47"/>
                          <a:stretch>
                            <a:fillRect/>
                          </a:stretch>
                        </pic:blipFill>
                        <pic:spPr>
                          <a:xfrm>
                            <a:off x="0" y="0"/>
                            <a:ext cx="4257040" cy="1072515"/>
                          </a:xfrm>
                          <a:prstGeom prst="rect">
                            <a:avLst/>
                          </a:prstGeom>
                          <a:noFill/>
                          <a:ln>
                            <a:noFill/>
                          </a:ln>
                        </pic:spPr>
                      </pic:pic>
                    </a:graphicData>
                  </a:graphic>
                </wp:inline>
              </w:drawing>
            </w:r>
          </w:p>
          <w:p w14:paraId="168BE5DC">
            <w:pPr>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图2-1</w:t>
            </w:r>
            <w:r>
              <w:rPr>
                <w:rFonts w:hint="eastAsia" w:cs="Times New Roman"/>
                <w:b/>
                <w:bCs/>
                <w:color w:val="auto"/>
                <w:lang w:val="en-US" w:eastAsia="zh-CN"/>
              </w:rPr>
              <w:t>8</w:t>
            </w:r>
            <w:r>
              <w:rPr>
                <w:rFonts w:hint="default" w:ascii="Times New Roman" w:hAnsi="Times New Roman" w:eastAsia="宋体" w:cs="Times New Roman"/>
                <w:b/>
                <w:bCs/>
                <w:color w:val="auto"/>
                <w:lang w:val="en-US" w:eastAsia="zh-CN"/>
              </w:rPr>
              <w:t xml:space="preserve"> 管线工程施工流程图</w:t>
            </w:r>
          </w:p>
          <w:p w14:paraId="710795C0">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（3）注浆管线施工</w:t>
            </w:r>
          </w:p>
          <w:p w14:paraId="7B81E386">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本次地埋充填管路管道型号选用D245</w:t>
            </w:r>
            <w:r>
              <w:rPr>
                <w:rFonts w:hint="default" w:ascii="Arial" w:hAnsi="Arial" w:eastAsia="宋体" w:cs="Arial"/>
                <w:color w:val="auto"/>
                <w:szCs w:val="21"/>
                <w:lang w:val="en-US" w:eastAsia="zh-CN" w:bidi="ar"/>
              </w:rPr>
              <w:t>×</w:t>
            </w:r>
            <w:r>
              <w:rPr>
                <w:rFonts w:hint="default" w:ascii="Times New Roman" w:hAnsi="Times New Roman" w:eastAsia="宋体" w:cs="Times New Roman"/>
                <w:color w:val="auto"/>
                <w:szCs w:val="21"/>
                <w:lang w:val="en-US" w:eastAsia="zh-CN" w:bidi="ar"/>
              </w:rPr>
              <w:t>20mm，管道敷设方式选用挖沟直埋的方式，管道埋深约1.5m。</w:t>
            </w:r>
          </w:p>
          <w:p w14:paraId="0042C2F5">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①沟槽开挖</w:t>
            </w:r>
          </w:p>
          <w:p w14:paraId="4C3A86FE">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采用机械开挖沟槽，机械开挖沟槽距槽底至少留20cm用人工清底，严禁超挖、扰动基底原状土。</w:t>
            </w:r>
          </w:p>
          <w:p w14:paraId="4B26AD65">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②管道铺设</w:t>
            </w:r>
          </w:p>
          <w:p w14:paraId="5D86279B">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管道铺设时要将插口顺泥浆输送方向，承口逆泥浆输送方向。接口时，先将承口的内壁清理干净，并在承口内壁及插口橡胶圈上涂润滑剂，然后将承插口端的中心轴线对齐。橡胶圈应放置在管道插口第二至第三根肋之间的槽内。</w:t>
            </w:r>
          </w:p>
          <w:p w14:paraId="63704A63">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③闭水试验。</w:t>
            </w:r>
          </w:p>
          <w:p w14:paraId="5A6FD187">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所有无压力管道均要求进行闭水试验，要求在沟槽覆土以前进行，并在闭水合格后回填土方。管道铺设完毕后，进行清管、试压作业，管道试压介质为洁净水，试压废水内主要污染物仅为少量悬浮物，收集沉淀后回用于煤矿选煤厂综合利用。</w:t>
            </w:r>
          </w:p>
          <w:p w14:paraId="5A98FAE7">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④沟槽回填</w:t>
            </w:r>
          </w:p>
          <w:p w14:paraId="5C3043D6">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管道闭水试验完毕，并经验收合格后应及时回填，先将胸腔部分回填。回填前应将管沟清理干净，木料、草袋等物不得留在沟内，排除沟底积水，严禁带水回填，以免出现“弹簧土”。</w:t>
            </w:r>
          </w:p>
          <w:p w14:paraId="63707648">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回填土采用粉（砂）土，不得含</w:t>
            </w:r>
            <w:r>
              <w:rPr>
                <w:rFonts w:hint="eastAsia" w:cs="Times New Roman"/>
                <w:color w:val="auto"/>
                <w:szCs w:val="21"/>
                <w:lang w:val="en-US" w:eastAsia="zh-CN" w:bidi="ar"/>
              </w:rPr>
              <w:t>腐殖土</w:t>
            </w:r>
            <w:r>
              <w:rPr>
                <w:rFonts w:hint="default" w:ascii="Times New Roman" w:hAnsi="Times New Roman" w:eastAsia="宋体" w:cs="Times New Roman"/>
                <w:color w:val="auto"/>
                <w:szCs w:val="21"/>
                <w:lang w:val="en-US" w:eastAsia="zh-CN" w:bidi="ar"/>
              </w:rPr>
              <w:t>、草根、砖头等杂物。回填应对称，每层高度不得超过30cm，并及时夯实。回填土应用人工或蛙式打夯机分层夯实。</w:t>
            </w:r>
          </w:p>
          <w:p w14:paraId="359543D5">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⑤植被恢复</w:t>
            </w:r>
          </w:p>
          <w:p w14:paraId="58CD47B7">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回填夯实后的管道占地应进行植被恢复，种植适宜的草本及乔木进行植被恢复。</w:t>
            </w:r>
          </w:p>
          <w:p w14:paraId="5F4F689F">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（3）架空管线施工</w:t>
            </w:r>
          </w:p>
          <w:p w14:paraId="0CFB2D3E">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本次架空充填管路管道型号选用D245x20mm，管道敷设方式选用架空的方式。</w:t>
            </w:r>
          </w:p>
          <w:p w14:paraId="421B4CE0">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①支吊架（管墩）安装</w:t>
            </w:r>
          </w:p>
          <w:p w14:paraId="58EEEE3A">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在基础上安装支吊架的立柱、横梁等结构，调整其标高、垂直度和中心位置，然后紧固地脚螺栓，安装滑动支座、固定支座、导向支座等。</w:t>
            </w:r>
          </w:p>
          <w:p w14:paraId="0A489218">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②架空管道安装连接</w:t>
            </w:r>
          </w:p>
          <w:p w14:paraId="62575F6C">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使用吊车将预制好的管段吊装到支吊架上，管段之间的主要连接方式是焊接。</w:t>
            </w:r>
          </w:p>
          <w:p w14:paraId="213A8676">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③测试、防腐保温与验收</w:t>
            </w:r>
          </w:p>
          <w:p w14:paraId="767F8128">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焊缝完成后，按设计要求和规范规定，对焊口进行射线探伤（RT）、超声波探伤（UT）、磁粉探伤（MT）或渗透探伤（PT）等，检测内部和表面缺陷，管道系统安装完毕并检验合格后，进行强度试验和严密性试验。</w:t>
            </w:r>
          </w:p>
          <w:p w14:paraId="20999CF4">
            <w:pPr>
              <w:keepNext w:val="0"/>
              <w:keepLines w:val="0"/>
              <w:pageBreakBefore w:val="0"/>
              <w:widowControl/>
              <w:kinsoku/>
              <w:wordWrap/>
              <w:overflowPunct/>
              <w:topLinePunct w:val="0"/>
              <w:autoSpaceDE/>
              <w:autoSpaceDN/>
              <w:bidi w:val="0"/>
              <w:snapToGrid w:val="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二、</w:t>
            </w:r>
            <w:r>
              <w:rPr>
                <w:rFonts w:hint="default" w:ascii="Times New Roman" w:hAnsi="Times New Roman" w:eastAsia="宋体" w:cs="Times New Roman"/>
                <w:b/>
                <w:bCs/>
                <w:color w:val="auto"/>
              </w:rPr>
              <w:t>运营期生产工艺流程及产污节点</w:t>
            </w:r>
          </w:p>
          <w:p w14:paraId="3AA41194">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Style w:val="67"/>
                <w:rFonts w:hint="default" w:ascii="Times New Roman" w:hAnsi="Times New Roman" w:eastAsia="宋体" w:cs="Times New Roman"/>
                <w:color w:val="auto"/>
                <w:sz w:val="24"/>
                <w:szCs w:val="24"/>
                <w:highlight w:val="none"/>
                <w:shd w:val="clear" w:color="auto" w:fill="auto"/>
              </w:rPr>
            </w:pPr>
            <w:r>
              <w:rPr>
                <w:rStyle w:val="67"/>
                <w:rFonts w:hint="default" w:ascii="Times New Roman" w:hAnsi="Times New Roman" w:eastAsia="宋体" w:cs="Times New Roman"/>
                <w:color w:val="auto"/>
                <w:sz w:val="24"/>
                <w:szCs w:val="24"/>
                <w:highlight w:val="none"/>
              </w:rPr>
              <w:t>本次采用覆岩</w:t>
            </w:r>
            <w:r>
              <w:rPr>
                <w:rStyle w:val="67"/>
                <w:rFonts w:hint="default" w:ascii="Times New Roman" w:hAnsi="Times New Roman" w:eastAsia="宋体" w:cs="Times New Roman"/>
                <w:color w:val="auto"/>
                <w:sz w:val="24"/>
                <w:szCs w:val="24"/>
                <w:highlight w:val="none"/>
                <w:lang w:val="en-US" w:eastAsia="zh-CN"/>
              </w:rPr>
              <w:t>离层</w:t>
            </w:r>
            <w:r>
              <w:rPr>
                <w:rStyle w:val="67"/>
                <w:rFonts w:hint="default" w:ascii="Times New Roman" w:hAnsi="Times New Roman" w:eastAsia="宋体" w:cs="Times New Roman"/>
                <w:color w:val="auto"/>
                <w:sz w:val="24"/>
                <w:szCs w:val="24"/>
                <w:highlight w:val="none"/>
              </w:rPr>
              <w:t>注浆</w:t>
            </w:r>
            <w:r>
              <w:rPr>
                <w:rStyle w:val="67"/>
                <w:rFonts w:hint="default" w:ascii="Times New Roman" w:hAnsi="Times New Roman" w:eastAsia="宋体" w:cs="Times New Roman"/>
                <w:color w:val="auto"/>
                <w:sz w:val="24"/>
                <w:szCs w:val="24"/>
                <w:highlight w:val="none"/>
                <w:lang w:eastAsia="zh-CN"/>
              </w:rPr>
              <w:t>充填技术</w:t>
            </w:r>
            <w:r>
              <w:rPr>
                <w:rStyle w:val="67"/>
                <w:rFonts w:hint="default" w:ascii="Times New Roman" w:hAnsi="Times New Roman" w:eastAsia="宋体" w:cs="Times New Roman"/>
                <w:color w:val="auto"/>
                <w:sz w:val="24"/>
                <w:szCs w:val="24"/>
                <w:highlight w:val="none"/>
              </w:rPr>
              <w:t>处理矿井矸石。</w:t>
            </w:r>
            <w:r>
              <w:rPr>
                <w:rStyle w:val="67"/>
                <w:rFonts w:hint="default" w:ascii="Times New Roman" w:hAnsi="Times New Roman" w:eastAsia="宋体" w:cs="Times New Roman"/>
                <w:color w:val="auto"/>
                <w:sz w:val="24"/>
                <w:szCs w:val="24"/>
                <w:highlight w:val="none"/>
                <w:shd w:val="clear" w:color="auto" w:fill="auto"/>
                <w:lang w:val="en-US" w:eastAsia="zh-CN"/>
              </w:rPr>
              <w:t>带式输送机将矸石从矸石仓下口输送至一级破碎站和二级破碎站。矸石经一级破碎、二级破碎后通过带式输送机输送至球磨系统，</w:t>
            </w:r>
            <w:r>
              <w:rPr>
                <w:rStyle w:val="67"/>
                <w:rFonts w:hint="default" w:ascii="Times New Roman" w:hAnsi="Times New Roman" w:eastAsia="宋体" w:cs="Times New Roman"/>
                <w:color w:val="auto"/>
                <w:sz w:val="24"/>
                <w:szCs w:val="24"/>
                <w:highlight w:val="none"/>
                <w:shd w:val="clear" w:color="auto" w:fill="auto"/>
              </w:rPr>
              <w:t>球磨后矸石浆液进入搅拌池</w:t>
            </w:r>
            <w:r>
              <w:rPr>
                <w:rStyle w:val="67"/>
                <w:rFonts w:hint="default" w:ascii="Times New Roman" w:hAnsi="Times New Roman" w:eastAsia="宋体" w:cs="Times New Roman"/>
                <w:color w:val="auto"/>
                <w:sz w:val="24"/>
                <w:szCs w:val="24"/>
                <w:highlight w:val="none"/>
                <w:shd w:val="clear" w:color="auto" w:fill="auto"/>
                <w:lang w:eastAsia="zh-CN"/>
              </w:rPr>
              <w:t>，</w:t>
            </w:r>
            <w:r>
              <w:rPr>
                <w:rStyle w:val="67"/>
                <w:rFonts w:hint="default" w:ascii="Times New Roman" w:hAnsi="Times New Roman" w:eastAsia="宋体" w:cs="Times New Roman"/>
                <w:color w:val="auto"/>
                <w:sz w:val="24"/>
                <w:szCs w:val="24"/>
                <w:highlight w:val="none"/>
                <w:shd w:val="clear" w:color="auto" w:fill="auto"/>
              </w:rPr>
              <w:t>搅拌池内浆液自流进入充填泵，通过</w:t>
            </w:r>
            <w:r>
              <w:rPr>
                <w:rStyle w:val="67"/>
                <w:rFonts w:hint="default" w:ascii="Times New Roman" w:hAnsi="Times New Roman" w:eastAsia="宋体" w:cs="Times New Roman"/>
                <w:color w:val="auto"/>
                <w:sz w:val="24"/>
                <w:szCs w:val="24"/>
                <w:highlight w:val="none"/>
                <w:shd w:val="clear" w:color="auto" w:fill="auto"/>
                <w:lang w:val="en-US" w:eastAsia="zh-CN"/>
              </w:rPr>
              <w:t>注浆</w:t>
            </w:r>
            <w:r>
              <w:rPr>
                <w:rStyle w:val="67"/>
                <w:rFonts w:hint="default" w:ascii="Times New Roman" w:hAnsi="Times New Roman" w:eastAsia="宋体" w:cs="Times New Roman"/>
                <w:color w:val="auto"/>
                <w:sz w:val="24"/>
                <w:szCs w:val="24"/>
                <w:highlight w:val="none"/>
                <w:shd w:val="clear" w:color="auto" w:fill="auto"/>
              </w:rPr>
              <w:t>管路输送充填泵、管路输送至回采工作面上部钻孔，对离层空间进行注浆。</w:t>
            </w:r>
          </w:p>
          <w:p w14:paraId="72F63EE0">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离层注浆充填工艺</w:t>
            </w:r>
            <w:r>
              <w:rPr>
                <w:rFonts w:hint="default" w:ascii="Times New Roman" w:hAnsi="Times New Roman" w:eastAsia="宋体" w:cs="Times New Roman"/>
                <w:color w:val="auto"/>
                <w:sz w:val="24"/>
                <w:szCs w:val="24"/>
                <w:highlight w:val="none"/>
                <w:shd w:val="clear" w:color="auto" w:fill="auto"/>
                <w:lang w:val="en-US" w:eastAsia="zh-CN"/>
              </w:rPr>
              <w:t>流程及产污如下图所示</w:t>
            </w:r>
            <w:r>
              <w:rPr>
                <w:rFonts w:hint="default" w:ascii="Times New Roman" w:hAnsi="Times New Roman" w:eastAsia="宋体" w:cs="Times New Roman"/>
                <w:color w:val="auto"/>
                <w:sz w:val="24"/>
                <w:szCs w:val="24"/>
                <w:highlight w:val="none"/>
                <w:shd w:val="clear" w:color="auto" w:fill="auto"/>
              </w:rPr>
              <w:t>。</w:t>
            </w:r>
          </w:p>
          <w:p w14:paraId="29813AB5">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 w:val="24"/>
              </w:rPr>
              <w:object>
                <v:shape id="_x0000_i1031" o:spt="75" type="#_x0000_t75" style="height:387.25pt;width:303.2pt;" o:ole="t" filled="f" o:preferrelative="t" stroked="f" coordsize="21600,21600">
                  <v:path/>
                  <v:fill on="f" focussize="0,0"/>
                  <v:stroke on="f"/>
                  <v:imagedata r:id="rId49" o:title=""/>
                  <o:lock v:ext="edit" aspectratio="f"/>
                  <w10:wrap type="none"/>
                  <w10:anchorlock/>
                </v:shape>
                <o:OLEObject Type="Embed" ProgID="Visio.Drawing.15" ShapeID="_x0000_i1031" DrawAspect="Content" ObjectID="_1468075731" r:id="rId48">
                  <o:LockedField>false</o:LockedField>
                </o:OLEObject>
              </w:object>
            </w:r>
          </w:p>
          <w:p w14:paraId="68643BBF">
            <w:pPr>
              <w:spacing w:line="360" w:lineRule="auto"/>
              <w:ind w:firstLine="480"/>
              <w:jc w:val="center"/>
              <w:rPr>
                <w:rFonts w:hint="default" w:ascii="Times New Roman" w:hAnsi="Times New Roman" w:eastAsia="宋体" w:cs="Times New Roman"/>
                <w:b/>
                <w:bCs/>
                <w:color w:val="auto"/>
                <w:sz w:val="24"/>
                <w:szCs w:val="24"/>
                <w:highlight w:val="none"/>
                <w:shd w:val="clear" w:color="auto" w:fill="auto"/>
              </w:rPr>
            </w:pPr>
            <w:r>
              <w:rPr>
                <w:rFonts w:hint="default" w:ascii="Times New Roman" w:hAnsi="Times New Roman" w:eastAsia="宋体" w:cs="Times New Roman"/>
                <w:b/>
                <w:bCs/>
                <w:color w:val="auto"/>
                <w:sz w:val="24"/>
                <w:szCs w:val="24"/>
                <w:highlight w:val="none"/>
                <w:shd w:val="clear" w:color="auto" w:fill="auto"/>
              </w:rPr>
              <w:t>图</w:t>
            </w:r>
            <w:r>
              <w:rPr>
                <w:rFonts w:hint="default" w:ascii="Times New Roman" w:hAnsi="Times New Roman" w:eastAsia="宋体" w:cs="Times New Roman"/>
                <w:b/>
                <w:bCs/>
                <w:color w:val="auto"/>
                <w:sz w:val="24"/>
                <w:szCs w:val="24"/>
                <w:highlight w:val="none"/>
                <w:shd w:val="clear" w:color="auto" w:fill="auto"/>
                <w:lang w:val="en-US" w:eastAsia="zh-CN"/>
              </w:rPr>
              <w:t>2-1</w:t>
            </w:r>
            <w:r>
              <w:rPr>
                <w:rFonts w:hint="eastAsia" w:cs="Times New Roman"/>
                <w:b/>
                <w:bCs/>
                <w:color w:val="auto"/>
                <w:sz w:val="24"/>
                <w:szCs w:val="24"/>
                <w:highlight w:val="none"/>
                <w:shd w:val="clear" w:color="auto" w:fill="auto"/>
                <w:lang w:val="en-US" w:eastAsia="zh-CN"/>
              </w:rPr>
              <w:t>9</w:t>
            </w:r>
            <w:r>
              <w:rPr>
                <w:rFonts w:hint="default" w:ascii="Times New Roman" w:hAnsi="Times New Roman" w:eastAsia="宋体" w:cs="Times New Roman"/>
                <w:b/>
                <w:bCs/>
                <w:color w:val="auto"/>
                <w:sz w:val="24"/>
                <w:szCs w:val="24"/>
                <w:highlight w:val="none"/>
                <w:shd w:val="clear" w:color="auto" w:fill="auto"/>
              </w:rPr>
              <w:t xml:space="preserve">  离层注浆充填工艺图</w:t>
            </w:r>
          </w:p>
          <w:p w14:paraId="1F1BFA87">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离层充填工艺主要包括破碎及球磨系统、配比搅拌及浆体泵送系统、注浆系统。</w:t>
            </w:r>
          </w:p>
          <w:p w14:paraId="0C1B051A">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szCs w:val="21"/>
                <w:lang w:val="en-US" w:eastAsia="zh-CN" w:bidi="ar"/>
              </w:rPr>
              <w:t>矸石破碎及球磨</w:t>
            </w:r>
          </w:p>
          <w:p w14:paraId="7074BB52">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白家海子</w:t>
            </w:r>
            <w:r>
              <w:rPr>
                <w:rFonts w:hint="default" w:ascii="Times New Roman" w:hAnsi="Times New Roman" w:eastAsia="宋体" w:cs="Times New Roman"/>
                <w:color w:val="auto"/>
              </w:rPr>
              <w:t>煤矿产生的煤矸石主要来源于选煤厂洗选加工后产生的</w:t>
            </w:r>
            <w:r>
              <w:rPr>
                <w:rFonts w:hint="default" w:ascii="Times New Roman" w:hAnsi="Times New Roman" w:eastAsia="宋体" w:cs="Times New Roman"/>
                <w:color w:val="auto"/>
                <w:lang w:val="en-US" w:eastAsia="zh-CN"/>
              </w:rPr>
              <w:t>煤矸石</w:t>
            </w:r>
            <w:r>
              <w:rPr>
                <w:rFonts w:hint="default" w:ascii="Times New Roman" w:hAnsi="Times New Roman" w:eastAsia="宋体" w:cs="Times New Roman"/>
                <w:color w:val="auto"/>
              </w:rPr>
              <w:t>，</w:t>
            </w:r>
            <w:bookmarkStart w:id="7" w:name="OLE_LINK13"/>
            <w:r>
              <w:rPr>
                <w:rFonts w:hint="default" w:ascii="Times New Roman" w:hAnsi="Times New Roman" w:eastAsia="宋体" w:cs="Times New Roman"/>
                <w:color w:val="auto"/>
                <w:lang w:val="en-US" w:eastAsia="zh-CN"/>
              </w:rPr>
              <w:t>粒度</w:t>
            </w:r>
            <w:r>
              <w:rPr>
                <w:rFonts w:hint="default" w:ascii="Times New Roman" w:hAnsi="Times New Roman" w:eastAsia="宋体" w:cs="Times New Roman"/>
                <w:color w:val="auto"/>
              </w:rPr>
              <w:t>≤200mm</w:t>
            </w:r>
            <w:bookmarkEnd w:id="7"/>
            <w:r>
              <w:rPr>
                <w:rFonts w:hint="default" w:ascii="Times New Roman" w:hAnsi="Times New Roman" w:eastAsia="宋体" w:cs="Times New Roman"/>
                <w:color w:val="auto"/>
              </w:rPr>
              <w:t>。现矸石仓下安装一台扇形装车闸门，仅用于矸石装汽车用，不具备定量给料功能。本项目在矸石仓下安装一台全封闭加长型定量给料机（给料机后设除铁器，当永磁铁吸附铁磁物较多时，人工用非磁性刮板清除），将矸石给至新建的全封闭尾煤泥带式输送机上（需延长尾煤泥带式输送机机尾），再通过皮带</w:t>
            </w:r>
            <w:r>
              <w:rPr>
                <w:rFonts w:hint="eastAsia" w:cs="Times New Roman"/>
                <w:color w:val="auto"/>
                <w:lang w:eastAsia="zh-CN"/>
              </w:rPr>
              <w:t>将</w:t>
            </w:r>
            <w:r>
              <w:rPr>
                <w:rFonts w:hint="default" w:ascii="Times New Roman" w:hAnsi="Times New Roman" w:eastAsia="宋体" w:cs="Times New Roman"/>
                <w:color w:val="auto"/>
              </w:rPr>
              <w:t>矸石输送至</w:t>
            </w:r>
            <w:r>
              <w:rPr>
                <w:rFonts w:hint="default" w:ascii="Times New Roman" w:hAnsi="Times New Roman" w:eastAsia="宋体" w:cs="Times New Roman"/>
                <w:color w:val="auto"/>
                <w:lang w:val="en-US" w:eastAsia="zh-CN"/>
              </w:rPr>
              <w:t>反击式破碎机</w:t>
            </w:r>
            <w:r>
              <w:rPr>
                <w:rFonts w:hint="default" w:ascii="Times New Roman" w:hAnsi="Times New Roman" w:eastAsia="宋体" w:cs="Times New Roman"/>
                <w:color w:val="auto"/>
              </w:rPr>
              <w:t>，将矸石物料破碎至≤</w:t>
            </w:r>
            <w:r>
              <w:rPr>
                <w:rFonts w:hint="default" w:ascii="Times New Roman" w:hAnsi="Times New Roman" w:eastAsia="宋体" w:cs="Times New Roman"/>
                <w:color w:val="auto"/>
                <w:lang w:val="en-US" w:eastAsia="zh-CN"/>
              </w:rPr>
              <w:t>30</w:t>
            </w:r>
            <w:r>
              <w:rPr>
                <w:rFonts w:hint="default" w:ascii="Times New Roman" w:hAnsi="Times New Roman" w:eastAsia="宋体" w:cs="Times New Roman"/>
                <w:color w:val="auto"/>
              </w:rPr>
              <w:t>mm，出料由带式输送机运至对辊制砂机，将物料破碎至≤</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mm的粒度，由对辊制砂机下溜槽进入球磨机研磨制成浆液，浆液通过振动筛，筛出不合格物料。筛下100-120目的浆液通过沟槽进入搅拌池进行搅拌。</w:t>
            </w:r>
          </w:p>
          <w:p w14:paraId="301596CC">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2、浆体输送管路</w:t>
            </w:r>
          </w:p>
          <w:p w14:paraId="5BF53CEC">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浆体输送管路铺设路径为：充填注浆泵站——井下离层充填区。</w:t>
            </w:r>
          </w:p>
          <w:p w14:paraId="28645227">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注浆站之间配备一趟D245×20mm 耐磨无缝钢管浆体输送管路，管路水平距离最长达4961m，其中注浆管线沿制浆车间西侧道路埋地敷设长度为731m，向北出工业场地后，向东北4.23km 架空敷设直接到 2201 工作面注浆孔。</w:t>
            </w:r>
          </w:p>
          <w:p w14:paraId="58A9990B">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3、搅拌系统</w:t>
            </w:r>
          </w:p>
          <w:p w14:paraId="22AA71E4">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矸石经球磨机研磨后，在充填注浆泵站制成符合条件的浆体，经充填注浆泵站注浆泵通过浆体输送管路输送至充填注浆钻孔进行充填注浆。</w:t>
            </w:r>
          </w:p>
          <w:p w14:paraId="44599D5B">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设计将球磨机制成的浆体与水按设定的质量比（水矸1:1），均匀混合制成浆液，进入折浆搅拌池中，再通过管路分配给充填注浆泵输送至地面充填钻孔处。</w:t>
            </w:r>
          </w:p>
          <w:p w14:paraId="1832A521">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充填注浆泵站选择一台 JB-4000型折浆搅拌机（每个搅拌池内设一台折浆搅拌机），两台工作，搅拌叶片直径4m，搅拌轴长3.5m，功率11kW，采用变频调速控制；</w:t>
            </w:r>
          </w:p>
          <w:p w14:paraId="4D0BBB87">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4、注浆</w:t>
            </w:r>
          </w:p>
          <w:p w14:paraId="5C299311">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首先进行注水试验，注水试验时间不小于1小时，计算钻孔吸水率。之后用稀浆液试注并根据实际情况及时调整浆液浓度。</w:t>
            </w:r>
          </w:p>
          <w:p w14:paraId="4055C052">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一旦开始注浆，如没有特殊情况，一段时间内不能停止注浆，因为离层发育一旦开始就会不停的发展，此时带压浆液会对岩层有一定的支撑作用，如果停止注浆，其上覆岩层由于失去支撑而使得沉陷加快，就减弱了注浆的效果，不利于关键层稳定。注浆参数的调节主要是调节注浆压力和浆液流量，使其与离层发育程度有一个最佳的配合。如因特殊情况，必须暂停注浆时，应向钻孔内连续注入清水2个小时以上。</w:t>
            </w:r>
          </w:p>
          <w:p w14:paraId="5D37711A">
            <w:pPr>
              <w:keepNext w:val="0"/>
              <w:keepLines w:val="0"/>
              <w:pageBreakBefore w:val="0"/>
              <w:widowControl/>
              <w:kinsoku/>
              <w:wordWrap/>
              <w:overflowPunct/>
              <w:topLinePunct w:val="0"/>
              <w:autoSpaceDE/>
              <w:autoSpaceDN/>
              <w:bidi w:val="0"/>
              <w:adjustRightInd w:val="0"/>
              <w:snapToGrid w:val="0"/>
              <w:ind w:firstLine="480"/>
              <w:textAlignment w:val="auto"/>
              <w:rPr>
                <w:rFonts w:hint="default" w:ascii="Times New Roman" w:hAnsi="Times New Roman" w:eastAsia="宋体" w:cs="Times New Roman"/>
                <w:color w:val="auto"/>
                <w:szCs w:val="21"/>
                <w:lang w:val="en-US" w:eastAsia="zh-CN" w:bidi="ar"/>
              </w:rPr>
            </w:pPr>
            <w:r>
              <w:rPr>
                <w:rFonts w:hint="default" w:ascii="Times New Roman" w:hAnsi="Times New Roman" w:eastAsia="宋体" w:cs="Times New Roman"/>
                <w:color w:val="auto"/>
                <w:szCs w:val="21"/>
                <w:lang w:val="en-US" w:eastAsia="zh-CN" w:bidi="ar"/>
              </w:rPr>
              <w:t>钻孔的注浆结束条件应根据注浆压力和单孔注浆量两个指标来判断确定，二者满足其一：①满足注浆压力达到设计终压，注水稳定漏失量小于100L/min，稳定时间不少于30min，若该孔经长期试验压力不降，不进浆，即可停止该孔注浆工作；②单孔注浆量已达到规定注入量，孔口压力已达到规定压力值，可进行换孔注浆。</w:t>
            </w:r>
          </w:p>
          <w:p w14:paraId="1139EDB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1"/>
              <w:rPr>
                <w:rFonts w:hint="default" w:ascii="Times New Roman" w:hAnsi="Times New Roman" w:eastAsia="宋体" w:cs="Times New Roman"/>
                <w:b/>
                <w:color w:val="auto"/>
                <w:kern w:val="2"/>
                <w:sz w:val="24"/>
                <w:szCs w:val="24"/>
                <w:lang w:val="en-US" w:eastAsia="zh-CN"/>
              </w:rPr>
            </w:pPr>
            <w:r>
              <w:rPr>
                <w:rFonts w:hint="default" w:ascii="Times New Roman" w:hAnsi="Times New Roman" w:eastAsia="宋体" w:cs="Times New Roman"/>
                <w:b/>
                <w:color w:val="auto"/>
                <w:kern w:val="2"/>
                <w:sz w:val="24"/>
                <w:szCs w:val="24"/>
                <w:lang w:val="en-US" w:eastAsia="zh-CN"/>
              </w:rPr>
              <w:t>三、主要污染工序</w:t>
            </w:r>
          </w:p>
          <w:p w14:paraId="4F7ECB8D">
            <w:pPr>
              <w:widowControl w:val="0"/>
              <w:spacing w:line="360" w:lineRule="auto"/>
              <w:ind w:firstLine="482" w:firstLineChars="200"/>
              <w:rPr>
                <w:rFonts w:hint="default" w:ascii="Times New Roman" w:hAnsi="Times New Roman" w:eastAsia="宋体" w:cs="Times New Roman"/>
                <w:b/>
                <w:color w:val="auto"/>
                <w:kern w:val="2"/>
                <w:sz w:val="24"/>
                <w:szCs w:val="24"/>
                <w:lang w:val="en-US" w:eastAsia="zh-CN"/>
              </w:rPr>
            </w:pPr>
            <w:r>
              <w:rPr>
                <w:rFonts w:hint="default" w:ascii="Times New Roman" w:hAnsi="Times New Roman" w:eastAsia="宋体" w:cs="Times New Roman"/>
                <w:b/>
                <w:color w:val="auto"/>
                <w:kern w:val="2"/>
                <w:sz w:val="24"/>
                <w:szCs w:val="24"/>
                <w:lang w:val="en-US" w:eastAsia="zh-CN"/>
              </w:rPr>
              <w:t>1、施工期主要污染工序</w:t>
            </w:r>
          </w:p>
          <w:p w14:paraId="78CBCD3F">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本项目施工期主要污染工序为场地平整、土建工程（注浆站、破碎楼、配电室、转载点、带式输送机栈桥等）、钻井工程、管线工程等，施工期主要污染包括以下几个方面。</w:t>
            </w:r>
          </w:p>
          <w:p w14:paraId="6E034C6E">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lang w:val="en-US" w:eastAsia="zh-CN"/>
              </w:rPr>
              <w:t>1</w:t>
            </w: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rPr>
              <w:t>废气</w:t>
            </w:r>
          </w:p>
          <w:p w14:paraId="48400D5F">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施工车辆、井场钻机的柴油发电机燃油时排放的少量SO</w:t>
            </w:r>
            <w:r>
              <w:rPr>
                <w:rFonts w:hint="default" w:ascii="Times New Roman" w:hAnsi="Times New Roman" w:eastAsia="宋体" w:cs="Times New Roman"/>
                <w:b w:val="0"/>
                <w:bCs/>
                <w:color w:val="auto"/>
                <w:kern w:val="2"/>
                <w:sz w:val="24"/>
                <w:szCs w:val="24"/>
                <w:vertAlign w:val="subscript"/>
              </w:rPr>
              <w:t>2</w:t>
            </w:r>
            <w:r>
              <w:rPr>
                <w:rFonts w:hint="default" w:ascii="Times New Roman" w:hAnsi="Times New Roman" w:eastAsia="宋体" w:cs="Times New Roman"/>
                <w:b w:val="0"/>
                <w:bCs/>
                <w:color w:val="auto"/>
                <w:kern w:val="2"/>
                <w:sz w:val="24"/>
                <w:szCs w:val="24"/>
              </w:rPr>
              <w:t>、NO</w:t>
            </w:r>
            <w:r>
              <w:rPr>
                <w:rFonts w:hint="default" w:ascii="Times New Roman" w:hAnsi="Times New Roman" w:eastAsia="宋体" w:cs="Times New Roman"/>
                <w:b w:val="0"/>
                <w:bCs/>
                <w:color w:val="auto"/>
                <w:kern w:val="2"/>
                <w:sz w:val="24"/>
                <w:szCs w:val="24"/>
                <w:vertAlign w:val="subscript"/>
              </w:rPr>
              <w:t>2</w:t>
            </w:r>
            <w:r>
              <w:rPr>
                <w:rFonts w:hint="default" w:ascii="Times New Roman" w:hAnsi="Times New Roman" w:eastAsia="宋体" w:cs="Times New Roman"/>
                <w:b w:val="0"/>
                <w:bCs/>
                <w:color w:val="auto"/>
                <w:kern w:val="2"/>
                <w:sz w:val="24"/>
                <w:szCs w:val="24"/>
              </w:rPr>
              <w:t>、CO、烃类等污染物；场地平整、注浆站、破碎楼、配电室、转载点、带式输送机栈桥建设过程中产生的施工扬尘；施工材料装卸、运输扬尘。施工期废气均为无组织排放。</w:t>
            </w:r>
          </w:p>
          <w:p w14:paraId="06C656C9">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lang w:val="en-US" w:eastAsia="zh-CN"/>
              </w:rPr>
              <w:t>2</w:t>
            </w: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rPr>
              <w:t>废水</w:t>
            </w:r>
          </w:p>
          <w:p w14:paraId="58D83B05">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本项目施工期废水包括钻井废水、管道试压废水和施工人员的生活污水。</w:t>
            </w:r>
          </w:p>
          <w:p w14:paraId="7979A0DE">
            <w:pPr>
              <w:widowControl w:val="0"/>
              <w:spacing w:line="360" w:lineRule="auto"/>
              <w:ind w:firstLine="480" w:firstLineChars="200"/>
              <w:rPr>
                <w:rFonts w:hint="eastAsia" w:ascii="Times New Roman" w:hAnsi="Times New Roman" w:eastAsia="宋体" w:cs="Times New Roman"/>
                <w:b w:val="0"/>
                <w:bCs/>
                <w:color w:val="auto"/>
                <w:kern w:val="2"/>
                <w:sz w:val="24"/>
                <w:szCs w:val="24"/>
                <w:lang w:eastAsia="zh-CN"/>
              </w:rPr>
            </w:pPr>
            <w:r>
              <w:rPr>
                <w:rFonts w:hint="default" w:ascii="Times New Roman" w:hAnsi="Times New Roman" w:eastAsia="宋体" w:cs="Times New Roman"/>
                <w:b w:val="0"/>
                <w:bCs/>
                <w:color w:val="auto"/>
                <w:kern w:val="2"/>
                <w:sz w:val="24"/>
                <w:szCs w:val="24"/>
              </w:rPr>
              <w:t>①钻井</w:t>
            </w:r>
            <w:r>
              <w:rPr>
                <w:rFonts w:hint="eastAsia" w:cs="Times New Roman"/>
                <w:b w:val="0"/>
                <w:bCs/>
                <w:color w:val="auto"/>
                <w:kern w:val="2"/>
                <w:sz w:val="24"/>
                <w:szCs w:val="24"/>
                <w:lang w:val="en-US" w:eastAsia="zh-CN"/>
              </w:rPr>
              <w:t>泥浆</w:t>
            </w:r>
          </w:p>
          <w:p w14:paraId="1B0709CD">
            <w:pPr>
              <w:widowControl w:val="0"/>
              <w:spacing w:line="360" w:lineRule="auto"/>
              <w:ind w:firstLine="480" w:firstLineChars="200"/>
              <w:rPr>
                <w:rFonts w:hint="default" w:ascii="Times New Roman" w:hAnsi="Times New Roman" w:eastAsia="宋体" w:cs="Times New Roman"/>
                <w:b w:val="0"/>
                <w:bCs/>
                <w:color w:val="auto"/>
                <w:kern w:val="2"/>
                <w:sz w:val="24"/>
                <w:szCs w:val="24"/>
                <w:lang w:val="en-US" w:eastAsia="zh-CN"/>
              </w:rPr>
            </w:pPr>
            <w:r>
              <w:rPr>
                <w:rFonts w:hint="default" w:ascii="Times New Roman" w:hAnsi="Times New Roman" w:eastAsia="宋体" w:cs="Times New Roman"/>
                <w:color w:val="auto"/>
                <w:kern w:val="0"/>
                <w:sz w:val="24"/>
                <w:szCs w:val="24"/>
                <w:highlight w:val="none"/>
                <w:lang w:val="en-US" w:eastAsia="zh-CN" w:bidi="ar"/>
              </w:rPr>
              <w:t>项目每个钻井泥浆产生量为20m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kern w:val="0"/>
                <w:sz w:val="24"/>
                <w:szCs w:val="24"/>
                <w:highlight w:val="none"/>
                <w:lang w:val="en-US" w:eastAsia="zh-CN" w:bidi="ar"/>
              </w:rPr>
              <w:t>本项目注浆钻孔数量为70个，钻孔泥浆产生量为1400m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/a，钻井泥浆主要污染物为悬浮物等，钻井泥浆收集后委托有资质单位进行处置，不外排。</w:t>
            </w:r>
          </w:p>
          <w:p w14:paraId="0842BDCC">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②管道试压废水</w:t>
            </w:r>
          </w:p>
          <w:p w14:paraId="39A7873B">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管道铺设完毕后，进行清管、试压作业，管道试压废水水量约为 8.6m</w:t>
            </w:r>
            <w:r>
              <w:rPr>
                <w:rFonts w:hint="default" w:ascii="Times New Roman" w:hAnsi="Times New Roman" w:eastAsia="宋体" w:cs="Times New Roman"/>
                <w:b w:val="0"/>
                <w:bCs/>
                <w:color w:val="auto"/>
                <w:kern w:val="2"/>
                <w:sz w:val="24"/>
                <w:szCs w:val="24"/>
                <w:vertAlign w:val="superscript"/>
              </w:rPr>
              <w:t>3</w:t>
            </w:r>
            <w:r>
              <w:rPr>
                <w:rFonts w:hint="default" w:ascii="Times New Roman" w:hAnsi="Times New Roman" w:eastAsia="宋体" w:cs="Times New Roman"/>
                <w:b w:val="0"/>
                <w:bCs/>
                <w:color w:val="auto"/>
                <w:kern w:val="2"/>
                <w:sz w:val="24"/>
                <w:szCs w:val="24"/>
              </w:rPr>
              <w:t>/d，试压介质为洁净水，试压废水内主要污染物仅为少量悬浮物，收集沉淀后回用于煤矿选煤厂综合利用。</w:t>
            </w:r>
          </w:p>
          <w:p w14:paraId="573E2459">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③生活污水</w:t>
            </w:r>
          </w:p>
          <w:p w14:paraId="5C46A036">
            <w:pPr>
              <w:widowControl w:val="0"/>
              <w:spacing w:line="360" w:lineRule="auto"/>
              <w:ind w:firstLine="480" w:firstLineChars="200"/>
              <w:rPr>
                <w:rFonts w:hint="default" w:ascii="Times New Roman" w:hAnsi="Times New Roman" w:eastAsia="宋体" w:cs="Times New Roman"/>
                <w:b w:val="0"/>
                <w:bCs/>
                <w:color w:val="auto"/>
                <w:kern w:val="2"/>
                <w:sz w:val="24"/>
                <w:szCs w:val="24"/>
                <w:lang w:val="en-US" w:eastAsia="zh-CN"/>
              </w:rPr>
            </w:pPr>
            <w:r>
              <w:rPr>
                <w:rFonts w:hint="default" w:ascii="Times New Roman" w:hAnsi="Times New Roman" w:eastAsia="宋体" w:cs="Times New Roman"/>
                <w:b w:val="0"/>
                <w:bCs/>
                <w:color w:val="auto"/>
                <w:kern w:val="2"/>
                <w:sz w:val="24"/>
                <w:szCs w:val="24"/>
              </w:rPr>
              <w:t>钻孔施工3个月，生活污水产生量约0.9m</w:t>
            </w:r>
            <w:r>
              <w:rPr>
                <w:rFonts w:hint="default" w:ascii="Times New Roman" w:hAnsi="Times New Roman" w:eastAsia="宋体" w:cs="Times New Roman"/>
                <w:b w:val="0"/>
                <w:bCs/>
                <w:color w:val="auto"/>
                <w:kern w:val="2"/>
                <w:sz w:val="24"/>
                <w:szCs w:val="24"/>
                <w:vertAlign w:val="superscript"/>
              </w:rPr>
              <w:t>3</w:t>
            </w:r>
            <w:r>
              <w:rPr>
                <w:rFonts w:hint="default" w:ascii="Times New Roman" w:hAnsi="Times New Roman" w:eastAsia="宋体" w:cs="Times New Roman"/>
                <w:b w:val="0"/>
                <w:bCs/>
                <w:color w:val="auto"/>
                <w:kern w:val="2"/>
                <w:sz w:val="24"/>
                <w:szCs w:val="24"/>
              </w:rPr>
              <w:t>/d，钻井过程中产生生活污水量共计81m</w:t>
            </w:r>
            <w:r>
              <w:rPr>
                <w:rFonts w:hint="default" w:ascii="Times New Roman" w:hAnsi="Times New Roman" w:eastAsia="宋体" w:cs="Times New Roman"/>
                <w:b w:val="0"/>
                <w:bCs/>
                <w:color w:val="auto"/>
                <w:kern w:val="2"/>
                <w:sz w:val="24"/>
                <w:szCs w:val="24"/>
                <w:vertAlign w:val="superscript"/>
              </w:rPr>
              <w:t>3</w:t>
            </w:r>
            <w:r>
              <w:rPr>
                <w:rFonts w:hint="default" w:ascii="Times New Roman" w:hAnsi="Times New Roman" w:eastAsia="宋体" w:cs="Times New Roman"/>
                <w:b w:val="0"/>
                <w:bCs/>
                <w:color w:val="auto"/>
                <w:kern w:val="2"/>
                <w:sz w:val="24"/>
                <w:szCs w:val="24"/>
              </w:rPr>
              <w:t>，主要污染物为COD、BOD</w:t>
            </w:r>
            <w:r>
              <w:rPr>
                <w:rFonts w:hint="default" w:ascii="Times New Roman" w:hAnsi="Times New Roman" w:eastAsia="宋体" w:cs="Times New Roman"/>
                <w:b w:val="0"/>
                <w:bCs/>
                <w:color w:val="auto"/>
                <w:kern w:val="2"/>
                <w:sz w:val="24"/>
                <w:szCs w:val="24"/>
                <w:vertAlign w:val="subscript"/>
              </w:rPr>
              <w:t>5</w:t>
            </w:r>
            <w:r>
              <w:rPr>
                <w:rFonts w:hint="default" w:ascii="Times New Roman" w:hAnsi="Times New Roman" w:eastAsia="宋体" w:cs="Times New Roman"/>
                <w:b w:val="0"/>
                <w:bCs/>
                <w:color w:val="auto"/>
                <w:kern w:val="2"/>
                <w:sz w:val="24"/>
                <w:szCs w:val="24"/>
              </w:rPr>
              <w:t>、氨氮、SS 等</w:t>
            </w: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lang w:val="en-US" w:eastAsia="zh-CN"/>
              </w:rPr>
              <w:t>生活污水依托煤矿生活污水处理设施。</w:t>
            </w:r>
          </w:p>
          <w:p w14:paraId="04DF4E4D">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lang w:val="en-US" w:eastAsia="zh-CN"/>
              </w:rPr>
              <w:t>3</w:t>
            </w:r>
            <w:r>
              <w:rPr>
                <w:rFonts w:hint="default" w:ascii="Times New Roman" w:hAnsi="Times New Roman" w:eastAsia="宋体" w:cs="Times New Roman"/>
                <w:b w:val="0"/>
                <w:bCs/>
                <w:color w:val="auto"/>
                <w:kern w:val="2"/>
                <w:sz w:val="24"/>
                <w:szCs w:val="24"/>
                <w:lang w:eastAsia="zh-CN"/>
              </w:rPr>
              <w:t>）</w:t>
            </w:r>
            <w:r>
              <w:rPr>
                <w:rFonts w:hint="default" w:ascii="Times New Roman" w:hAnsi="Times New Roman" w:eastAsia="宋体" w:cs="Times New Roman"/>
                <w:b w:val="0"/>
                <w:bCs/>
                <w:color w:val="auto"/>
                <w:kern w:val="2"/>
                <w:sz w:val="24"/>
                <w:szCs w:val="24"/>
              </w:rPr>
              <w:t>噪声</w:t>
            </w:r>
          </w:p>
          <w:p w14:paraId="46A18636">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本项目施工期产生噪声的施工机械主要为柴油发电机、钻机、泥浆泵等，多为间歇性非稳态声源；施工作业噪声主要为一些零星的敲打声、装卸车辆的撞击声、吆喝声等，多为瞬间噪声；挖掘机、推土机等大型作业车辆噪声级较高。</w:t>
            </w:r>
          </w:p>
          <w:p w14:paraId="510BB8B2">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4）固体废物</w:t>
            </w:r>
          </w:p>
          <w:p w14:paraId="122F7A92">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施工期固体废弃物主要为废弃钻孔泥浆、钻孔岩屑以及施工人员的生活垃圾。</w:t>
            </w:r>
          </w:p>
          <w:p w14:paraId="38C93A3B">
            <w:pPr>
              <w:widowControl w:val="0"/>
              <w:spacing w:line="360" w:lineRule="auto"/>
              <w:ind w:firstLine="482" w:firstLineChars="200"/>
              <w:rPr>
                <w:rFonts w:hint="default" w:ascii="Times New Roman" w:hAnsi="Times New Roman" w:eastAsia="宋体" w:cs="Times New Roman"/>
                <w:b/>
                <w:bCs w:val="0"/>
                <w:color w:val="auto"/>
                <w:kern w:val="2"/>
                <w:sz w:val="24"/>
                <w:szCs w:val="24"/>
                <w:lang w:val="en-US" w:eastAsia="zh-CN"/>
              </w:rPr>
            </w:pPr>
            <w:r>
              <w:rPr>
                <w:rFonts w:hint="default" w:ascii="Times New Roman" w:hAnsi="Times New Roman" w:eastAsia="宋体" w:cs="Times New Roman"/>
                <w:b/>
                <w:bCs w:val="0"/>
                <w:color w:val="auto"/>
                <w:kern w:val="2"/>
                <w:sz w:val="24"/>
                <w:szCs w:val="24"/>
                <w:lang w:val="en-US" w:eastAsia="zh-CN"/>
              </w:rPr>
              <w:t>2、运营期主要污染物</w:t>
            </w:r>
          </w:p>
          <w:p w14:paraId="738F56A4">
            <w:pPr>
              <w:widowControl w:val="0"/>
              <w:spacing w:line="360" w:lineRule="auto"/>
              <w:ind w:firstLine="480" w:firstLineChars="200"/>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（1）废气</w:t>
            </w:r>
          </w:p>
          <w:p w14:paraId="5F015792">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w:t>
            </w:r>
            <w:r>
              <w:rPr>
                <w:rFonts w:hint="default" w:ascii="Times New Roman" w:hAnsi="Times New Roman" w:eastAsia="宋体" w:cs="Times New Roman"/>
                <w:color w:val="auto"/>
                <w:kern w:val="2"/>
                <w:sz w:val="24"/>
                <w:szCs w:val="24"/>
                <w:lang w:val="en-US" w:eastAsia="zh-CN"/>
              </w:rPr>
              <w:t>矸石依托白家海子煤矿矸石仓，产生的废气不重复计算，本项目产生的</w:t>
            </w:r>
            <w:r>
              <w:rPr>
                <w:rFonts w:hint="default" w:ascii="Times New Roman" w:hAnsi="Times New Roman" w:eastAsia="宋体" w:cs="Times New Roman"/>
                <w:color w:val="auto"/>
                <w:kern w:val="2"/>
                <w:sz w:val="24"/>
                <w:szCs w:val="24"/>
              </w:rPr>
              <w:t>废气主要为矸石破碎粉尘、输送皮带</w:t>
            </w:r>
            <w:r>
              <w:rPr>
                <w:rFonts w:hint="default" w:ascii="Times New Roman" w:hAnsi="Times New Roman" w:eastAsia="宋体" w:cs="Times New Roman"/>
                <w:color w:val="auto"/>
                <w:kern w:val="2"/>
                <w:sz w:val="24"/>
                <w:szCs w:val="24"/>
                <w:lang w:val="en-US" w:eastAsia="zh-CN"/>
              </w:rPr>
              <w:t>产生</w:t>
            </w:r>
            <w:r>
              <w:rPr>
                <w:rFonts w:hint="default" w:ascii="Times New Roman" w:hAnsi="Times New Roman" w:eastAsia="宋体" w:cs="Times New Roman"/>
                <w:color w:val="auto"/>
                <w:kern w:val="2"/>
                <w:sz w:val="24"/>
                <w:szCs w:val="24"/>
              </w:rPr>
              <w:t>粉尘、矸石</w:t>
            </w:r>
            <w:r>
              <w:rPr>
                <w:rFonts w:hint="default" w:ascii="Times New Roman" w:hAnsi="Times New Roman" w:eastAsia="宋体" w:cs="Times New Roman"/>
                <w:color w:val="auto"/>
                <w:kern w:val="2"/>
                <w:sz w:val="24"/>
                <w:szCs w:val="24"/>
                <w:lang w:val="en-US" w:eastAsia="zh-CN"/>
              </w:rPr>
              <w:t>球磨和筛分过程中产生</w:t>
            </w:r>
            <w:r>
              <w:rPr>
                <w:rFonts w:hint="default" w:ascii="Times New Roman" w:hAnsi="Times New Roman" w:eastAsia="宋体" w:cs="Times New Roman"/>
                <w:color w:val="auto"/>
                <w:kern w:val="2"/>
                <w:sz w:val="24"/>
                <w:szCs w:val="24"/>
              </w:rPr>
              <w:t>粉尘。</w:t>
            </w:r>
          </w:p>
          <w:p w14:paraId="348D98EE">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color w:val="auto"/>
                <w:kern w:val="2"/>
                <w:sz w:val="24"/>
                <w:szCs w:val="24"/>
              </w:rPr>
              <w:t>①</w:t>
            </w:r>
            <w:r>
              <w:rPr>
                <w:rFonts w:hint="default" w:ascii="Times New Roman" w:hAnsi="Times New Roman" w:eastAsia="宋体" w:cs="Times New Roman"/>
                <w:bCs/>
                <w:color w:val="auto"/>
                <w:kern w:val="2"/>
                <w:sz w:val="24"/>
                <w:szCs w:val="24"/>
              </w:rPr>
              <w:t>一级破碎粉尘</w:t>
            </w:r>
          </w:p>
          <w:p w14:paraId="0D91EFC3">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矸石进入</w:t>
            </w:r>
            <w:r>
              <w:rPr>
                <w:rFonts w:hint="default" w:ascii="Times New Roman" w:hAnsi="Times New Roman" w:eastAsia="宋体" w:cs="Times New Roman"/>
                <w:color w:val="auto"/>
                <w:kern w:val="2"/>
                <w:sz w:val="24"/>
                <w:szCs w:val="24"/>
                <w:highlight w:val="none"/>
                <w:lang w:val="en-US" w:eastAsia="zh-CN"/>
              </w:rPr>
              <w:t>反击式破碎机</w:t>
            </w:r>
            <w:r>
              <w:rPr>
                <w:rFonts w:hint="default" w:ascii="Times New Roman" w:hAnsi="Times New Roman" w:eastAsia="宋体" w:cs="Times New Roman"/>
                <w:bCs/>
                <w:color w:val="auto"/>
                <w:kern w:val="2"/>
                <w:sz w:val="24"/>
                <w:szCs w:val="24"/>
              </w:rPr>
              <w:t>破碎过程中产生大量粉尘，本项目设1台</w:t>
            </w:r>
            <w:r>
              <w:rPr>
                <w:rFonts w:hint="default" w:ascii="Times New Roman" w:hAnsi="Times New Roman" w:eastAsia="宋体" w:cs="Times New Roman"/>
                <w:bCs/>
                <w:color w:val="auto"/>
                <w:kern w:val="2"/>
                <w:sz w:val="24"/>
                <w:szCs w:val="24"/>
                <w:highlight w:val="none"/>
                <w:lang w:val="en-US" w:eastAsia="zh-CN"/>
              </w:rPr>
              <w:t>湿式除尘洗气机进行除尘</w:t>
            </w:r>
            <w:r>
              <w:rPr>
                <w:rFonts w:hint="default" w:ascii="Times New Roman" w:hAnsi="Times New Roman" w:eastAsia="宋体" w:cs="Times New Roman"/>
                <w:bCs/>
                <w:color w:val="auto"/>
                <w:kern w:val="2"/>
                <w:sz w:val="24"/>
                <w:szCs w:val="24"/>
              </w:rPr>
              <w:t>。</w:t>
            </w:r>
          </w:p>
          <w:p w14:paraId="459B88FF">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②二级破碎粉尘</w:t>
            </w:r>
          </w:p>
          <w:p w14:paraId="0BCC0B8B">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矸石进入</w:t>
            </w:r>
            <w:r>
              <w:rPr>
                <w:rFonts w:hint="default" w:ascii="Times New Roman" w:hAnsi="Times New Roman" w:eastAsia="宋体" w:cs="Times New Roman"/>
                <w:color w:val="auto"/>
                <w:kern w:val="2"/>
                <w:sz w:val="24"/>
                <w:szCs w:val="24"/>
                <w:highlight w:val="none"/>
                <w:lang w:val="en-US" w:eastAsia="zh-CN"/>
              </w:rPr>
              <w:t>对辊制砂机</w:t>
            </w:r>
            <w:r>
              <w:rPr>
                <w:rFonts w:hint="default" w:ascii="Times New Roman" w:hAnsi="Times New Roman" w:eastAsia="宋体" w:cs="Times New Roman"/>
                <w:bCs/>
                <w:color w:val="auto"/>
                <w:kern w:val="2"/>
                <w:sz w:val="24"/>
                <w:szCs w:val="24"/>
              </w:rPr>
              <w:t>二次破碎过程中产生一定量粉尘，本项目设1台</w:t>
            </w:r>
            <w:r>
              <w:rPr>
                <w:rFonts w:hint="default" w:ascii="Times New Roman" w:hAnsi="Times New Roman" w:eastAsia="宋体" w:cs="Times New Roman"/>
                <w:bCs/>
                <w:color w:val="auto"/>
                <w:kern w:val="2"/>
                <w:sz w:val="24"/>
                <w:szCs w:val="24"/>
                <w:highlight w:val="none"/>
                <w:lang w:val="en-US" w:eastAsia="zh-CN"/>
              </w:rPr>
              <w:t>湿式除尘洗气机进行除尘</w:t>
            </w:r>
            <w:r>
              <w:rPr>
                <w:rFonts w:hint="default" w:ascii="Times New Roman" w:hAnsi="Times New Roman" w:eastAsia="宋体" w:cs="Times New Roman"/>
                <w:bCs/>
                <w:color w:val="auto"/>
                <w:kern w:val="2"/>
                <w:sz w:val="24"/>
                <w:szCs w:val="24"/>
              </w:rPr>
              <w:t>。</w:t>
            </w:r>
          </w:p>
          <w:p w14:paraId="3A5D63D1">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③注浆站配料皮带粉尘</w:t>
            </w:r>
          </w:p>
          <w:p w14:paraId="5CC6B005">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val="en-US" w:eastAsia="zh-CN"/>
              </w:rPr>
              <w:t>破碎后矸石</w:t>
            </w:r>
            <w:r>
              <w:rPr>
                <w:rFonts w:hint="default" w:ascii="Times New Roman" w:hAnsi="Times New Roman" w:eastAsia="宋体" w:cs="Times New Roman"/>
                <w:bCs/>
                <w:color w:val="auto"/>
                <w:kern w:val="2"/>
                <w:sz w:val="24"/>
                <w:szCs w:val="24"/>
              </w:rPr>
              <w:t>进入</w:t>
            </w:r>
            <w:r>
              <w:rPr>
                <w:rFonts w:hint="default" w:ascii="Times New Roman" w:hAnsi="Times New Roman" w:eastAsia="宋体" w:cs="Times New Roman"/>
                <w:color w:val="auto"/>
                <w:kern w:val="2"/>
                <w:sz w:val="24"/>
                <w:szCs w:val="24"/>
                <w:highlight w:val="none"/>
                <w:lang w:val="en-US" w:eastAsia="zh-CN"/>
              </w:rPr>
              <w:t>球磨机</w:t>
            </w:r>
            <w:r>
              <w:rPr>
                <w:rFonts w:hint="default" w:ascii="Times New Roman" w:hAnsi="Times New Roman" w:eastAsia="宋体" w:cs="Times New Roman"/>
                <w:bCs/>
                <w:color w:val="auto"/>
                <w:kern w:val="2"/>
                <w:sz w:val="24"/>
                <w:szCs w:val="24"/>
              </w:rPr>
              <w:t>配料皮带过程中产生一定量粉尘，本项目设1台</w:t>
            </w:r>
            <w:r>
              <w:rPr>
                <w:rFonts w:hint="default" w:ascii="Times New Roman" w:hAnsi="Times New Roman" w:eastAsia="宋体" w:cs="Times New Roman"/>
                <w:bCs/>
                <w:color w:val="auto"/>
                <w:kern w:val="2"/>
                <w:sz w:val="24"/>
                <w:szCs w:val="24"/>
                <w:highlight w:val="none"/>
                <w:lang w:val="en-US" w:eastAsia="zh-CN"/>
              </w:rPr>
              <w:t>湿式除尘洗气机进行除尘</w:t>
            </w:r>
            <w:r>
              <w:rPr>
                <w:rFonts w:hint="default" w:ascii="Times New Roman" w:hAnsi="Times New Roman" w:eastAsia="宋体" w:cs="Times New Roman"/>
                <w:bCs/>
                <w:color w:val="auto"/>
                <w:kern w:val="2"/>
                <w:sz w:val="24"/>
                <w:szCs w:val="24"/>
              </w:rPr>
              <w:t>。</w:t>
            </w:r>
          </w:p>
          <w:p w14:paraId="08E42D49">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rPr>
              <w:t>④输送皮带</w:t>
            </w:r>
            <w:r>
              <w:rPr>
                <w:rFonts w:hint="default" w:ascii="Times New Roman" w:hAnsi="Times New Roman" w:eastAsia="宋体" w:cs="Times New Roman"/>
                <w:bCs/>
                <w:color w:val="auto"/>
                <w:kern w:val="2"/>
                <w:sz w:val="24"/>
                <w:szCs w:val="24"/>
                <w:lang w:val="en-US" w:eastAsia="zh-CN"/>
              </w:rPr>
              <w:t>输送</w:t>
            </w:r>
            <w:r>
              <w:rPr>
                <w:rFonts w:hint="default" w:ascii="Times New Roman" w:hAnsi="Times New Roman" w:eastAsia="宋体" w:cs="Times New Roman"/>
                <w:bCs/>
                <w:color w:val="auto"/>
                <w:kern w:val="2"/>
                <w:sz w:val="24"/>
                <w:szCs w:val="24"/>
              </w:rPr>
              <w:t>矸石</w:t>
            </w:r>
            <w:r>
              <w:rPr>
                <w:rFonts w:hint="default" w:ascii="Times New Roman" w:hAnsi="Times New Roman" w:eastAsia="宋体" w:cs="Times New Roman"/>
                <w:bCs/>
                <w:color w:val="auto"/>
                <w:kern w:val="2"/>
                <w:sz w:val="24"/>
                <w:szCs w:val="24"/>
                <w:lang w:val="en-US" w:eastAsia="zh-CN"/>
              </w:rPr>
              <w:t>过程中产生的</w:t>
            </w:r>
            <w:r>
              <w:rPr>
                <w:rFonts w:hint="default" w:ascii="Times New Roman" w:hAnsi="Times New Roman" w:eastAsia="宋体" w:cs="Times New Roman"/>
                <w:bCs/>
                <w:color w:val="auto"/>
                <w:kern w:val="2"/>
                <w:sz w:val="24"/>
                <w:szCs w:val="24"/>
              </w:rPr>
              <w:t>粉尘</w:t>
            </w:r>
          </w:p>
          <w:p w14:paraId="0CAF9DD0">
            <w:pPr>
              <w:widowControl w:val="0"/>
              <w:spacing w:line="360" w:lineRule="auto"/>
              <w:ind w:firstLine="480" w:firstLineChars="200"/>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bCs/>
                <w:color w:val="auto"/>
                <w:kern w:val="2"/>
                <w:sz w:val="24"/>
                <w:szCs w:val="24"/>
                <w:lang w:val="en-US" w:eastAsia="zh-CN"/>
              </w:rPr>
              <w:t>本项目的</w:t>
            </w:r>
            <w:r>
              <w:rPr>
                <w:rFonts w:hint="default" w:ascii="Times New Roman" w:hAnsi="Times New Roman" w:eastAsia="宋体" w:cs="Times New Roman"/>
                <w:bCs/>
                <w:color w:val="auto"/>
                <w:kern w:val="2"/>
                <w:sz w:val="24"/>
                <w:szCs w:val="24"/>
              </w:rPr>
              <w:t>矸石物料通过全封闭皮带输送机</w:t>
            </w:r>
            <w:r>
              <w:rPr>
                <w:rFonts w:hint="default" w:ascii="Times New Roman" w:hAnsi="Times New Roman" w:eastAsia="宋体" w:cs="Times New Roman"/>
                <w:bCs/>
                <w:color w:val="auto"/>
                <w:kern w:val="2"/>
                <w:sz w:val="24"/>
                <w:szCs w:val="24"/>
                <w:lang w:val="en-US" w:eastAsia="zh-CN"/>
              </w:rPr>
              <w:t>进行输送，产生的粉尘量较小。</w:t>
            </w:r>
          </w:p>
          <w:p w14:paraId="7DA6A460">
            <w:pPr>
              <w:widowControl w:val="0"/>
              <w:spacing w:line="360" w:lineRule="auto"/>
              <w:ind w:firstLine="482" w:firstLineChars="200"/>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eastAsia="zh-CN"/>
              </w:rPr>
              <w:t>（</w:t>
            </w:r>
            <w:r>
              <w:rPr>
                <w:rFonts w:hint="default" w:ascii="Times New Roman" w:hAnsi="Times New Roman" w:eastAsia="宋体" w:cs="Times New Roman"/>
                <w:b/>
                <w:bCs/>
                <w:color w:val="auto"/>
                <w:kern w:val="2"/>
                <w:sz w:val="24"/>
                <w:szCs w:val="24"/>
                <w:lang w:val="en-US" w:eastAsia="zh-CN"/>
              </w:rPr>
              <w:t>2</w:t>
            </w:r>
            <w:r>
              <w:rPr>
                <w:rFonts w:hint="default" w:ascii="Times New Roman" w:hAnsi="Times New Roman" w:eastAsia="宋体" w:cs="Times New Roman"/>
                <w:b/>
                <w:bCs/>
                <w:color w:val="auto"/>
                <w:kern w:val="2"/>
                <w:sz w:val="24"/>
                <w:szCs w:val="24"/>
                <w:lang w:eastAsia="zh-CN"/>
              </w:rPr>
              <w:t>）</w:t>
            </w:r>
            <w:r>
              <w:rPr>
                <w:rFonts w:hint="default" w:ascii="Times New Roman" w:hAnsi="Times New Roman" w:eastAsia="宋体" w:cs="Times New Roman"/>
                <w:b/>
                <w:bCs/>
                <w:color w:val="auto"/>
                <w:kern w:val="2"/>
                <w:sz w:val="24"/>
                <w:szCs w:val="24"/>
              </w:rPr>
              <w:t>废水</w:t>
            </w:r>
          </w:p>
          <w:p w14:paraId="34F472A3">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本项目废水主要为日常生活污水和</w:t>
            </w:r>
            <w:r>
              <w:rPr>
                <w:rFonts w:hint="default" w:ascii="Times New Roman" w:hAnsi="Times New Roman" w:eastAsia="宋体" w:cs="Times New Roman"/>
                <w:color w:val="auto"/>
                <w:kern w:val="2"/>
                <w:sz w:val="24"/>
                <w:szCs w:val="24"/>
                <w:lang w:val="en-US" w:eastAsia="zh-CN"/>
              </w:rPr>
              <w:t>注浆站地面</w:t>
            </w:r>
            <w:r>
              <w:rPr>
                <w:rFonts w:hint="default" w:ascii="Times New Roman" w:hAnsi="Times New Roman" w:eastAsia="宋体" w:cs="Times New Roman"/>
                <w:color w:val="auto"/>
                <w:kern w:val="2"/>
                <w:sz w:val="24"/>
                <w:szCs w:val="24"/>
              </w:rPr>
              <w:t>冲洗</w:t>
            </w:r>
            <w:r>
              <w:rPr>
                <w:rFonts w:hint="default" w:ascii="Times New Roman" w:hAnsi="Times New Roman" w:eastAsia="宋体" w:cs="Times New Roman"/>
                <w:color w:val="auto"/>
                <w:kern w:val="2"/>
                <w:sz w:val="24"/>
                <w:szCs w:val="24"/>
                <w:lang w:val="en-US" w:eastAsia="zh-CN"/>
              </w:rPr>
              <w:t>废</w:t>
            </w:r>
            <w:r>
              <w:rPr>
                <w:rFonts w:hint="default" w:ascii="Times New Roman" w:hAnsi="Times New Roman" w:eastAsia="宋体" w:cs="Times New Roman"/>
                <w:color w:val="auto"/>
                <w:kern w:val="2"/>
                <w:sz w:val="24"/>
                <w:szCs w:val="24"/>
              </w:rPr>
              <w:t>水</w:t>
            </w:r>
            <w:r>
              <w:rPr>
                <w:rFonts w:hint="default" w:ascii="Times New Roman" w:hAnsi="Times New Roman" w:eastAsia="宋体" w:cs="Times New Roman"/>
                <w:color w:val="auto"/>
                <w:kern w:val="2"/>
                <w:sz w:val="24"/>
                <w:szCs w:val="24"/>
                <w:lang w:eastAsia="zh-CN"/>
              </w:rPr>
              <w:t>、输浆管道冲洗水</w:t>
            </w:r>
            <w:r>
              <w:rPr>
                <w:rFonts w:hint="default" w:ascii="Times New Roman" w:hAnsi="Times New Roman" w:eastAsia="宋体" w:cs="Times New Roman"/>
                <w:color w:val="auto"/>
                <w:kern w:val="2"/>
                <w:sz w:val="24"/>
                <w:szCs w:val="24"/>
              </w:rPr>
              <w:t>。</w:t>
            </w:r>
          </w:p>
          <w:p w14:paraId="702C5D8D">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①生活污水</w:t>
            </w:r>
          </w:p>
          <w:p w14:paraId="3BD66A1D">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本项目新增劳动人员产生生活污水经现有</w:t>
            </w:r>
            <w:r>
              <w:rPr>
                <w:rFonts w:hint="default" w:ascii="Times New Roman" w:hAnsi="Times New Roman" w:eastAsia="宋体" w:cs="Times New Roman"/>
                <w:color w:val="auto"/>
                <w:kern w:val="2"/>
                <w:sz w:val="24"/>
                <w:szCs w:val="24"/>
                <w:lang w:val="en-US" w:eastAsia="zh-CN"/>
              </w:rPr>
              <w:t>工业场地生活污水</w:t>
            </w:r>
            <w:r>
              <w:rPr>
                <w:rFonts w:hint="default" w:ascii="Times New Roman" w:hAnsi="Times New Roman" w:eastAsia="宋体" w:cs="Times New Roman"/>
                <w:color w:val="auto"/>
                <w:kern w:val="2"/>
                <w:sz w:val="24"/>
                <w:szCs w:val="24"/>
              </w:rPr>
              <w:t>处理设</w:t>
            </w:r>
            <w:r>
              <w:rPr>
                <w:rFonts w:hint="default" w:ascii="Times New Roman" w:hAnsi="Times New Roman" w:eastAsia="宋体" w:cs="Times New Roman"/>
                <w:color w:val="auto"/>
                <w:kern w:val="2"/>
                <w:sz w:val="24"/>
                <w:szCs w:val="24"/>
                <w:lang w:val="en-US" w:eastAsia="zh-CN"/>
              </w:rPr>
              <w:t>施</w:t>
            </w:r>
            <w:r>
              <w:rPr>
                <w:rFonts w:hint="default" w:ascii="Times New Roman" w:hAnsi="Times New Roman" w:eastAsia="宋体" w:cs="Times New Roman"/>
                <w:color w:val="auto"/>
                <w:kern w:val="2"/>
                <w:sz w:val="24"/>
                <w:szCs w:val="24"/>
              </w:rPr>
              <w:t>处理达标后用于道路洒水降尘以及植被绿化等。</w:t>
            </w:r>
          </w:p>
          <w:p w14:paraId="32434223">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②</w:t>
            </w:r>
            <w:r>
              <w:rPr>
                <w:rFonts w:hint="default" w:ascii="Times New Roman" w:hAnsi="Times New Roman" w:eastAsia="宋体" w:cs="Times New Roman"/>
                <w:color w:val="auto"/>
                <w:kern w:val="2"/>
                <w:sz w:val="24"/>
                <w:szCs w:val="24"/>
                <w:lang w:val="en-US" w:eastAsia="zh-CN"/>
              </w:rPr>
              <w:t>注浆站</w:t>
            </w:r>
            <w:r>
              <w:rPr>
                <w:rFonts w:hint="default" w:ascii="Times New Roman" w:hAnsi="Times New Roman" w:eastAsia="宋体" w:cs="Times New Roman"/>
                <w:color w:val="auto"/>
                <w:kern w:val="2"/>
                <w:sz w:val="24"/>
                <w:szCs w:val="24"/>
              </w:rPr>
              <w:t>地面冲洗废水</w:t>
            </w:r>
          </w:p>
          <w:p w14:paraId="7D4C3755">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冲洗废水</w:t>
            </w:r>
            <w:r>
              <w:rPr>
                <w:rFonts w:hint="default" w:ascii="Times New Roman" w:hAnsi="Times New Roman" w:eastAsia="宋体" w:cs="Times New Roman"/>
                <w:color w:val="auto"/>
                <w:kern w:val="2"/>
                <w:sz w:val="24"/>
                <w:szCs w:val="24"/>
                <w:lang w:val="en-US" w:eastAsia="zh-CN"/>
              </w:rPr>
              <w:t>为</w:t>
            </w:r>
            <w:r>
              <w:rPr>
                <w:rFonts w:hint="default" w:ascii="Times New Roman" w:hAnsi="Times New Roman" w:eastAsia="宋体" w:cs="Times New Roman"/>
                <w:color w:val="auto"/>
                <w:kern w:val="2"/>
                <w:sz w:val="24"/>
                <w:szCs w:val="24"/>
              </w:rPr>
              <w:t>室内地面冲洗废水</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通过</w:t>
            </w:r>
            <w:r>
              <w:rPr>
                <w:rFonts w:hint="default" w:ascii="Times New Roman" w:hAnsi="Times New Roman" w:eastAsia="宋体" w:cs="Times New Roman"/>
                <w:color w:val="auto"/>
                <w:kern w:val="2"/>
                <w:sz w:val="24"/>
                <w:szCs w:val="24"/>
                <w:lang w:val="en-US" w:eastAsia="zh-CN"/>
              </w:rPr>
              <w:t>收集池回用至球磨工序</w:t>
            </w:r>
            <w:r>
              <w:rPr>
                <w:rFonts w:hint="default" w:ascii="Times New Roman" w:hAnsi="Times New Roman" w:eastAsia="宋体" w:cs="Times New Roman"/>
                <w:color w:val="auto"/>
                <w:kern w:val="2"/>
                <w:sz w:val="24"/>
                <w:szCs w:val="24"/>
              </w:rPr>
              <w:t>。</w:t>
            </w:r>
          </w:p>
          <w:p w14:paraId="470044DD">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③</w:t>
            </w:r>
            <w:r>
              <w:rPr>
                <w:rFonts w:hint="default" w:ascii="Times New Roman" w:hAnsi="Times New Roman" w:eastAsia="宋体" w:cs="Times New Roman"/>
                <w:color w:val="auto"/>
                <w:kern w:val="2"/>
                <w:sz w:val="24"/>
                <w:szCs w:val="24"/>
                <w:lang w:val="en-US" w:eastAsia="zh-CN"/>
              </w:rPr>
              <w:t>输浆管道冲洗水</w:t>
            </w:r>
          </w:p>
          <w:p w14:paraId="0CC98EC4">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输浆管道冲洗水随矸石浆液充填井下。</w:t>
            </w:r>
          </w:p>
          <w:p w14:paraId="6EF93EAA">
            <w:pPr>
              <w:widowControl/>
              <w:spacing w:line="360" w:lineRule="auto"/>
              <w:ind w:firstLine="482" w:firstLineChars="200"/>
              <w:jc w:val="left"/>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eastAsia="zh-CN"/>
              </w:rPr>
              <w:t>（</w:t>
            </w:r>
            <w:r>
              <w:rPr>
                <w:rFonts w:hint="default" w:ascii="Times New Roman" w:hAnsi="Times New Roman" w:eastAsia="宋体" w:cs="Times New Roman"/>
                <w:b/>
                <w:bCs/>
                <w:color w:val="auto"/>
                <w:kern w:val="2"/>
                <w:sz w:val="24"/>
                <w:szCs w:val="24"/>
                <w:lang w:val="en-US" w:eastAsia="zh-CN"/>
              </w:rPr>
              <w:t>3</w:t>
            </w:r>
            <w:r>
              <w:rPr>
                <w:rFonts w:hint="default" w:ascii="Times New Roman" w:hAnsi="Times New Roman" w:eastAsia="宋体" w:cs="Times New Roman"/>
                <w:b/>
                <w:bCs/>
                <w:color w:val="auto"/>
                <w:kern w:val="2"/>
                <w:sz w:val="24"/>
                <w:szCs w:val="24"/>
                <w:lang w:eastAsia="zh-CN"/>
              </w:rPr>
              <w:t>）</w:t>
            </w:r>
            <w:r>
              <w:rPr>
                <w:rFonts w:hint="default" w:ascii="Times New Roman" w:hAnsi="Times New Roman" w:eastAsia="宋体" w:cs="Times New Roman"/>
                <w:b/>
                <w:bCs/>
                <w:color w:val="auto"/>
                <w:kern w:val="2"/>
                <w:sz w:val="24"/>
                <w:szCs w:val="24"/>
              </w:rPr>
              <w:t>噪声</w:t>
            </w:r>
          </w:p>
          <w:p w14:paraId="16190AFC">
            <w:pPr>
              <w:widowControl w:val="0"/>
              <w:spacing w:line="360" w:lineRule="auto"/>
              <w:ind w:firstLine="480" w:firstLineChars="200"/>
              <w:rPr>
                <w:rFonts w:hint="default" w:ascii="Times New Roman" w:hAnsi="Times New Roman" w:eastAsia="宋体" w:cs="Times New Roman"/>
                <w:bCs/>
                <w:color w:val="auto"/>
                <w:kern w:val="2"/>
                <w:sz w:val="24"/>
                <w:szCs w:val="32"/>
              </w:rPr>
            </w:pPr>
            <w:r>
              <w:rPr>
                <w:rFonts w:hint="default" w:ascii="Times New Roman" w:hAnsi="Times New Roman" w:eastAsia="宋体" w:cs="Times New Roman"/>
                <w:bCs/>
                <w:color w:val="auto"/>
                <w:kern w:val="2"/>
                <w:sz w:val="24"/>
                <w:szCs w:val="32"/>
              </w:rPr>
              <w:t>项目噪声主要来自破碎机、输送机、水泵、</w:t>
            </w:r>
            <w:r>
              <w:rPr>
                <w:rFonts w:hint="default" w:ascii="Times New Roman" w:hAnsi="Times New Roman" w:eastAsia="宋体" w:cs="Times New Roman"/>
                <w:bCs/>
                <w:color w:val="auto"/>
                <w:kern w:val="2"/>
                <w:sz w:val="24"/>
                <w:szCs w:val="32"/>
                <w:lang w:val="en-US" w:eastAsia="zh-CN"/>
              </w:rPr>
              <w:t>球磨机</w:t>
            </w:r>
            <w:r>
              <w:rPr>
                <w:rFonts w:hint="default" w:ascii="Times New Roman" w:hAnsi="Times New Roman" w:eastAsia="宋体" w:cs="Times New Roman"/>
                <w:bCs/>
                <w:color w:val="auto"/>
                <w:kern w:val="2"/>
                <w:sz w:val="24"/>
                <w:szCs w:val="32"/>
              </w:rPr>
              <w:t>、充填泵以及除尘设备风机等设备，本项目以上设备均采用户内布置，经建筑物隔声后降噪，固定设备均设基础减震设施。</w:t>
            </w:r>
          </w:p>
          <w:p w14:paraId="0D073B93">
            <w:pPr>
              <w:widowControl/>
              <w:spacing w:line="360" w:lineRule="auto"/>
              <w:ind w:firstLine="480" w:firstLineChars="200"/>
              <w:jc w:val="left"/>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4</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固废</w:t>
            </w:r>
          </w:p>
          <w:p w14:paraId="315EB899">
            <w:pPr>
              <w:widowControl w:val="0"/>
              <w:autoSpaceDE w:val="0"/>
              <w:autoSpaceDN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项目运营期固体废物主要是生活垃圾、湿式除尘洗气机产生的污泥、</w:t>
            </w:r>
            <w:r>
              <w:rPr>
                <w:rFonts w:hint="default" w:ascii="Times New Roman" w:hAnsi="Times New Roman" w:eastAsia="宋体" w:cs="Times New Roman"/>
                <w:color w:val="auto"/>
                <w:kern w:val="2"/>
                <w:sz w:val="24"/>
                <w:szCs w:val="24"/>
                <w:lang w:val="en-US" w:eastAsia="zh-CN"/>
              </w:rPr>
              <w:t>地面冲洗废水收集池底泥和</w:t>
            </w:r>
            <w:r>
              <w:rPr>
                <w:rFonts w:hint="default" w:ascii="Times New Roman" w:hAnsi="Times New Roman" w:eastAsia="宋体" w:cs="Times New Roman"/>
                <w:color w:val="auto"/>
                <w:kern w:val="2"/>
                <w:sz w:val="24"/>
                <w:szCs w:val="24"/>
              </w:rPr>
              <w:t>维修废机油。</w:t>
            </w:r>
          </w:p>
          <w:p w14:paraId="50A6B8E8">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①生活垃圾</w:t>
            </w:r>
          </w:p>
          <w:p w14:paraId="63D4F9CF">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职工产生的生活垃圾集中收集后</w:t>
            </w:r>
            <w:r>
              <w:rPr>
                <w:rFonts w:hint="default" w:ascii="Times New Roman" w:hAnsi="Times New Roman" w:eastAsia="宋体" w:cs="Times New Roman"/>
                <w:color w:val="auto"/>
                <w:kern w:val="2"/>
                <w:sz w:val="24"/>
                <w:szCs w:val="24"/>
                <w:lang w:val="en-US" w:eastAsia="zh-CN"/>
              </w:rPr>
              <w:t>按环卫部门要求统一处理</w:t>
            </w:r>
            <w:r>
              <w:rPr>
                <w:rFonts w:hint="default" w:ascii="Times New Roman" w:hAnsi="Times New Roman" w:eastAsia="宋体" w:cs="Times New Roman"/>
                <w:color w:val="auto"/>
                <w:kern w:val="2"/>
                <w:sz w:val="24"/>
                <w:szCs w:val="24"/>
              </w:rPr>
              <w:t>。</w:t>
            </w:r>
          </w:p>
          <w:p w14:paraId="546CE47A">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eastAsia="zh-CN"/>
              </w:rPr>
              <w:t>②</w:t>
            </w:r>
            <w:r>
              <w:rPr>
                <w:rFonts w:hint="default" w:ascii="Times New Roman" w:hAnsi="Times New Roman" w:eastAsia="宋体" w:cs="Times New Roman"/>
                <w:color w:val="auto"/>
                <w:kern w:val="2"/>
                <w:sz w:val="24"/>
                <w:szCs w:val="24"/>
                <w:lang w:val="en-US" w:eastAsia="zh-CN"/>
              </w:rPr>
              <w:t>湿式除尘洗气机产生的污泥</w:t>
            </w:r>
          </w:p>
          <w:p w14:paraId="0F22312D">
            <w:pPr>
              <w:keepNext w:val="0"/>
              <w:keepLines w:val="0"/>
              <w:pageBreakBefore w:val="0"/>
              <w:widowControl w:val="0"/>
              <w:kinsoku/>
              <w:wordWrap/>
              <w:overflowPunct/>
              <w:topLinePunct w:val="0"/>
              <w:autoSpaceDE w:val="0"/>
              <w:autoSpaceDN w:val="0"/>
              <w:bidi w:val="0"/>
              <w:adjustRightInd w:val="0"/>
              <w:spacing w:line="360" w:lineRule="auto"/>
              <w:ind w:firstLine="480" w:firstLineChars="200"/>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湿式除尘洗气机在除尘过程中产生的污泥经集中收集后回用于充填材料，不外排。</w:t>
            </w:r>
          </w:p>
          <w:p w14:paraId="403F3477">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eastAsia="zh-CN"/>
              </w:rPr>
              <w:t>③</w:t>
            </w:r>
            <w:r>
              <w:rPr>
                <w:rFonts w:hint="default" w:ascii="Times New Roman" w:hAnsi="Times New Roman" w:eastAsia="宋体" w:cs="Times New Roman"/>
                <w:color w:val="auto"/>
                <w:kern w:val="2"/>
                <w:sz w:val="24"/>
                <w:szCs w:val="24"/>
                <w:lang w:val="en-US" w:eastAsia="zh-CN" w:bidi="ar"/>
              </w:rPr>
              <w:t>地面清洗废水收集池产生的底泥</w:t>
            </w:r>
          </w:p>
          <w:p w14:paraId="561DE10F">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根据计算，</w:t>
            </w: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color w:val="auto"/>
                <w:kern w:val="2"/>
                <w:sz w:val="24"/>
                <w:szCs w:val="24"/>
                <w:lang w:val="en-US" w:eastAsia="zh-CN" w:bidi="ar"/>
              </w:rPr>
              <w:t>地面清洗废水收集池产生的底泥</w:t>
            </w:r>
            <w:r>
              <w:rPr>
                <w:rFonts w:hint="default" w:ascii="Times New Roman" w:hAnsi="Times New Roman" w:eastAsia="宋体" w:cs="Times New Roman"/>
                <w:color w:val="auto"/>
                <w:kern w:val="2"/>
                <w:sz w:val="24"/>
                <w:szCs w:val="24"/>
                <w:lang w:val="en-US" w:eastAsia="zh-CN"/>
              </w:rPr>
              <w:t>经集中收集后回用于充填材料</w:t>
            </w:r>
            <w:r>
              <w:rPr>
                <w:rFonts w:hint="default" w:ascii="Times New Roman" w:hAnsi="Times New Roman" w:eastAsia="宋体" w:cs="Times New Roman"/>
                <w:color w:val="auto"/>
                <w:kern w:val="2"/>
                <w:sz w:val="24"/>
                <w:szCs w:val="24"/>
                <w:lang w:bidi="ar"/>
              </w:rPr>
              <w:t>。</w:t>
            </w:r>
          </w:p>
          <w:p w14:paraId="190C6B3E">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④维修废机油</w:t>
            </w:r>
          </w:p>
          <w:p w14:paraId="7D07ECD1">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本项目运营期设备检修过程中会产生一定的废机油，属于危险废物，油桶收集后暂存于矿区内危废暂存库内，定期委托有资质单位处置。</w:t>
            </w:r>
          </w:p>
          <w:p w14:paraId="7402674F">
            <w:pPr>
              <w:keepNext w:val="0"/>
              <w:keepLines w:val="0"/>
              <w:pageBreakBefore w:val="0"/>
              <w:widowControl w:val="0"/>
              <w:kinsoku/>
              <w:wordWrap/>
              <w:overflowPunct/>
              <w:topLinePunct w:val="0"/>
              <w:autoSpaceDE w:val="0"/>
              <w:autoSpaceDN w:val="0"/>
              <w:bidi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拟建项目产污环节见表</w:t>
            </w:r>
            <w:r>
              <w:rPr>
                <w:rFonts w:hint="default" w:ascii="Times New Roman" w:hAnsi="Times New Roman" w:eastAsia="宋体" w:cs="Times New Roman"/>
                <w:color w:val="auto"/>
                <w:kern w:val="2"/>
                <w:sz w:val="24"/>
                <w:szCs w:val="24"/>
                <w:lang w:val="en-US" w:eastAsia="zh-CN"/>
              </w:rPr>
              <w:t>2-11</w:t>
            </w:r>
            <w:r>
              <w:rPr>
                <w:rFonts w:hint="default" w:ascii="Times New Roman" w:hAnsi="Times New Roman" w:eastAsia="宋体" w:cs="Times New Roman"/>
                <w:color w:val="auto"/>
                <w:kern w:val="2"/>
                <w:sz w:val="24"/>
                <w:szCs w:val="24"/>
              </w:rPr>
              <w:t>。</w:t>
            </w:r>
          </w:p>
          <w:p w14:paraId="2EA883A8">
            <w:pPr>
              <w:widowControl w:val="0"/>
              <w:autoSpaceDE w:val="0"/>
              <w:autoSpaceDN w:val="0"/>
              <w:adjustRightInd w:val="0"/>
              <w:snapToGrid w:val="0"/>
              <w:spacing w:before="120" w:beforeLines="50" w:line="240" w:lineRule="auto"/>
              <w:ind w:firstLine="482" w:firstLineChars="200"/>
              <w:jc w:val="center"/>
              <w:rPr>
                <w:rFonts w:hint="default" w:ascii="Times New Roman" w:hAnsi="Times New Roman" w:eastAsia="宋体" w:cs="Times New Roman"/>
                <w:b/>
                <w:color w:val="auto"/>
                <w:kern w:val="0"/>
                <w:sz w:val="24"/>
                <w:szCs w:val="24"/>
              </w:rPr>
            </w:pPr>
            <w:r>
              <w:rPr>
                <w:rFonts w:hint="default" w:ascii="Times New Roman" w:hAnsi="Times New Roman" w:eastAsia="宋体" w:cs="Times New Roman"/>
                <w:b/>
                <w:color w:val="auto"/>
                <w:kern w:val="0"/>
                <w:sz w:val="24"/>
                <w:szCs w:val="24"/>
              </w:rPr>
              <w:t>表</w:t>
            </w:r>
            <w:r>
              <w:rPr>
                <w:rFonts w:hint="default" w:ascii="Times New Roman" w:hAnsi="Times New Roman" w:eastAsia="宋体" w:cs="Times New Roman"/>
                <w:b/>
                <w:color w:val="auto"/>
                <w:kern w:val="0"/>
                <w:sz w:val="24"/>
                <w:szCs w:val="24"/>
                <w:lang w:val="en-US" w:eastAsia="zh-CN"/>
              </w:rPr>
              <w:t>2-11</w:t>
            </w:r>
            <w:r>
              <w:rPr>
                <w:rFonts w:hint="default" w:ascii="Times New Roman" w:hAnsi="Times New Roman" w:eastAsia="宋体" w:cs="Times New Roman"/>
                <w:b/>
                <w:color w:val="auto"/>
                <w:kern w:val="0"/>
                <w:sz w:val="24"/>
                <w:szCs w:val="24"/>
              </w:rPr>
              <w:t xml:space="preserve">    本项目产污环节表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8"/>
              <w:gridCol w:w="652"/>
              <w:gridCol w:w="1576"/>
              <w:gridCol w:w="1166"/>
              <w:gridCol w:w="786"/>
              <w:gridCol w:w="3054"/>
            </w:tblGrid>
            <w:tr w14:paraId="086AF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blHeader/>
                <w:jc w:val="center"/>
              </w:trPr>
              <w:tc>
                <w:tcPr>
                  <w:tcW w:w="394" w:type="pct"/>
                  <w:noWrap w:val="0"/>
                  <w:vAlign w:val="center"/>
                </w:tcPr>
                <w:p w14:paraId="48A620A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序号</w:t>
                  </w:r>
                </w:p>
              </w:tc>
              <w:tc>
                <w:tcPr>
                  <w:tcW w:w="415" w:type="pct"/>
                  <w:noWrap w:val="0"/>
                  <w:vAlign w:val="center"/>
                </w:tcPr>
                <w:p w14:paraId="7FE4419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类型</w:t>
                  </w:r>
                </w:p>
              </w:tc>
              <w:tc>
                <w:tcPr>
                  <w:tcW w:w="1003" w:type="pct"/>
                  <w:noWrap w:val="0"/>
                  <w:vAlign w:val="center"/>
                </w:tcPr>
                <w:p w14:paraId="4A235CE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产污环节</w:t>
                  </w:r>
                </w:p>
              </w:tc>
              <w:tc>
                <w:tcPr>
                  <w:tcW w:w="742" w:type="pct"/>
                  <w:noWrap w:val="0"/>
                  <w:vAlign w:val="center"/>
                </w:tcPr>
                <w:p w14:paraId="64DBAB5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主要污染物</w:t>
                  </w:r>
                </w:p>
              </w:tc>
              <w:tc>
                <w:tcPr>
                  <w:tcW w:w="500" w:type="pct"/>
                  <w:noWrap w:val="0"/>
                  <w:vAlign w:val="center"/>
                </w:tcPr>
                <w:p w14:paraId="594C4CB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特征</w:t>
                  </w:r>
                </w:p>
              </w:tc>
              <w:tc>
                <w:tcPr>
                  <w:tcW w:w="1944" w:type="pct"/>
                  <w:noWrap w:val="0"/>
                  <w:vAlign w:val="center"/>
                </w:tcPr>
                <w:p w14:paraId="77A9344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治理措施及去向</w:t>
                  </w:r>
                </w:p>
              </w:tc>
            </w:tr>
            <w:tr w14:paraId="3F829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restart"/>
                  <w:noWrap w:val="0"/>
                  <w:vAlign w:val="center"/>
                </w:tcPr>
                <w:p w14:paraId="3EB9495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w:t>
                  </w:r>
                </w:p>
              </w:tc>
              <w:tc>
                <w:tcPr>
                  <w:tcW w:w="415" w:type="pct"/>
                  <w:vMerge w:val="restart"/>
                  <w:noWrap w:val="0"/>
                  <w:vAlign w:val="center"/>
                </w:tcPr>
                <w:p w14:paraId="5BF0E73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废气</w:t>
                  </w:r>
                </w:p>
              </w:tc>
              <w:tc>
                <w:tcPr>
                  <w:tcW w:w="1003" w:type="pct"/>
                  <w:noWrap w:val="0"/>
                  <w:vAlign w:val="center"/>
                </w:tcPr>
                <w:p w14:paraId="62A1CEA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一级破碎粉尘</w:t>
                  </w:r>
                </w:p>
              </w:tc>
              <w:tc>
                <w:tcPr>
                  <w:tcW w:w="742" w:type="pct"/>
                  <w:noWrap w:val="0"/>
                  <w:vAlign w:val="center"/>
                </w:tcPr>
                <w:p w14:paraId="47B55B3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颗粒物</w:t>
                  </w:r>
                </w:p>
              </w:tc>
              <w:tc>
                <w:tcPr>
                  <w:tcW w:w="500" w:type="pct"/>
                  <w:noWrap w:val="0"/>
                  <w:vAlign w:val="center"/>
                </w:tcPr>
                <w:p w14:paraId="3A92DEA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连续</w:t>
                  </w:r>
                </w:p>
              </w:tc>
              <w:tc>
                <w:tcPr>
                  <w:tcW w:w="3027" w:type="dxa"/>
                  <w:noWrap w:val="0"/>
                  <w:vAlign w:val="center"/>
                </w:tcPr>
                <w:p w14:paraId="5D72DE1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
                    </w:rPr>
                    <w:t>采用湿式除尘洗气机（1#）除尘后经20m排气筒排放</w:t>
                  </w:r>
                  <w:r>
                    <w:rPr>
                      <w:rFonts w:hint="default" w:ascii="Times New Roman" w:hAnsi="Times New Roman" w:eastAsia="宋体" w:cs="Times New Roman"/>
                      <w:color w:val="auto"/>
                      <w:kern w:val="2"/>
                      <w:sz w:val="21"/>
                      <w:szCs w:val="21"/>
                      <w:highlight w:val="none"/>
                      <w:lang w:bidi="ar"/>
                    </w:rPr>
                    <w:t>（P</w:t>
                  </w:r>
                  <w:r>
                    <w:rPr>
                      <w:rFonts w:hint="default" w:ascii="Times New Roman" w:hAnsi="Times New Roman" w:eastAsia="宋体" w:cs="Times New Roman"/>
                      <w:color w:val="auto"/>
                      <w:kern w:val="2"/>
                      <w:sz w:val="21"/>
                      <w:szCs w:val="21"/>
                      <w:highlight w:val="none"/>
                      <w:lang w:val="en-US" w:eastAsia="zh-CN" w:bidi="ar"/>
                    </w:rPr>
                    <w:t>1</w:t>
                  </w:r>
                  <w:r>
                    <w:rPr>
                      <w:rFonts w:hint="default" w:ascii="Times New Roman" w:hAnsi="Times New Roman" w:eastAsia="宋体" w:cs="Times New Roman"/>
                      <w:color w:val="auto"/>
                      <w:kern w:val="2"/>
                      <w:sz w:val="21"/>
                      <w:szCs w:val="21"/>
                      <w:highlight w:val="none"/>
                      <w:lang w:bidi="ar"/>
                    </w:rPr>
                    <w:t>）</w:t>
                  </w:r>
                </w:p>
              </w:tc>
            </w:tr>
            <w:tr w14:paraId="4864D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continue"/>
                  <w:noWrap w:val="0"/>
                  <w:vAlign w:val="center"/>
                </w:tcPr>
                <w:p w14:paraId="5C8ADCED">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037B526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32AA5F9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二级破碎粉尘</w:t>
                  </w:r>
                </w:p>
              </w:tc>
              <w:tc>
                <w:tcPr>
                  <w:tcW w:w="742" w:type="pct"/>
                  <w:noWrap w:val="0"/>
                  <w:vAlign w:val="center"/>
                </w:tcPr>
                <w:p w14:paraId="33382C6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颗粒物</w:t>
                  </w:r>
                </w:p>
              </w:tc>
              <w:tc>
                <w:tcPr>
                  <w:tcW w:w="500" w:type="pct"/>
                  <w:noWrap w:val="0"/>
                  <w:vAlign w:val="center"/>
                </w:tcPr>
                <w:p w14:paraId="0B486FE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连续</w:t>
                  </w:r>
                </w:p>
              </w:tc>
              <w:tc>
                <w:tcPr>
                  <w:tcW w:w="3027" w:type="dxa"/>
                  <w:noWrap w:val="0"/>
                  <w:vAlign w:val="center"/>
                </w:tcPr>
                <w:p w14:paraId="71D611F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bidi="ar"/>
                    </w:rPr>
                    <w:t>采用湿式除尘洗气机（2#）除尘后经20m排气筒排放</w:t>
                  </w:r>
                  <w:r>
                    <w:rPr>
                      <w:rFonts w:hint="default" w:ascii="Times New Roman" w:hAnsi="Times New Roman" w:eastAsia="宋体" w:cs="Times New Roman"/>
                      <w:color w:val="auto"/>
                      <w:kern w:val="2"/>
                      <w:sz w:val="21"/>
                      <w:szCs w:val="21"/>
                      <w:highlight w:val="none"/>
                      <w:lang w:bidi="ar"/>
                    </w:rPr>
                    <w:t>（P2）</w:t>
                  </w:r>
                </w:p>
              </w:tc>
            </w:tr>
            <w:tr w14:paraId="091C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continue"/>
                  <w:noWrap w:val="0"/>
                  <w:vAlign w:val="center"/>
                </w:tcPr>
                <w:p w14:paraId="5FD8BA2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2B87706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7763B62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注浆站配料皮带</w:t>
                  </w:r>
                  <w:r>
                    <w:rPr>
                      <w:rFonts w:hint="default" w:ascii="Times New Roman" w:hAnsi="Times New Roman" w:eastAsia="宋体" w:cs="Times New Roman"/>
                      <w:color w:val="auto"/>
                      <w:kern w:val="2"/>
                      <w:sz w:val="21"/>
                      <w:szCs w:val="21"/>
                      <w:lang w:val="en-US" w:eastAsia="zh-CN"/>
                    </w:rPr>
                    <w:t>粉尘</w:t>
                  </w:r>
                </w:p>
              </w:tc>
              <w:tc>
                <w:tcPr>
                  <w:tcW w:w="742" w:type="pct"/>
                  <w:noWrap w:val="0"/>
                  <w:vAlign w:val="center"/>
                </w:tcPr>
                <w:p w14:paraId="2908A5F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颗粒物</w:t>
                  </w:r>
                </w:p>
              </w:tc>
              <w:tc>
                <w:tcPr>
                  <w:tcW w:w="500" w:type="pct"/>
                  <w:noWrap w:val="0"/>
                  <w:vAlign w:val="center"/>
                </w:tcPr>
                <w:p w14:paraId="044B041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连续</w:t>
                  </w:r>
                </w:p>
              </w:tc>
              <w:tc>
                <w:tcPr>
                  <w:tcW w:w="3027" w:type="dxa"/>
                  <w:noWrap w:val="0"/>
                  <w:vAlign w:val="center"/>
                </w:tcPr>
                <w:p w14:paraId="1C96142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highlight w:val="none"/>
                      <w:lang w:val="en-US" w:eastAsia="zh-CN" w:bidi="ar"/>
                    </w:rPr>
                    <w:t>采用湿式除尘洗气机（3#）除尘后经20m排气筒排放</w:t>
                  </w:r>
                  <w:r>
                    <w:rPr>
                      <w:rFonts w:hint="default" w:ascii="Times New Roman" w:hAnsi="Times New Roman" w:eastAsia="宋体" w:cs="Times New Roman"/>
                      <w:color w:val="auto"/>
                      <w:kern w:val="2"/>
                      <w:sz w:val="21"/>
                      <w:szCs w:val="21"/>
                      <w:highlight w:val="none"/>
                      <w:lang w:bidi="ar"/>
                    </w:rPr>
                    <w:t>（P</w:t>
                  </w:r>
                  <w:r>
                    <w:rPr>
                      <w:rFonts w:hint="default" w:ascii="Times New Roman" w:hAnsi="Times New Roman" w:eastAsia="宋体" w:cs="Times New Roman"/>
                      <w:color w:val="auto"/>
                      <w:kern w:val="2"/>
                      <w:sz w:val="21"/>
                      <w:szCs w:val="21"/>
                      <w:highlight w:val="none"/>
                      <w:lang w:val="en-US" w:eastAsia="zh-CN" w:bidi="ar"/>
                    </w:rPr>
                    <w:t>3</w:t>
                  </w:r>
                  <w:r>
                    <w:rPr>
                      <w:rFonts w:hint="default" w:ascii="Times New Roman" w:hAnsi="Times New Roman" w:eastAsia="宋体" w:cs="Times New Roman"/>
                      <w:color w:val="auto"/>
                      <w:kern w:val="2"/>
                      <w:sz w:val="21"/>
                      <w:szCs w:val="21"/>
                      <w:highlight w:val="none"/>
                      <w:lang w:bidi="ar"/>
                    </w:rPr>
                    <w:t>）</w:t>
                  </w:r>
                </w:p>
              </w:tc>
            </w:tr>
            <w:tr w14:paraId="20320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continue"/>
                  <w:noWrap w:val="0"/>
                  <w:vAlign w:val="center"/>
                </w:tcPr>
                <w:p w14:paraId="2617FB0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1E4BAD1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0AAEEDF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输送皮带</w:t>
                  </w:r>
                  <w:r>
                    <w:rPr>
                      <w:rFonts w:hint="default" w:ascii="Times New Roman" w:hAnsi="Times New Roman" w:eastAsia="宋体" w:cs="Times New Roman"/>
                      <w:color w:val="auto"/>
                      <w:kern w:val="2"/>
                      <w:sz w:val="21"/>
                      <w:szCs w:val="21"/>
                      <w:lang w:val="en-US" w:eastAsia="zh-CN"/>
                    </w:rPr>
                    <w:t>产生</w:t>
                  </w:r>
                  <w:r>
                    <w:rPr>
                      <w:rFonts w:hint="default" w:ascii="Times New Roman" w:hAnsi="Times New Roman" w:eastAsia="宋体" w:cs="Times New Roman"/>
                      <w:color w:val="auto"/>
                      <w:kern w:val="2"/>
                      <w:sz w:val="21"/>
                      <w:szCs w:val="21"/>
                    </w:rPr>
                    <w:t>粉尘</w:t>
                  </w:r>
                </w:p>
              </w:tc>
              <w:tc>
                <w:tcPr>
                  <w:tcW w:w="742" w:type="pct"/>
                  <w:noWrap w:val="0"/>
                  <w:vAlign w:val="center"/>
                </w:tcPr>
                <w:p w14:paraId="11109FF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颗粒物</w:t>
                  </w:r>
                </w:p>
              </w:tc>
              <w:tc>
                <w:tcPr>
                  <w:tcW w:w="500" w:type="pct"/>
                  <w:noWrap w:val="0"/>
                  <w:vAlign w:val="center"/>
                </w:tcPr>
                <w:p w14:paraId="452F893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连续</w:t>
                  </w:r>
                </w:p>
              </w:tc>
              <w:tc>
                <w:tcPr>
                  <w:tcW w:w="3027" w:type="dxa"/>
                  <w:noWrap w:val="0"/>
                  <w:vAlign w:val="center"/>
                </w:tcPr>
                <w:p w14:paraId="0E7D578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rPr>
                    <w:t>全封闭车间并喷雾洒水抑尘</w:t>
                  </w:r>
                </w:p>
              </w:tc>
            </w:tr>
            <w:tr w14:paraId="7B107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continue"/>
                  <w:noWrap w:val="0"/>
                  <w:vAlign w:val="center"/>
                </w:tcPr>
                <w:p w14:paraId="32598BC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60C14E1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756A898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车间未收集的</w:t>
                  </w:r>
                  <w:r>
                    <w:rPr>
                      <w:rFonts w:hint="default" w:ascii="Times New Roman" w:hAnsi="Times New Roman" w:eastAsia="宋体" w:cs="Times New Roman"/>
                      <w:color w:val="auto"/>
                      <w:kern w:val="2"/>
                      <w:sz w:val="21"/>
                      <w:szCs w:val="21"/>
                    </w:rPr>
                    <w:t>粉尘</w:t>
                  </w:r>
                </w:p>
              </w:tc>
              <w:tc>
                <w:tcPr>
                  <w:tcW w:w="742" w:type="pct"/>
                  <w:noWrap w:val="0"/>
                  <w:vAlign w:val="center"/>
                </w:tcPr>
                <w:p w14:paraId="6D99C31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颗粒物</w:t>
                  </w:r>
                </w:p>
              </w:tc>
              <w:tc>
                <w:tcPr>
                  <w:tcW w:w="500" w:type="pct"/>
                  <w:noWrap w:val="0"/>
                  <w:vAlign w:val="center"/>
                </w:tcPr>
                <w:p w14:paraId="597C0C9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连续</w:t>
                  </w:r>
                </w:p>
              </w:tc>
              <w:tc>
                <w:tcPr>
                  <w:tcW w:w="3027" w:type="dxa"/>
                  <w:noWrap w:val="0"/>
                  <w:vAlign w:val="center"/>
                </w:tcPr>
                <w:p w14:paraId="52B81FB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highlight w:val="none"/>
                      <w:lang w:val="en-US" w:eastAsia="zh-CN"/>
                    </w:rPr>
                    <w:t>全封闭输送栈桥并喷雾洒水抑尘</w:t>
                  </w:r>
                </w:p>
              </w:tc>
            </w:tr>
            <w:tr w14:paraId="2D4D5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restart"/>
                  <w:noWrap w:val="0"/>
                  <w:vAlign w:val="center"/>
                </w:tcPr>
                <w:p w14:paraId="399E036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w:t>
                  </w:r>
                </w:p>
              </w:tc>
              <w:tc>
                <w:tcPr>
                  <w:tcW w:w="415" w:type="pct"/>
                  <w:vMerge w:val="restart"/>
                  <w:noWrap w:val="0"/>
                  <w:vAlign w:val="center"/>
                </w:tcPr>
                <w:p w14:paraId="2E99142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废水</w:t>
                  </w:r>
                </w:p>
              </w:tc>
              <w:tc>
                <w:tcPr>
                  <w:tcW w:w="1003" w:type="pct"/>
                  <w:noWrap w:val="0"/>
                  <w:vAlign w:val="center"/>
                </w:tcPr>
                <w:p w14:paraId="156035A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生活污水</w:t>
                  </w:r>
                </w:p>
              </w:tc>
              <w:tc>
                <w:tcPr>
                  <w:tcW w:w="742" w:type="pct"/>
                  <w:noWrap w:val="0"/>
                  <w:vAlign w:val="center"/>
                </w:tcPr>
                <w:p w14:paraId="2BD4339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pH、COD、BOD</w:t>
                  </w:r>
                  <w:r>
                    <w:rPr>
                      <w:rFonts w:hint="default" w:ascii="Times New Roman" w:hAnsi="Times New Roman" w:eastAsia="宋体" w:cs="Times New Roman"/>
                      <w:color w:val="auto"/>
                      <w:kern w:val="2"/>
                      <w:sz w:val="21"/>
                      <w:szCs w:val="21"/>
                      <w:vertAlign w:val="subscript"/>
                    </w:rPr>
                    <w:t>5</w:t>
                  </w:r>
                  <w:r>
                    <w:rPr>
                      <w:rFonts w:hint="default" w:ascii="Times New Roman" w:hAnsi="Times New Roman" w:eastAsia="宋体" w:cs="Times New Roman"/>
                      <w:color w:val="auto"/>
                      <w:kern w:val="2"/>
                      <w:sz w:val="21"/>
                      <w:szCs w:val="21"/>
                    </w:rPr>
                    <w:t>、SS、氨氮</w:t>
                  </w:r>
                </w:p>
              </w:tc>
              <w:tc>
                <w:tcPr>
                  <w:tcW w:w="500" w:type="pct"/>
                  <w:noWrap w:val="0"/>
                  <w:vAlign w:val="center"/>
                </w:tcPr>
                <w:p w14:paraId="6F41FCB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648E0C4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经现有</w:t>
                  </w:r>
                  <w:r>
                    <w:rPr>
                      <w:rFonts w:hint="default" w:ascii="Times New Roman" w:hAnsi="Times New Roman" w:eastAsia="宋体" w:cs="Times New Roman"/>
                      <w:color w:val="auto"/>
                      <w:kern w:val="2"/>
                      <w:sz w:val="21"/>
                      <w:szCs w:val="21"/>
                      <w:lang w:val="en-US" w:eastAsia="zh-CN"/>
                    </w:rPr>
                    <w:t>生活污水</w:t>
                  </w:r>
                  <w:r>
                    <w:rPr>
                      <w:rFonts w:hint="default" w:ascii="Times New Roman" w:hAnsi="Times New Roman" w:eastAsia="宋体" w:cs="Times New Roman"/>
                      <w:color w:val="auto"/>
                      <w:kern w:val="2"/>
                      <w:sz w:val="21"/>
                      <w:szCs w:val="21"/>
                    </w:rPr>
                    <w:t>处理设备处理达标后用于道路洒水降尘以及植被绿化等</w:t>
                  </w:r>
                </w:p>
              </w:tc>
            </w:tr>
            <w:tr w14:paraId="7A975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5" w:hRule="atLeast"/>
                <w:jc w:val="center"/>
              </w:trPr>
              <w:tc>
                <w:tcPr>
                  <w:tcW w:w="394" w:type="pct"/>
                  <w:vMerge w:val="continue"/>
                  <w:noWrap w:val="0"/>
                  <w:vAlign w:val="center"/>
                </w:tcPr>
                <w:p w14:paraId="26350F0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3AC7D97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099ED84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注浆站地面</w:t>
                  </w:r>
                  <w:r>
                    <w:rPr>
                      <w:rFonts w:hint="default" w:ascii="Times New Roman" w:hAnsi="Times New Roman" w:eastAsia="宋体" w:cs="Times New Roman"/>
                      <w:color w:val="auto"/>
                      <w:kern w:val="2"/>
                      <w:sz w:val="21"/>
                      <w:szCs w:val="21"/>
                    </w:rPr>
                    <w:t>冲洗水</w:t>
                  </w:r>
                </w:p>
              </w:tc>
              <w:tc>
                <w:tcPr>
                  <w:tcW w:w="742" w:type="pct"/>
                  <w:noWrap w:val="0"/>
                  <w:vAlign w:val="center"/>
                </w:tcPr>
                <w:p w14:paraId="659ABF1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SS</w:t>
                  </w:r>
                </w:p>
              </w:tc>
              <w:tc>
                <w:tcPr>
                  <w:tcW w:w="500" w:type="pct"/>
                  <w:noWrap w:val="0"/>
                  <w:vAlign w:val="center"/>
                </w:tcPr>
                <w:p w14:paraId="1195A8B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7E8367D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经收集池收集后回用于球磨工序</w:t>
                  </w:r>
                </w:p>
              </w:tc>
            </w:tr>
            <w:tr w14:paraId="44770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5" w:hRule="atLeast"/>
                <w:jc w:val="center"/>
              </w:trPr>
              <w:tc>
                <w:tcPr>
                  <w:tcW w:w="394" w:type="pct"/>
                  <w:vMerge w:val="continue"/>
                  <w:noWrap w:val="0"/>
                  <w:vAlign w:val="center"/>
                </w:tcPr>
                <w:p w14:paraId="025CA99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4D8C726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50D9BE8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输浆管道冲洗水</w:t>
                  </w:r>
                </w:p>
              </w:tc>
              <w:tc>
                <w:tcPr>
                  <w:tcW w:w="742" w:type="pct"/>
                  <w:noWrap w:val="0"/>
                  <w:vAlign w:val="center"/>
                </w:tcPr>
                <w:p w14:paraId="3E7C1DB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SS</w:t>
                  </w:r>
                </w:p>
              </w:tc>
              <w:tc>
                <w:tcPr>
                  <w:tcW w:w="500" w:type="pct"/>
                  <w:noWrap w:val="0"/>
                  <w:vAlign w:val="center"/>
                </w:tcPr>
                <w:p w14:paraId="3ED057C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6315C73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随矸石浆液充填井下</w:t>
                  </w:r>
                </w:p>
              </w:tc>
            </w:tr>
            <w:tr w14:paraId="1FE02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vMerge w:val="restart"/>
                  <w:noWrap w:val="0"/>
                  <w:vAlign w:val="center"/>
                </w:tcPr>
                <w:p w14:paraId="553FE03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3</w:t>
                  </w:r>
                </w:p>
              </w:tc>
              <w:tc>
                <w:tcPr>
                  <w:tcW w:w="415" w:type="pct"/>
                  <w:vMerge w:val="restart"/>
                  <w:noWrap w:val="0"/>
                  <w:vAlign w:val="center"/>
                </w:tcPr>
                <w:p w14:paraId="387A71E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固废</w:t>
                  </w:r>
                </w:p>
              </w:tc>
              <w:tc>
                <w:tcPr>
                  <w:tcW w:w="1003" w:type="pct"/>
                  <w:noWrap w:val="0"/>
                  <w:vAlign w:val="center"/>
                </w:tcPr>
                <w:p w14:paraId="68137FC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生活垃圾</w:t>
                  </w:r>
                </w:p>
              </w:tc>
              <w:tc>
                <w:tcPr>
                  <w:tcW w:w="742" w:type="pct"/>
                  <w:noWrap w:val="0"/>
                  <w:vAlign w:val="center"/>
                </w:tcPr>
                <w:p w14:paraId="22A3BAC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生活垃圾</w:t>
                  </w:r>
                </w:p>
              </w:tc>
              <w:tc>
                <w:tcPr>
                  <w:tcW w:w="500" w:type="pct"/>
                  <w:noWrap w:val="0"/>
                  <w:vAlign w:val="center"/>
                </w:tcPr>
                <w:p w14:paraId="642EAFF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1444FA4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集中收集后</w:t>
                  </w:r>
                  <w:r>
                    <w:rPr>
                      <w:rFonts w:hint="default" w:ascii="Times New Roman" w:hAnsi="Times New Roman" w:eastAsia="宋体" w:cs="Times New Roman"/>
                      <w:color w:val="auto"/>
                      <w:kern w:val="2"/>
                      <w:sz w:val="21"/>
                      <w:szCs w:val="21"/>
                      <w:lang w:val="en-US" w:eastAsia="zh-CN"/>
                    </w:rPr>
                    <w:t>按环卫部门要求统一处理</w:t>
                  </w:r>
                </w:p>
              </w:tc>
            </w:tr>
            <w:tr w14:paraId="59F9B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394" w:type="pct"/>
                  <w:vMerge w:val="continue"/>
                  <w:noWrap w:val="0"/>
                  <w:vAlign w:val="center"/>
                </w:tcPr>
                <w:p w14:paraId="3097570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6FAB544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16317CC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rPr>
                    <w:t>除尘器</w:t>
                  </w:r>
                  <w:r>
                    <w:rPr>
                      <w:rFonts w:hint="default" w:ascii="Times New Roman" w:hAnsi="Times New Roman" w:eastAsia="宋体" w:cs="Times New Roman"/>
                      <w:color w:val="auto"/>
                      <w:kern w:val="2"/>
                      <w:sz w:val="21"/>
                      <w:szCs w:val="24"/>
                      <w:lang w:val="en-US" w:eastAsia="zh-CN"/>
                    </w:rPr>
                    <w:t>产生的淤泥</w:t>
                  </w:r>
                </w:p>
              </w:tc>
              <w:tc>
                <w:tcPr>
                  <w:tcW w:w="742" w:type="pct"/>
                  <w:noWrap w:val="0"/>
                  <w:vAlign w:val="center"/>
                </w:tcPr>
                <w:p w14:paraId="133109D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val="en-US" w:eastAsia="zh-CN"/>
                    </w:rPr>
                    <w:t>一般工业固体废物</w:t>
                  </w:r>
                </w:p>
              </w:tc>
              <w:tc>
                <w:tcPr>
                  <w:tcW w:w="500" w:type="pct"/>
                  <w:noWrap w:val="0"/>
                  <w:vAlign w:val="center"/>
                </w:tcPr>
                <w:p w14:paraId="04FD9DB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39C3139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rPr>
                    <w:t>作为充填原料回用</w:t>
                  </w:r>
                </w:p>
              </w:tc>
            </w:tr>
            <w:tr w14:paraId="446F2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394" w:type="pct"/>
                  <w:vMerge w:val="continue"/>
                  <w:noWrap w:val="0"/>
                  <w:vAlign w:val="center"/>
                </w:tcPr>
                <w:p w14:paraId="48DDE64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5DC9EE7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26DDE54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val="en-US" w:eastAsia="zh-CN"/>
                    </w:rPr>
                    <w:t>地面冲洗废水收集池产生的底泥</w:t>
                  </w:r>
                </w:p>
              </w:tc>
              <w:tc>
                <w:tcPr>
                  <w:tcW w:w="742" w:type="pct"/>
                  <w:noWrap w:val="0"/>
                  <w:vAlign w:val="center"/>
                </w:tcPr>
                <w:p w14:paraId="54322FB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val="en-US" w:eastAsia="zh-CN"/>
                    </w:rPr>
                    <w:t>一般工业固体废物</w:t>
                  </w:r>
                </w:p>
              </w:tc>
              <w:tc>
                <w:tcPr>
                  <w:tcW w:w="500" w:type="pct"/>
                  <w:noWrap w:val="0"/>
                  <w:vAlign w:val="center"/>
                </w:tcPr>
                <w:p w14:paraId="0A11B5D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4A4A691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rPr>
                    <w:t>作为充填原料回用</w:t>
                  </w:r>
                </w:p>
              </w:tc>
            </w:tr>
            <w:tr w14:paraId="7003F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 w:hRule="atLeast"/>
                <w:jc w:val="center"/>
              </w:trPr>
              <w:tc>
                <w:tcPr>
                  <w:tcW w:w="394" w:type="pct"/>
                  <w:vMerge w:val="continue"/>
                  <w:noWrap w:val="0"/>
                  <w:vAlign w:val="center"/>
                </w:tcPr>
                <w:p w14:paraId="24CB3AD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415" w:type="pct"/>
                  <w:vMerge w:val="continue"/>
                  <w:noWrap w:val="0"/>
                  <w:vAlign w:val="center"/>
                </w:tcPr>
                <w:p w14:paraId="67AB2E5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p>
              </w:tc>
              <w:tc>
                <w:tcPr>
                  <w:tcW w:w="1003" w:type="pct"/>
                  <w:noWrap w:val="0"/>
                  <w:vAlign w:val="center"/>
                </w:tcPr>
                <w:p w14:paraId="665D738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lang w:val="en-US" w:eastAsia="zh-CN"/>
                    </w:rPr>
                  </w:pPr>
                  <w:r>
                    <w:rPr>
                      <w:rFonts w:hint="default" w:ascii="Times New Roman" w:hAnsi="Times New Roman" w:eastAsia="宋体" w:cs="Times New Roman"/>
                      <w:color w:val="auto"/>
                      <w:kern w:val="2"/>
                      <w:sz w:val="21"/>
                      <w:szCs w:val="24"/>
                    </w:rPr>
                    <w:t>废机油</w:t>
                  </w:r>
                </w:p>
              </w:tc>
              <w:tc>
                <w:tcPr>
                  <w:tcW w:w="742" w:type="pct"/>
                  <w:noWrap w:val="0"/>
                  <w:vAlign w:val="center"/>
                </w:tcPr>
                <w:p w14:paraId="75C2C4A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lang w:val="en-US" w:eastAsia="zh-CN"/>
                    </w:rPr>
                  </w:pPr>
                  <w:r>
                    <w:rPr>
                      <w:rFonts w:hint="default" w:ascii="Times New Roman" w:hAnsi="Times New Roman" w:eastAsia="宋体" w:cs="Times New Roman"/>
                      <w:color w:val="auto"/>
                      <w:kern w:val="2"/>
                      <w:sz w:val="21"/>
                      <w:szCs w:val="24"/>
                    </w:rPr>
                    <w:t>矿物油</w:t>
                  </w:r>
                </w:p>
              </w:tc>
              <w:tc>
                <w:tcPr>
                  <w:tcW w:w="500" w:type="pct"/>
                  <w:noWrap w:val="0"/>
                  <w:vAlign w:val="center"/>
                </w:tcPr>
                <w:p w14:paraId="7D56AF1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间断</w:t>
                  </w:r>
                </w:p>
              </w:tc>
              <w:tc>
                <w:tcPr>
                  <w:tcW w:w="1944" w:type="pct"/>
                  <w:noWrap w:val="0"/>
                  <w:vAlign w:val="center"/>
                </w:tcPr>
                <w:p w14:paraId="595FA5F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rPr>
                    <w:t>油桶收集后暂存于矿区内已有危废暂存库内，定期委托有资质单位处置</w:t>
                  </w:r>
                </w:p>
              </w:tc>
            </w:tr>
            <w:tr w14:paraId="14257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94" w:type="pct"/>
                  <w:noWrap w:val="0"/>
                  <w:vAlign w:val="center"/>
                </w:tcPr>
                <w:p w14:paraId="45B7076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4</w:t>
                  </w:r>
                </w:p>
              </w:tc>
              <w:tc>
                <w:tcPr>
                  <w:tcW w:w="415" w:type="pct"/>
                  <w:noWrap w:val="0"/>
                  <w:vAlign w:val="center"/>
                </w:tcPr>
                <w:p w14:paraId="0BC80DA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噪声</w:t>
                  </w:r>
                </w:p>
              </w:tc>
              <w:tc>
                <w:tcPr>
                  <w:tcW w:w="1003" w:type="pct"/>
                  <w:noWrap w:val="0"/>
                  <w:vAlign w:val="center"/>
                </w:tcPr>
                <w:p w14:paraId="3DD993F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Cs/>
                      <w:color w:val="auto"/>
                      <w:kern w:val="2"/>
                      <w:sz w:val="21"/>
                      <w:szCs w:val="21"/>
                    </w:rPr>
                    <w:t>破碎机、输送机、水泵、</w:t>
                  </w:r>
                  <w:r>
                    <w:rPr>
                      <w:rFonts w:hint="default" w:ascii="Times New Roman" w:hAnsi="Times New Roman" w:eastAsia="宋体" w:cs="Times New Roman"/>
                      <w:bCs/>
                      <w:color w:val="auto"/>
                      <w:kern w:val="2"/>
                      <w:sz w:val="21"/>
                      <w:szCs w:val="21"/>
                      <w:lang w:val="en-US" w:eastAsia="zh-CN"/>
                    </w:rPr>
                    <w:t>球磨机</w:t>
                  </w:r>
                  <w:r>
                    <w:rPr>
                      <w:rFonts w:hint="default" w:ascii="Times New Roman" w:hAnsi="Times New Roman" w:eastAsia="宋体" w:cs="Times New Roman"/>
                      <w:bCs/>
                      <w:color w:val="auto"/>
                      <w:kern w:val="2"/>
                      <w:sz w:val="21"/>
                      <w:szCs w:val="21"/>
                    </w:rPr>
                    <w:t>、充填泵以及除尘设备风机等设备</w:t>
                  </w:r>
                </w:p>
              </w:tc>
              <w:tc>
                <w:tcPr>
                  <w:tcW w:w="742" w:type="pct"/>
                  <w:noWrap w:val="0"/>
                  <w:vAlign w:val="center"/>
                </w:tcPr>
                <w:p w14:paraId="712E153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噪声</w:t>
                  </w:r>
                </w:p>
              </w:tc>
              <w:tc>
                <w:tcPr>
                  <w:tcW w:w="500" w:type="pct"/>
                  <w:noWrap w:val="0"/>
                  <w:vAlign w:val="center"/>
                </w:tcPr>
                <w:p w14:paraId="1850608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连续</w:t>
                  </w:r>
                </w:p>
              </w:tc>
              <w:tc>
                <w:tcPr>
                  <w:tcW w:w="1944" w:type="pct"/>
                  <w:noWrap w:val="0"/>
                  <w:vAlign w:val="center"/>
                </w:tcPr>
                <w:p w14:paraId="167AC7E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选用低噪声设备，减震、距离衰减等</w:t>
                  </w:r>
                </w:p>
              </w:tc>
            </w:tr>
          </w:tbl>
          <w:p w14:paraId="4A781BB2">
            <w:pPr>
              <w:bidi w:val="0"/>
              <w:ind w:left="0" w:leftChars="0" w:firstLine="0" w:firstLineChars="0"/>
              <w:rPr>
                <w:rFonts w:hint="default" w:ascii="Times New Roman" w:hAnsi="Times New Roman" w:eastAsia="宋体" w:cs="Times New Roman"/>
                <w:color w:val="auto"/>
              </w:rPr>
            </w:pPr>
          </w:p>
        </w:tc>
      </w:tr>
      <w:tr w14:paraId="2105E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86" w:hRule="atLeast"/>
        </w:trPr>
        <w:tc>
          <w:tcPr>
            <w:tcW w:w="303" w:type="pct"/>
            <w:vAlign w:val="center"/>
          </w:tcPr>
          <w:p w14:paraId="05423D06">
            <w:pPr>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与项目有关的原有环境污染问题</w:t>
            </w:r>
          </w:p>
        </w:tc>
        <w:tc>
          <w:tcPr>
            <w:tcW w:w="4696" w:type="pct"/>
            <w:vAlign w:val="center"/>
          </w:tcPr>
          <w:p w14:paraId="4F9940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val="en-US" w:eastAsia="zh-CN"/>
              </w:rPr>
            </w:pPr>
            <w:r>
              <w:rPr>
                <w:rFonts w:hint="default" w:ascii="Times New Roman" w:hAnsi="Times New Roman" w:eastAsia="宋体" w:cs="Times New Roman"/>
                <w:color w:val="auto"/>
                <w:kern w:val="0"/>
                <w:sz w:val="24"/>
                <w:szCs w:val="24"/>
                <w:lang w:val="en-US" w:eastAsia="zh-CN" w:bidi="ar"/>
              </w:rPr>
              <w:t>根据《内蒙古鄂尔多斯联海煤业有限公司纳林河煤炭矿区白家海子矿井及选煤厂（1500万吨/年）</w:t>
            </w:r>
            <w:r>
              <w:rPr>
                <w:rFonts w:hint="default" w:ascii="Times New Roman" w:hAnsi="Times New Roman" w:eastAsia="宋体" w:cs="Times New Roman"/>
                <w:color w:val="auto"/>
                <w:kern w:val="2"/>
                <w:sz w:val="24"/>
                <w:szCs w:val="32"/>
                <w:highlight w:val="none"/>
              </w:rPr>
              <w:t>环境影响报告书</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2"/>
                <w:sz w:val="24"/>
                <w:szCs w:val="32"/>
                <w:highlight w:val="none"/>
                <w:lang w:val="en-US" w:eastAsia="zh-CN"/>
              </w:rPr>
              <w:t>及批复要求：项目矸石部分用于联海煤业煤矸石综合项目，其余全部用于充填。矸石充填系统应与矿井同步建成投运，加强矸石充填系统运行管理，确保矸石及时充填井下。原环评及批复中包括矸石充填系统的建设内容指的是井下采空区的地上充填系统，环评及批复已审批地上充填系统和井下采空区充填内容，目前实际情况为企业未建设地上充填系统，实际的井下采空区还未形成，</w:t>
            </w:r>
            <w:r>
              <w:rPr>
                <w:rFonts w:hint="default" w:ascii="Times New Roman" w:hAnsi="Times New Roman" w:eastAsia="宋体" w:cs="Times New Roman"/>
                <w:b/>
                <w:bCs/>
                <w:color w:val="auto"/>
                <w:kern w:val="2"/>
                <w:sz w:val="24"/>
                <w:szCs w:val="32"/>
                <w:highlight w:val="none"/>
                <w:lang w:val="en-US" w:eastAsia="zh-CN"/>
              </w:rPr>
              <w:t>目前不存在与</w:t>
            </w:r>
            <w:r>
              <w:rPr>
                <w:rFonts w:hint="default" w:ascii="Times New Roman" w:hAnsi="Times New Roman" w:eastAsia="宋体" w:cs="Times New Roman"/>
                <w:b/>
                <w:bCs/>
                <w:color w:val="auto"/>
              </w:rPr>
              <w:t>项目有关的原有环境污染问题</w:t>
            </w:r>
            <w:r>
              <w:rPr>
                <w:rFonts w:hint="default" w:ascii="Times New Roman" w:hAnsi="Times New Roman" w:eastAsia="宋体" w:cs="Times New Roman"/>
                <w:b/>
                <w:bCs/>
                <w:color w:val="auto"/>
                <w:lang w:eastAsia="zh-CN"/>
              </w:rPr>
              <w:t>。</w:t>
            </w:r>
          </w:p>
          <w:p w14:paraId="2E9558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val="en-US" w:eastAsia="zh-CN"/>
              </w:rPr>
            </w:pPr>
          </w:p>
          <w:p w14:paraId="33236E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val="en-US" w:eastAsia="zh-CN"/>
              </w:rPr>
            </w:pPr>
          </w:p>
          <w:p w14:paraId="5CBC7D4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val="en-US" w:eastAsia="zh-CN"/>
              </w:rPr>
            </w:pPr>
          </w:p>
          <w:p w14:paraId="78EDAC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val="en-US" w:eastAsia="zh-CN"/>
              </w:rPr>
            </w:pPr>
          </w:p>
          <w:p w14:paraId="2EDC016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32"/>
                <w:highlight w:val="none"/>
                <w:lang w:val="en-US" w:eastAsia="zh-CN"/>
              </w:rPr>
            </w:pPr>
          </w:p>
        </w:tc>
      </w:tr>
    </w:tbl>
    <w:p w14:paraId="26A4194F">
      <w:pPr>
        <w:pStyle w:val="2"/>
        <w:ind w:firstLine="640"/>
        <w:rPr>
          <w:rFonts w:hint="default" w:ascii="Times New Roman" w:hAnsi="Times New Roman" w:eastAsia="宋体" w:cs="Times New Roman"/>
          <w:snapToGrid w:val="0"/>
          <w:color w:val="auto"/>
        </w:rPr>
      </w:pPr>
      <w:bookmarkStart w:id="8" w:name="_Toc144507127"/>
      <w:r>
        <w:rPr>
          <w:rFonts w:hint="default" w:ascii="Times New Roman" w:hAnsi="Times New Roman" w:eastAsia="宋体" w:cs="Times New Roman"/>
          <w:snapToGrid w:val="0"/>
          <w:color w:val="auto"/>
        </w:rPr>
        <w:t>三、区域环境质量现状、环境保护目标及评价标准</w:t>
      </w:r>
      <w:bookmarkEnd w:id="8"/>
    </w:p>
    <w:tbl>
      <w:tblPr>
        <w:tblStyle w:val="25"/>
        <w:tblW w:w="901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4"/>
        <w:gridCol w:w="8194"/>
      </w:tblGrid>
      <w:tr w14:paraId="3B7DE2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 w:type="dxa"/>
            <w:vAlign w:val="center"/>
          </w:tcPr>
          <w:p w14:paraId="396B9916">
            <w:pPr>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区域环境质量现状</w:t>
            </w:r>
          </w:p>
        </w:tc>
        <w:tc>
          <w:tcPr>
            <w:tcW w:w="8194" w:type="dxa"/>
            <w:vAlign w:val="center"/>
          </w:tcPr>
          <w:p w14:paraId="481DE109">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一</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区域环境质量现状</w:t>
            </w:r>
          </w:p>
          <w:p w14:paraId="76A58B01">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环境空气质量现状</w:t>
            </w:r>
          </w:p>
          <w:p w14:paraId="087AC5BF">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（1）项目所在区域环境质量达标情况</w:t>
            </w:r>
          </w:p>
          <w:p w14:paraId="7E98DAB3">
            <w:pPr>
              <w:ind w:firstLine="480"/>
              <w:rPr>
                <w:rFonts w:hint="default" w:ascii="Times New Roman" w:hAnsi="Times New Roman" w:eastAsia="宋体" w:cs="Times New Roman"/>
                <w:color w:val="auto"/>
              </w:rPr>
            </w:pPr>
            <w:bookmarkStart w:id="9" w:name="_Hlk78372480"/>
            <w:r>
              <w:rPr>
                <w:rFonts w:hint="default" w:ascii="Times New Roman" w:hAnsi="Times New Roman" w:eastAsia="宋体" w:cs="Times New Roman"/>
                <w:color w:val="auto"/>
              </w:rPr>
              <w:t>根据《环境影响评价技术导则大气环境》（HJ2.2-2018）中6.4.1.1中的内容</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城市环境空气质量达标评价指标为SO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、NO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10</w:t>
            </w: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2.5</w:t>
            </w:r>
            <w:r>
              <w:rPr>
                <w:rFonts w:hint="default" w:ascii="Times New Roman" w:hAnsi="Times New Roman" w:eastAsia="宋体" w:cs="Times New Roman"/>
                <w:color w:val="auto"/>
              </w:rPr>
              <w:t>、CO和O</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，六项污染物全部达标即为城市环境空气质量达标</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w:t>
            </w:r>
          </w:p>
          <w:p w14:paraId="0198DF00">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本项目位于内蒙古自治区</w:t>
            </w:r>
            <w:r>
              <w:rPr>
                <w:rFonts w:hint="default" w:ascii="Times New Roman" w:hAnsi="Times New Roman" w:eastAsia="宋体" w:cs="Times New Roman"/>
                <w:color w:val="auto"/>
                <w:lang w:val="en-US" w:eastAsia="zh-CN"/>
              </w:rPr>
              <w:t>鄂尔多斯</w:t>
            </w:r>
            <w:r>
              <w:rPr>
                <w:rFonts w:hint="default" w:ascii="Times New Roman" w:hAnsi="Times New Roman" w:eastAsia="宋体" w:cs="Times New Roman"/>
                <w:color w:val="auto"/>
              </w:rPr>
              <w:t>市，根据《环境影响评价技术导则·大气环境》（HJ2.2-2018）的规定，项目所在区域环境空气质量达标判定应优先采用国家或地方生态环境主管部门公开发布的评价基准年环境质量公告或环境质量报告中的数据或结论。本次采用了内蒙古自治区生态环境厅发布的《202</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年内蒙古自治区生态环境状况公报》中</w:t>
            </w:r>
            <w:r>
              <w:rPr>
                <w:rFonts w:hint="default" w:ascii="Times New Roman" w:hAnsi="Times New Roman" w:eastAsia="宋体" w:cs="Times New Roman"/>
                <w:color w:val="auto"/>
                <w:lang w:val="en-US" w:eastAsia="zh-CN"/>
              </w:rPr>
              <w:t>鄂尔多斯</w:t>
            </w:r>
            <w:r>
              <w:rPr>
                <w:rFonts w:hint="default" w:ascii="Times New Roman" w:hAnsi="Times New Roman" w:eastAsia="宋体" w:cs="Times New Roman"/>
                <w:color w:val="auto"/>
              </w:rPr>
              <w:t>市的环境空气质量监测数据可以看出，</w:t>
            </w:r>
            <w:r>
              <w:rPr>
                <w:rFonts w:hint="default" w:ascii="Times New Roman" w:hAnsi="Times New Roman" w:eastAsia="宋体" w:cs="Times New Roman"/>
                <w:color w:val="auto"/>
                <w:lang w:val="en-US" w:eastAsia="zh-CN"/>
              </w:rPr>
              <w:t>鄂尔多斯市</w:t>
            </w:r>
            <w:r>
              <w:rPr>
                <w:rFonts w:hint="default" w:ascii="Times New Roman" w:hAnsi="Times New Roman" w:eastAsia="宋体" w:cs="Times New Roman"/>
                <w:color w:val="auto"/>
              </w:rPr>
              <w:t>202</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年大气环境中6项污染物中SO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、NO</w:t>
            </w:r>
            <w:r>
              <w:rPr>
                <w:rFonts w:hint="default" w:ascii="Times New Roman" w:hAnsi="Times New Roman" w:eastAsia="宋体" w:cs="Times New Roman"/>
                <w:color w:val="auto"/>
                <w:vertAlign w:val="subscript"/>
              </w:rPr>
              <w:t>2</w:t>
            </w: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10</w:t>
            </w:r>
            <w:r>
              <w:rPr>
                <w:rFonts w:hint="default" w:ascii="Times New Roman" w:hAnsi="Times New Roman" w:eastAsia="宋体" w:cs="Times New Roman"/>
                <w:color w:val="auto"/>
              </w:rPr>
              <w:t>、PM</w:t>
            </w:r>
            <w:r>
              <w:rPr>
                <w:rFonts w:hint="default" w:ascii="Times New Roman" w:hAnsi="Times New Roman" w:eastAsia="宋体" w:cs="Times New Roman"/>
                <w:color w:val="auto"/>
                <w:vertAlign w:val="subscript"/>
              </w:rPr>
              <w:t>2.5</w:t>
            </w:r>
            <w:r>
              <w:rPr>
                <w:rFonts w:hint="default" w:ascii="Times New Roman" w:hAnsi="Times New Roman" w:eastAsia="宋体" w:cs="Times New Roman"/>
                <w:color w:val="auto"/>
              </w:rPr>
              <w:t>、CO和O</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质量浓度均满足《环境空气质量标准》（GB3095-2012）二级标准限值，由此可判断</w:t>
            </w:r>
            <w:r>
              <w:rPr>
                <w:rFonts w:hint="default" w:ascii="Times New Roman" w:hAnsi="Times New Roman" w:eastAsia="宋体" w:cs="Times New Roman"/>
                <w:color w:val="auto"/>
                <w:lang w:val="en-US" w:eastAsia="zh-CN"/>
              </w:rPr>
              <w:t>伊金霍洛旗</w:t>
            </w:r>
            <w:r>
              <w:rPr>
                <w:rFonts w:hint="default" w:ascii="Times New Roman" w:hAnsi="Times New Roman" w:eastAsia="宋体" w:cs="Times New Roman"/>
                <w:color w:val="auto"/>
              </w:rPr>
              <w:t>为达标区。</w:t>
            </w:r>
          </w:p>
          <w:p w14:paraId="15801F5B">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（2）其他污染物环境质量现状</w:t>
            </w:r>
          </w:p>
          <w:p w14:paraId="1BE65297">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①</w:t>
            </w:r>
            <w:r>
              <w:rPr>
                <w:rFonts w:hint="default" w:ascii="Times New Roman" w:hAnsi="Times New Roman" w:eastAsia="宋体" w:cs="Times New Roman"/>
                <w:color w:val="auto"/>
              </w:rPr>
              <w:t>监测布点</w:t>
            </w:r>
          </w:p>
          <w:p w14:paraId="781E059C">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本次评价大气现状监测特征污染物TSP</w:t>
            </w:r>
            <w:r>
              <w:rPr>
                <w:rFonts w:hint="eastAsia" w:cs="Times New Roman"/>
                <w:color w:val="auto"/>
                <w:lang w:val="en-US" w:eastAsia="zh-CN"/>
              </w:rPr>
              <w:t>委托</w:t>
            </w:r>
            <w:r>
              <w:rPr>
                <w:rFonts w:hint="default" w:ascii="Times New Roman" w:hAnsi="Times New Roman" w:eastAsia="宋体" w:cs="Times New Roman"/>
                <w:color w:val="auto"/>
              </w:rPr>
              <w:t>内蒙古泽铭技术检测有限公司对项目区下风向进行了</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天监测</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TSP</w:t>
            </w:r>
            <w:r>
              <w:rPr>
                <w:rFonts w:hint="default" w:ascii="Times New Roman" w:hAnsi="Times New Roman" w:eastAsia="宋体" w:cs="Times New Roman"/>
                <w:color w:val="auto"/>
                <w:lang w:val="en-US" w:eastAsia="zh-CN"/>
              </w:rPr>
              <w:t>监测时间为2025</w:t>
            </w:r>
            <w:r>
              <w:rPr>
                <w:rFonts w:hint="eastAsia" w:cs="Times New Roman"/>
                <w:color w:val="auto"/>
                <w:lang w:val="en-US" w:eastAsia="zh-CN"/>
              </w:rPr>
              <w:t>年</w:t>
            </w:r>
            <w:r>
              <w:rPr>
                <w:rFonts w:hint="default" w:ascii="Times New Roman" w:hAnsi="Times New Roman" w:eastAsia="宋体" w:cs="Times New Roman"/>
                <w:color w:val="auto"/>
                <w:lang w:val="en-US" w:eastAsia="zh-CN"/>
              </w:rPr>
              <w:t>9</w:t>
            </w:r>
            <w:r>
              <w:rPr>
                <w:rFonts w:hint="eastAsia" w:cs="Times New Roman"/>
                <w:color w:val="auto"/>
                <w:lang w:val="en-US" w:eastAsia="zh-CN"/>
              </w:rPr>
              <w:t>月</w:t>
            </w:r>
            <w:r>
              <w:rPr>
                <w:rFonts w:hint="default" w:ascii="Times New Roman" w:hAnsi="Times New Roman" w:eastAsia="宋体" w:cs="Times New Roman"/>
                <w:color w:val="auto"/>
                <w:lang w:val="en-US" w:eastAsia="zh-CN"/>
              </w:rPr>
              <w:t>20</w:t>
            </w:r>
            <w:r>
              <w:rPr>
                <w:rFonts w:hint="eastAsia" w:cs="Times New Roman"/>
                <w:color w:val="auto"/>
                <w:lang w:val="en-US" w:eastAsia="zh-CN"/>
              </w:rPr>
              <w:t>日</w:t>
            </w:r>
            <w:r>
              <w:rPr>
                <w:rFonts w:hint="default" w:ascii="Times New Roman" w:hAnsi="Times New Roman" w:eastAsia="宋体" w:cs="Times New Roman"/>
                <w:color w:val="auto"/>
                <w:lang w:val="en-US" w:eastAsia="zh-CN"/>
              </w:rPr>
              <w:t>-</w:t>
            </w:r>
            <w:r>
              <w:rPr>
                <w:rFonts w:hint="eastAsia" w:cs="Times New Roman"/>
                <w:color w:val="auto"/>
                <w:lang w:val="en-US" w:eastAsia="zh-CN"/>
              </w:rPr>
              <w:t>2025年</w:t>
            </w:r>
            <w:r>
              <w:rPr>
                <w:rFonts w:hint="default" w:ascii="Times New Roman" w:hAnsi="Times New Roman" w:eastAsia="宋体" w:cs="Times New Roman"/>
                <w:color w:val="auto"/>
                <w:lang w:val="en-US" w:eastAsia="zh-CN"/>
              </w:rPr>
              <w:t>9</w:t>
            </w:r>
            <w:r>
              <w:rPr>
                <w:rFonts w:hint="eastAsia" w:cs="Times New Roman"/>
                <w:color w:val="auto"/>
                <w:lang w:val="en-US" w:eastAsia="zh-CN"/>
              </w:rPr>
              <w:t>月</w:t>
            </w:r>
            <w:r>
              <w:rPr>
                <w:rFonts w:hint="default" w:ascii="Times New Roman" w:hAnsi="Times New Roman" w:eastAsia="宋体" w:cs="Times New Roman"/>
                <w:color w:val="auto"/>
                <w:lang w:val="en-US" w:eastAsia="zh-CN"/>
              </w:rPr>
              <w:t>22</w:t>
            </w:r>
            <w:r>
              <w:rPr>
                <w:rFonts w:hint="eastAsia" w:cs="Times New Roman"/>
                <w:color w:val="auto"/>
                <w:lang w:val="en-US" w:eastAsia="zh-CN"/>
              </w:rPr>
              <w:t>日。</w:t>
            </w:r>
          </w:p>
          <w:p w14:paraId="67301249">
            <w:pPr>
              <w:pStyle w:val="3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表3-</w:t>
            </w:r>
            <w:r>
              <w:rPr>
                <w:rFonts w:hint="default" w:ascii="Times New Roman" w:hAnsi="Times New Roman" w:eastAsia="宋体" w:cs="Times New Roman"/>
                <w:color w:val="auto"/>
                <w:sz w:val="24"/>
                <w:szCs w:val="24"/>
                <w:lang w:val="en-US" w:eastAsia="zh-CN"/>
              </w:rPr>
              <w:t xml:space="preserve">1  </w:t>
            </w:r>
            <w:r>
              <w:rPr>
                <w:rFonts w:hint="default" w:ascii="Times New Roman" w:hAnsi="Times New Roman" w:eastAsia="宋体" w:cs="Times New Roman"/>
                <w:color w:val="auto"/>
                <w:sz w:val="24"/>
                <w:szCs w:val="24"/>
              </w:rPr>
              <w:t>其他污染物补充监测点位基本信息</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19"/>
              <w:gridCol w:w="1744"/>
              <w:gridCol w:w="2306"/>
              <w:gridCol w:w="2706"/>
            </w:tblGrid>
            <w:tr w14:paraId="2F7C8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64" w:type="pct"/>
                  <w:noWrap w:val="0"/>
                  <w:vAlign w:val="center"/>
                </w:tcPr>
                <w:p w14:paraId="5ED1F2FF">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rPr>
                  </w:pPr>
                  <w:r>
                    <w:rPr>
                      <w:rFonts w:hint="default" w:ascii="Times New Roman" w:hAnsi="Times New Roman" w:eastAsia="宋体" w:cs="Times New Roman"/>
                      <w:b w:val="0"/>
                      <w:bCs w:val="0"/>
                      <w:color w:val="auto"/>
                      <w:kern w:val="44"/>
                      <w:sz w:val="21"/>
                      <w:szCs w:val="21"/>
                      <w:lang w:val="en-US" w:eastAsia="zh-CN"/>
                    </w:rPr>
                    <w:t>监测点</w:t>
                  </w:r>
                  <w:r>
                    <w:rPr>
                      <w:rFonts w:hint="default" w:ascii="Times New Roman" w:hAnsi="Times New Roman" w:eastAsia="宋体" w:cs="Times New Roman"/>
                      <w:b w:val="0"/>
                      <w:bCs w:val="0"/>
                      <w:color w:val="auto"/>
                      <w:kern w:val="44"/>
                      <w:sz w:val="21"/>
                      <w:szCs w:val="21"/>
                    </w:rPr>
                    <w:t>名称</w:t>
                  </w:r>
                </w:p>
              </w:tc>
              <w:tc>
                <w:tcPr>
                  <w:tcW w:w="1093" w:type="pct"/>
                  <w:noWrap w:val="0"/>
                  <w:vAlign w:val="center"/>
                </w:tcPr>
                <w:p w14:paraId="79305B40">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lang w:val="en-US" w:eastAsia="zh-CN"/>
                    </w:rPr>
                  </w:pPr>
                  <w:r>
                    <w:rPr>
                      <w:rFonts w:hint="default" w:ascii="Times New Roman" w:hAnsi="Times New Roman" w:eastAsia="宋体" w:cs="Times New Roman"/>
                      <w:b w:val="0"/>
                      <w:bCs w:val="0"/>
                      <w:color w:val="auto"/>
                      <w:kern w:val="44"/>
                      <w:sz w:val="21"/>
                      <w:szCs w:val="21"/>
                      <w:lang w:val="en-US" w:eastAsia="zh-CN"/>
                    </w:rPr>
                    <w:t>方位</w:t>
                  </w:r>
                </w:p>
              </w:tc>
              <w:tc>
                <w:tcPr>
                  <w:tcW w:w="1445" w:type="pct"/>
                  <w:noWrap w:val="0"/>
                  <w:vAlign w:val="center"/>
                </w:tcPr>
                <w:p w14:paraId="426CC4FA">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lang w:val="en-US" w:eastAsia="zh-CN"/>
                    </w:rPr>
                  </w:pPr>
                  <w:r>
                    <w:rPr>
                      <w:rFonts w:hint="default" w:ascii="Times New Roman" w:hAnsi="Times New Roman" w:eastAsia="宋体" w:cs="Times New Roman"/>
                      <w:b w:val="0"/>
                      <w:bCs w:val="0"/>
                      <w:color w:val="auto"/>
                      <w:kern w:val="44"/>
                      <w:sz w:val="21"/>
                      <w:szCs w:val="21"/>
                      <w:lang w:val="en-US" w:eastAsia="zh-CN"/>
                    </w:rPr>
                    <w:t>与本项目距离（km）</w:t>
                  </w:r>
                </w:p>
              </w:tc>
              <w:tc>
                <w:tcPr>
                  <w:tcW w:w="1696" w:type="pct"/>
                  <w:noWrap w:val="0"/>
                  <w:vAlign w:val="center"/>
                </w:tcPr>
                <w:p w14:paraId="14CBED34">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rPr>
                  </w:pPr>
                  <w:r>
                    <w:rPr>
                      <w:rFonts w:hint="default" w:ascii="Times New Roman" w:hAnsi="Times New Roman" w:eastAsia="宋体" w:cs="Times New Roman"/>
                      <w:b w:val="0"/>
                      <w:bCs w:val="0"/>
                      <w:color w:val="auto"/>
                      <w:kern w:val="44"/>
                      <w:sz w:val="21"/>
                      <w:szCs w:val="21"/>
                    </w:rPr>
                    <w:t>测点坐标</w:t>
                  </w:r>
                </w:p>
              </w:tc>
            </w:tr>
            <w:tr w14:paraId="71F75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764" w:type="pct"/>
                  <w:noWrap w:val="0"/>
                  <w:vAlign w:val="center"/>
                </w:tcPr>
                <w:p w14:paraId="308627C5">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lang w:val="en-US" w:eastAsia="zh-CN"/>
                    </w:rPr>
                  </w:pPr>
                  <w:r>
                    <w:rPr>
                      <w:rFonts w:hint="default" w:ascii="Times New Roman" w:hAnsi="Times New Roman" w:eastAsia="宋体" w:cs="Times New Roman"/>
                      <w:b w:val="0"/>
                      <w:bCs w:val="0"/>
                      <w:color w:val="auto"/>
                      <w:kern w:val="44"/>
                      <w:sz w:val="21"/>
                      <w:szCs w:val="21"/>
                      <w:lang w:val="en-US" w:eastAsia="zh-CN"/>
                    </w:rPr>
                    <w:t>项目区下风向G1</w:t>
                  </w:r>
                </w:p>
              </w:tc>
              <w:tc>
                <w:tcPr>
                  <w:tcW w:w="1093" w:type="pct"/>
                  <w:noWrap w:val="0"/>
                  <w:vAlign w:val="center"/>
                </w:tcPr>
                <w:p w14:paraId="121D681D">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lang w:val="en-US" w:eastAsia="zh-CN"/>
                    </w:rPr>
                  </w:pPr>
                  <w:r>
                    <w:rPr>
                      <w:rFonts w:hint="default" w:ascii="Times New Roman" w:hAnsi="Times New Roman" w:eastAsia="宋体" w:cs="Times New Roman"/>
                      <w:b w:val="0"/>
                      <w:bCs w:val="0"/>
                      <w:color w:val="auto"/>
                      <w:kern w:val="44"/>
                      <w:sz w:val="21"/>
                      <w:szCs w:val="21"/>
                      <w:lang w:val="en-US" w:eastAsia="zh-CN"/>
                    </w:rPr>
                    <w:t>SE</w:t>
                  </w:r>
                </w:p>
              </w:tc>
              <w:tc>
                <w:tcPr>
                  <w:tcW w:w="1445" w:type="pct"/>
                  <w:noWrap w:val="0"/>
                  <w:vAlign w:val="center"/>
                </w:tcPr>
                <w:p w14:paraId="2D04E930">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lang w:val="en-US" w:eastAsia="zh-CN"/>
                    </w:rPr>
                  </w:pPr>
                  <w:r>
                    <w:rPr>
                      <w:rFonts w:hint="default" w:ascii="Times New Roman" w:hAnsi="Times New Roman" w:eastAsia="宋体" w:cs="Times New Roman"/>
                      <w:b w:val="0"/>
                      <w:bCs w:val="0"/>
                      <w:color w:val="auto"/>
                      <w:kern w:val="44"/>
                      <w:sz w:val="21"/>
                      <w:szCs w:val="21"/>
                      <w:lang w:val="en-US" w:eastAsia="zh-CN"/>
                    </w:rPr>
                    <w:t>1.45</w:t>
                  </w:r>
                </w:p>
              </w:tc>
              <w:tc>
                <w:tcPr>
                  <w:tcW w:w="1696" w:type="pct"/>
                  <w:noWrap w:val="0"/>
                  <w:vAlign w:val="center"/>
                </w:tcPr>
                <w:p w14:paraId="505339F0">
                  <w:pPr>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44"/>
                      <w:sz w:val="21"/>
                      <w:szCs w:val="21"/>
                      <w:lang w:val="en-US" w:eastAsia="zh-CN"/>
                    </w:rPr>
                  </w:pPr>
                  <w:r>
                    <w:rPr>
                      <w:rFonts w:hint="default" w:ascii="Times New Roman" w:hAnsi="Times New Roman" w:eastAsia="宋体" w:cs="Times New Roman"/>
                      <w:b w:val="0"/>
                      <w:bCs w:val="0"/>
                      <w:color w:val="auto"/>
                      <w:kern w:val="44"/>
                      <w:sz w:val="21"/>
                      <w:szCs w:val="21"/>
                      <w:lang w:val="en-US" w:eastAsia="zh-CN"/>
                    </w:rPr>
                    <w:t>108.951201853,38.349974492</w:t>
                  </w:r>
                </w:p>
              </w:tc>
            </w:tr>
          </w:tbl>
          <w:p w14:paraId="71573ACD">
            <w:pPr>
              <w:ind w:left="0" w:leftChars="0" w:firstLine="0" w:firstLineChars="0"/>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drawing>
                <wp:inline distT="0" distB="0" distL="114300" distR="114300">
                  <wp:extent cx="4798060" cy="3616325"/>
                  <wp:effectExtent l="0" t="0" r="2540" b="317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50"/>
                          <a:stretch>
                            <a:fillRect/>
                          </a:stretch>
                        </pic:blipFill>
                        <pic:spPr>
                          <a:xfrm>
                            <a:off x="0" y="0"/>
                            <a:ext cx="4798060" cy="3616325"/>
                          </a:xfrm>
                          <a:prstGeom prst="rect">
                            <a:avLst/>
                          </a:prstGeom>
                          <a:noFill/>
                          <a:ln>
                            <a:noFill/>
                          </a:ln>
                        </pic:spPr>
                      </pic:pic>
                    </a:graphicData>
                  </a:graphic>
                </wp:inline>
              </w:drawing>
            </w:r>
          </w:p>
          <w:p w14:paraId="4139F1B6">
            <w:pPr>
              <w:spacing w:line="360" w:lineRule="auto"/>
              <w:jc w:val="center"/>
              <w:rPr>
                <w:rFonts w:hint="default" w:ascii="Times New Roman" w:hAnsi="Times New Roman" w:eastAsia="宋体" w:cs="Times New Roman"/>
                <w:b/>
                <w:bCs/>
                <w:color w:val="auto"/>
                <w:kern w:val="0"/>
                <w:sz w:val="24"/>
                <w:szCs w:val="20"/>
                <w:highlight w:val="none"/>
                <w:lang w:val="en-US" w:eastAsia="zh-CN" w:bidi="ar"/>
              </w:rPr>
            </w:pPr>
            <w:r>
              <w:rPr>
                <w:rFonts w:hint="default" w:ascii="Times New Roman" w:hAnsi="Times New Roman" w:eastAsia="宋体" w:cs="Times New Roman"/>
                <w:b/>
                <w:bCs/>
                <w:color w:val="auto"/>
                <w:kern w:val="0"/>
                <w:sz w:val="24"/>
                <w:szCs w:val="20"/>
                <w:highlight w:val="none"/>
                <w:lang w:val="en-US" w:eastAsia="zh-CN" w:bidi="ar"/>
              </w:rPr>
              <w:t>图3-1    大气监测布点图</w:t>
            </w:r>
          </w:p>
          <w:p w14:paraId="1D21C8E6">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②</w:t>
            </w:r>
            <w:r>
              <w:rPr>
                <w:rFonts w:hint="default" w:ascii="Times New Roman" w:hAnsi="Times New Roman" w:eastAsia="宋体" w:cs="Times New Roman"/>
                <w:color w:val="auto"/>
              </w:rPr>
              <w:t>监测项目</w:t>
            </w:r>
          </w:p>
          <w:p w14:paraId="51D0BE12">
            <w:pPr>
              <w:numPr>
                <w:ilvl w:val="0"/>
                <w:numId w:val="0"/>
              </w:numPr>
              <w:ind w:firstLine="480" w:firstLineChars="200"/>
              <w:rPr>
                <w:rFonts w:hint="default" w:ascii="Times New Roman" w:hAnsi="Times New Roman" w:eastAsia="宋体" w:cs="Times New Roman"/>
                <w:color w:val="auto"/>
                <w:lang w:eastAsia="zh-CN"/>
              </w:rPr>
            </w:pPr>
            <w:r>
              <w:rPr>
                <w:rFonts w:hint="default" w:ascii="Times New Roman" w:hAnsi="Times New Roman" w:eastAsia="宋体" w:cs="Times New Roman"/>
                <w:bCs/>
                <w:color w:val="auto"/>
                <w:sz w:val="24"/>
                <w:szCs w:val="24"/>
                <w:lang w:val="en-US" w:eastAsia="zh-CN"/>
              </w:rPr>
              <w:t>连续监测3天，TSP监测24小时均值。</w:t>
            </w:r>
          </w:p>
          <w:p w14:paraId="3BE399A7">
            <w:pPr>
              <w:numPr>
                <w:ilvl w:val="0"/>
                <w:numId w:val="0"/>
              </w:numPr>
              <w:ind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eastAsia="zh-CN"/>
              </w:rPr>
              <w:t>③</w:t>
            </w:r>
            <w:r>
              <w:rPr>
                <w:rFonts w:hint="default" w:ascii="Times New Roman" w:hAnsi="Times New Roman" w:eastAsia="宋体" w:cs="Times New Roman"/>
                <w:color w:val="auto"/>
                <w:lang w:val="en-US" w:eastAsia="zh-CN"/>
              </w:rPr>
              <w:t>检测方法</w:t>
            </w:r>
          </w:p>
          <w:p w14:paraId="17A22842">
            <w:pPr>
              <w:numPr>
                <w:ilvl w:val="0"/>
                <w:numId w:val="0"/>
              </w:numPr>
              <w:ind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采样和分析方法按照国家环保总局颁布的《环境监测技术规范》和《空气和废气监测分析方法》的有关要求和规定进行，具体方法见</w:t>
            </w:r>
            <w:r>
              <w:rPr>
                <w:rFonts w:hint="default" w:ascii="Times New Roman" w:hAnsi="Times New Roman" w:eastAsia="宋体" w:cs="Times New Roman"/>
                <w:color w:val="auto"/>
                <w:lang w:val="en-US" w:eastAsia="zh-CN"/>
              </w:rPr>
              <w:t>下表</w:t>
            </w:r>
            <w:r>
              <w:rPr>
                <w:rFonts w:hint="default" w:ascii="Times New Roman" w:hAnsi="Times New Roman" w:eastAsia="宋体" w:cs="Times New Roman"/>
                <w:color w:val="auto"/>
                <w:kern w:val="0"/>
              </w:rPr>
              <w:t>。</w:t>
            </w:r>
          </w:p>
          <w:p w14:paraId="6423A5DA">
            <w:pPr>
              <w:pStyle w:val="37"/>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表3-</w:t>
            </w:r>
            <w:r>
              <w:rPr>
                <w:rFonts w:hint="default" w:ascii="Times New Roman" w:hAnsi="Times New Roman" w:eastAsia="宋体" w:cs="Times New Roman"/>
                <w:color w:val="auto"/>
                <w:sz w:val="24"/>
                <w:szCs w:val="24"/>
                <w:lang w:val="en-US" w:eastAsia="zh-CN"/>
              </w:rPr>
              <w:t xml:space="preserve">2 </w:t>
            </w:r>
            <w:r>
              <w:rPr>
                <w:rFonts w:hint="default" w:ascii="Times New Roman" w:hAnsi="Times New Roman" w:eastAsia="宋体" w:cs="Times New Roman"/>
                <w:color w:val="auto"/>
                <w:sz w:val="24"/>
                <w:szCs w:val="24"/>
              </w:rPr>
              <w:t>检测方法</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
              <w:gridCol w:w="1281"/>
              <w:gridCol w:w="2822"/>
              <w:gridCol w:w="1058"/>
              <w:gridCol w:w="1337"/>
              <w:gridCol w:w="943"/>
            </w:tblGrid>
            <w:tr w14:paraId="42E14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9" w:type="pct"/>
                  <w:vAlign w:val="center"/>
                </w:tcPr>
                <w:p w14:paraId="6A438C8D">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序号</w:t>
                  </w:r>
                </w:p>
              </w:tc>
              <w:tc>
                <w:tcPr>
                  <w:tcW w:w="804" w:type="pct"/>
                  <w:vAlign w:val="center"/>
                </w:tcPr>
                <w:p w14:paraId="4D38FEAE">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检测项目</w:t>
                  </w:r>
                </w:p>
              </w:tc>
              <w:tc>
                <w:tcPr>
                  <w:tcW w:w="1771" w:type="pct"/>
                  <w:vAlign w:val="center"/>
                </w:tcPr>
                <w:p w14:paraId="25ECDF47">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检测标准（方法）</w:t>
                  </w:r>
                </w:p>
              </w:tc>
              <w:tc>
                <w:tcPr>
                  <w:tcW w:w="664" w:type="pct"/>
                  <w:vAlign w:val="center"/>
                </w:tcPr>
                <w:p w14:paraId="2C9DC2FD">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检出限</w:t>
                  </w:r>
                </w:p>
              </w:tc>
              <w:tc>
                <w:tcPr>
                  <w:tcW w:w="839" w:type="pct"/>
                  <w:vAlign w:val="center"/>
                </w:tcPr>
                <w:p w14:paraId="39ABB65A">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仪器名称型号</w:t>
                  </w:r>
                </w:p>
              </w:tc>
              <w:tc>
                <w:tcPr>
                  <w:tcW w:w="591" w:type="pct"/>
                  <w:vAlign w:val="center"/>
                </w:tcPr>
                <w:p w14:paraId="6A62E9C4">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编号</w:t>
                  </w:r>
                </w:p>
              </w:tc>
            </w:tr>
            <w:tr w14:paraId="40368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9" w:type="pct"/>
                  <w:vMerge w:val="restart"/>
                  <w:vAlign w:val="center"/>
                </w:tcPr>
                <w:p w14:paraId="45AFE666">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p>
              </w:tc>
              <w:tc>
                <w:tcPr>
                  <w:tcW w:w="804" w:type="pct"/>
                  <w:vMerge w:val="restart"/>
                  <w:vAlign w:val="center"/>
                </w:tcPr>
                <w:p w14:paraId="1C37C31E">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总悬浮颗粒物</w:t>
                  </w:r>
                </w:p>
              </w:tc>
              <w:tc>
                <w:tcPr>
                  <w:tcW w:w="1771" w:type="pct"/>
                  <w:vMerge w:val="restart"/>
                  <w:vAlign w:val="center"/>
                </w:tcPr>
                <w:p w14:paraId="3C75AEBC">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《环境空气 总悬浮颗粒物的测定重量法》HJ1263-2022</w:t>
                  </w:r>
                </w:p>
              </w:tc>
              <w:tc>
                <w:tcPr>
                  <w:tcW w:w="664" w:type="pct"/>
                  <w:vMerge w:val="restart"/>
                  <w:vAlign w:val="center"/>
                </w:tcPr>
                <w:p w14:paraId="1E6E94F8">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0.007mg/m3</w:t>
                  </w:r>
                </w:p>
              </w:tc>
              <w:tc>
                <w:tcPr>
                  <w:tcW w:w="839" w:type="pct"/>
                  <w:vAlign w:val="center"/>
                </w:tcPr>
                <w:p w14:paraId="1960FAE9">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电子天平  EX125DZH</w:t>
                  </w:r>
                </w:p>
              </w:tc>
              <w:tc>
                <w:tcPr>
                  <w:tcW w:w="591" w:type="pct"/>
                  <w:vAlign w:val="center"/>
                </w:tcPr>
                <w:p w14:paraId="614F8425">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ZMSB-042</w:t>
                  </w:r>
                </w:p>
              </w:tc>
            </w:tr>
            <w:tr w14:paraId="69C4E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29" w:type="pct"/>
                  <w:vMerge w:val="continue"/>
                  <w:vAlign w:val="center"/>
                </w:tcPr>
                <w:p w14:paraId="2406726C">
                  <w:pPr>
                    <w:spacing w:line="0" w:lineRule="atLeast"/>
                    <w:jc w:val="center"/>
                    <w:rPr>
                      <w:rFonts w:hint="default" w:ascii="Times New Roman" w:hAnsi="Times New Roman" w:eastAsia="宋体" w:cs="Times New Roman"/>
                      <w:snapToGrid w:val="0"/>
                      <w:color w:val="auto"/>
                      <w:kern w:val="0"/>
                      <w:sz w:val="21"/>
                      <w:szCs w:val="21"/>
                      <w:highlight w:val="none"/>
                      <w:lang w:val="en-US" w:eastAsia="zh-CN" w:bidi="ar-SA"/>
                    </w:rPr>
                  </w:pPr>
                </w:p>
              </w:tc>
              <w:tc>
                <w:tcPr>
                  <w:tcW w:w="804" w:type="pct"/>
                  <w:vMerge w:val="continue"/>
                  <w:vAlign w:val="center"/>
                </w:tcPr>
                <w:p w14:paraId="52544ED0">
                  <w:pPr>
                    <w:pStyle w:val="52"/>
                    <w:bidi w:val="0"/>
                    <w:rPr>
                      <w:rFonts w:hint="default" w:ascii="Times New Roman" w:hAnsi="Times New Roman" w:eastAsia="宋体" w:cs="Times New Roman"/>
                      <w:color w:val="auto"/>
                      <w:lang w:val="en-US" w:eastAsia="zh-CN"/>
                    </w:rPr>
                  </w:pPr>
                </w:p>
              </w:tc>
              <w:tc>
                <w:tcPr>
                  <w:tcW w:w="1771" w:type="pct"/>
                  <w:vMerge w:val="continue"/>
                  <w:vAlign w:val="center"/>
                </w:tcPr>
                <w:p w14:paraId="4A65433A">
                  <w:pPr>
                    <w:pStyle w:val="52"/>
                    <w:bidi w:val="0"/>
                    <w:rPr>
                      <w:rFonts w:hint="default" w:ascii="Times New Roman" w:hAnsi="Times New Roman" w:eastAsia="宋体" w:cs="Times New Roman"/>
                      <w:color w:val="auto"/>
                      <w:lang w:val="en-US" w:eastAsia="zh-CN"/>
                    </w:rPr>
                  </w:pPr>
                </w:p>
              </w:tc>
              <w:tc>
                <w:tcPr>
                  <w:tcW w:w="664" w:type="pct"/>
                  <w:vMerge w:val="continue"/>
                  <w:vAlign w:val="center"/>
                </w:tcPr>
                <w:p w14:paraId="2A720281">
                  <w:pPr>
                    <w:pStyle w:val="52"/>
                    <w:bidi w:val="0"/>
                    <w:rPr>
                      <w:rFonts w:hint="default" w:ascii="Times New Roman" w:hAnsi="Times New Roman" w:eastAsia="宋体" w:cs="Times New Roman"/>
                      <w:color w:val="auto"/>
                      <w:lang w:val="en-US" w:eastAsia="zh-CN"/>
                    </w:rPr>
                  </w:pPr>
                </w:p>
              </w:tc>
              <w:tc>
                <w:tcPr>
                  <w:tcW w:w="839" w:type="pct"/>
                  <w:vAlign w:val="center"/>
                </w:tcPr>
                <w:p w14:paraId="4F5FA1D6">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恒温恒湿称重系统THCZ-150型 </w:t>
                  </w:r>
                </w:p>
              </w:tc>
              <w:tc>
                <w:tcPr>
                  <w:tcW w:w="591" w:type="pct"/>
                  <w:vAlign w:val="center"/>
                </w:tcPr>
                <w:p w14:paraId="645E721A">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ZMSB-043</w:t>
                  </w:r>
                </w:p>
              </w:tc>
            </w:tr>
          </w:tbl>
          <w:p w14:paraId="589E109B">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④</w:t>
            </w:r>
            <w:r>
              <w:rPr>
                <w:rFonts w:hint="default" w:ascii="Times New Roman" w:hAnsi="Times New Roman" w:eastAsia="宋体" w:cs="Times New Roman"/>
                <w:color w:val="auto"/>
              </w:rPr>
              <w:t>环境空气质量现状评价</w:t>
            </w:r>
          </w:p>
          <w:p w14:paraId="385EE88A">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评价区大气环境质量现状监测及评价结果见</w:t>
            </w:r>
            <w:r>
              <w:rPr>
                <w:rFonts w:hint="default" w:ascii="Times New Roman" w:hAnsi="Times New Roman" w:eastAsia="宋体" w:cs="Times New Roman"/>
                <w:color w:val="auto"/>
                <w:lang w:val="en-US" w:eastAsia="zh-CN"/>
              </w:rPr>
              <w:t>下</w:t>
            </w:r>
            <w:r>
              <w:rPr>
                <w:rFonts w:hint="default" w:ascii="Times New Roman" w:hAnsi="Times New Roman" w:eastAsia="宋体" w:cs="Times New Roman"/>
                <w:color w:val="auto"/>
              </w:rPr>
              <w:t>表。</w:t>
            </w:r>
          </w:p>
          <w:p w14:paraId="65AB4D4E">
            <w:pPr>
              <w:pStyle w:val="37"/>
              <w:bidi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表3-3  气象条件</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1"/>
              <w:gridCol w:w="1297"/>
              <w:gridCol w:w="827"/>
              <w:gridCol w:w="1006"/>
              <w:gridCol w:w="1517"/>
              <w:gridCol w:w="1169"/>
              <w:gridCol w:w="1249"/>
            </w:tblGrid>
            <w:tr w14:paraId="3BC33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Align w:val="center"/>
                </w:tcPr>
                <w:p w14:paraId="06DAC55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采样日期</w:t>
                  </w:r>
                </w:p>
              </w:tc>
              <w:tc>
                <w:tcPr>
                  <w:tcW w:w="1297" w:type="dxa"/>
                  <w:vAlign w:val="center"/>
                </w:tcPr>
                <w:p w14:paraId="34EF1ED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采样时间</w:t>
                  </w:r>
                </w:p>
              </w:tc>
              <w:tc>
                <w:tcPr>
                  <w:tcW w:w="827" w:type="dxa"/>
                  <w:vAlign w:val="center"/>
                </w:tcPr>
                <w:p w14:paraId="61F44F0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风向</w:t>
                  </w:r>
                </w:p>
              </w:tc>
              <w:tc>
                <w:tcPr>
                  <w:tcW w:w="1006" w:type="dxa"/>
                  <w:shd w:val="clear" w:color="auto" w:fill="auto"/>
                  <w:vAlign w:val="center"/>
                </w:tcPr>
                <w:p w14:paraId="6420C7C0">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风速（m/s）</w:t>
                  </w:r>
                </w:p>
              </w:tc>
              <w:tc>
                <w:tcPr>
                  <w:tcW w:w="1517" w:type="dxa"/>
                  <w:shd w:val="clear" w:color="auto" w:fill="auto"/>
                  <w:vAlign w:val="center"/>
                </w:tcPr>
                <w:p w14:paraId="16D5F74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相对湿度（%）</w:t>
                  </w:r>
                </w:p>
              </w:tc>
              <w:tc>
                <w:tcPr>
                  <w:tcW w:w="1169" w:type="dxa"/>
                  <w:vAlign w:val="center"/>
                </w:tcPr>
                <w:p w14:paraId="0ED0D25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气温（℃）</w:t>
                  </w:r>
                </w:p>
              </w:tc>
              <w:tc>
                <w:tcPr>
                  <w:tcW w:w="1249" w:type="dxa"/>
                  <w:vAlign w:val="center"/>
                </w:tcPr>
                <w:p w14:paraId="1D784D4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气压（kpa）</w:t>
                  </w:r>
                </w:p>
              </w:tc>
            </w:tr>
            <w:tr w14:paraId="7ADC8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restart"/>
                  <w:vAlign w:val="center"/>
                </w:tcPr>
                <w:p w14:paraId="194C375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2025.09.20</w:t>
                  </w:r>
                </w:p>
              </w:tc>
              <w:tc>
                <w:tcPr>
                  <w:tcW w:w="1297" w:type="dxa"/>
                  <w:vAlign w:val="center"/>
                </w:tcPr>
                <w:p w14:paraId="0FF29C2C">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02:00-03:00</w:t>
                  </w:r>
                </w:p>
              </w:tc>
              <w:tc>
                <w:tcPr>
                  <w:tcW w:w="827" w:type="dxa"/>
                  <w:vAlign w:val="center"/>
                </w:tcPr>
                <w:p w14:paraId="1A19C00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6E050BDD">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3.6 </w:t>
                  </w:r>
                </w:p>
              </w:tc>
              <w:tc>
                <w:tcPr>
                  <w:tcW w:w="1517" w:type="dxa"/>
                  <w:vAlign w:val="center"/>
                </w:tcPr>
                <w:p w14:paraId="223E446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38 </w:t>
                  </w:r>
                </w:p>
              </w:tc>
              <w:tc>
                <w:tcPr>
                  <w:tcW w:w="1169" w:type="dxa"/>
                  <w:vAlign w:val="center"/>
                </w:tcPr>
                <w:p w14:paraId="5BDB862E">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3.3 </w:t>
                  </w:r>
                </w:p>
              </w:tc>
              <w:tc>
                <w:tcPr>
                  <w:tcW w:w="1249" w:type="dxa"/>
                  <w:vAlign w:val="center"/>
                </w:tcPr>
                <w:p w14:paraId="48BB92D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89.1 </w:t>
                  </w:r>
                </w:p>
              </w:tc>
            </w:tr>
            <w:tr w14:paraId="6693C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23ED8BC8">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vAlign w:val="center"/>
                </w:tcPr>
                <w:p w14:paraId="3AD32F8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08:00-09:00</w:t>
                  </w:r>
                </w:p>
              </w:tc>
              <w:tc>
                <w:tcPr>
                  <w:tcW w:w="827" w:type="dxa"/>
                  <w:vAlign w:val="center"/>
                </w:tcPr>
                <w:p w14:paraId="4AA4F38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5CE3B8D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3.8 </w:t>
                  </w:r>
                </w:p>
              </w:tc>
              <w:tc>
                <w:tcPr>
                  <w:tcW w:w="1517" w:type="dxa"/>
                  <w:vAlign w:val="center"/>
                </w:tcPr>
                <w:p w14:paraId="6FBDCF8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36 </w:t>
                  </w:r>
                </w:p>
              </w:tc>
              <w:tc>
                <w:tcPr>
                  <w:tcW w:w="1169" w:type="dxa"/>
                  <w:vAlign w:val="center"/>
                </w:tcPr>
                <w:p w14:paraId="7E7C1080">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4.7 </w:t>
                  </w:r>
                </w:p>
              </w:tc>
              <w:tc>
                <w:tcPr>
                  <w:tcW w:w="1249" w:type="dxa"/>
                  <w:vAlign w:val="center"/>
                </w:tcPr>
                <w:p w14:paraId="45DD0AE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88.9 </w:t>
                  </w:r>
                </w:p>
              </w:tc>
            </w:tr>
            <w:tr w14:paraId="2FD4A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52E3F2E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vAlign w:val="center"/>
                </w:tcPr>
                <w:p w14:paraId="6EC992E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14:00-15:00</w:t>
                  </w:r>
                </w:p>
              </w:tc>
              <w:tc>
                <w:tcPr>
                  <w:tcW w:w="827" w:type="dxa"/>
                  <w:vAlign w:val="center"/>
                </w:tcPr>
                <w:p w14:paraId="1BB0C04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北</w:t>
                  </w:r>
                </w:p>
              </w:tc>
              <w:tc>
                <w:tcPr>
                  <w:tcW w:w="1006" w:type="dxa"/>
                  <w:vAlign w:val="center"/>
                </w:tcPr>
                <w:p w14:paraId="3B3351F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3.5 </w:t>
                  </w:r>
                </w:p>
              </w:tc>
              <w:tc>
                <w:tcPr>
                  <w:tcW w:w="1517" w:type="dxa"/>
                  <w:vAlign w:val="center"/>
                </w:tcPr>
                <w:p w14:paraId="53A0960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30 </w:t>
                  </w:r>
                </w:p>
              </w:tc>
              <w:tc>
                <w:tcPr>
                  <w:tcW w:w="1169" w:type="dxa"/>
                  <w:vAlign w:val="center"/>
                </w:tcPr>
                <w:p w14:paraId="7619CAD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9.9 </w:t>
                  </w:r>
                </w:p>
              </w:tc>
              <w:tc>
                <w:tcPr>
                  <w:tcW w:w="1249" w:type="dxa"/>
                  <w:vAlign w:val="center"/>
                </w:tcPr>
                <w:p w14:paraId="34B1DFD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87.9 </w:t>
                  </w:r>
                </w:p>
              </w:tc>
            </w:tr>
            <w:tr w14:paraId="55167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1A0459C8">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vAlign w:val="center"/>
                </w:tcPr>
                <w:p w14:paraId="3A4338FF">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20:00-21:00</w:t>
                  </w:r>
                </w:p>
              </w:tc>
              <w:tc>
                <w:tcPr>
                  <w:tcW w:w="827" w:type="dxa"/>
                  <w:vAlign w:val="center"/>
                </w:tcPr>
                <w:p w14:paraId="7619FD7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1EE33D6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3.9 </w:t>
                  </w:r>
                </w:p>
              </w:tc>
              <w:tc>
                <w:tcPr>
                  <w:tcW w:w="1517" w:type="dxa"/>
                  <w:vAlign w:val="center"/>
                </w:tcPr>
                <w:p w14:paraId="6FAC6FF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34 </w:t>
                  </w:r>
                </w:p>
              </w:tc>
              <w:tc>
                <w:tcPr>
                  <w:tcW w:w="1169" w:type="dxa"/>
                  <w:vAlign w:val="center"/>
                </w:tcPr>
                <w:p w14:paraId="13E92DF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7.7 </w:t>
                  </w:r>
                </w:p>
              </w:tc>
              <w:tc>
                <w:tcPr>
                  <w:tcW w:w="1249" w:type="dxa"/>
                  <w:vAlign w:val="center"/>
                </w:tcPr>
                <w:p w14:paraId="4EB15D3A">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88.4 </w:t>
                  </w:r>
                </w:p>
              </w:tc>
            </w:tr>
            <w:tr w14:paraId="728DD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restart"/>
                  <w:vAlign w:val="center"/>
                </w:tcPr>
                <w:p w14:paraId="5866EB5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2025.09.21</w:t>
                  </w:r>
                </w:p>
              </w:tc>
              <w:tc>
                <w:tcPr>
                  <w:tcW w:w="1297" w:type="dxa"/>
                  <w:shd w:val="clear" w:color="auto" w:fill="auto"/>
                  <w:vAlign w:val="center"/>
                </w:tcPr>
                <w:p w14:paraId="629FA7CD">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02:00-03:00</w:t>
                  </w:r>
                </w:p>
              </w:tc>
              <w:tc>
                <w:tcPr>
                  <w:tcW w:w="827" w:type="dxa"/>
                  <w:shd w:val="clear" w:color="auto" w:fill="auto"/>
                  <w:vAlign w:val="center"/>
                </w:tcPr>
                <w:p w14:paraId="0BDB5DF5">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w:t>
                  </w:r>
                </w:p>
              </w:tc>
              <w:tc>
                <w:tcPr>
                  <w:tcW w:w="1006" w:type="dxa"/>
                  <w:vAlign w:val="center"/>
                </w:tcPr>
                <w:p w14:paraId="3893B52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3.3 </w:t>
                  </w:r>
                </w:p>
              </w:tc>
              <w:tc>
                <w:tcPr>
                  <w:tcW w:w="1517" w:type="dxa"/>
                  <w:vAlign w:val="center"/>
                </w:tcPr>
                <w:p w14:paraId="2269F97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37 </w:t>
                  </w:r>
                </w:p>
              </w:tc>
              <w:tc>
                <w:tcPr>
                  <w:tcW w:w="1169" w:type="dxa"/>
                  <w:vAlign w:val="center"/>
                </w:tcPr>
                <w:p w14:paraId="7AF39AE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9.8 </w:t>
                  </w:r>
                </w:p>
              </w:tc>
              <w:tc>
                <w:tcPr>
                  <w:tcW w:w="1249" w:type="dxa"/>
                  <w:vAlign w:val="center"/>
                </w:tcPr>
                <w:p w14:paraId="01ACD13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87.8 </w:t>
                  </w:r>
                </w:p>
              </w:tc>
            </w:tr>
            <w:tr w14:paraId="55FB3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65157FD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shd w:val="clear" w:color="auto" w:fill="auto"/>
                  <w:vAlign w:val="center"/>
                </w:tcPr>
                <w:p w14:paraId="559C000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08:00-09:00</w:t>
                  </w:r>
                </w:p>
              </w:tc>
              <w:tc>
                <w:tcPr>
                  <w:tcW w:w="827" w:type="dxa"/>
                  <w:shd w:val="clear" w:color="auto" w:fill="auto"/>
                  <w:vAlign w:val="center"/>
                </w:tcPr>
                <w:p w14:paraId="146D5D2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5BE2CB3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4.0 </w:t>
                  </w:r>
                </w:p>
              </w:tc>
              <w:tc>
                <w:tcPr>
                  <w:tcW w:w="1517" w:type="dxa"/>
                  <w:vAlign w:val="center"/>
                </w:tcPr>
                <w:p w14:paraId="0550E9C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35 </w:t>
                  </w:r>
                </w:p>
              </w:tc>
              <w:tc>
                <w:tcPr>
                  <w:tcW w:w="1169" w:type="dxa"/>
                  <w:vAlign w:val="center"/>
                </w:tcPr>
                <w:p w14:paraId="5EAB8475">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10.6 </w:t>
                  </w:r>
                </w:p>
              </w:tc>
              <w:tc>
                <w:tcPr>
                  <w:tcW w:w="1249" w:type="dxa"/>
                  <w:vAlign w:val="center"/>
                </w:tcPr>
                <w:p w14:paraId="2A3F427C">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87.5 </w:t>
                  </w:r>
                </w:p>
              </w:tc>
            </w:tr>
            <w:tr w14:paraId="10088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1677F9AA">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shd w:val="clear" w:color="auto" w:fill="auto"/>
                  <w:vAlign w:val="center"/>
                </w:tcPr>
                <w:p w14:paraId="7809638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14:00-15:00</w:t>
                  </w:r>
                </w:p>
              </w:tc>
              <w:tc>
                <w:tcPr>
                  <w:tcW w:w="827" w:type="dxa"/>
                  <w:shd w:val="clear" w:color="auto" w:fill="auto"/>
                  <w:vAlign w:val="center"/>
                </w:tcPr>
                <w:p w14:paraId="0CDE57D8">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465AFC4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1.2 </w:t>
                  </w:r>
                </w:p>
              </w:tc>
              <w:tc>
                <w:tcPr>
                  <w:tcW w:w="1517" w:type="dxa"/>
                  <w:vAlign w:val="center"/>
                </w:tcPr>
                <w:p w14:paraId="2FD7306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30 </w:t>
                  </w:r>
                </w:p>
              </w:tc>
              <w:tc>
                <w:tcPr>
                  <w:tcW w:w="1169" w:type="dxa"/>
                  <w:vAlign w:val="center"/>
                </w:tcPr>
                <w:p w14:paraId="7C944D4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15.6 </w:t>
                  </w:r>
                </w:p>
              </w:tc>
              <w:tc>
                <w:tcPr>
                  <w:tcW w:w="1249" w:type="dxa"/>
                  <w:vAlign w:val="center"/>
                </w:tcPr>
                <w:p w14:paraId="353F4D2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87.0 </w:t>
                  </w:r>
                </w:p>
              </w:tc>
            </w:tr>
            <w:tr w14:paraId="77CD7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1F51331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shd w:val="clear" w:color="auto" w:fill="auto"/>
                  <w:vAlign w:val="center"/>
                </w:tcPr>
                <w:p w14:paraId="3CC12C2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20:00-21:00</w:t>
                  </w:r>
                </w:p>
              </w:tc>
              <w:tc>
                <w:tcPr>
                  <w:tcW w:w="827" w:type="dxa"/>
                  <w:shd w:val="clear" w:color="auto" w:fill="auto"/>
                  <w:vAlign w:val="center"/>
                </w:tcPr>
                <w:p w14:paraId="2B90A5C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w:t>
                  </w:r>
                </w:p>
              </w:tc>
              <w:tc>
                <w:tcPr>
                  <w:tcW w:w="1006" w:type="dxa"/>
                  <w:vAlign w:val="center"/>
                </w:tcPr>
                <w:p w14:paraId="3F4B76BE">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3.7 </w:t>
                  </w:r>
                </w:p>
              </w:tc>
              <w:tc>
                <w:tcPr>
                  <w:tcW w:w="1517" w:type="dxa"/>
                  <w:vAlign w:val="center"/>
                </w:tcPr>
                <w:p w14:paraId="7B157430">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34 </w:t>
                  </w:r>
                </w:p>
              </w:tc>
              <w:tc>
                <w:tcPr>
                  <w:tcW w:w="1169" w:type="dxa"/>
                  <w:vAlign w:val="center"/>
                </w:tcPr>
                <w:p w14:paraId="050C376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13.6 </w:t>
                  </w:r>
                </w:p>
              </w:tc>
              <w:tc>
                <w:tcPr>
                  <w:tcW w:w="1249" w:type="dxa"/>
                  <w:vAlign w:val="center"/>
                </w:tcPr>
                <w:p w14:paraId="2B4BC5EE">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87.4 </w:t>
                  </w:r>
                </w:p>
              </w:tc>
            </w:tr>
            <w:tr w14:paraId="51FC4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restart"/>
                  <w:vAlign w:val="center"/>
                </w:tcPr>
                <w:p w14:paraId="18D6AE7D">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2025.09.22</w:t>
                  </w:r>
                </w:p>
              </w:tc>
              <w:tc>
                <w:tcPr>
                  <w:tcW w:w="1297" w:type="dxa"/>
                  <w:shd w:val="clear" w:color="auto" w:fill="auto"/>
                  <w:vAlign w:val="center"/>
                </w:tcPr>
                <w:p w14:paraId="57FF47BD">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02:00-03:00</w:t>
                  </w:r>
                </w:p>
              </w:tc>
              <w:tc>
                <w:tcPr>
                  <w:tcW w:w="827" w:type="dxa"/>
                  <w:shd w:val="clear" w:color="auto" w:fill="auto"/>
                  <w:vAlign w:val="center"/>
                </w:tcPr>
                <w:p w14:paraId="5A18906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北</w:t>
                  </w:r>
                </w:p>
              </w:tc>
              <w:tc>
                <w:tcPr>
                  <w:tcW w:w="1006" w:type="dxa"/>
                  <w:vAlign w:val="center"/>
                </w:tcPr>
                <w:p w14:paraId="3775E006">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3.7 </w:t>
                  </w:r>
                </w:p>
              </w:tc>
              <w:tc>
                <w:tcPr>
                  <w:tcW w:w="1517" w:type="dxa"/>
                  <w:vAlign w:val="center"/>
                </w:tcPr>
                <w:p w14:paraId="3EC7715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37 </w:t>
                  </w:r>
                </w:p>
              </w:tc>
              <w:tc>
                <w:tcPr>
                  <w:tcW w:w="1169" w:type="dxa"/>
                  <w:vAlign w:val="center"/>
                </w:tcPr>
                <w:p w14:paraId="1B59E6D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13.6 </w:t>
                  </w:r>
                </w:p>
              </w:tc>
              <w:tc>
                <w:tcPr>
                  <w:tcW w:w="1249" w:type="dxa"/>
                  <w:vAlign w:val="center"/>
                </w:tcPr>
                <w:p w14:paraId="7F570F1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91.6 </w:t>
                  </w:r>
                </w:p>
              </w:tc>
            </w:tr>
            <w:tr w14:paraId="093C2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29FCC4FF">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shd w:val="clear" w:color="auto" w:fill="auto"/>
                  <w:vAlign w:val="center"/>
                </w:tcPr>
                <w:p w14:paraId="4B1C291F">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08:00-09:00</w:t>
                  </w:r>
                </w:p>
              </w:tc>
              <w:tc>
                <w:tcPr>
                  <w:tcW w:w="827" w:type="dxa"/>
                  <w:shd w:val="clear" w:color="auto" w:fill="auto"/>
                  <w:vAlign w:val="center"/>
                </w:tcPr>
                <w:p w14:paraId="7C0A554A">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1BA9C7E1">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4.2 </w:t>
                  </w:r>
                </w:p>
              </w:tc>
              <w:tc>
                <w:tcPr>
                  <w:tcW w:w="1517" w:type="dxa"/>
                  <w:vAlign w:val="center"/>
                </w:tcPr>
                <w:p w14:paraId="53A3006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35 </w:t>
                  </w:r>
                </w:p>
              </w:tc>
              <w:tc>
                <w:tcPr>
                  <w:tcW w:w="1169" w:type="dxa"/>
                  <w:vAlign w:val="center"/>
                </w:tcPr>
                <w:p w14:paraId="239739D8">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14.5 </w:t>
                  </w:r>
                </w:p>
              </w:tc>
              <w:tc>
                <w:tcPr>
                  <w:tcW w:w="1249" w:type="dxa"/>
                  <w:vAlign w:val="center"/>
                </w:tcPr>
                <w:p w14:paraId="4C083549">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91.3 </w:t>
                  </w:r>
                </w:p>
              </w:tc>
            </w:tr>
            <w:tr w14:paraId="44204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1703D6D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shd w:val="clear" w:color="auto" w:fill="auto"/>
                  <w:vAlign w:val="center"/>
                </w:tcPr>
                <w:p w14:paraId="2D17028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14:00-15:00</w:t>
                  </w:r>
                </w:p>
              </w:tc>
              <w:tc>
                <w:tcPr>
                  <w:tcW w:w="827" w:type="dxa"/>
                  <w:shd w:val="clear" w:color="auto" w:fill="auto"/>
                  <w:vAlign w:val="center"/>
                </w:tcPr>
                <w:p w14:paraId="11ADF62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东 </w:t>
                  </w:r>
                </w:p>
              </w:tc>
              <w:tc>
                <w:tcPr>
                  <w:tcW w:w="1006" w:type="dxa"/>
                  <w:vAlign w:val="center"/>
                </w:tcPr>
                <w:p w14:paraId="5DEC5BB3">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3.5 </w:t>
                  </w:r>
                </w:p>
              </w:tc>
              <w:tc>
                <w:tcPr>
                  <w:tcW w:w="1517" w:type="dxa"/>
                  <w:vAlign w:val="center"/>
                </w:tcPr>
                <w:p w14:paraId="44C493EC">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33 </w:t>
                  </w:r>
                </w:p>
              </w:tc>
              <w:tc>
                <w:tcPr>
                  <w:tcW w:w="1169" w:type="dxa"/>
                  <w:vAlign w:val="center"/>
                </w:tcPr>
                <w:p w14:paraId="67155848">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19.4 </w:t>
                  </w:r>
                </w:p>
              </w:tc>
              <w:tc>
                <w:tcPr>
                  <w:tcW w:w="1249" w:type="dxa"/>
                  <w:vAlign w:val="center"/>
                </w:tcPr>
                <w:p w14:paraId="5A93821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90.5 </w:t>
                  </w:r>
                </w:p>
              </w:tc>
            </w:tr>
            <w:tr w14:paraId="22DB6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911" w:type="dxa"/>
                  <w:vMerge w:val="continue"/>
                  <w:vAlign w:val="center"/>
                </w:tcPr>
                <w:p w14:paraId="48BEF2B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p>
              </w:tc>
              <w:tc>
                <w:tcPr>
                  <w:tcW w:w="1297" w:type="dxa"/>
                  <w:shd w:val="clear" w:color="auto" w:fill="auto"/>
                  <w:vAlign w:val="center"/>
                </w:tcPr>
                <w:p w14:paraId="6AC3B875">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20:00-21:00</w:t>
                  </w:r>
                </w:p>
              </w:tc>
              <w:tc>
                <w:tcPr>
                  <w:tcW w:w="827" w:type="dxa"/>
                  <w:shd w:val="clear" w:color="auto" w:fill="auto"/>
                  <w:vAlign w:val="center"/>
                </w:tcPr>
                <w:p w14:paraId="1DAF3292">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东北</w:t>
                  </w:r>
                </w:p>
              </w:tc>
              <w:tc>
                <w:tcPr>
                  <w:tcW w:w="1006" w:type="dxa"/>
                  <w:vAlign w:val="center"/>
                </w:tcPr>
                <w:p w14:paraId="2E5BC244">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3.9 </w:t>
                  </w:r>
                </w:p>
              </w:tc>
              <w:tc>
                <w:tcPr>
                  <w:tcW w:w="1517" w:type="dxa"/>
                  <w:vAlign w:val="center"/>
                </w:tcPr>
                <w:p w14:paraId="268F76BD">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35 </w:t>
                  </w:r>
                </w:p>
              </w:tc>
              <w:tc>
                <w:tcPr>
                  <w:tcW w:w="1169" w:type="dxa"/>
                  <w:vAlign w:val="center"/>
                </w:tcPr>
                <w:p w14:paraId="0947747F">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16.9 </w:t>
                  </w:r>
                </w:p>
              </w:tc>
              <w:tc>
                <w:tcPr>
                  <w:tcW w:w="1249" w:type="dxa"/>
                  <w:vAlign w:val="center"/>
                </w:tcPr>
                <w:p w14:paraId="1A1D6F7B">
                  <w:pPr>
                    <w:pStyle w:val="52"/>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91.4 </w:t>
                  </w:r>
                </w:p>
              </w:tc>
            </w:tr>
          </w:tbl>
          <w:p w14:paraId="4AA114CE">
            <w:pPr>
              <w:pStyle w:val="37"/>
              <w:bidi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表3-4  </w:t>
            </w:r>
            <w:r>
              <w:rPr>
                <w:rFonts w:hint="default" w:ascii="Times New Roman" w:hAnsi="Times New Roman" w:eastAsia="宋体" w:cs="Times New Roman"/>
                <w:color w:val="auto"/>
                <w:sz w:val="24"/>
                <w:szCs w:val="24"/>
              </w:rPr>
              <w:t>大气环境质量现状</w:t>
            </w:r>
            <w:r>
              <w:rPr>
                <w:rFonts w:hint="default" w:ascii="Times New Roman" w:hAnsi="Times New Roman" w:eastAsia="宋体" w:cs="Times New Roman"/>
                <w:color w:val="auto"/>
                <w:sz w:val="24"/>
                <w:szCs w:val="24"/>
                <w:lang w:val="en-US" w:eastAsia="zh-CN"/>
              </w:rPr>
              <w:t>检测结果一览表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1"/>
              <w:gridCol w:w="920"/>
              <w:gridCol w:w="1814"/>
              <w:gridCol w:w="2129"/>
              <w:gridCol w:w="778"/>
              <w:gridCol w:w="1046"/>
            </w:tblGrid>
            <w:tr w14:paraId="55D7B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3" w:type="pct"/>
                  <w:vAlign w:val="center"/>
                </w:tcPr>
                <w:p w14:paraId="0495CEF0">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采样日期</w:t>
                  </w:r>
                </w:p>
              </w:tc>
              <w:tc>
                <w:tcPr>
                  <w:tcW w:w="577" w:type="pct"/>
                  <w:vAlign w:val="center"/>
                </w:tcPr>
                <w:p w14:paraId="23B9C6CA">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点位</w:t>
                  </w:r>
                </w:p>
              </w:tc>
              <w:tc>
                <w:tcPr>
                  <w:tcW w:w="1138" w:type="pct"/>
                  <w:vAlign w:val="center"/>
                </w:tcPr>
                <w:p w14:paraId="5DBE8909">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检测项目</w:t>
                  </w:r>
                </w:p>
              </w:tc>
              <w:tc>
                <w:tcPr>
                  <w:tcW w:w="1335" w:type="pct"/>
                  <w:vAlign w:val="center"/>
                </w:tcPr>
                <w:p w14:paraId="19F741E3">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分析结果</w:t>
                  </w:r>
                </w:p>
              </w:tc>
              <w:tc>
                <w:tcPr>
                  <w:tcW w:w="488" w:type="pct"/>
                  <w:vAlign w:val="center"/>
                </w:tcPr>
                <w:p w14:paraId="08D1719B">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限值</w:t>
                  </w:r>
                </w:p>
              </w:tc>
              <w:tc>
                <w:tcPr>
                  <w:tcW w:w="656" w:type="pct"/>
                  <w:vAlign w:val="center"/>
                </w:tcPr>
                <w:p w14:paraId="4CAA9740">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单位</w:t>
                  </w:r>
                </w:p>
              </w:tc>
            </w:tr>
            <w:tr w14:paraId="30299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3" w:type="pct"/>
                  <w:vAlign w:val="center"/>
                </w:tcPr>
                <w:p w14:paraId="5BEEB2F6">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2025.09.20</w:t>
                  </w:r>
                </w:p>
              </w:tc>
              <w:tc>
                <w:tcPr>
                  <w:tcW w:w="577" w:type="pct"/>
                  <w:vMerge w:val="restart"/>
                  <w:vAlign w:val="center"/>
                </w:tcPr>
                <w:p w14:paraId="506D6314">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项目区下风向G1</w:t>
                  </w:r>
                </w:p>
              </w:tc>
              <w:tc>
                <w:tcPr>
                  <w:tcW w:w="1138" w:type="pct"/>
                  <w:vAlign w:val="center"/>
                </w:tcPr>
                <w:p w14:paraId="145057C7">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总悬浮颗粒物</w:t>
                  </w:r>
                </w:p>
              </w:tc>
              <w:tc>
                <w:tcPr>
                  <w:tcW w:w="1335" w:type="pct"/>
                  <w:vAlign w:val="center"/>
                </w:tcPr>
                <w:p w14:paraId="3E797F95">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0.106</w:t>
                  </w:r>
                </w:p>
              </w:tc>
              <w:tc>
                <w:tcPr>
                  <w:tcW w:w="488" w:type="pct"/>
                  <w:vAlign w:val="center"/>
                </w:tcPr>
                <w:p w14:paraId="72360091">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0.3</w:t>
                  </w:r>
                </w:p>
              </w:tc>
              <w:tc>
                <w:tcPr>
                  <w:tcW w:w="656" w:type="pct"/>
                  <w:vAlign w:val="center"/>
                </w:tcPr>
                <w:p w14:paraId="526C6FC8">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mg/m</w:t>
                  </w:r>
                  <w:r>
                    <w:rPr>
                      <w:rFonts w:hint="default" w:ascii="Times New Roman" w:hAnsi="Times New Roman" w:eastAsia="宋体" w:cs="Times New Roman"/>
                      <w:color w:val="auto"/>
                      <w:vertAlign w:val="superscript"/>
                      <w:lang w:val="en-US" w:eastAsia="zh-CN"/>
                    </w:rPr>
                    <w:t>3</w:t>
                  </w:r>
                </w:p>
              </w:tc>
            </w:tr>
            <w:tr w14:paraId="72D17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3" w:type="pct"/>
                  <w:vAlign w:val="center"/>
                </w:tcPr>
                <w:p w14:paraId="19363696">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2025.09.21</w:t>
                  </w:r>
                </w:p>
              </w:tc>
              <w:tc>
                <w:tcPr>
                  <w:tcW w:w="577" w:type="pct"/>
                  <w:vMerge w:val="continue"/>
                  <w:vAlign w:val="center"/>
                </w:tcPr>
                <w:p w14:paraId="7F8017B0">
                  <w:pPr>
                    <w:pStyle w:val="52"/>
                    <w:bidi w:val="0"/>
                    <w:rPr>
                      <w:rFonts w:hint="default" w:ascii="Times New Roman" w:hAnsi="Times New Roman" w:eastAsia="宋体" w:cs="Times New Roman"/>
                      <w:color w:val="auto"/>
                      <w:lang w:val="en-US" w:eastAsia="zh-CN"/>
                    </w:rPr>
                  </w:pPr>
                </w:p>
              </w:tc>
              <w:tc>
                <w:tcPr>
                  <w:tcW w:w="1138" w:type="pct"/>
                  <w:vAlign w:val="center"/>
                </w:tcPr>
                <w:p w14:paraId="10DB5EC3">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总悬浮颗粒物</w:t>
                  </w:r>
                </w:p>
              </w:tc>
              <w:tc>
                <w:tcPr>
                  <w:tcW w:w="1335" w:type="pct"/>
                  <w:vAlign w:val="center"/>
                </w:tcPr>
                <w:p w14:paraId="065A48CA">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0.110</w:t>
                  </w:r>
                </w:p>
              </w:tc>
              <w:tc>
                <w:tcPr>
                  <w:tcW w:w="488" w:type="pct"/>
                  <w:vAlign w:val="center"/>
                </w:tcPr>
                <w:p w14:paraId="7D94E9D9">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0.3</w:t>
                  </w:r>
                </w:p>
              </w:tc>
              <w:tc>
                <w:tcPr>
                  <w:tcW w:w="656" w:type="pct"/>
                  <w:vAlign w:val="center"/>
                </w:tcPr>
                <w:p w14:paraId="71F0457A">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mg/m</w:t>
                  </w:r>
                  <w:r>
                    <w:rPr>
                      <w:rFonts w:hint="default" w:ascii="Times New Roman" w:hAnsi="Times New Roman" w:eastAsia="宋体" w:cs="Times New Roman"/>
                      <w:color w:val="auto"/>
                      <w:vertAlign w:val="superscript"/>
                      <w:lang w:val="en-US" w:eastAsia="zh-CN"/>
                    </w:rPr>
                    <w:t>3</w:t>
                  </w:r>
                </w:p>
              </w:tc>
            </w:tr>
            <w:tr w14:paraId="3021B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3" w:type="pct"/>
                  <w:vAlign w:val="center"/>
                </w:tcPr>
                <w:p w14:paraId="03B67F09">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2025.09.22</w:t>
                  </w:r>
                </w:p>
              </w:tc>
              <w:tc>
                <w:tcPr>
                  <w:tcW w:w="577" w:type="pct"/>
                  <w:vMerge w:val="continue"/>
                  <w:vAlign w:val="center"/>
                </w:tcPr>
                <w:p w14:paraId="53A4B2BF">
                  <w:pPr>
                    <w:pStyle w:val="52"/>
                    <w:bidi w:val="0"/>
                    <w:rPr>
                      <w:rFonts w:hint="default" w:ascii="Times New Roman" w:hAnsi="Times New Roman" w:eastAsia="宋体" w:cs="Times New Roman"/>
                      <w:color w:val="auto"/>
                      <w:lang w:val="en-US" w:eastAsia="zh-CN"/>
                    </w:rPr>
                  </w:pPr>
                </w:p>
              </w:tc>
              <w:tc>
                <w:tcPr>
                  <w:tcW w:w="1138" w:type="pct"/>
                  <w:vAlign w:val="center"/>
                </w:tcPr>
                <w:p w14:paraId="0AC44291">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总悬浮颗粒物</w:t>
                  </w:r>
                </w:p>
              </w:tc>
              <w:tc>
                <w:tcPr>
                  <w:tcW w:w="1335" w:type="pct"/>
                  <w:vAlign w:val="center"/>
                </w:tcPr>
                <w:p w14:paraId="04601289">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0.103</w:t>
                  </w:r>
                </w:p>
              </w:tc>
              <w:tc>
                <w:tcPr>
                  <w:tcW w:w="488" w:type="pct"/>
                  <w:vAlign w:val="center"/>
                </w:tcPr>
                <w:p w14:paraId="6A6D7C71">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0.3</w:t>
                  </w:r>
                </w:p>
              </w:tc>
              <w:tc>
                <w:tcPr>
                  <w:tcW w:w="656" w:type="pct"/>
                  <w:vAlign w:val="center"/>
                </w:tcPr>
                <w:p w14:paraId="61EF62B9">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mg/m</w:t>
                  </w:r>
                  <w:r>
                    <w:rPr>
                      <w:rFonts w:hint="default" w:ascii="Times New Roman" w:hAnsi="Times New Roman" w:eastAsia="宋体" w:cs="Times New Roman"/>
                      <w:color w:val="auto"/>
                      <w:vertAlign w:val="superscript"/>
                      <w:lang w:val="en-US" w:eastAsia="zh-CN"/>
                    </w:rPr>
                    <w:t>3</w:t>
                  </w:r>
                </w:p>
              </w:tc>
            </w:tr>
            <w:tr w14:paraId="4CB42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03" w:type="pct"/>
                  <w:vAlign w:val="center"/>
                </w:tcPr>
                <w:p w14:paraId="4E856DE0">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备注</w:t>
                  </w:r>
                </w:p>
              </w:tc>
              <w:tc>
                <w:tcPr>
                  <w:tcW w:w="4196" w:type="pct"/>
                  <w:gridSpan w:val="5"/>
                  <w:vAlign w:val="center"/>
                </w:tcPr>
                <w:p w14:paraId="5E470766">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检测结果参照执行《环境空气质量标准》GB3095-2012及其修改单表2二级浓度限值要求。</w:t>
                  </w:r>
                </w:p>
              </w:tc>
            </w:tr>
          </w:tbl>
          <w:p w14:paraId="33EFF121">
            <w:pPr>
              <w:ind w:firstLine="480"/>
              <w:rPr>
                <w:rFonts w:hint="default" w:ascii="Times New Roman" w:hAnsi="Times New Roman" w:eastAsia="宋体" w:cs="Times New Roman"/>
                <w:color w:val="auto"/>
                <w:highlight w:val="yellow"/>
              </w:rPr>
            </w:pPr>
            <w:r>
              <w:rPr>
                <w:rFonts w:hint="default" w:ascii="Times New Roman" w:hAnsi="Times New Roman" w:eastAsia="宋体" w:cs="Times New Roman"/>
                <w:color w:val="auto"/>
              </w:rPr>
              <w:t>由上表的监测结果可知，</w:t>
            </w:r>
            <w:r>
              <w:rPr>
                <w:rFonts w:hint="default" w:ascii="Times New Roman" w:hAnsi="Times New Roman" w:eastAsia="宋体" w:cs="Times New Roman"/>
                <w:color w:val="auto"/>
                <w:szCs w:val="24"/>
                <w:lang w:val="en-US" w:eastAsia="zh-CN"/>
              </w:rPr>
              <w:t>监测</w:t>
            </w:r>
            <w:r>
              <w:rPr>
                <w:rFonts w:hint="default" w:ascii="Times New Roman" w:hAnsi="Times New Roman" w:eastAsia="宋体" w:cs="Times New Roman"/>
                <w:color w:val="auto"/>
                <w:szCs w:val="24"/>
              </w:rPr>
              <w:t>点位中TS</w:t>
            </w:r>
            <w:r>
              <w:rPr>
                <w:rFonts w:hint="default" w:ascii="Times New Roman" w:hAnsi="Times New Roman" w:eastAsia="宋体" w:cs="Times New Roman"/>
                <w:color w:val="auto"/>
                <w:kern w:val="0"/>
                <w:szCs w:val="24"/>
              </w:rPr>
              <w:t>P</w:t>
            </w:r>
            <w:r>
              <w:rPr>
                <w:rFonts w:hint="default" w:ascii="Times New Roman" w:hAnsi="Times New Roman" w:eastAsia="宋体" w:cs="Times New Roman"/>
                <w:color w:val="auto"/>
                <w:szCs w:val="24"/>
              </w:rPr>
              <w:t>日均值满足《环境空气质量标准》（GB3095-2012）及2018修改单中二级标准。</w:t>
            </w:r>
          </w:p>
          <w:bookmarkEnd w:id="9"/>
          <w:p w14:paraId="0AB14129">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2</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声环境质量现状</w:t>
            </w:r>
          </w:p>
          <w:p w14:paraId="296906AC">
            <w:pPr>
              <w:rPr>
                <w:rFonts w:hint="default" w:ascii="Times New Roman" w:hAnsi="Times New Roman" w:eastAsia="宋体" w:cs="Times New Roman"/>
                <w:color w:val="auto"/>
              </w:rPr>
            </w:pPr>
            <w:r>
              <w:rPr>
                <w:rFonts w:hint="default" w:ascii="Times New Roman" w:hAnsi="Times New Roman" w:eastAsia="宋体" w:cs="Times New Roman"/>
                <w:color w:val="auto"/>
              </w:rPr>
              <w:t>根据现场踏勘情况，项目厂界外50m范围内无居民等敏感点，根据《建设项目环境影响报告表编制技术指南（污染影响类）</w:t>
            </w:r>
            <w:r>
              <w:rPr>
                <w:rFonts w:hint="default" w:ascii="Times New Roman" w:hAnsi="Times New Roman" w:eastAsia="宋体" w:cs="Times New Roman"/>
                <w:color w:val="auto"/>
                <w:lang w:eastAsia="zh-CN"/>
              </w:rPr>
              <w:t>（试行）》</w:t>
            </w:r>
            <w:r>
              <w:rPr>
                <w:rFonts w:hint="default" w:ascii="Times New Roman" w:hAnsi="Times New Roman" w:eastAsia="宋体" w:cs="Times New Roman"/>
                <w:color w:val="auto"/>
              </w:rPr>
              <w:t>，本次评价不进行噪声监测。</w:t>
            </w:r>
          </w:p>
          <w:p w14:paraId="1939ED8E">
            <w:pPr>
              <w:numPr>
                <w:ilvl w:val="0"/>
                <w:numId w:val="3"/>
              </w:numP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土壤及地下水</w:t>
            </w:r>
            <w:r>
              <w:rPr>
                <w:rFonts w:hint="default" w:ascii="Times New Roman" w:hAnsi="Times New Roman" w:eastAsia="宋体" w:cs="Times New Roman"/>
                <w:b/>
                <w:bCs/>
                <w:color w:val="auto"/>
              </w:rPr>
              <w:t>质量现状</w:t>
            </w:r>
          </w:p>
          <w:p w14:paraId="7B28C28A">
            <w:pPr>
              <w:pStyle w:val="31"/>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根据《建设项目环境影响报告表编制技术指南 污染影响类（试行）》，原则上不开展环境质量现状调查。建设项目存在土壤、地下水环境污染途径的，应结合污染源、保护目标分布情况开展现状调查以留作背景值。本项目生活污水依托煤矿污水处理站处理；生产废水均不外排</w:t>
            </w:r>
          </w:p>
          <w:p w14:paraId="5D835785">
            <w:pP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综上，本项目不存在土壤、地下水环境污染途径，本次不土壤和地下水环境现状进行评价。</w:t>
            </w:r>
          </w:p>
          <w:p w14:paraId="79259079">
            <w:pPr>
              <w:numPr>
                <w:ilvl w:val="0"/>
                <w:numId w:val="3"/>
              </w:numP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生态环境</w:t>
            </w:r>
          </w:p>
          <w:p w14:paraId="56820C9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本次生态环境现状调查范围为充填站外扩500m，充填管道外扩300m范围。</w:t>
            </w:r>
            <w:r>
              <w:rPr>
                <w:rFonts w:hint="default" w:ascii="Times New Roman" w:hAnsi="Times New Roman" w:eastAsia="宋体" w:cs="Times New Roman"/>
                <w:color w:val="auto"/>
                <w:sz w:val="24"/>
                <w:szCs w:val="24"/>
                <w:highlight w:val="none"/>
              </w:rPr>
              <w:t>现场调查使用遥感影像和GPS，在实地调查的基础上，结合卫星影像图，取得植被组成、土地利用现状等第一手资料，经与农牧局、土地局等有关部门核对，再次实地调查与补充，最后利用Arc</w:t>
            </w:r>
            <w:r>
              <w:rPr>
                <w:rFonts w:hint="default" w:ascii="Times New Roman" w:hAnsi="Times New Roman" w:eastAsia="宋体" w:cs="Times New Roman"/>
                <w:color w:val="auto"/>
                <w:sz w:val="24"/>
                <w:szCs w:val="24"/>
                <w:highlight w:val="none"/>
                <w:lang w:val="en-US" w:eastAsia="zh-CN"/>
              </w:rPr>
              <w:t>GIS</w:t>
            </w:r>
            <w:r>
              <w:rPr>
                <w:rFonts w:hint="default" w:ascii="Times New Roman" w:hAnsi="Times New Roman" w:eastAsia="宋体" w:cs="Times New Roman"/>
                <w:color w:val="auto"/>
                <w:sz w:val="24"/>
                <w:szCs w:val="24"/>
                <w:highlight w:val="none"/>
              </w:rPr>
              <w:t>软件绘制评价区相关生态图件和数据统计表。</w:t>
            </w:r>
          </w:p>
          <w:p w14:paraId="6760B7A8">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解译以2025年7月21日的哨兵2号卫星（Sentinel-2）空间分辨率10m影像数据作为基本信息源，经过融合处理后的图像地表信息丰富，有利于生态环境因子遥感解译标志的建立，保证了各生态环境要素解译成果的准确性。</w:t>
            </w:r>
          </w:p>
          <w:p w14:paraId="6D1A7B88">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选取这一时间段遥感数据，主要是考虑到这一时间段的地表类型差异是一年中最明显的时候，该时间段具有地物区分显著、地表信息丰富的特点，有利于对各生态环境因子的判断。</w:t>
            </w:r>
          </w:p>
          <w:p w14:paraId="737DEA74">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遥感影像图见图3-2。</w:t>
            </w:r>
          </w:p>
          <w:p w14:paraId="30CD3CD9">
            <w:pPr>
              <w:bidi w:val="0"/>
              <w:ind w:left="0" w:leftChars="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3761740" cy="5316220"/>
                  <wp:effectExtent l="0" t="0" r="10160" b="17780"/>
                  <wp:docPr id="54" name="图片 54" descr="遥感影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遥感影像图"/>
                          <pic:cNvPicPr>
                            <a:picLocks noChangeAspect="1"/>
                          </pic:cNvPicPr>
                        </pic:nvPicPr>
                        <pic:blipFill>
                          <a:blip r:embed="rId51"/>
                          <a:stretch>
                            <a:fillRect/>
                          </a:stretch>
                        </pic:blipFill>
                        <pic:spPr>
                          <a:xfrm>
                            <a:off x="0" y="0"/>
                            <a:ext cx="3761740" cy="5316220"/>
                          </a:xfrm>
                          <a:prstGeom prst="rect">
                            <a:avLst/>
                          </a:prstGeom>
                        </pic:spPr>
                      </pic:pic>
                    </a:graphicData>
                  </a:graphic>
                </wp:inline>
              </w:drawing>
            </w:r>
          </w:p>
          <w:p w14:paraId="340B3B4B">
            <w:pPr>
              <w:pStyle w:val="12"/>
              <w:ind w:left="0" w:leftChars="0" w:firstLine="0" w:firstLineChars="0"/>
              <w:jc w:val="center"/>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b/>
                <w:bCs/>
                <w:color w:val="auto"/>
                <w:kern w:val="0"/>
                <w:sz w:val="24"/>
                <w:szCs w:val="21"/>
                <w:highlight w:val="none"/>
              </w:rPr>
              <w:t>图3</w:t>
            </w:r>
            <w:r>
              <w:rPr>
                <w:rFonts w:hint="default" w:ascii="Times New Roman" w:hAnsi="Times New Roman" w:eastAsia="宋体" w:cs="Times New Roman"/>
                <w:b/>
                <w:bCs/>
                <w:color w:val="auto"/>
                <w:kern w:val="0"/>
                <w:sz w:val="24"/>
                <w:szCs w:val="21"/>
                <w:highlight w:val="none"/>
                <w:lang w:val="en-US" w:eastAsia="zh-CN"/>
              </w:rPr>
              <w:t>-2</w:t>
            </w:r>
            <w:r>
              <w:rPr>
                <w:rFonts w:hint="default" w:ascii="Times New Roman" w:hAnsi="Times New Roman" w:eastAsia="宋体" w:cs="Times New Roman"/>
                <w:b/>
                <w:bCs/>
                <w:color w:val="auto"/>
                <w:kern w:val="0"/>
                <w:sz w:val="24"/>
                <w:szCs w:val="21"/>
                <w:highlight w:val="none"/>
              </w:rPr>
              <w:t xml:space="preserve">    </w:t>
            </w:r>
            <w:r>
              <w:rPr>
                <w:rFonts w:hint="default" w:ascii="Times New Roman" w:hAnsi="Times New Roman" w:eastAsia="宋体" w:cs="Times New Roman"/>
                <w:b/>
                <w:bCs/>
                <w:color w:val="auto"/>
                <w:kern w:val="0"/>
                <w:sz w:val="24"/>
                <w:szCs w:val="21"/>
                <w:highlight w:val="none"/>
                <w:lang w:val="en-US" w:eastAsia="zh-CN"/>
              </w:rPr>
              <w:t>遥感影像图</w:t>
            </w:r>
          </w:p>
          <w:p w14:paraId="18E8EE21">
            <w:pPr>
              <w:widowControl w:val="0"/>
              <w:spacing w:line="360" w:lineRule="auto"/>
              <w:ind w:firstLine="480"/>
              <w:outlineLvl w:val="3"/>
              <w:rPr>
                <w:rFonts w:hint="default" w:ascii="Times New Roman" w:hAnsi="Times New Roman" w:eastAsia="宋体" w:cs="Times New Roman"/>
                <w:b/>
                <w:bCs/>
                <w:color w:val="auto"/>
                <w:kern w:val="2"/>
                <w:sz w:val="24"/>
                <w:szCs w:val="28"/>
                <w:highlight w:val="none"/>
                <w:lang w:val="en-US" w:eastAsia="zh-CN"/>
              </w:rPr>
            </w:pPr>
            <w:r>
              <w:rPr>
                <w:rFonts w:hint="default" w:ascii="Times New Roman" w:hAnsi="Times New Roman" w:eastAsia="宋体" w:cs="Times New Roman"/>
                <w:b/>
                <w:bCs/>
                <w:color w:val="auto"/>
                <w:kern w:val="2"/>
                <w:sz w:val="24"/>
                <w:szCs w:val="28"/>
                <w:highlight w:val="none"/>
                <w:lang w:val="en-US" w:eastAsia="zh-CN"/>
              </w:rPr>
              <w:t>（1）生态功能区划</w:t>
            </w:r>
          </w:p>
          <w:p w14:paraId="36B54974">
            <w:pPr>
              <w:keepNext w:val="0"/>
              <w:keepLines w:val="0"/>
              <w:widowControl/>
              <w:suppressLineNumbers w:val="0"/>
              <w:spacing w:line="360" w:lineRule="auto"/>
              <w:ind w:firstLine="480" w:firstLineChars="200"/>
              <w:jc w:val="both"/>
              <w:rPr>
                <w:rFonts w:hint="default" w:ascii="Times New Roman" w:hAnsi="Times New Roman" w:eastAsia="宋体" w:cs="Times New Roman"/>
                <w:color w:val="auto"/>
                <w:kern w:val="2"/>
                <w:sz w:val="24"/>
                <w:szCs w:val="28"/>
                <w:highlight w:val="none"/>
                <w:lang w:val="en-US" w:eastAsia="zh-CN"/>
              </w:rPr>
            </w:pPr>
            <w:r>
              <w:rPr>
                <w:rFonts w:hint="default" w:ascii="Times New Roman" w:hAnsi="Times New Roman" w:eastAsia="宋体" w:cs="Times New Roman"/>
                <w:color w:val="auto"/>
                <w:kern w:val="2"/>
                <w:sz w:val="24"/>
                <w:szCs w:val="28"/>
                <w:highlight w:val="none"/>
                <w:lang w:val="en-US" w:eastAsia="zh-CN"/>
              </w:rPr>
              <w:t>根据《内蒙古自治区生态功能区划》，本项目属于Ⅲ内蒙古高原中东部草原生态区，Ⅲ-5鄂尔多斯高原东部典型草原生态亚区，Ⅲ-5-3毛乌素沙地植被防风固沙生态功能区，《内蒙古自治区生态功能区划》生态功能区划见表3-3，本项目在《内蒙古自治区生态功能区划》中的位置见图3-3。</w:t>
            </w:r>
          </w:p>
          <w:p w14:paraId="6AEB91BB">
            <w:pPr>
              <w:keepNext/>
              <w:keepLines w:val="0"/>
              <w:pageBreakBefore w:val="0"/>
              <w:widowControl w:val="0"/>
              <w:kinsoku/>
              <w:wordWrap/>
              <w:overflowPunct/>
              <w:topLinePunct w:val="0"/>
              <w:autoSpaceDE/>
              <w:autoSpaceDN/>
              <w:bidi w:val="0"/>
              <w:adjustRightInd w:val="0"/>
              <w:snapToGrid w:val="0"/>
              <w:spacing w:line="240" w:lineRule="auto"/>
              <w:ind w:firstLine="561" w:firstLineChars="0"/>
              <w:jc w:val="center"/>
              <w:textAlignment w:val="auto"/>
              <w:rPr>
                <w:rFonts w:hint="default" w:ascii="Times New Roman" w:hAnsi="Times New Roman" w:eastAsia="宋体" w:cs="Times New Roman"/>
                <w:b/>
                <w:bCs/>
                <w:color w:val="auto"/>
                <w:kern w:val="2"/>
                <w:sz w:val="32"/>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表3-3</w:t>
            </w:r>
            <w:r>
              <w:rPr>
                <w:rFonts w:hint="default" w:ascii="Times New Roman" w:hAnsi="Times New Roman" w:eastAsia="宋体" w:cs="Times New Roman"/>
                <w:b/>
                <w:bCs/>
                <w:color w:val="auto"/>
                <w:kern w:val="2"/>
                <w:sz w:val="24"/>
                <w:szCs w:val="21"/>
                <w:highlight w:val="none"/>
                <w:lang w:val="en-US" w:eastAsia="zh-CN" w:bidi="ar-SA"/>
              </w:rPr>
              <w:t xml:space="preserve"> 项目内蒙古生态功能区划</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810"/>
              <w:gridCol w:w="1247"/>
              <w:gridCol w:w="1121"/>
              <w:gridCol w:w="1042"/>
              <w:gridCol w:w="1415"/>
              <w:gridCol w:w="1482"/>
            </w:tblGrid>
            <w:tr w14:paraId="2DECA4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1822" w:type="pct"/>
                  <w:gridSpan w:val="3"/>
                  <w:noWrap w:val="0"/>
                  <w:tcMar>
                    <w:top w:w="0" w:type="dxa"/>
                    <w:left w:w="0" w:type="dxa"/>
                    <w:bottom w:w="0" w:type="dxa"/>
                    <w:right w:w="0" w:type="dxa"/>
                  </w:tcMar>
                  <w:vAlign w:val="center"/>
                </w:tcPr>
                <w:p w14:paraId="1890A140">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生态功能分区单元</w:t>
                  </w:r>
                </w:p>
              </w:tc>
              <w:tc>
                <w:tcPr>
                  <w:tcW w:w="703" w:type="pct"/>
                  <w:vMerge w:val="restart"/>
                  <w:noWrap w:val="0"/>
                  <w:tcMar>
                    <w:top w:w="0" w:type="dxa"/>
                    <w:left w:w="0" w:type="dxa"/>
                    <w:bottom w:w="0" w:type="dxa"/>
                    <w:right w:w="0" w:type="dxa"/>
                  </w:tcMar>
                  <w:vAlign w:val="center"/>
                </w:tcPr>
                <w:p w14:paraId="1B5CC0F5">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生态环境敏感性</w:t>
                  </w:r>
                </w:p>
              </w:tc>
              <w:tc>
                <w:tcPr>
                  <w:tcW w:w="654" w:type="pct"/>
                  <w:vMerge w:val="restart"/>
                  <w:noWrap w:val="0"/>
                  <w:tcMar>
                    <w:top w:w="0" w:type="dxa"/>
                    <w:left w:w="0" w:type="dxa"/>
                    <w:bottom w:w="0" w:type="dxa"/>
                    <w:right w:w="0" w:type="dxa"/>
                  </w:tcMar>
                  <w:vAlign w:val="center"/>
                </w:tcPr>
                <w:p w14:paraId="14031047">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主要生态</w:t>
                  </w:r>
                </w:p>
                <w:p w14:paraId="7F154325">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环境问题</w:t>
                  </w:r>
                </w:p>
              </w:tc>
              <w:tc>
                <w:tcPr>
                  <w:tcW w:w="888" w:type="pct"/>
                  <w:vMerge w:val="restart"/>
                  <w:noWrap w:val="0"/>
                  <w:tcMar>
                    <w:top w:w="0" w:type="dxa"/>
                    <w:left w:w="0" w:type="dxa"/>
                    <w:bottom w:w="0" w:type="dxa"/>
                    <w:right w:w="0" w:type="dxa"/>
                  </w:tcMar>
                  <w:vAlign w:val="center"/>
                </w:tcPr>
                <w:p w14:paraId="3279AB7E">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主要生态系统</w:t>
                  </w:r>
                </w:p>
                <w:p w14:paraId="0958234F">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服务功能</w:t>
                  </w:r>
                </w:p>
              </w:tc>
              <w:tc>
                <w:tcPr>
                  <w:tcW w:w="930" w:type="pct"/>
                  <w:vMerge w:val="restart"/>
                  <w:noWrap w:val="0"/>
                  <w:tcMar>
                    <w:top w:w="0" w:type="dxa"/>
                    <w:left w:w="0" w:type="dxa"/>
                    <w:bottom w:w="0" w:type="dxa"/>
                    <w:right w:w="0" w:type="dxa"/>
                  </w:tcMar>
                  <w:vAlign w:val="center"/>
                </w:tcPr>
                <w:p w14:paraId="54D16594">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主要措施与发展方向</w:t>
                  </w:r>
                </w:p>
              </w:tc>
            </w:tr>
            <w:tr w14:paraId="351EC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jc w:val="center"/>
              </w:trPr>
              <w:tc>
                <w:tcPr>
                  <w:tcW w:w="532" w:type="pct"/>
                  <w:noWrap w:val="0"/>
                  <w:tcMar>
                    <w:top w:w="0" w:type="dxa"/>
                    <w:left w:w="0" w:type="dxa"/>
                    <w:bottom w:w="0" w:type="dxa"/>
                    <w:right w:w="0" w:type="dxa"/>
                  </w:tcMar>
                  <w:vAlign w:val="center"/>
                </w:tcPr>
                <w:p w14:paraId="4B05B403">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生态区</w:t>
                  </w:r>
                </w:p>
              </w:tc>
              <w:tc>
                <w:tcPr>
                  <w:tcW w:w="508" w:type="pct"/>
                  <w:noWrap w:val="0"/>
                  <w:tcMar>
                    <w:top w:w="0" w:type="dxa"/>
                    <w:left w:w="0" w:type="dxa"/>
                    <w:bottom w:w="0" w:type="dxa"/>
                    <w:right w:w="0" w:type="dxa"/>
                  </w:tcMar>
                  <w:vAlign w:val="center"/>
                </w:tcPr>
                <w:p w14:paraId="0C028473">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生态亚区</w:t>
                  </w:r>
                </w:p>
              </w:tc>
              <w:tc>
                <w:tcPr>
                  <w:tcW w:w="782" w:type="pct"/>
                  <w:noWrap w:val="0"/>
                  <w:tcMar>
                    <w:top w:w="0" w:type="dxa"/>
                    <w:left w:w="0" w:type="dxa"/>
                    <w:bottom w:w="0" w:type="dxa"/>
                    <w:right w:w="0" w:type="dxa"/>
                  </w:tcMar>
                  <w:vAlign w:val="center"/>
                </w:tcPr>
                <w:p w14:paraId="696A096A">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rPr>
                    <w:t>生态功能区</w:t>
                  </w:r>
                </w:p>
              </w:tc>
              <w:tc>
                <w:tcPr>
                  <w:tcW w:w="703" w:type="pct"/>
                  <w:vMerge w:val="continue"/>
                  <w:noWrap w:val="0"/>
                  <w:tcMar>
                    <w:top w:w="0" w:type="dxa"/>
                    <w:left w:w="0" w:type="dxa"/>
                    <w:bottom w:w="0" w:type="dxa"/>
                    <w:right w:w="0" w:type="dxa"/>
                  </w:tcMar>
                  <w:vAlign w:val="center"/>
                </w:tcPr>
                <w:p w14:paraId="3BF3E124">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c>
                <w:tcPr>
                  <w:tcW w:w="654" w:type="pct"/>
                  <w:vMerge w:val="continue"/>
                  <w:noWrap w:val="0"/>
                  <w:tcMar>
                    <w:top w:w="0" w:type="dxa"/>
                    <w:left w:w="0" w:type="dxa"/>
                    <w:bottom w:w="0" w:type="dxa"/>
                    <w:right w:w="0" w:type="dxa"/>
                  </w:tcMar>
                  <w:vAlign w:val="center"/>
                </w:tcPr>
                <w:p w14:paraId="37862DD5">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c>
                <w:tcPr>
                  <w:tcW w:w="888" w:type="pct"/>
                  <w:vMerge w:val="continue"/>
                  <w:noWrap w:val="0"/>
                  <w:tcMar>
                    <w:top w:w="0" w:type="dxa"/>
                    <w:left w:w="0" w:type="dxa"/>
                    <w:bottom w:w="0" w:type="dxa"/>
                    <w:right w:w="0" w:type="dxa"/>
                  </w:tcMar>
                  <w:vAlign w:val="center"/>
                </w:tcPr>
                <w:p w14:paraId="226EEF76">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c>
                <w:tcPr>
                  <w:tcW w:w="930" w:type="pct"/>
                  <w:vMerge w:val="continue"/>
                  <w:noWrap w:val="0"/>
                  <w:tcMar>
                    <w:top w:w="0" w:type="dxa"/>
                    <w:left w:w="0" w:type="dxa"/>
                    <w:bottom w:w="0" w:type="dxa"/>
                    <w:right w:w="0" w:type="dxa"/>
                  </w:tcMar>
                  <w:vAlign w:val="center"/>
                </w:tcPr>
                <w:p w14:paraId="1142700E">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r>
            <w:tr w14:paraId="6AE21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jc w:val="center"/>
              </w:trPr>
              <w:tc>
                <w:tcPr>
                  <w:tcW w:w="532" w:type="pct"/>
                  <w:noWrap w:val="0"/>
                  <w:tcMar>
                    <w:top w:w="0" w:type="dxa"/>
                    <w:left w:w="0" w:type="dxa"/>
                    <w:bottom w:w="0" w:type="dxa"/>
                    <w:right w:w="0" w:type="dxa"/>
                  </w:tcMar>
                  <w:vAlign w:val="center"/>
                </w:tcPr>
                <w:p w14:paraId="5159A47B">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eastAsia="zh-CN"/>
                    </w:rPr>
                    <w:t>Ⅲ</w:t>
                  </w:r>
                  <w:r>
                    <w:rPr>
                      <w:rFonts w:hint="default" w:ascii="Times New Roman" w:hAnsi="Times New Roman" w:eastAsia="宋体" w:cs="Times New Roman"/>
                      <w:bCs/>
                      <w:color w:val="auto"/>
                      <w:kern w:val="2"/>
                      <w:sz w:val="21"/>
                      <w:szCs w:val="21"/>
                      <w:highlight w:val="none"/>
                    </w:rPr>
                    <w:t>内蒙古高原中东部草原生态区</w:t>
                  </w:r>
                </w:p>
              </w:tc>
              <w:tc>
                <w:tcPr>
                  <w:tcW w:w="508" w:type="pct"/>
                  <w:noWrap w:val="0"/>
                  <w:tcMar>
                    <w:top w:w="0" w:type="dxa"/>
                    <w:left w:w="0" w:type="dxa"/>
                    <w:bottom w:w="0" w:type="dxa"/>
                    <w:right w:w="0" w:type="dxa"/>
                  </w:tcMar>
                  <w:vAlign w:val="center"/>
                </w:tcPr>
                <w:p w14:paraId="1DA9C08F">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eastAsia="zh-CN"/>
                    </w:rPr>
                    <w:t>Ⅲ</w:t>
                  </w:r>
                  <w:r>
                    <w:rPr>
                      <w:rFonts w:hint="default" w:ascii="Times New Roman" w:hAnsi="Times New Roman" w:eastAsia="宋体" w:cs="Times New Roman"/>
                      <w:bCs/>
                      <w:color w:val="auto"/>
                      <w:kern w:val="2"/>
                      <w:sz w:val="21"/>
                      <w:szCs w:val="21"/>
                      <w:highlight w:val="none"/>
                    </w:rPr>
                    <w:t>-5鄂尔多斯高原东部典型草原生态亚区</w:t>
                  </w:r>
                </w:p>
              </w:tc>
              <w:tc>
                <w:tcPr>
                  <w:tcW w:w="782" w:type="pct"/>
                  <w:noWrap w:val="0"/>
                  <w:tcMar>
                    <w:top w:w="0" w:type="dxa"/>
                    <w:left w:w="0" w:type="dxa"/>
                    <w:bottom w:w="0" w:type="dxa"/>
                    <w:right w:w="0" w:type="dxa"/>
                  </w:tcMar>
                  <w:vAlign w:val="center"/>
                </w:tcPr>
                <w:p w14:paraId="34F7623E">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eastAsia="zh-CN"/>
                    </w:rPr>
                    <w:t>Ⅲ</w:t>
                  </w:r>
                  <w:r>
                    <w:rPr>
                      <w:rFonts w:hint="default" w:ascii="Times New Roman" w:hAnsi="Times New Roman" w:eastAsia="宋体" w:cs="Times New Roman"/>
                      <w:bCs/>
                      <w:color w:val="auto"/>
                      <w:kern w:val="2"/>
                      <w:sz w:val="21"/>
                      <w:szCs w:val="21"/>
                      <w:highlight w:val="none"/>
                    </w:rPr>
                    <w:t>-5-</w:t>
                  </w:r>
                  <w:r>
                    <w:rPr>
                      <w:rFonts w:hint="default" w:ascii="Times New Roman" w:hAnsi="Times New Roman" w:eastAsia="宋体" w:cs="Times New Roman"/>
                      <w:bCs/>
                      <w:color w:val="auto"/>
                      <w:kern w:val="2"/>
                      <w:sz w:val="21"/>
                      <w:szCs w:val="21"/>
                      <w:highlight w:val="none"/>
                      <w:lang w:val="en-US" w:eastAsia="zh-CN"/>
                    </w:rPr>
                    <w:t>3</w:t>
                  </w:r>
                  <w:r>
                    <w:rPr>
                      <w:rFonts w:hint="default" w:ascii="Times New Roman" w:hAnsi="Times New Roman" w:eastAsia="宋体" w:cs="Times New Roman"/>
                      <w:bCs/>
                      <w:color w:val="auto"/>
                      <w:kern w:val="2"/>
                      <w:sz w:val="21"/>
                      <w:szCs w:val="21"/>
                      <w:highlight w:val="none"/>
                    </w:rPr>
                    <w:t>毛乌素沙地植被防风固沙生态功能区</w:t>
                  </w:r>
                </w:p>
                <w:p w14:paraId="6599E2DA">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c>
                <w:tcPr>
                  <w:tcW w:w="703" w:type="pct"/>
                  <w:noWrap w:val="0"/>
                  <w:tcMar>
                    <w:top w:w="0" w:type="dxa"/>
                    <w:left w:w="0" w:type="dxa"/>
                    <w:bottom w:w="0" w:type="dxa"/>
                    <w:right w:w="0" w:type="dxa"/>
                  </w:tcMar>
                  <w:vAlign w:val="center"/>
                </w:tcPr>
                <w:p w14:paraId="095D6CC0">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土壤风蚀沙化极敏感区、生物多样性敏感区</w:t>
                  </w:r>
                </w:p>
              </w:tc>
              <w:tc>
                <w:tcPr>
                  <w:tcW w:w="654" w:type="pct"/>
                  <w:noWrap w:val="0"/>
                  <w:tcMar>
                    <w:top w:w="0" w:type="dxa"/>
                    <w:left w:w="0" w:type="dxa"/>
                    <w:bottom w:w="0" w:type="dxa"/>
                    <w:right w:w="0" w:type="dxa"/>
                  </w:tcMar>
                  <w:vAlign w:val="center"/>
                </w:tcPr>
                <w:p w14:paraId="5F34FDAB">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严重的土地沙漠化</w:t>
                  </w:r>
                </w:p>
              </w:tc>
              <w:tc>
                <w:tcPr>
                  <w:tcW w:w="888" w:type="pct"/>
                  <w:noWrap w:val="0"/>
                  <w:tcMar>
                    <w:top w:w="0" w:type="dxa"/>
                    <w:left w:w="0" w:type="dxa"/>
                    <w:bottom w:w="0" w:type="dxa"/>
                    <w:right w:w="0" w:type="dxa"/>
                  </w:tcMar>
                  <w:vAlign w:val="center"/>
                </w:tcPr>
                <w:p w14:paraId="7972A439">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生物多样性和保持水土</w:t>
                  </w:r>
                </w:p>
              </w:tc>
              <w:tc>
                <w:tcPr>
                  <w:tcW w:w="930" w:type="pct"/>
                  <w:noWrap w:val="0"/>
                  <w:tcMar>
                    <w:top w:w="0" w:type="dxa"/>
                    <w:left w:w="0" w:type="dxa"/>
                    <w:bottom w:w="0" w:type="dxa"/>
                    <w:right w:w="0" w:type="dxa"/>
                  </w:tcMar>
                  <w:vAlign w:val="center"/>
                </w:tcPr>
                <w:p w14:paraId="5264F557">
                  <w:pPr>
                    <w:keepNext w:val="0"/>
                    <w:keepLines w:val="0"/>
                    <w:pageBreakBefore w:val="0"/>
                    <w:widowControl w:val="0"/>
                    <w:kinsoku/>
                    <w:wordWrap/>
                    <w:overflowPunct/>
                    <w:topLinePunct w:val="0"/>
                    <w:autoSpaceDE/>
                    <w:autoSpaceDN/>
                    <w:bidi w:val="0"/>
                    <w:adjustRightInd/>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通过人工措施和自然恢复重建生态系统</w:t>
                  </w:r>
                </w:p>
              </w:tc>
            </w:tr>
          </w:tbl>
          <w:p w14:paraId="1B9032A2">
            <w:pPr>
              <w:pStyle w:val="12"/>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5028565" cy="4091305"/>
                  <wp:effectExtent l="0" t="0" r="635" b="4445"/>
                  <wp:docPr id="22" name="图片 18"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图片11"/>
                          <pic:cNvPicPr>
                            <a:picLocks noChangeAspect="1"/>
                          </pic:cNvPicPr>
                        </pic:nvPicPr>
                        <pic:blipFill>
                          <a:blip r:embed="rId52"/>
                          <a:stretch>
                            <a:fillRect/>
                          </a:stretch>
                        </pic:blipFill>
                        <pic:spPr>
                          <a:xfrm>
                            <a:off x="0" y="0"/>
                            <a:ext cx="5028565" cy="4091305"/>
                          </a:xfrm>
                          <a:prstGeom prst="rect">
                            <a:avLst/>
                          </a:prstGeom>
                          <a:noFill/>
                          <a:ln>
                            <a:noFill/>
                          </a:ln>
                        </pic:spPr>
                      </pic:pic>
                    </a:graphicData>
                  </a:graphic>
                </wp:inline>
              </w:drawing>
            </w:r>
          </w:p>
          <w:p w14:paraId="55349152">
            <w:pPr>
              <w:pStyle w:val="12"/>
              <w:ind w:left="0" w:leftChars="0" w:firstLine="0" w:firstLineChars="0"/>
              <w:jc w:val="center"/>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b/>
                <w:bCs/>
                <w:color w:val="auto"/>
                <w:kern w:val="0"/>
                <w:sz w:val="24"/>
                <w:szCs w:val="21"/>
                <w:highlight w:val="none"/>
              </w:rPr>
              <w:t>图3</w:t>
            </w:r>
            <w:r>
              <w:rPr>
                <w:rFonts w:hint="default" w:ascii="Times New Roman" w:hAnsi="Times New Roman" w:eastAsia="宋体" w:cs="Times New Roman"/>
                <w:b/>
                <w:bCs/>
                <w:color w:val="auto"/>
                <w:kern w:val="0"/>
                <w:sz w:val="24"/>
                <w:szCs w:val="21"/>
                <w:highlight w:val="none"/>
                <w:lang w:val="en-US" w:eastAsia="zh-CN"/>
              </w:rPr>
              <w:t>-3</w:t>
            </w:r>
            <w:r>
              <w:rPr>
                <w:rFonts w:hint="default" w:ascii="Times New Roman" w:hAnsi="Times New Roman" w:eastAsia="宋体" w:cs="Times New Roman"/>
                <w:b/>
                <w:bCs/>
                <w:color w:val="auto"/>
                <w:kern w:val="0"/>
                <w:sz w:val="24"/>
                <w:szCs w:val="21"/>
                <w:highlight w:val="none"/>
              </w:rPr>
              <w:t xml:space="preserve">    </w:t>
            </w:r>
            <w:r>
              <w:rPr>
                <w:rFonts w:hint="default" w:ascii="Times New Roman" w:hAnsi="Times New Roman" w:eastAsia="宋体" w:cs="Times New Roman"/>
                <w:b/>
                <w:bCs/>
                <w:color w:val="auto"/>
                <w:kern w:val="0"/>
                <w:sz w:val="24"/>
                <w:szCs w:val="21"/>
                <w:highlight w:val="none"/>
                <w:lang w:val="en-US" w:eastAsia="zh-CN"/>
              </w:rPr>
              <w:t>项目位于内蒙古生态功能区划位置</w:t>
            </w:r>
            <w:r>
              <w:rPr>
                <w:rFonts w:hint="default" w:ascii="Times New Roman" w:hAnsi="Times New Roman" w:eastAsia="宋体" w:cs="Times New Roman"/>
                <w:b/>
                <w:bCs/>
                <w:color w:val="auto"/>
                <w:kern w:val="0"/>
                <w:sz w:val="24"/>
                <w:szCs w:val="21"/>
                <w:highlight w:val="none"/>
              </w:rPr>
              <w:t>图</w:t>
            </w:r>
          </w:p>
          <w:p w14:paraId="53CFEBE1">
            <w:pPr>
              <w:widowControl w:val="0"/>
              <w:spacing w:line="360" w:lineRule="auto"/>
              <w:ind w:firstLine="480"/>
              <w:rPr>
                <w:rFonts w:hint="default" w:ascii="Times New Roman" w:hAnsi="Times New Roman" w:eastAsia="宋体" w:cs="Times New Roman"/>
                <w:color w:val="auto"/>
                <w:kern w:val="2"/>
                <w:sz w:val="24"/>
                <w:szCs w:val="28"/>
                <w:highlight w:val="none"/>
                <w:lang w:val="en-US" w:eastAsia="zh-CN"/>
              </w:rPr>
            </w:pPr>
            <w:r>
              <w:rPr>
                <w:rFonts w:hint="default" w:ascii="Times New Roman" w:hAnsi="Times New Roman" w:eastAsia="宋体" w:cs="Times New Roman"/>
                <w:color w:val="auto"/>
                <w:kern w:val="2"/>
                <w:sz w:val="24"/>
                <w:szCs w:val="28"/>
                <w:highlight w:val="none"/>
                <w:lang w:val="en-US" w:eastAsia="zh-CN"/>
              </w:rPr>
              <w:t>根据《鄂尔多斯市生态功能区划图》，评价区位于乌审旗，在鄂尔多斯市生态功能区划中属于毛乌素沙地植被防风固沙生态功能区。本项目在《鄂尔多斯市生态功能区划图》中的位置见图3-4。</w:t>
            </w:r>
          </w:p>
          <w:p w14:paraId="7997A5F0">
            <w:pPr>
              <w:pStyle w:val="12"/>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4965065" cy="3700780"/>
                  <wp:effectExtent l="0" t="0" r="6985" b="13970"/>
                  <wp:docPr id="23" name="图片 19"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9" descr="图片22"/>
                          <pic:cNvPicPr>
                            <a:picLocks noChangeAspect="1"/>
                          </pic:cNvPicPr>
                        </pic:nvPicPr>
                        <pic:blipFill>
                          <a:blip r:embed="rId53"/>
                          <a:stretch>
                            <a:fillRect/>
                          </a:stretch>
                        </pic:blipFill>
                        <pic:spPr>
                          <a:xfrm>
                            <a:off x="0" y="0"/>
                            <a:ext cx="4965065" cy="3700780"/>
                          </a:xfrm>
                          <a:prstGeom prst="rect">
                            <a:avLst/>
                          </a:prstGeom>
                          <a:noFill/>
                          <a:ln>
                            <a:noFill/>
                          </a:ln>
                        </pic:spPr>
                      </pic:pic>
                    </a:graphicData>
                  </a:graphic>
                </wp:inline>
              </w:drawing>
            </w:r>
          </w:p>
          <w:p w14:paraId="686C07E6">
            <w:pPr>
              <w:pStyle w:val="12"/>
              <w:ind w:left="0" w:leftChars="0" w:firstLine="0" w:firstLineChars="0"/>
              <w:jc w:val="center"/>
              <w:rPr>
                <w:rFonts w:hint="default" w:ascii="Times New Roman" w:hAnsi="Times New Roman" w:eastAsia="宋体" w:cs="Times New Roman"/>
                <w:color w:val="auto"/>
                <w:sz w:val="24"/>
                <w:szCs w:val="20"/>
                <w:highlight w:val="none"/>
                <w:lang w:val="en-US" w:eastAsia="zh-CN"/>
              </w:rPr>
            </w:pPr>
            <w:r>
              <w:rPr>
                <w:rFonts w:hint="default" w:ascii="Times New Roman" w:hAnsi="Times New Roman" w:eastAsia="宋体" w:cs="Times New Roman"/>
                <w:b/>
                <w:bCs/>
                <w:color w:val="auto"/>
                <w:kern w:val="0"/>
                <w:sz w:val="24"/>
                <w:szCs w:val="21"/>
                <w:highlight w:val="none"/>
              </w:rPr>
              <w:t>图3</w:t>
            </w:r>
            <w:r>
              <w:rPr>
                <w:rFonts w:hint="default" w:ascii="Times New Roman" w:hAnsi="Times New Roman" w:eastAsia="宋体" w:cs="Times New Roman"/>
                <w:b/>
                <w:bCs/>
                <w:color w:val="auto"/>
                <w:kern w:val="0"/>
                <w:sz w:val="24"/>
                <w:szCs w:val="21"/>
                <w:highlight w:val="none"/>
                <w:lang w:val="en-US" w:eastAsia="zh-CN"/>
              </w:rPr>
              <w:t>-4</w:t>
            </w:r>
            <w:r>
              <w:rPr>
                <w:rFonts w:hint="default" w:ascii="Times New Roman" w:hAnsi="Times New Roman" w:eastAsia="宋体" w:cs="Times New Roman"/>
                <w:b/>
                <w:bCs/>
                <w:color w:val="auto"/>
                <w:kern w:val="0"/>
                <w:sz w:val="24"/>
                <w:szCs w:val="21"/>
                <w:highlight w:val="none"/>
              </w:rPr>
              <w:t xml:space="preserve">   </w:t>
            </w:r>
            <w:r>
              <w:rPr>
                <w:rFonts w:hint="default" w:ascii="Times New Roman" w:hAnsi="Times New Roman" w:eastAsia="宋体" w:cs="Times New Roman"/>
                <w:b/>
                <w:bCs/>
                <w:color w:val="auto"/>
                <w:kern w:val="0"/>
                <w:sz w:val="24"/>
                <w:szCs w:val="21"/>
                <w:highlight w:val="none"/>
                <w:lang w:val="en-US" w:eastAsia="zh-CN"/>
              </w:rPr>
              <w:t>项目位于鄂尔多斯生态功能区划位置</w:t>
            </w:r>
            <w:r>
              <w:rPr>
                <w:rFonts w:hint="default" w:ascii="Times New Roman" w:hAnsi="Times New Roman" w:eastAsia="宋体" w:cs="Times New Roman"/>
                <w:b/>
                <w:bCs/>
                <w:color w:val="auto"/>
                <w:kern w:val="0"/>
                <w:sz w:val="24"/>
                <w:szCs w:val="21"/>
                <w:highlight w:val="none"/>
              </w:rPr>
              <w:t>图</w:t>
            </w:r>
          </w:p>
          <w:p w14:paraId="4DA10901">
            <w:pPr>
              <w:widowControl w:val="0"/>
              <w:spacing w:line="360" w:lineRule="auto"/>
              <w:ind w:firstLine="480"/>
              <w:outlineLvl w:val="3"/>
              <w:rPr>
                <w:rFonts w:hint="default" w:ascii="Times New Roman" w:hAnsi="Times New Roman" w:eastAsia="宋体" w:cs="Times New Roman"/>
                <w:b/>
                <w:bCs/>
                <w:color w:val="auto"/>
                <w:kern w:val="2"/>
                <w:sz w:val="24"/>
                <w:szCs w:val="28"/>
                <w:highlight w:val="none"/>
                <w:lang w:val="en-US" w:eastAsia="zh-CN"/>
              </w:rPr>
            </w:pPr>
            <w:r>
              <w:rPr>
                <w:rFonts w:hint="default" w:ascii="Times New Roman" w:hAnsi="Times New Roman" w:eastAsia="宋体" w:cs="Times New Roman"/>
                <w:b/>
                <w:bCs/>
                <w:color w:val="auto"/>
                <w:kern w:val="2"/>
                <w:sz w:val="24"/>
                <w:szCs w:val="28"/>
                <w:highlight w:val="none"/>
                <w:lang w:val="en-US" w:eastAsia="zh-CN"/>
              </w:rPr>
              <w:t>（2）植被现状调查</w:t>
            </w:r>
          </w:p>
          <w:p w14:paraId="33D8CB4E">
            <w:pPr>
              <w:spacing w:line="360" w:lineRule="auto"/>
              <w:ind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w:t>
            </w:r>
            <w:r>
              <w:rPr>
                <w:rFonts w:hint="default" w:ascii="Times New Roman" w:hAnsi="Times New Roman" w:eastAsia="宋体" w:cs="Times New Roman"/>
                <w:color w:val="auto"/>
                <w:sz w:val="24"/>
                <w:szCs w:val="24"/>
                <w:highlight w:val="none"/>
                <w:lang w:val="en-US" w:eastAsia="zh-CN"/>
              </w:rPr>
              <w:t>植被类型</w:t>
            </w:r>
            <w:r>
              <w:rPr>
                <w:rFonts w:hint="default" w:ascii="Times New Roman" w:hAnsi="Times New Roman" w:eastAsia="宋体" w:cs="Times New Roman"/>
                <w:color w:val="auto"/>
                <w:sz w:val="24"/>
                <w:szCs w:val="24"/>
                <w:highlight w:val="none"/>
              </w:rPr>
              <w:t>现状见图</w:t>
            </w:r>
            <w:r>
              <w:rPr>
                <w:rFonts w:hint="default" w:ascii="Times New Roman" w:hAnsi="Times New Roman" w:eastAsia="宋体" w:cs="Times New Roman"/>
                <w:color w:val="auto"/>
                <w:sz w:val="24"/>
                <w:szCs w:val="24"/>
                <w:highlight w:val="none"/>
                <w:lang w:eastAsia="zh-CN"/>
              </w:rPr>
              <w:t>3</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，评价区</w:t>
            </w:r>
            <w:r>
              <w:rPr>
                <w:rFonts w:hint="default" w:ascii="Times New Roman" w:hAnsi="Times New Roman" w:eastAsia="宋体" w:cs="Times New Roman"/>
                <w:color w:val="auto"/>
                <w:sz w:val="24"/>
                <w:szCs w:val="24"/>
                <w:highlight w:val="none"/>
                <w:lang w:val="en-US" w:eastAsia="zh-CN"/>
              </w:rPr>
              <w:t>植被</w:t>
            </w:r>
            <w:r>
              <w:rPr>
                <w:rFonts w:hint="default" w:ascii="Times New Roman" w:hAnsi="Times New Roman" w:eastAsia="宋体" w:cs="Times New Roman"/>
                <w:color w:val="auto"/>
                <w:sz w:val="24"/>
                <w:szCs w:val="24"/>
                <w:highlight w:val="none"/>
              </w:rPr>
              <w:t>类型统计表见表</w:t>
            </w:r>
            <w:r>
              <w:rPr>
                <w:rFonts w:hint="default" w:ascii="Times New Roman" w:hAnsi="Times New Roman" w:eastAsia="宋体" w:cs="Times New Roman"/>
                <w:color w:val="auto"/>
                <w:sz w:val="24"/>
                <w:szCs w:val="24"/>
                <w:highlight w:val="none"/>
                <w:lang w:eastAsia="zh-CN"/>
              </w:rPr>
              <w:t>3</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w:t>
            </w:r>
          </w:p>
          <w:p w14:paraId="3B61A48E">
            <w:pPr>
              <w:pStyle w:val="14"/>
              <w:spacing w:before="0" w:beforeLines="0" w:after="0" w:afterLines="0"/>
              <w:ind w:firstLine="482"/>
              <w:rPr>
                <w:rFonts w:hint="default" w:ascii="Times New Roman" w:hAnsi="Times New Roman" w:eastAsia="宋体" w:cs="Times New Roman"/>
                <w:b/>
                <w:color w:val="auto"/>
                <w:sz w:val="24"/>
                <w:szCs w:val="22"/>
                <w:highlight w:val="none"/>
              </w:rPr>
            </w:pPr>
            <w:r>
              <w:rPr>
                <w:rFonts w:hint="default" w:ascii="Times New Roman" w:hAnsi="Times New Roman" w:eastAsia="宋体" w:cs="Times New Roman"/>
                <w:b/>
                <w:color w:val="auto"/>
                <w:sz w:val="24"/>
                <w:szCs w:val="22"/>
                <w:highlight w:val="none"/>
              </w:rPr>
              <w:t>表</w:t>
            </w:r>
            <w:r>
              <w:rPr>
                <w:rFonts w:hint="default" w:ascii="Times New Roman" w:hAnsi="Times New Roman" w:eastAsia="宋体" w:cs="Times New Roman"/>
                <w:b/>
                <w:color w:val="auto"/>
                <w:sz w:val="24"/>
                <w:szCs w:val="22"/>
                <w:highlight w:val="none"/>
                <w:lang w:val="en-US" w:eastAsia="zh-CN"/>
              </w:rPr>
              <w:t>3-4</w:t>
            </w:r>
            <w:r>
              <w:rPr>
                <w:rFonts w:hint="default" w:ascii="Times New Roman" w:hAnsi="Times New Roman" w:eastAsia="宋体" w:cs="Times New Roman"/>
                <w:b/>
                <w:color w:val="auto"/>
                <w:sz w:val="24"/>
                <w:szCs w:val="22"/>
                <w:highlight w:val="none"/>
              </w:rPr>
              <w:t xml:space="preserve">   </w:t>
            </w:r>
            <w:r>
              <w:rPr>
                <w:rFonts w:hint="default" w:ascii="Times New Roman" w:hAnsi="Times New Roman" w:eastAsia="宋体" w:cs="Times New Roman"/>
                <w:b/>
                <w:color w:val="auto"/>
                <w:sz w:val="24"/>
                <w:szCs w:val="22"/>
                <w:highlight w:val="none"/>
                <w:lang w:val="en-US" w:eastAsia="zh-CN"/>
              </w:rPr>
              <w:t>植被</w:t>
            </w:r>
            <w:r>
              <w:rPr>
                <w:rFonts w:hint="default" w:ascii="Times New Roman" w:hAnsi="Times New Roman" w:eastAsia="宋体" w:cs="Times New Roman"/>
                <w:b/>
                <w:color w:val="auto"/>
                <w:sz w:val="24"/>
                <w:szCs w:val="22"/>
                <w:highlight w:val="none"/>
              </w:rPr>
              <w:t>类型统计表</w:t>
            </w:r>
          </w:p>
          <w:tbl>
            <w:tblPr>
              <w:tblStyle w:val="25"/>
              <w:tblW w:w="797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32"/>
              <w:gridCol w:w="1124"/>
              <w:gridCol w:w="541"/>
              <w:gridCol w:w="806"/>
              <w:gridCol w:w="1398"/>
              <w:gridCol w:w="715"/>
              <w:gridCol w:w="1021"/>
              <w:gridCol w:w="1238"/>
            </w:tblGrid>
            <w:tr w14:paraId="20171C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70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29C6B">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植被类型</w:t>
                  </w:r>
                </w:p>
              </w:tc>
              <w:tc>
                <w:tcPr>
                  <w:tcW w:w="70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6FA4A">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群落类型</w:t>
                  </w:r>
                </w:p>
              </w:tc>
              <w:tc>
                <w:tcPr>
                  <w:tcW w:w="1721"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7345">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项目区</w:t>
                  </w:r>
                </w:p>
              </w:tc>
              <w:tc>
                <w:tcPr>
                  <w:tcW w:w="1864"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CD7B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评价区</w:t>
                  </w:r>
                </w:p>
              </w:tc>
            </w:tr>
            <w:tr w14:paraId="43195F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70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F55BC">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c>
                <w:tcPr>
                  <w:tcW w:w="70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3515A">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E767A">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斑块数</w:t>
                  </w:r>
                </w:p>
              </w:tc>
              <w:tc>
                <w:tcPr>
                  <w:tcW w:w="5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C4B0F">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面积（hm</w:t>
                  </w:r>
                  <w:r>
                    <w:rPr>
                      <w:rFonts w:hint="default" w:ascii="Times New Roman" w:hAnsi="Times New Roman" w:eastAsia="宋体" w:cs="Times New Roman"/>
                      <w:bCs/>
                      <w:color w:val="auto"/>
                      <w:kern w:val="2"/>
                      <w:sz w:val="21"/>
                      <w:szCs w:val="21"/>
                      <w:highlight w:val="none"/>
                      <w:vertAlign w:val="superscript"/>
                      <w:lang w:val="en-US" w:eastAsia="zh-CN"/>
                    </w:rPr>
                    <w:t>2</w:t>
                  </w:r>
                  <w:r>
                    <w:rPr>
                      <w:rFonts w:hint="default" w:ascii="Times New Roman" w:hAnsi="Times New Roman" w:eastAsia="宋体" w:cs="Times New Roman"/>
                      <w:bCs/>
                      <w:color w:val="auto"/>
                      <w:kern w:val="2"/>
                      <w:sz w:val="21"/>
                      <w:szCs w:val="21"/>
                      <w:highlight w:val="none"/>
                      <w:lang w:val="en-US" w:eastAsia="zh-CN"/>
                    </w:rPr>
                    <w:t>）</w:t>
                  </w:r>
                </w:p>
              </w:tc>
              <w:tc>
                <w:tcPr>
                  <w:tcW w:w="8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F67FF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占评价区比例（%）</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DFB2E">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斑块数</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D02E4C">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面积（hm</w:t>
                  </w:r>
                  <w:r>
                    <w:rPr>
                      <w:rFonts w:hint="default" w:ascii="Times New Roman" w:hAnsi="Times New Roman" w:eastAsia="宋体" w:cs="Times New Roman"/>
                      <w:bCs/>
                      <w:color w:val="auto"/>
                      <w:kern w:val="2"/>
                      <w:sz w:val="21"/>
                      <w:szCs w:val="21"/>
                      <w:highlight w:val="none"/>
                      <w:vertAlign w:val="superscript"/>
                      <w:lang w:val="en-US" w:eastAsia="zh-CN"/>
                    </w:rPr>
                    <w:t>2</w:t>
                  </w:r>
                  <w:r>
                    <w:rPr>
                      <w:rFonts w:hint="default" w:ascii="Times New Roman" w:hAnsi="Times New Roman" w:eastAsia="宋体" w:cs="Times New Roman"/>
                      <w:bCs/>
                      <w:color w:val="auto"/>
                      <w:kern w:val="2"/>
                      <w:sz w:val="21"/>
                      <w:szCs w:val="21"/>
                      <w:highlight w:val="none"/>
                      <w:lang w:val="en-US" w:eastAsia="zh-CN"/>
                    </w:rPr>
                    <w:t>）</w:t>
                  </w:r>
                </w:p>
              </w:tc>
              <w:tc>
                <w:tcPr>
                  <w:tcW w:w="77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617E8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占评价区比例（%）</w:t>
                  </w:r>
                </w:p>
              </w:tc>
            </w:tr>
            <w:tr w14:paraId="1C6C77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A6B00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林地植被</w:t>
                  </w:r>
                </w:p>
              </w:tc>
              <w:tc>
                <w:tcPr>
                  <w:tcW w:w="7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A967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杨树+旱柳群落</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B4BCC1">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CF92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64D48">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85366">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45</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8B5E3">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62.69</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20C0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8.06%</w:t>
                  </w:r>
                </w:p>
              </w:tc>
            </w:tr>
            <w:tr w14:paraId="61EBB9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B133F">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草地植被</w:t>
                  </w:r>
                </w:p>
              </w:tc>
              <w:tc>
                <w:tcPr>
                  <w:tcW w:w="7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3DF2A2">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沙蒿群落</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7D7C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4</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6E662">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0.71</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1A9048">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89.07%</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DB05C8">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120</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635136">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300.98</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EEA71">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38.68%</w:t>
                  </w:r>
                </w:p>
              </w:tc>
            </w:tr>
            <w:tr w14:paraId="0AE48E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A4DA3">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耕地植被</w:t>
                  </w:r>
                </w:p>
              </w:tc>
              <w:tc>
                <w:tcPr>
                  <w:tcW w:w="7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CB471">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农田植被</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39BB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A9F9B">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D501D">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774E7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52</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DBEF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294.28</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F0588">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37.82%</w:t>
                  </w:r>
                </w:p>
              </w:tc>
            </w:tr>
            <w:tr w14:paraId="7591BE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7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DE09F">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rPr>
                  </w:pPr>
                  <w:r>
                    <w:rPr>
                      <w:rFonts w:hint="default" w:ascii="Times New Roman" w:hAnsi="Times New Roman" w:eastAsia="宋体" w:cs="Times New Roman"/>
                      <w:bCs/>
                      <w:color w:val="auto"/>
                      <w:kern w:val="2"/>
                      <w:sz w:val="21"/>
                      <w:szCs w:val="21"/>
                      <w:highlight w:val="none"/>
                      <w:lang w:val="en-US" w:eastAsia="zh-CN"/>
                    </w:rPr>
                    <w:t>其他</w:t>
                  </w:r>
                </w:p>
              </w:tc>
              <w:tc>
                <w:tcPr>
                  <w:tcW w:w="70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5A9B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无植被</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81DDA">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5DCEFC">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0.087</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D8366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10.93%</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745E5">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177</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27735">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120.17</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4E0E6">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15.44%</w:t>
                  </w:r>
                </w:p>
              </w:tc>
            </w:tr>
            <w:tr w14:paraId="47C50B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141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846C7">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总计</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77F4C">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5</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31D59">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0.797</w:t>
                  </w:r>
                </w:p>
              </w:tc>
              <w:tc>
                <w:tcPr>
                  <w:tcW w:w="8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2A353">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100%</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DD4EF">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394</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6EAF5">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778.11</w:t>
                  </w:r>
                </w:p>
              </w:tc>
              <w:tc>
                <w:tcPr>
                  <w:tcW w:w="7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8B9ED">
                  <w:pPr>
                    <w:keepNext w:val="0"/>
                    <w:keepLines w:val="0"/>
                    <w:pageBreakBefore w:val="0"/>
                    <w:widowControl w:val="0"/>
                    <w:kinsoku/>
                    <w:wordWrap/>
                    <w:overflowPunct/>
                    <w:topLinePunct w:val="0"/>
                    <w:autoSpaceDE/>
                    <w:autoSpaceDN/>
                    <w:bidi w:val="0"/>
                    <w:adjustRightInd w:val="0"/>
                    <w:snapToGrid w:val="0"/>
                    <w:spacing w:before="0" w:after="0" w:line="240" w:lineRule="auto"/>
                    <w:ind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eastAsia="宋体" w:cs="Times New Roman"/>
                      <w:bCs/>
                      <w:color w:val="auto"/>
                      <w:kern w:val="2"/>
                      <w:sz w:val="21"/>
                      <w:szCs w:val="21"/>
                      <w:highlight w:val="none"/>
                      <w:lang w:val="en-US" w:eastAsia="zh-CN"/>
                    </w:rPr>
                    <w:t>100.00%</w:t>
                  </w:r>
                </w:p>
              </w:tc>
            </w:tr>
          </w:tbl>
          <w:p w14:paraId="7C49081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从</w:t>
            </w:r>
            <w:r>
              <w:rPr>
                <w:rFonts w:hint="default" w:ascii="Times New Roman" w:hAnsi="Times New Roman" w:eastAsia="宋体" w:cs="Times New Roman"/>
                <w:color w:val="auto"/>
                <w:sz w:val="24"/>
                <w:szCs w:val="24"/>
                <w:highlight w:val="none"/>
              </w:rPr>
              <w:t>以上结果来看，</w:t>
            </w:r>
            <w:r>
              <w:rPr>
                <w:rFonts w:hint="default" w:ascii="Times New Roman" w:hAnsi="Times New Roman" w:eastAsia="宋体" w:cs="Times New Roman"/>
                <w:color w:val="auto"/>
                <w:sz w:val="24"/>
                <w:szCs w:val="24"/>
                <w:highlight w:val="none"/>
                <w:lang w:val="en-US" w:eastAsia="zh-CN"/>
              </w:rPr>
              <w:t>项目区</w:t>
            </w:r>
            <w:r>
              <w:rPr>
                <w:rFonts w:hint="default" w:ascii="Times New Roman" w:hAnsi="Times New Roman" w:eastAsia="宋体" w:cs="Times New Roman"/>
                <w:color w:val="auto"/>
                <w:sz w:val="24"/>
                <w:szCs w:val="24"/>
                <w:highlight w:val="none"/>
              </w:rPr>
              <w:t>范围</w:t>
            </w:r>
            <w:r>
              <w:rPr>
                <w:rFonts w:hint="default" w:ascii="Times New Roman" w:hAnsi="Times New Roman" w:eastAsia="宋体" w:cs="Times New Roman"/>
                <w:color w:val="auto"/>
                <w:sz w:val="24"/>
                <w:szCs w:val="24"/>
                <w:highlight w:val="none"/>
                <w:lang w:val="en-US" w:eastAsia="zh-CN"/>
              </w:rPr>
              <w:t>主要</w:t>
            </w:r>
            <w:r>
              <w:rPr>
                <w:rFonts w:hint="eastAsia" w:cs="Times New Roman"/>
                <w:color w:val="auto"/>
                <w:sz w:val="24"/>
                <w:szCs w:val="24"/>
                <w:highlight w:val="none"/>
                <w:lang w:val="en-US" w:eastAsia="zh-CN"/>
              </w:rPr>
              <w:t>是</w:t>
            </w:r>
            <w:r>
              <w:rPr>
                <w:rFonts w:hint="default" w:ascii="Times New Roman" w:hAnsi="Times New Roman" w:eastAsia="宋体" w:cs="Times New Roman"/>
                <w:color w:val="auto"/>
                <w:sz w:val="24"/>
                <w:szCs w:val="24"/>
                <w:highlight w:val="none"/>
                <w:lang w:val="en-US" w:eastAsia="zh-CN"/>
              </w:rPr>
              <w:t>无植被为主，评价区植被</w:t>
            </w:r>
            <w:r>
              <w:rPr>
                <w:rFonts w:hint="default" w:ascii="Times New Roman" w:hAnsi="Times New Roman" w:eastAsia="宋体" w:cs="Times New Roman"/>
                <w:color w:val="auto"/>
                <w:sz w:val="24"/>
                <w:szCs w:val="24"/>
                <w:highlight w:val="none"/>
              </w:rPr>
              <w:t>类型分别为</w:t>
            </w:r>
            <w:r>
              <w:rPr>
                <w:rFonts w:hint="default" w:ascii="Times New Roman" w:hAnsi="Times New Roman" w:eastAsia="宋体" w:cs="Times New Roman"/>
                <w:color w:val="auto"/>
                <w:sz w:val="24"/>
                <w:szCs w:val="24"/>
                <w:highlight w:val="none"/>
                <w:lang w:val="en-US" w:eastAsia="zh-CN"/>
              </w:rPr>
              <w:t>林地植被、草地植被、耕地植被</w:t>
            </w:r>
            <w:r>
              <w:rPr>
                <w:rFonts w:hint="default" w:ascii="Times New Roman" w:hAnsi="Times New Roman" w:eastAsia="宋体" w:cs="Times New Roman"/>
                <w:color w:val="auto"/>
                <w:sz w:val="24"/>
                <w:szCs w:val="24"/>
                <w:highlight w:val="none"/>
              </w:rPr>
              <w:t>共</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类。</w:t>
            </w:r>
            <w:r>
              <w:rPr>
                <w:rFonts w:hint="default" w:ascii="Times New Roman" w:hAnsi="Times New Roman" w:eastAsia="宋体" w:cs="Times New Roman"/>
                <w:color w:val="auto"/>
                <w:sz w:val="24"/>
                <w:szCs w:val="24"/>
                <w:highlight w:val="none"/>
                <w:lang w:val="en-US" w:eastAsia="zh-CN"/>
              </w:rPr>
              <w:t>植被</w:t>
            </w:r>
            <w:r>
              <w:rPr>
                <w:rFonts w:hint="default" w:ascii="Times New Roman" w:hAnsi="Times New Roman" w:eastAsia="宋体" w:cs="Times New Roman"/>
                <w:color w:val="auto"/>
                <w:sz w:val="24"/>
                <w:szCs w:val="24"/>
                <w:highlight w:val="none"/>
              </w:rPr>
              <w:t>类型面积占比</w:t>
            </w:r>
            <w:r>
              <w:rPr>
                <w:rFonts w:hint="default" w:ascii="Times New Roman" w:hAnsi="Times New Roman" w:eastAsia="宋体" w:cs="Times New Roman"/>
                <w:color w:val="auto"/>
                <w:sz w:val="24"/>
                <w:szCs w:val="24"/>
                <w:highlight w:val="none"/>
                <w:lang w:val="en-US" w:eastAsia="zh-CN"/>
              </w:rPr>
              <w:t>以沙蒿</w:t>
            </w:r>
            <w:r>
              <w:rPr>
                <w:rFonts w:hint="default" w:ascii="Times New Roman" w:hAnsi="Times New Roman" w:eastAsia="宋体" w:cs="Times New Roman"/>
                <w:color w:val="auto"/>
                <w:sz w:val="24"/>
                <w:szCs w:val="24"/>
                <w:highlight w:val="none"/>
              </w:rPr>
              <w:t>群落</w:t>
            </w:r>
            <w:r>
              <w:rPr>
                <w:rFonts w:hint="default" w:ascii="Times New Roman" w:hAnsi="Times New Roman" w:eastAsia="宋体" w:cs="Times New Roman"/>
                <w:color w:val="auto"/>
                <w:sz w:val="24"/>
                <w:szCs w:val="24"/>
                <w:highlight w:val="none"/>
                <w:lang w:val="en-US" w:eastAsia="zh-CN"/>
              </w:rPr>
              <w:t>为主；评价区</w:t>
            </w:r>
            <w:r>
              <w:rPr>
                <w:rFonts w:hint="default" w:ascii="Times New Roman" w:hAnsi="Times New Roman" w:eastAsia="宋体" w:cs="Times New Roman"/>
                <w:color w:val="auto"/>
                <w:sz w:val="24"/>
                <w:szCs w:val="24"/>
                <w:highlight w:val="none"/>
              </w:rPr>
              <w:t>范围</w:t>
            </w:r>
            <w:r>
              <w:rPr>
                <w:rFonts w:hint="default" w:ascii="Times New Roman" w:hAnsi="Times New Roman" w:eastAsia="宋体" w:cs="Times New Roman"/>
                <w:color w:val="auto"/>
                <w:sz w:val="24"/>
                <w:szCs w:val="24"/>
                <w:highlight w:val="none"/>
                <w:lang w:val="en-US" w:eastAsia="zh-CN"/>
              </w:rPr>
              <w:t>植被</w:t>
            </w:r>
            <w:r>
              <w:rPr>
                <w:rFonts w:hint="default" w:ascii="Times New Roman" w:hAnsi="Times New Roman" w:eastAsia="宋体" w:cs="Times New Roman"/>
                <w:color w:val="auto"/>
                <w:sz w:val="24"/>
                <w:szCs w:val="24"/>
                <w:highlight w:val="none"/>
              </w:rPr>
              <w:t>类型分别为</w:t>
            </w:r>
            <w:r>
              <w:rPr>
                <w:rFonts w:hint="default" w:ascii="Times New Roman" w:hAnsi="Times New Roman" w:eastAsia="宋体" w:cs="Times New Roman"/>
                <w:color w:val="auto"/>
                <w:sz w:val="24"/>
                <w:szCs w:val="24"/>
                <w:highlight w:val="none"/>
                <w:lang w:val="en-US" w:eastAsia="zh-CN"/>
              </w:rPr>
              <w:t>杨树</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旱柳群落、沙蒿群落、农田植被</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植被</w:t>
            </w:r>
            <w:r>
              <w:rPr>
                <w:rFonts w:hint="default" w:ascii="Times New Roman" w:hAnsi="Times New Roman" w:eastAsia="宋体" w:cs="Times New Roman"/>
                <w:color w:val="auto"/>
                <w:sz w:val="24"/>
                <w:szCs w:val="24"/>
                <w:highlight w:val="none"/>
              </w:rPr>
              <w:t>类型面积占比</w:t>
            </w:r>
            <w:r>
              <w:rPr>
                <w:rFonts w:hint="default" w:ascii="Times New Roman" w:hAnsi="Times New Roman" w:eastAsia="宋体" w:cs="Times New Roman"/>
                <w:color w:val="auto"/>
                <w:sz w:val="24"/>
                <w:szCs w:val="24"/>
                <w:highlight w:val="none"/>
                <w:lang w:val="en-US" w:eastAsia="zh-CN"/>
              </w:rPr>
              <w:t>以草地植被的沙蒿</w:t>
            </w:r>
            <w:r>
              <w:rPr>
                <w:rFonts w:hint="default" w:ascii="Times New Roman" w:hAnsi="Times New Roman" w:eastAsia="宋体" w:cs="Times New Roman"/>
                <w:color w:val="auto"/>
                <w:sz w:val="24"/>
                <w:szCs w:val="24"/>
                <w:highlight w:val="none"/>
              </w:rPr>
              <w:t>群落</w:t>
            </w:r>
            <w:r>
              <w:rPr>
                <w:rFonts w:hint="default" w:ascii="Times New Roman" w:hAnsi="Times New Roman" w:eastAsia="宋体" w:cs="Times New Roman"/>
                <w:color w:val="auto"/>
                <w:sz w:val="24"/>
                <w:szCs w:val="24"/>
                <w:highlight w:val="none"/>
                <w:lang w:val="en-US" w:eastAsia="zh-CN"/>
              </w:rPr>
              <w:t>为主；</w:t>
            </w:r>
          </w:p>
          <w:p w14:paraId="5F588B9B">
            <w:pPr>
              <w:widowControl w:val="0"/>
              <w:spacing w:line="360" w:lineRule="auto"/>
              <w:ind w:left="0" w:leftChars="0" w:firstLine="0" w:firstLineChars="0"/>
              <w:rPr>
                <w:rFonts w:hint="default" w:ascii="Times New Roman" w:hAnsi="Times New Roman" w:eastAsia="宋体" w:cs="Times New Roman"/>
                <w:color w:val="auto"/>
                <w:kern w:val="2"/>
                <w:szCs w:val="22"/>
                <w:highlight w:val="none"/>
                <w:lang w:val="en-US" w:eastAsia="zh-CN"/>
              </w:rPr>
            </w:pPr>
            <w:r>
              <w:rPr>
                <w:rFonts w:hint="default" w:ascii="Times New Roman" w:hAnsi="Times New Roman" w:eastAsia="宋体" w:cs="Times New Roman"/>
                <w:color w:val="auto"/>
                <w:kern w:val="2"/>
                <w:szCs w:val="22"/>
                <w:highlight w:val="none"/>
                <w:lang w:val="en-US" w:eastAsia="zh-CN"/>
              </w:rPr>
              <w:drawing>
                <wp:inline distT="0" distB="0" distL="114300" distR="114300">
                  <wp:extent cx="5059045" cy="7149465"/>
                  <wp:effectExtent l="0" t="0" r="8255" b="13335"/>
                  <wp:docPr id="55" name="图片 55" descr="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植被类型图"/>
                          <pic:cNvPicPr>
                            <a:picLocks noChangeAspect="1"/>
                          </pic:cNvPicPr>
                        </pic:nvPicPr>
                        <pic:blipFill>
                          <a:blip r:embed="rId54"/>
                          <a:stretch>
                            <a:fillRect/>
                          </a:stretch>
                        </pic:blipFill>
                        <pic:spPr>
                          <a:xfrm>
                            <a:off x="0" y="0"/>
                            <a:ext cx="5059045" cy="7149465"/>
                          </a:xfrm>
                          <a:prstGeom prst="rect">
                            <a:avLst/>
                          </a:prstGeom>
                        </pic:spPr>
                      </pic:pic>
                    </a:graphicData>
                  </a:graphic>
                </wp:inline>
              </w:drawing>
            </w:r>
          </w:p>
          <w:p w14:paraId="680EAEFE">
            <w:pPr>
              <w:widowControl w:val="0"/>
              <w:spacing w:line="360" w:lineRule="auto"/>
              <w:jc w:val="center"/>
              <w:rPr>
                <w:rFonts w:hint="default" w:ascii="Times New Roman" w:hAnsi="Times New Roman" w:eastAsia="宋体" w:cs="Times New Roman"/>
                <w:color w:val="auto"/>
                <w:kern w:val="2"/>
                <w:sz w:val="24"/>
                <w:szCs w:val="28"/>
                <w:highlight w:val="none"/>
                <w:lang w:val="en-US" w:eastAsia="zh-CN"/>
              </w:rPr>
            </w:pPr>
            <w:r>
              <w:rPr>
                <w:rFonts w:hint="default" w:ascii="Times New Roman" w:hAnsi="Times New Roman" w:eastAsia="宋体" w:cs="Times New Roman"/>
                <w:b/>
                <w:bCs/>
                <w:color w:val="auto"/>
                <w:kern w:val="0"/>
                <w:sz w:val="24"/>
                <w:szCs w:val="21"/>
                <w:highlight w:val="none"/>
              </w:rPr>
              <w:t>图3</w:t>
            </w:r>
            <w:r>
              <w:rPr>
                <w:rFonts w:hint="default" w:ascii="Times New Roman" w:hAnsi="Times New Roman" w:eastAsia="宋体" w:cs="Times New Roman"/>
                <w:b/>
                <w:bCs/>
                <w:color w:val="auto"/>
                <w:kern w:val="0"/>
                <w:sz w:val="24"/>
                <w:szCs w:val="21"/>
                <w:highlight w:val="none"/>
                <w:lang w:val="en-US" w:eastAsia="zh-CN"/>
              </w:rPr>
              <w:t>-5</w:t>
            </w:r>
            <w:r>
              <w:rPr>
                <w:rFonts w:hint="default" w:ascii="Times New Roman" w:hAnsi="Times New Roman" w:eastAsia="宋体" w:cs="Times New Roman"/>
                <w:b/>
                <w:bCs/>
                <w:color w:val="auto"/>
                <w:kern w:val="0"/>
                <w:sz w:val="24"/>
                <w:szCs w:val="21"/>
                <w:highlight w:val="none"/>
              </w:rPr>
              <w:t xml:space="preserve">   </w:t>
            </w:r>
            <w:r>
              <w:rPr>
                <w:rFonts w:hint="default" w:ascii="Times New Roman" w:hAnsi="Times New Roman" w:eastAsia="宋体" w:cs="Times New Roman"/>
                <w:b/>
                <w:bCs/>
                <w:color w:val="auto"/>
                <w:kern w:val="0"/>
                <w:sz w:val="24"/>
                <w:szCs w:val="21"/>
                <w:highlight w:val="none"/>
                <w:lang w:val="en-US" w:eastAsia="zh-CN"/>
              </w:rPr>
              <w:t>植被类型</w:t>
            </w:r>
            <w:r>
              <w:rPr>
                <w:rFonts w:hint="default" w:ascii="Times New Roman" w:hAnsi="Times New Roman" w:eastAsia="宋体" w:cs="Times New Roman"/>
                <w:b/>
                <w:bCs/>
                <w:color w:val="auto"/>
                <w:kern w:val="0"/>
                <w:sz w:val="24"/>
                <w:szCs w:val="21"/>
                <w:highlight w:val="none"/>
              </w:rPr>
              <w:t>图</w:t>
            </w:r>
          </w:p>
          <w:p w14:paraId="22E13475">
            <w:pPr>
              <w:widowControl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kern w:val="2"/>
                <w:sz w:val="24"/>
                <w:szCs w:val="28"/>
                <w:highlight w:val="none"/>
                <w:lang w:val="en-US" w:eastAsia="zh-CN"/>
              </w:rPr>
              <w:t>项目评价区域内无保护植物分布，</w:t>
            </w:r>
            <w:r>
              <w:rPr>
                <w:rFonts w:hint="default" w:ascii="Times New Roman" w:hAnsi="Times New Roman" w:eastAsia="宋体" w:cs="Times New Roman"/>
                <w:color w:val="auto"/>
                <w:kern w:val="2"/>
                <w:sz w:val="24"/>
                <w:szCs w:val="28"/>
                <w:highlight w:val="none"/>
              </w:rPr>
              <w:t>常见植物名录见表</w:t>
            </w:r>
            <w:r>
              <w:rPr>
                <w:rFonts w:hint="default" w:ascii="Times New Roman" w:hAnsi="Times New Roman" w:eastAsia="宋体" w:cs="Times New Roman"/>
                <w:color w:val="auto"/>
                <w:kern w:val="2"/>
                <w:sz w:val="24"/>
                <w:szCs w:val="28"/>
                <w:highlight w:val="none"/>
                <w:lang w:val="en-US" w:eastAsia="zh-CN"/>
              </w:rPr>
              <w:t>3-5</w:t>
            </w:r>
            <w:r>
              <w:rPr>
                <w:rFonts w:hint="default" w:ascii="Times New Roman" w:hAnsi="Times New Roman" w:eastAsia="宋体" w:cs="Times New Roman"/>
                <w:color w:val="auto"/>
                <w:kern w:val="2"/>
                <w:sz w:val="24"/>
                <w:szCs w:val="28"/>
                <w:highlight w:val="none"/>
              </w:rPr>
              <w:t>。</w:t>
            </w:r>
          </w:p>
          <w:p w14:paraId="4E1FE842">
            <w:pPr>
              <w:widowControl w:val="0"/>
              <w:spacing w:line="240" w:lineRule="auto"/>
              <w:ind w:firstLine="0" w:firstLineChars="0"/>
              <w:jc w:val="center"/>
              <w:rPr>
                <w:rFonts w:hint="default" w:ascii="Times New Roman" w:hAnsi="Times New Roman" w:eastAsia="宋体" w:cs="Times New Roman"/>
                <w:b/>
                <w:color w:val="auto"/>
                <w:kern w:val="2"/>
                <w:sz w:val="24"/>
                <w:szCs w:val="28"/>
                <w:highlight w:val="none"/>
                <w:lang w:val="en-US" w:eastAsia="zh-CN" w:bidi="ar-SA"/>
              </w:rPr>
            </w:pPr>
            <w:r>
              <w:rPr>
                <w:rFonts w:hint="default" w:ascii="Times New Roman" w:hAnsi="Times New Roman" w:eastAsia="宋体" w:cs="Times New Roman"/>
                <w:b/>
                <w:color w:val="auto"/>
                <w:kern w:val="2"/>
                <w:sz w:val="24"/>
                <w:szCs w:val="28"/>
                <w:highlight w:val="none"/>
                <w:lang w:val="en-US" w:eastAsia="zh-CN" w:bidi="ar-SA"/>
              </w:rPr>
              <w:t>表3-5 评价区常见植物统计</w:t>
            </w:r>
          </w:p>
          <w:tbl>
            <w:tblPr>
              <w:tblStyle w:val="25"/>
              <w:tblW w:w="49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56"/>
              <w:gridCol w:w="1990"/>
              <w:gridCol w:w="4598"/>
            </w:tblGrid>
            <w:tr w14:paraId="1040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6FA4D7EB">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序号</w:t>
                  </w:r>
                </w:p>
              </w:tc>
              <w:tc>
                <w:tcPr>
                  <w:tcW w:w="1268" w:type="pct"/>
                  <w:noWrap w:val="0"/>
                  <w:vAlign w:val="center"/>
                </w:tcPr>
                <w:p w14:paraId="48261018">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中文名</w:t>
                  </w:r>
                </w:p>
              </w:tc>
              <w:tc>
                <w:tcPr>
                  <w:tcW w:w="2930" w:type="pct"/>
                  <w:noWrap w:val="0"/>
                  <w:vAlign w:val="center"/>
                </w:tcPr>
                <w:p w14:paraId="2B366D40">
                  <w:pPr>
                    <w:keepNext w:val="0"/>
                    <w:keepLines w:val="0"/>
                    <w:pageBreakBefore w:val="0"/>
                    <w:widowControl w:val="0"/>
                    <w:kinsoku/>
                    <w:wordWrap/>
                    <w:overflowPunct/>
                    <w:topLinePunct w:val="0"/>
                    <w:autoSpaceDE/>
                    <w:autoSpaceDN/>
                    <w:bidi w:val="0"/>
                    <w:adjustRightInd/>
                    <w:snapToGrid w:val="0"/>
                    <w:spacing w:line="240" w:lineRule="auto"/>
                    <w:ind w:left="510" w:right="82"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学名</w:t>
                  </w:r>
                </w:p>
              </w:tc>
            </w:tr>
            <w:tr w14:paraId="16882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5000" w:type="pct"/>
                  <w:gridSpan w:val="3"/>
                  <w:noWrap w:val="0"/>
                  <w:vAlign w:val="center"/>
                </w:tcPr>
                <w:p w14:paraId="3D0B8915">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（一）松科</w:t>
                  </w:r>
                  <w:r>
                    <w:rPr>
                      <w:rFonts w:hint="default" w:ascii="Times New Roman" w:hAnsi="Times New Roman" w:eastAsia="宋体" w:cs="Times New Roman"/>
                      <w:i/>
                      <w:iCs/>
                      <w:color w:val="auto"/>
                      <w:kern w:val="2"/>
                      <w:sz w:val="21"/>
                      <w:szCs w:val="21"/>
                      <w:highlight w:val="none"/>
                      <w:lang w:val="zh-CN" w:eastAsia="zh-CN" w:bidi="zh-CN"/>
                    </w:rPr>
                    <w:t>Pinaceae</w:t>
                  </w:r>
                </w:p>
              </w:tc>
            </w:tr>
            <w:tr w14:paraId="69C7B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01C7E1B9">
                  <w:pPr>
                    <w:keepNext w:val="0"/>
                    <w:keepLines w:val="0"/>
                    <w:pageBreakBefore w:val="0"/>
                    <w:widowControl w:val="0"/>
                    <w:kinsoku/>
                    <w:wordWrap/>
                    <w:overflowPunct/>
                    <w:topLinePunct w:val="0"/>
                    <w:autoSpaceDE/>
                    <w:autoSpaceDN/>
                    <w:bidi w:val="0"/>
                    <w:adjustRightInd/>
                    <w:snapToGrid w:val="0"/>
                    <w:spacing w:line="240" w:lineRule="auto"/>
                    <w:ind w:left="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1</w:t>
                  </w:r>
                </w:p>
              </w:tc>
              <w:tc>
                <w:tcPr>
                  <w:tcW w:w="1268" w:type="pct"/>
                  <w:noWrap w:val="0"/>
                  <w:vAlign w:val="center"/>
                </w:tcPr>
                <w:p w14:paraId="5518696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highlight w:val="none"/>
                      <w:lang w:val="en-US" w:eastAsia="zh-CN"/>
                    </w:rPr>
                    <w:t>樟子松</w:t>
                  </w:r>
                </w:p>
              </w:tc>
              <w:tc>
                <w:tcPr>
                  <w:tcW w:w="2930" w:type="pct"/>
                  <w:noWrap w:val="0"/>
                  <w:vAlign w:val="center"/>
                </w:tcPr>
                <w:p w14:paraId="317F6E9B">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iCs/>
                      <w:color w:val="auto"/>
                      <w:kern w:val="2"/>
                      <w:sz w:val="21"/>
                      <w:highlight w:val="none"/>
                    </w:rPr>
                    <w:t>Pinus sylvestris</w:t>
                  </w:r>
                </w:p>
              </w:tc>
            </w:tr>
            <w:tr w14:paraId="504DE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5000" w:type="pct"/>
                  <w:gridSpan w:val="3"/>
                  <w:noWrap w:val="0"/>
                  <w:vAlign w:val="center"/>
                </w:tcPr>
                <w:p w14:paraId="277FA427">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（二）榆科</w:t>
                  </w:r>
                  <w:r>
                    <w:rPr>
                      <w:rFonts w:hint="default" w:ascii="Times New Roman" w:hAnsi="Times New Roman" w:eastAsia="宋体" w:cs="Times New Roman"/>
                      <w:i/>
                      <w:iCs/>
                      <w:color w:val="auto"/>
                      <w:kern w:val="2"/>
                      <w:sz w:val="21"/>
                      <w:szCs w:val="21"/>
                      <w:highlight w:val="none"/>
                      <w:lang w:val="zh-CN" w:eastAsia="zh-CN" w:bidi="zh-CN"/>
                    </w:rPr>
                    <w:t>Ulmaceae</w:t>
                  </w:r>
                </w:p>
              </w:tc>
            </w:tr>
            <w:tr w14:paraId="4EB28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17DD416A">
                  <w:pPr>
                    <w:keepNext w:val="0"/>
                    <w:keepLines w:val="0"/>
                    <w:pageBreakBefore w:val="0"/>
                    <w:widowControl w:val="0"/>
                    <w:kinsoku/>
                    <w:wordWrap/>
                    <w:overflowPunct/>
                    <w:topLinePunct w:val="0"/>
                    <w:autoSpaceDE/>
                    <w:autoSpaceDN/>
                    <w:bidi w:val="0"/>
                    <w:adjustRightInd/>
                    <w:snapToGrid w:val="0"/>
                    <w:spacing w:line="240" w:lineRule="auto"/>
                    <w:ind w:left="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2</w:t>
                  </w:r>
                </w:p>
              </w:tc>
              <w:tc>
                <w:tcPr>
                  <w:tcW w:w="1268" w:type="pct"/>
                  <w:noWrap w:val="0"/>
                  <w:vAlign w:val="center"/>
                </w:tcPr>
                <w:p w14:paraId="4FB6D4F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rPr>
                    <w:t>榆树</w:t>
                  </w:r>
                </w:p>
              </w:tc>
              <w:tc>
                <w:tcPr>
                  <w:tcW w:w="2930" w:type="pct"/>
                  <w:noWrap w:val="0"/>
                  <w:vAlign w:val="center"/>
                </w:tcPr>
                <w:p w14:paraId="00E0AF3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iCs/>
                      <w:color w:val="auto"/>
                      <w:kern w:val="2"/>
                      <w:sz w:val="21"/>
                      <w:szCs w:val="21"/>
                      <w:highlight w:val="none"/>
                      <w:lang w:val="en-US" w:eastAsia="zh-CN"/>
                    </w:rPr>
                    <w:t>Ulmus pumila</w:t>
                  </w:r>
                </w:p>
              </w:tc>
            </w:tr>
            <w:tr w14:paraId="6F12F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5000" w:type="pct"/>
                  <w:gridSpan w:val="3"/>
                  <w:noWrap w:val="0"/>
                  <w:vAlign w:val="center"/>
                </w:tcPr>
                <w:p w14:paraId="20323802">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（三）杨柳科</w:t>
                  </w:r>
                  <w:r>
                    <w:rPr>
                      <w:rFonts w:hint="default" w:ascii="Times New Roman" w:hAnsi="Times New Roman" w:eastAsia="宋体" w:cs="Times New Roman"/>
                      <w:i/>
                      <w:iCs/>
                      <w:color w:val="auto"/>
                      <w:kern w:val="2"/>
                      <w:sz w:val="21"/>
                      <w:szCs w:val="21"/>
                      <w:highlight w:val="none"/>
                      <w:lang w:val="zh-CN" w:eastAsia="zh-CN" w:bidi="zh-CN"/>
                    </w:rPr>
                    <w:t>Salicaceae</w:t>
                  </w:r>
                </w:p>
              </w:tc>
            </w:tr>
            <w:tr w14:paraId="7672A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5C03596C">
                  <w:pPr>
                    <w:keepNext w:val="0"/>
                    <w:keepLines w:val="0"/>
                    <w:pageBreakBefore w:val="0"/>
                    <w:widowControl w:val="0"/>
                    <w:kinsoku/>
                    <w:wordWrap/>
                    <w:overflowPunct/>
                    <w:topLinePunct w:val="0"/>
                    <w:autoSpaceDE/>
                    <w:autoSpaceDN/>
                    <w:bidi w:val="0"/>
                    <w:adjustRightInd/>
                    <w:snapToGrid w:val="0"/>
                    <w:spacing w:line="240" w:lineRule="auto"/>
                    <w:ind w:left="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3</w:t>
                  </w:r>
                </w:p>
              </w:tc>
              <w:tc>
                <w:tcPr>
                  <w:tcW w:w="1268" w:type="pct"/>
                  <w:noWrap w:val="0"/>
                  <w:vAlign w:val="center"/>
                </w:tcPr>
                <w:p w14:paraId="34DC3985">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小叶杨</w:t>
                  </w:r>
                </w:p>
              </w:tc>
              <w:tc>
                <w:tcPr>
                  <w:tcW w:w="2930" w:type="pct"/>
                  <w:noWrap w:val="0"/>
                  <w:vAlign w:val="center"/>
                </w:tcPr>
                <w:p w14:paraId="77630EE3">
                  <w:pPr>
                    <w:keepNext w:val="0"/>
                    <w:keepLines w:val="0"/>
                    <w:pageBreakBefore w:val="0"/>
                    <w:widowControl w:val="0"/>
                    <w:kinsoku/>
                    <w:wordWrap/>
                    <w:overflowPunct/>
                    <w:topLinePunct w:val="0"/>
                    <w:autoSpaceDE/>
                    <w:autoSpaceDN/>
                    <w:bidi w:val="0"/>
                    <w:adjustRightInd/>
                    <w:snapToGrid w:val="0"/>
                    <w:spacing w:line="240" w:lineRule="auto"/>
                    <w:ind w:left="510" w:right="8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Populus simonii</w:t>
                  </w:r>
                </w:p>
              </w:tc>
            </w:tr>
            <w:tr w14:paraId="0281F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5215007E">
                  <w:pPr>
                    <w:keepNext w:val="0"/>
                    <w:keepLines w:val="0"/>
                    <w:pageBreakBefore w:val="0"/>
                    <w:widowControl w:val="0"/>
                    <w:kinsoku/>
                    <w:wordWrap/>
                    <w:overflowPunct/>
                    <w:topLinePunct w:val="0"/>
                    <w:autoSpaceDE/>
                    <w:autoSpaceDN/>
                    <w:bidi w:val="0"/>
                    <w:adjustRightInd/>
                    <w:snapToGrid w:val="0"/>
                    <w:spacing w:line="240" w:lineRule="auto"/>
                    <w:ind w:left="6"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4</w:t>
                  </w:r>
                </w:p>
              </w:tc>
              <w:tc>
                <w:tcPr>
                  <w:tcW w:w="1268" w:type="pct"/>
                  <w:noWrap w:val="0"/>
                  <w:vAlign w:val="center"/>
                </w:tcPr>
                <w:p w14:paraId="4F3B22F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highlight w:val="none"/>
                      <w:lang w:val="en-US" w:eastAsia="zh-CN"/>
                    </w:rPr>
                    <w:t>北沙柳</w:t>
                  </w:r>
                </w:p>
              </w:tc>
              <w:tc>
                <w:tcPr>
                  <w:tcW w:w="2930" w:type="pct"/>
                  <w:noWrap w:val="0"/>
                  <w:vAlign w:val="center"/>
                </w:tcPr>
                <w:p w14:paraId="4190F0D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i/>
                      <w:color w:val="auto"/>
                      <w:kern w:val="2"/>
                      <w:sz w:val="21"/>
                      <w:szCs w:val="21"/>
                      <w:highlight w:val="none"/>
                      <w:lang w:val="zh-CN" w:eastAsia="zh-CN" w:bidi="zh-CN"/>
                    </w:rPr>
                  </w:pPr>
                  <w:r>
                    <w:rPr>
                      <w:rFonts w:hint="default" w:ascii="Times New Roman" w:hAnsi="Times New Roman" w:eastAsia="宋体" w:cs="Times New Roman"/>
                      <w:i/>
                      <w:iCs/>
                      <w:color w:val="auto"/>
                      <w:kern w:val="2"/>
                      <w:sz w:val="21"/>
                      <w:highlight w:val="none"/>
                    </w:rPr>
                    <w:t>Salix psammophila</w:t>
                  </w:r>
                </w:p>
              </w:tc>
            </w:tr>
            <w:tr w14:paraId="6C420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81CBC57">
                  <w:pPr>
                    <w:keepNext w:val="0"/>
                    <w:keepLines w:val="0"/>
                    <w:pageBreakBefore w:val="0"/>
                    <w:widowControl w:val="0"/>
                    <w:kinsoku/>
                    <w:wordWrap/>
                    <w:overflowPunct/>
                    <w:topLinePunct w:val="0"/>
                    <w:autoSpaceDE/>
                    <w:autoSpaceDN/>
                    <w:bidi w:val="0"/>
                    <w:adjustRightInd/>
                    <w:snapToGrid w:val="0"/>
                    <w:spacing w:line="240" w:lineRule="auto"/>
                    <w:ind w:left="6"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5</w:t>
                  </w:r>
                </w:p>
              </w:tc>
              <w:tc>
                <w:tcPr>
                  <w:tcW w:w="1268" w:type="pct"/>
                  <w:noWrap w:val="0"/>
                  <w:vAlign w:val="center"/>
                </w:tcPr>
                <w:p w14:paraId="2C696DAE">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柳树</w:t>
                  </w:r>
                </w:p>
              </w:tc>
              <w:tc>
                <w:tcPr>
                  <w:tcW w:w="2930" w:type="pct"/>
                  <w:noWrap w:val="0"/>
                  <w:vAlign w:val="center"/>
                </w:tcPr>
                <w:p w14:paraId="798115B5">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iCs/>
                      <w:color w:val="auto"/>
                      <w:kern w:val="2"/>
                      <w:sz w:val="21"/>
                      <w:highlight w:val="none"/>
                    </w:rPr>
                  </w:pPr>
                  <w:r>
                    <w:rPr>
                      <w:rFonts w:hint="default" w:ascii="Times New Roman" w:hAnsi="Times New Roman" w:eastAsia="宋体" w:cs="Times New Roman"/>
                      <w:i/>
                      <w:iCs/>
                      <w:color w:val="auto"/>
                      <w:kern w:val="2"/>
                      <w:sz w:val="21"/>
                      <w:highlight w:val="none"/>
                    </w:rPr>
                    <w:t>Salix matsudana</w:t>
                  </w:r>
                </w:p>
              </w:tc>
            </w:tr>
            <w:tr w14:paraId="71C0C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5000" w:type="pct"/>
                  <w:gridSpan w:val="3"/>
                  <w:noWrap w:val="0"/>
                  <w:vAlign w:val="center"/>
                </w:tcPr>
                <w:p w14:paraId="41C5A804">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w:t>
                  </w:r>
                  <w:r>
                    <w:rPr>
                      <w:rFonts w:hint="default" w:ascii="Times New Roman" w:hAnsi="Times New Roman" w:eastAsia="宋体" w:cs="Times New Roman"/>
                      <w:color w:val="auto"/>
                      <w:kern w:val="2"/>
                      <w:sz w:val="21"/>
                      <w:szCs w:val="21"/>
                      <w:highlight w:val="none"/>
                      <w:lang w:val="en-US" w:eastAsia="zh-CN" w:bidi="zh-CN"/>
                    </w:rPr>
                    <w:t>四</w:t>
                  </w:r>
                  <w:r>
                    <w:rPr>
                      <w:rFonts w:hint="default" w:ascii="Times New Roman" w:hAnsi="Times New Roman" w:eastAsia="宋体" w:cs="Times New Roman"/>
                      <w:color w:val="auto"/>
                      <w:kern w:val="2"/>
                      <w:sz w:val="21"/>
                      <w:szCs w:val="21"/>
                      <w:highlight w:val="none"/>
                      <w:lang w:val="zh-CN" w:eastAsia="zh-CN" w:bidi="zh-CN"/>
                    </w:rPr>
                    <w:t>）藜科</w:t>
                  </w:r>
                  <w:r>
                    <w:rPr>
                      <w:rFonts w:hint="default" w:ascii="Times New Roman" w:hAnsi="Times New Roman" w:eastAsia="宋体" w:cs="Times New Roman"/>
                      <w:i/>
                      <w:iCs/>
                      <w:color w:val="auto"/>
                      <w:kern w:val="2"/>
                      <w:sz w:val="21"/>
                      <w:szCs w:val="21"/>
                      <w:highlight w:val="none"/>
                      <w:lang w:val="zh-CN" w:eastAsia="zh-CN" w:bidi="zh-CN"/>
                    </w:rPr>
                    <w:t>Chenopodiaceae</w:t>
                  </w:r>
                </w:p>
              </w:tc>
            </w:tr>
            <w:tr w14:paraId="1CC35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90A510C">
                  <w:pPr>
                    <w:keepNext w:val="0"/>
                    <w:keepLines w:val="0"/>
                    <w:pageBreakBefore w:val="0"/>
                    <w:widowControl w:val="0"/>
                    <w:kinsoku/>
                    <w:wordWrap/>
                    <w:overflowPunct/>
                    <w:topLinePunct w:val="0"/>
                    <w:autoSpaceDE/>
                    <w:autoSpaceDN/>
                    <w:bidi w:val="0"/>
                    <w:adjustRightInd/>
                    <w:snapToGrid w:val="0"/>
                    <w:spacing w:line="240" w:lineRule="auto"/>
                    <w:ind w:left="6"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6</w:t>
                  </w:r>
                </w:p>
              </w:tc>
              <w:tc>
                <w:tcPr>
                  <w:tcW w:w="1268" w:type="pct"/>
                  <w:noWrap w:val="0"/>
                  <w:vAlign w:val="center"/>
                </w:tcPr>
                <w:p w14:paraId="51F7790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rPr>
                    <w:t>刺藜</w:t>
                  </w:r>
                </w:p>
              </w:tc>
              <w:tc>
                <w:tcPr>
                  <w:tcW w:w="2930" w:type="pct"/>
                  <w:noWrap w:val="0"/>
                  <w:vAlign w:val="center"/>
                </w:tcPr>
                <w:p w14:paraId="07E9645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iCs/>
                      <w:color w:val="auto"/>
                      <w:kern w:val="2"/>
                      <w:sz w:val="21"/>
                      <w:szCs w:val="21"/>
                      <w:highlight w:val="none"/>
                    </w:rPr>
                    <w:t>Chenopodium aristatum</w:t>
                  </w:r>
                </w:p>
              </w:tc>
            </w:tr>
            <w:tr w14:paraId="5D10E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D07A7E9">
                  <w:pPr>
                    <w:keepNext w:val="0"/>
                    <w:keepLines w:val="0"/>
                    <w:pageBreakBefore w:val="0"/>
                    <w:widowControl w:val="0"/>
                    <w:kinsoku/>
                    <w:wordWrap/>
                    <w:overflowPunct/>
                    <w:topLinePunct w:val="0"/>
                    <w:autoSpaceDE/>
                    <w:autoSpaceDN/>
                    <w:bidi w:val="0"/>
                    <w:adjustRightInd/>
                    <w:snapToGrid w:val="0"/>
                    <w:spacing w:line="240" w:lineRule="auto"/>
                    <w:ind w:left="6" w:lef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bidi="zh-CN"/>
                    </w:rPr>
                    <w:t>7</w:t>
                  </w:r>
                </w:p>
              </w:tc>
              <w:tc>
                <w:tcPr>
                  <w:tcW w:w="1268" w:type="pct"/>
                  <w:noWrap w:val="0"/>
                  <w:vAlign w:val="center"/>
                </w:tcPr>
                <w:p w14:paraId="12D543AC">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猪毛菜</w:t>
                  </w:r>
                </w:p>
              </w:tc>
              <w:tc>
                <w:tcPr>
                  <w:tcW w:w="2930" w:type="pct"/>
                  <w:noWrap w:val="0"/>
                  <w:vAlign w:val="center"/>
                </w:tcPr>
                <w:p w14:paraId="3041F64A">
                  <w:pPr>
                    <w:keepNext w:val="0"/>
                    <w:keepLines w:val="0"/>
                    <w:pageBreakBefore w:val="0"/>
                    <w:widowControl w:val="0"/>
                    <w:kinsoku/>
                    <w:wordWrap/>
                    <w:overflowPunct/>
                    <w:topLinePunct w:val="0"/>
                    <w:autoSpaceDE/>
                    <w:autoSpaceDN/>
                    <w:bidi w:val="0"/>
                    <w:adjustRightInd/>
                    <w:snapToGrid w:val="0"/>
                    <w:spacing w:line="240" w:lineRule="auto"/>
                    <w:ind w:left="510" w:right="84"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Salsola collina</w:t>
                  </w:r>
                </w:p>
              </w:tc>
            </w:tr>
            <w:tr w14:paraId="5A99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351BB61F">
                  <w:pPr>
                    <w:keepNext w:val="0"/>
                    <w:keepLines w:val="0"/>
                    <w:pageBreakBefore w:val="0"/>
                    <w:widowControl w:val="0"/>
                    <w:kinsoku/>
                    <w:wordWrap/>
                    <w:overflowPunct/>
                    <w:topLinePunct w:val="0"/>
                    <w:autoSpaceDE/>
                    <w:autoSpaceDN/>
                    <w:bidi w:val="0"/>
                    <w:adjustRightInd/>
                    <w:snapToGrid w:val="0"/>
                    <w:spacing w:line="240" w:lineRule="auto"/>
                    <w:ind w:left="6"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8</w:t>
                  </w:r>
                </w:p>
              </w:tc>
              <w:tc>
                <w:tcPr>
                  <w:tcW w:w="1268" w:type="pct"/>
                  <w:noWrap w:val="0"/>
                  <w:vAlign w:val="center"/>
                </w:tcPr>
                <w:p w14:paraId="437B7BC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刺沙蓬</w:t>
                  </w:r>
                </w:p>
              </w:tc>
              <w:tc>
                <w:tcPr>
                  <w:tcW w:w="2930" w:type="pct"/>
                  <w:noWrap w:val="0"/>
                  <w:vAlign w:val="center"/>
                </w:tcPr>
                <w:p w14:paraId="2E06C77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i/>
                      <w:iCs/>
                      <w:color w:val="auto"/>
                      <w:kern w:val="2"/>
                      <w:sz w:val="21"/>
                      <w:szCs w:val="21"/>
                      <w:highlight w:val="none"/>
                      <w:lang w:val="en-US"/>
                    </w:rPr>
                    <w:t>Salsola Tragus</w:t>
                  </w:r>
                </w:p>
              </w:tc>
            </w:tr>
            <w:tr w14:paraId="681B3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ACD9700">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9</w:t>
                  </w:r>
                </w:p>
              </w:tc>
              <w:tc>
                <w:tcPr>
                  <w:tcW w:w="1268" w:type="pct"/>
                  <w:noWrap w:val="0"/>
                  <w:vAlign w:val="center"/>
                </w:tcPr>
                <w:p w14:paraId="29953103">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灰绿藜</w:t>
                  </w:r>
                </w:p>
              </w:tc>
              <w:tc>
                <w:tcPr>
                  <w:tcW w:w="2930" w:type="pct"/>
                  <w:noWrap w:val="0"/>
                  <w:vAlign w:val="center"/>
                </w:tcPr>
                <w:p w14:paraId="726AAEA8">
                  <w:pPr>
                    <w:keepNext w:val="0"/>
                    <w:keepLines w:val="0"/>
                    <w:pageBreakBefore w:val="0"/>
                    <w:widowControl w:val="0"/>
                    <w:kinsoku/>
                    <w:wordWrap/>
                    <w:overflowPunct/>
                    <w:topLinePunct w:val="0"/>
                    <w:autoSpaceDE/>
                    <w:autoSpaceDN/>
                    <w:bidi w:val="0"/>
                    <w:adjustRightInd/>
                    <w:snapToGrid w:val="0"/>
                    <w:spacing w:line="240" w:lineRule="auto"/>
                    <w:ind w:left="510" w:right="88"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Chenopodium glaucum</w:t>
                  </w:r>
                </w:p>
              </w:tc>
            </w:tr>
            <w:tr w14:paraId="17C61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5000" w:type="pct"/>
                  <w:gridSpan w:val="3"/>
                  <w:noWrap w:val="0"/>
                  <w:vAlign w:val="center"/>
                </w:tcPr>
                <w:p w14:paraId="0F20376C">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w:t>
                  </w:r>
                  <w:r>
                    <w:rPr>
                      <w:rFonts w:hint="default" w:ascii="Times New Roman" w:hAnsi="Times New Roman" w:eastAsia="宋体" w:cs="Times New Roman"/>
                      <w:color w:val="auto"/>
                      <w:kern w:val="2"/>
                      <w:sz w:val="21"/>
                      <w:szCs w:val="21"/>
                      <w:highlight w:val="none"/>
                      <w:lang w:val="en-US" w:eastAsia="zh-CN" w:bidi="zh-CN"/>
                    </w:rPr>
                    <w:t>五</w:t>
                  </w:r>
                  <w:r>
                    <w:rPr>
                      <w:rFonts w:hint="default" w:ascii="Times New Roman" w:hAnsi="Times New Roman" w:eastAsia="宋体" w:cs="Times New Roman"/>
                      <w:color w:val="auto"/>
                      <w:kern w:val="2"/>
                      <w:sz w:val="21"/>
                      <w:szCs w:val="21"/>
                      <w:highlight w:val="none"/>
                      <w:lang w:val="zh-CN" w:eastAsia="zh-CN" w:bidi="zh-CN"/>
                    </w:rPr>
                    <w:t>）蔷薇科</w:t>
                  </w:r>
                  <w:r>
                    <w:rPr>
                      <w:rFonts w:hint="default" w:ascii="Times New Roman" w:hAnsi="Times New Roman" w:eastAsia="宋体" w:cs="Times New Roman"/>
                      <w:i/>
                      <w:iCs/>
                      <w:color w:val="auto"/>
                      <w:kern w:val="2"/>
                      <w:sz w:val="21"/>
                      <w:szCs w:val="21"/>
                      <w:highlight w:val="none"/>
                      <w:lang w:val="zh-CN" w:eastAsia="zh-CN" w:bidi="zh-CN"/>
                    </w:rPr>
                    <w:t>Rosaceae</w:t>
                  </w:r>
                </w:p>
              </w:tc>
            </w:tr>
            <w:tr w14:paraId="26B8B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22B5231D">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10</w:t>
                  </w:r>
                </w:p>
              </w:tc>
              <w:tc>
                <w:tcPr>
                  <w:tcW w:w="1268" w:type="pct"/>
                  <w:noWrap w:val="0"/>
                  <w:vAlign w:val="center"/>
                </w:tcPr>
                <w:p w14:paraId="2801C10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菊叶委陵菜</w:t>
                  </w:r>
                </w:p>
              </w:tc>
              <w:tc>
                <w:tcPr>
                  <w:tcW w:w="2930" w:type="pct"/>
                  <w:noWrap w:val="0"/>
                  <w:vAlign w:val="center"/>
                </w:tcPr>
                <w:p w14:paraId="57F025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iCs/>
                      <w:color w:val="auto"/>
                      <w:kern w:val="2"/>
                      <w:sz w:val="21"/>
                      <w:szCs w:val="21"/>
                      <w:highlight w:val="none"/>
                    </w:rPr>
                    <w:t>Potentilla tanacetifolia</w:t>
                  </w:r>
                </w:p>
              </w:tc>
            </w:tr>
            <w:tr w14:paraId="58526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5000" w:type="pct"/>
                  <w:gridSpan w:val="3"/>
                  <w:noWrap w:val="0"/>
                  <w:vAlign w:val="center"/>
                </w:tcPr>
                <w:p w14:paraId="442989F4">
                  <w:pPr>
                    <w:keepNext w:val="0"/>
                    <w:keepLines w:val="0"/>
                    <w:pageBreakBefore w:val="0"/>
                    <w:widowControl w:val="0"/>
                    <w:kinsoku/>
                    <w:wordWrap/>
                    <w:overflowPunct/>
                    <w:topLinePunct w:val="0"/>
                    <w:autoSpaceDE/>
                    <w:autoSpaceDN/>
                    <w:bidi w:val="0"/>
                    <w:adjustRightInd/>
                    <w:snapToGrid w:val="0"/>
                    <w:spacing w:line="240" w:lineRule="auto"/>
                    <w:ind w:left="110" w:right="9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w:t>
                  </w:r>
                  <w:r>
                    <w:rPr>
                      <w:rFonts w:hint="default" w:ascii="Times New Roman" w:hAnsi="Times New Roman" w:eastAsia="宋体" w:cs="Times New Roman"/>
                      <w:color w:val="auto"/>
                      <w:kern w:val="2"/>
                      <w:sz w:val="21"/>
                      <w:szCs w:val="21"/>
                      <w:highlight w:val="none"/>
                      <w:lang w:val="en-US" w:eastAsia="zh-CN" w:bidi="zh-CN"/>
                    </w:rPr>
                    <w:t>六</w:t>
                  </w:r>
                  <w:r>
                    <w:rPr>
                      <w:rFonts w:hint="default" w:ascii="Times New Roman" w:hAnsi="Times New Roman" w:eastAsia="宋体" w:cs="Times New Roman"/>
                      <w:color w:val="auto"/>
                      <w:kern w:val="2"/>
                      <w:sz w:val="21"/>
                      <w:szCs w:val="21"/>
                      <w:highlight w:val="none"/>
                      <w:lang w:val="zh-CN" w:eastAsia="zh-CN" w:bidi="zh-CN"/>
                    </w:rPr>
                    <w:t>）豆科</w:t>
                  </w:r>
                  <w:r>
                    <w:rPr>
                      <w:rFonts w:hint="default" w:ascii="Times New Roman" w:hAnsi="Times New Roman" w:eastAsia="宋体" w:cs="Times New Roman"/>
                      <w:i/>
                      <w:iCs/>
                      <w:color w:val="auto"/>
                      <w:kern w:val="2"/>
                      <w:sz w:val="21"/>
                      <w:szCs w:val="21"/>
                      <w:highlight w:val="none"/>
                      <w:lang w:val="zh-CN" w:eastAsia="zh-CN" w:bidi="zh-CN"/>
                    </w:rPr>
                    <w:t>Leguminosae</w:t>
                  </w:r>
                </w:p>
              </w:tc>
            </w:tr>
            <w:tr w14:paraId="2FB3B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3908B105">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11</w:t>
                  </w:r>
                </w:p>
              </w:tc>
              <w:tc>
                <w:tcPr>
                  <w:tcW w:w="1268" w:type="pct"/>
                  <w:noWrap w:val="0"/>
                  <w:vAlign w:val="center"/>
                </w:tcPr>
                <w:p w14:paraId="0D4EA56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rPr>
                    <w:t>柠条锦鸡儿</w:t>
                  </w:r>
                </w:p>
              </w:tc>
              <w:tc>
                <w:tcPr>
                  <w:tcW w:w="2930" w:type="pct"/>
                  <w:noWrap w:val="0"/>
                  <w:vAlign w:val="center"/>
                </w:tcPr>
                <w:p w14:paraId="2D23B31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iCs/>
                      <w:color w:val="auto"/>
                      <w:kern w:val="2"/>
                      <w:sz w:val="21"/>
                      <w:szCs w:val="21"/>
                      <w:highlight w:val="none"/>
                    </w:rPr>
                    <w:t>Caragana korshinskii</w:t>
                  </w:r>
                </w:p>
              </w:tc>
            </w:tr>
            <w:tr w14:paraId="666F5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800" w:type="pct"/>
                  <w:noWrap w:val="0"/>
                  <w:vAlign w:val="center"/>
                </w:tcPr>
                <w:p w14:paraId="5BAA0B1E">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12</w:t>
                  </w:r>
                </w:p>
              </w:tc>
              <w:tc>
                <w:tcPr>
                  <w:tcW w:w="1268" w:type="pct"/>
                  <w:noWrap w:val="0"/>
                  <w:vAlign w:val="center"/>
                </w:tcPr>
                <w:p w14:paraId="628C6544">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达乌里胡枝子</w:t>
                  </w:r>
                </w:p>
              </w:tc>
              <w:tc>
                <w:tcPr>
                  <w:tcW w:w="2930" w:type="pct"/>
                  <w:noWrap w:val="0"/>
                  <w:vAlign w:val="center"/>
                </w:tcPr>
                <w:p w14:paraId="5DB04FCD">
                  <w:pPr>
                    <w:keepNext w:val="0"/>
                    <w:keepLines w:val="0"/>
                    <w:pageBreakBefore w:val="0"/>
                    <w:widowControl w:val="0"/>
                    <w:kinsoku/>
                    <w:wordWrap/>
                    <w:overflowPunct/>
                    <w:topLinePunct w:val="0"/>
                    <w:autoSpaceDE/>
                    <w:autoSpaceDN/>
                    <w:bidi w:val="0"/>
                    <w:adjustRightInd/>
                    <w:snapToGrid w:val="0"/>
                    <w:spacing w:line="240" w:lineRule="auto"/>
                    <w:ind w:left="510" w:right="82"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Lespedeza davurica</w:t>
                  </w:r>
                </w:p>
              </w:tc>
            </w:tr>
            <w:tr w14:paraId="6DB89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1422950">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13</w:t>
                  </w:r>
                </w:p>
              </w:tc>
              <w:tc>
                <w:tcPr>
                  <w:tcW w:w="1268" w:type="pct"/>
                  <w:noWrap w:val="0"/>
                  <w:vAlign w:val="bottom"/>
                </w:tcPr>
                <w:p w14:paraId="0B8C782E">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bidi="zh-CN"/>
                    </w:rPr>
                    <w:t>草木樨</w:t>
                  </w:r>
                </w:p>
              </w:tc>
              <w:tc>
                <w:tcPr>
                  <w:tcW w:w="2930" w:type="pct"/>
                  <w:noWrap w:val="0"/>
                  <w:vAlign w:val="center"/>
                </w:tcPr>
                <w:p w14:paraId="19FD6E90">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Melilotus officinalis</w:t>
                  </w:r>
                </w:p>
              </w:tc>
            </w:tr>
            <w:tr w14:paraId="796DF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5BEBF2DD">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14</w:t>
                  </w:r>
                </w:p>
              </w:tc>
              <w:tc>
                <w:tcPr>
                  <w:tcW w:w="1268" w:type="pct"/>
                  <w:noWrap w:val="0"/>
                  <w:vAlign w:val="center"/>
                </w:tcPr>
                <w:p w14:paraId="587783B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highlight w:val="none"/>
                      <w:lang w:val="en-US" w:eastAsia="zh-CN"/>
                    </w:rPr>
                    <w:t>紫花苜蓿</w:t>
                  </w:r>
                </w:p>
              </w:tc>
              <w:tc>
                <w:tcPr>
                  <w:tcW w:w="2930" w:type="pct"/>
                  <w:noWrap w:val="0"/>
                  <w:vAlign w:val="center"/>
                </w:tcPr>
                <w:p w14:paraId="4038A688">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highlight w:val="none"/>
                    </w:rPr>
                    <w:t>Medicago sativa</w:t>
                  </w:r>
                </w:p>
              </w:tc>
            </w:tr>
            <w:tr w14:paraId="6122B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5A6D9A5E">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15</w:t>
                  </w:r>
                </w:p>
              </w:tc>
              <w:tc>
                <w:tcPr>
                  <w:tcW w:w="1268" w:type="pct"/>
                  <w:noWrap w:val="0"/>
                  <w:vAlign w:val="bottom"/>
                </w:tcPr>
                <w:p w14:paraId="69D58EF8">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bidi="zh-CN"/>
                    </w:rPr>
                    <w:t>扁蓿豆</w:t>
                  </w:r>
                </w:p>
              </w:tc>
              <w:tc>
                <w:tcPr>
                  <w:tcW w:w="2930" w:type="pct"/>
                  <w:noWrap w:val="0"/>
                  <w:vAlign w:val="center"/>
                </w:tcPr>
                <w:p w14:paraId="6673C25D">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Melissilus ruthenicus</w:t>
                  </w:r>
                </w:p>
              </w:tc>
            </w:tr>
            <w:tr w14:paraId="7BBDA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800" w:type="pct"/>
                  <w:noWrap w:val="0"/>
                  <w:vAlign w:val="center"/>
                </w:tcPr>
                <w:p w14:paraId="2E11183D">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16</w:t>
                  </w:r>
                </w:p>
              </w:tc>
              <w:tc>
                <w:tcPr>
                  <w:tcW w:w="1268" w:type="pct"/>
                  <w:noWrap w:val="0"/>
                  <w:vAlign w:val="center"/>
                </w:tcPr>
                <w:p w14:paraId="10FC93B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rPr>
                    <w:t>细枝岩黄芪</w:t>
                  </w:r>
                </w:p>
              </w:tc>
              <w:tc>
                <w:tcPr>
                  <w:tcW w:w="2930" w:type="pct"/>
                  <w:noWrap w:val="0"/>
                  <w:vAlign w:val="center"/>
                </w:tcPr>
                <w:p w14:paraId="780051D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i/>
                      <w:iCs w:val="0"/>
                      <w:color w:val="auto"/>
                      <w:kern w:val="2"/>
                      <w:sz w:val="21"/>
                      <w:szCs w:val="21"/>
                      <w:highlight w:val="none"/>
                      <w:lang w:val="en-US" w:eastAsia="zh-CN" w:bidi="zh-CN"/>
                    </w:rPr>
                  </w:pPr>
                  <w:r>
                    <w:rPr>
                      <w:rFonts w:hint="default" w:ascii="Times New Roman" w:hAnsi="Times New Roman" w:eastAsia="宋体" w:cs="Times New Roman"/>
                      <w:i/>
                      <w:iCs/>
                      <w:color w:val="auto"/>
                      <w:kern w:val="2"/>
                      <w:sz w:val="21"/>
                      <w:szCs w:val="21"/>
                      <w:highlight w:val="none"/>
                    </w:rPr>
                    <w:t>Hedysarum scoparium</w:t>
                  </w:r>
                </w:p>
              </w:tc>
            </w:tr>
            <w:tr w14:paraId="2C370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5000" w:type="pct"/>
                  <w:gridSpan w:val="3"/>
                  <w:noWrap w:val="0"/>
                  <w:vAlign w:val="center"/>
                </w:tcPr>
                <w:p w14:paraId="2DF886C6">
                  <w:pPr>
                    <w:keepNext w:val="0"/>
                    <w:keepLines w:val="0"/>
                    <w:pageBreakBefore w:val="0"/>
                    <w:widowControl w:val="0"/>
                    <w:kinsoku/>
                    <w:wordWrap/>
                    <w:overflowPunct/>
                    <w:topLinePunct w:val="0"/>
                    <w:autoSpaceDE/>
                    <w:autoSpaceDN/>
                    <w:bidi w:val="0"/>
                    <w:adjustRightInd/>
                    <w:snapToGrid w:val="0"/>
                    <w:spacing w:line="240" w:lineRule="auto"/>
                    <w:ind w:left="109" w:right="10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w:t>
                  </w:r>
                  <w:r>
                    <w:rPr>
                      <w:rFonts w:hint="default" w:ascii="Times New Roman" w:hAnsi="Times New Roman" w:eastAsia="宋体" w:cs="Times New Roman"/>
                      <w:color w:val="auto"/>
                      <w:kern w:val="2"/>
                      <w:sz w:val="21"/>
                      <w:szCs w:val="21"/>
                      <w:highlight w:val="none"/>
                      <w:lang w:val="en-US" w:eastAsia="zh-CN" w:bidi="zh-CN"/>
                    </w:rPr>
                    <w:t>七</w:t>
                  </w:r>
                  <w:r>
                    <w:rPr>
                      <w:rFonts w:hint="default" w:ascii="Times New Roman" w:hAnsi="Times New Roman" w:eastAsia="宋体" w:cs="Times New Roman"/>
                      <w:color w:val="auto"/>
                      <w:kern w:val="2"/>
                      <w:sz w:val="21"/>
                      <w:szCs w:val="21"/>
                      <w:highlight w:val="none"/>
                      <w:lang w:val="zh-CN" w:eastAsia="zh-CN" w:bidi="zh-CN"/>
                    </w:rPr>
                    <w:t>）菊科</w:t>
                  </w:r>
                  <w:r>
                    <w:rPr>
                      <w:rFonts w:hint="default" w:ascii="Times New Roman" w:hAnsi="Times New Roman" w:eastAsia="宋体" w:cs="Times New Roman"/>
                      <w:i/>
                      <w:iCs/>
                      <w:color w:val="auto"/>
                      <w:kern w:val="2"/>
                      <w:sz w:val="21"/>
                      <w:szCs w:val="21"/>
                      <w:highlight w:val="none"/>
                      <w:lang w:val="zh-CN" w:eastAsia="zh-CN" w:bidi="zh-CN"/>
                    </w:rPr>
                    <w:t>Compusitae</w:t>
                  </w:r>
                </w:p>
              </w:tc>
            </w:tr>
            <w:tr w14:paraId="509D1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34D16FC2">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17</w:t>
                  </w:r>
                </w:p>
              </w:tc>
              <w:tc>
                <w:tcPr>
                  <w:tcW w:w="1268" w:type="pct"/>
                  <w:noWrap w:val="0"/>
                  <w:vAlign w:val="center"/>
                </w:tcPr>
                <w:p w14:paraId="7E6EA936">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阿尔泰狗</w:t>
                  </w:r>
                  <w:r>
                    <w:rPr>
                      <w:rFonts w:hint="default" w:ascii="Times New Roman" w:hAnsi="Times New Roman" w:eastAsia="宋体" w:cs="Times New Roman"/>
                      <w:color w:val="auto"/>
                      <w:kern w:val="2"/>
                      <w:sz w:val="21"/>
                      <w:szCs w:val="21"/>
                      <w:highlight w:val="none"/>
                      <w:lang w:val="en-US" w:eastAsia="zh-CN" w:bidi="zh-CN"/>
                    </w:rPr>
                    <w:t>娃</w:t>
                  </w:r>
                  <w:r>
                    <w:rPr>
                      <w:rFonts w:hint="default" w:ascii="Times New Roman" w:hAnsi="Times New Roman" w:eastAsia="宋体" w:cs="Times New Roman"/>
                      <w:color w:val="auto"/>
                      <w:kern w:val="2"/>
                      <w:sz w:val="21"/>
                      <w:szCs w:val="21"/>
                      <w:highlight w:val="none"/>
                      <w:lang w:val="zh-CN" w:eastAsia="zh-CN" w:bidi="zh-CN"/>
                    </w:rPr>
                    <w:t>花</w:t>
                  </w:r>
                </w:p>
              </w:tc>
              <w:tc>
                <w:tcPr>
                  <w:tcW w:w="2930" w:type="pct"/>
                  <w:noWrap w:val="0"/>
                  <w:vAlign w:val="center"/>
                </w:tcPr>
                <w:p w14:paraId="30D8BF1B">
                  <w:pPr>
                    <w:keepNext w:val="0"/>
                    <w:keepLines w:val="0"/>
                    <w:pageBreakBefore w:val="0"/>
                    <w:widowControl w:val="0"/>
                    <w:kinsoku/>
                    <w:wordWrap/>
                    <w:overflowPunct/>
                    <w:topLinePunct w:val="0"/>
                    <w:autoSpaceDE/>
                    <w:autoSpaceDN/>
                    <w:bidi w:val="0"/>
                    <w:adjustRightInd/>
                    <w:snapToGrid w:val="0"/>
                    <w:spacing w:line="240" w:lineRule="auto"/>
                    <w:ind w:left="510" w:right="87"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Heteropappus altaicus</w:t>
                  </w:r>
                </w:p>
              </w:tc>
            </w:tr>
            <w:tr w14:paraId="4E487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0BEBE8E7">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18</w:t>
                  </w:r>
                </w:p>
              </w:tc>
              <w:tc>
                <w:tcPr>
                  <w:tcW w:w="1268" w:type="pct"/>
                  <w:noWrap w:val="0"/>
                  <w:vAlign w:val="center"/>
                </w:tcPr>
                <w:p w14:paraId="25E327F5">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沙蒿</w:t>
                  </w:r>
                </w:p>
              </w:tc>
              <w:tc>
                <w:tcPr>
                  <w:tcW w:w="2930" w:type="pct"/>
                  <w:noWrap w:val="0"/>
                  <w:vAlign w:val="center"/>
                </w:tcPr>
                <w:p w14:paraId="43510029">
                  <w:pPr>
                    <w:keepNext w:val="0"/>
                    <w:keepLines w:val="0"/>
                    <w:pageBreakBefore w:val="0"/>
                    <w:widowControl w:val="0"/>
                    <w:kinsoku/>
                    <w:wordWrap/>
                    <w:overflowPunct/>
                    <w:topLinePunct w:val="0"/>
                    <w:autoSpaceDE/>
                    <w:autoSpaceDN/>
                    <w:bidi w:val="0"/>
                    <w:adjustRightInd/>
                    <w:snapToGrid w:val="0"/>
                    <w:spacing w:line="240" w:lineRule="auto"/>
                    <w:ind w:left="453" w:right="89" w:firstLine="0" w:firstLineChars="0"/>
                    <w:jc w:val="center"/>
                    <w:textAlignment w:val="auto"/>
                    <w:rPr>
                      <w:rFonts w:hint="default" w:ascii="Times New Roman" w:hAnsi="Times New Roman" w:eastAsia="宋体" w:cs="Times New Roman"/>
                      <w:i/>
                      <w:iCs w:val="0"/>
                      <w:color w:val="auto"/>
                      <w:kern w:val="2"/>
                      <w:sz w:val="21"/>
                      <w:szCs w:val="21"/>
                      <w:highlight w:val="none"/>
                      <w:lang w:val="en-US" w:eastAsia="zh-CN" w:bidi="zh-CN"/>
                    </w:rPr>
                  </w:pPr>
                  <w:r>
                    <w:rPr>
                      <w:rFonts w:hint="default" w:ascii="Times New Roman" w:hAnsi="Times New Roman" w:eastAsia="宋体" w:cs="Times New Roman"/>
                      <w:i/>
                      <w:iCs w:val="0"/>
                      <w:color w:val="auto"/>
                      <w:kern w:val="2"/>
                      <w:sz w:val="21"/>
                      <w:szCs w:val="21"/>
                      <w:highlight w:val="none"/>
                      <w:lang w:val="en-US" w:eastAsia="zh-CN" w:bidi="zh-CN"/>
                    </w:rPr>
                    <w:t>Artemisia desertorum</w:t>
                  </w:r>
                </w:p>
              </w:tc>
            </w:tr>
            <w:tr w14:paraId="56494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3D3ED9AA">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19</w:t>
                  </w:r>
                </w:p>
              </w:tc>
              <w:tc>
                <w:tcPr>
                  <w:tcW w:w="1268" w:type="pct"/>
                  <w:noWrap w:val="0"/>
                  <w:vAlign w:val="center"/>
                </w:tcPr>
                <w:p w14:paraId="080BE30D">
                  <w:pPr>
                    <w:keepNext w:val="0"/>
                    <w:keepLines w:val="0"/>
                    <w:pageBreakBefore w:val="0"/>
                    <w:widowControl w:val="0"/>
                    <w:kinsoku/>
                    <w:wordWrap/>
                    <w:overflowPunct/>
                    <w:topLinePunct w:val="0"/>
                    <w:autoSpaceDE/>
                    <w:autoSpaceDN/>
                    <w:bidi w:val="0"/>
                    <w:adjustRightInd/>
                    <w:snapToGrid w:val="0"/>
                    <w:spacing w:line="240" w:lineRule="auto"/>
                    <w:ind w:left="163"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砂蓝刺头</w:t>
                  </w:r>
                </w:p>
              </w:tc>
              <w:tc>
                <w:tcPr>
                  <w:tcW w:w="2930" w:type="pct"/>
                  <w:noWrap w:val="0"/>
                  <w:vAlign w:val="center"/>
                </w:tcPr>
                <w:p w14:paraId="3D6EF9B4">
                  <w:pPr>
                    <w:keepNext w:val="0"/>
                    <w:keepLines w:val="0"/>
                    <w:pageBreakBefore w:val="0"/>
                    <w:widowControl w:val="0"/>
                    <w:kinsoku/>
                    <w:wordWrap/>
                    <w:overflowPunct/>
                    <w:topLinePunct w:val="0"/>
                    <w:autoSpaceDE/>
                    <w:autoSpaceDN/>
                    <w:bidi w:val="0"/>
                    <w:adjustRightInd/>
                    <w:snapToGrid w:val="0"/>
                    <w:spacing w:line="240" w:lineRule="auto"/>
                    <w:ind w:left="492" w:right="89"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Echinops gmelinii</w:t>
                  </w:r>
                </w:p>
              </w:tc>
            </w:tr>
            <w:tr w14:paraId="5E45F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AB01842">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20</w:t>
                  </w:r>
                </w:p>
              </w:tc>
              <w:tc>
                <w:tcPr>
                  <w:tcW w:w="1268" w:type="pct"/>
                  <w:noWrap w:val="0"/>
                  <w:vAlign w:val="center"/>
                </w:tcPr>
                <w:p w14:paraId="65853CAA">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旱蒿</w:t>
                  </w:r>
                </w:p>
              </w:tc>
              <w:tc>
                <w:tcPr>
                  <w:tcW w:w="2930" w:type="pct"/>
                  <w:noWrap w:val="0"/>
                  <w:vAlign w:val="center"/>
                </w:tcPr>
                <w:p w14:paraId="4E35694B">
                  <w:pPr>
                    <w:keepNext w:val="0"/>
                    <w:keepLines w:val="0"/>
                    <w:pageBreakBefore w:val="0"/>
                    <w:widowControl w:val="0"/>
                    <w:kinsoku/>
                    <w:wordWrap/>
                    <w:overflowPunct/>
                    <w:topLinePunct w:val="0"/>
                    <w:autoSpaceDE/>
                    <w:autoSpaceDN/>
                    <w:bidi w:val="0"/>
                    <w:adjustRightInd/>
                    <w:snapToGrid w:val="0"/>
                    <w:spacing w:line="240" w:lineRule="auto"/>
                    <w:ind w:left="510" w:right="86"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Artemisia xerophytica</w:t>
                  </w:r>
                </w:p>
              </w:tc>
            </w:tr>
            <w:tr w14:paraId="4BF15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800" w:type="pct"/>
                  <w:noWrap w:val="0"/>
                  <w:vAlign w:val="center"/>
                </w:tcPr>
                <w:p w14:paraId="05DAA42B">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21</w:t>
                  </w:r>
                </w:p>
              </w:tc>
              <w:tc>
                <w:tcPr>
                  <w:tcW w:w="1268" w:type="pct"/>
                  <w:noWrap w:val="0"/>
                  <w:vAlign w:val="center"/>
                </w:tcPr>
                <w:p w14:paraId="73B223C6">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冷蒿</w:t>
                  </w:r>
                </w:p>
              </w:tc>
              <w:tc>
                <w:tcPr>
                  <w:tcW w:w="2930" w:type="pct"/>
                  <w:noWrap w:val="0"/>
                  <w:vAlign w:val="center"/>
                </w:tcPr>
                <w:p w14:paraId="1B0BB669">
                  <w:pPr>
                    <w:keepNext w:val="0"/>
                    <w:keepLines w:val="0"/>
                    <w:pageBreakBefore w:val="0"/>
                    <w:widowControl w:val="0"/>
                    <w:kinsoku/>
                    <w:wordWrap/>
                    <w:overflowPunct/>
                    <w:topLinePunct w:val="0"/>
                    <w:autoSpaceDE/>
                    <w:autoSpaceDN/>
                    <w:bidi w:val="0"/>
                    <w:adjustRightInd/>
                    <w:snapToGrid w:val="0"/>
                    <w:spacing w:line="240" w:lineRule="auto"/>
                    <w:ind w:left="510" w:right="84"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Artemisia frigide</w:t>
                  </w:r>
                </w:p>
              </w:tc>
            </w:tr>
            <w:tr w14:paraId="37BB5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0" w:type="pct"/>
                  <w:noWrap w:val="0"/>
                  <w:vAlign w:val="center"/>
                </w:tcPr>
                <w:p w14:paraId="26547A38">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22</w:t>
                  </w:r>
                </w:p>
              </w:tc>
              <w:tc>
                <w:tcPr>
                  <w:tcW w:w="1268" w:type="pct"/>
                  <w:noWrap w:val="0"/>
                  <w:vAlign w:val="center"/>
                </w:tcPr>
                <w:p w14:paraId="21D8B2A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highlight w:val="none"/>
                      <w:lang w:val="en-US" w:eastAsia="zh-CN"/>
                    </w:rPr>
                    <w:t>风毛菊</w:t>
                  </w:r>
                </w:p>
              </w:tc>
              <w:tc>
                <w:tcPr>
                  <w:tcW w:w="2930" w:type="pct"/>
                  <w:noWrap w:val="0"/>
                  <w:vAlign w:val="center"/>
                </w:tcPr>
                <w:p w14:paraId="3491EC5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color w:val="auto"/>
                      <w:kern w:val="2"/>
                      <w:sz w:val="21"/>
                      <w:highlight w:val="none"/>
                    </w:rPr>
                    <w:t>Saussurea japonica</w:t>
                  </w:r>
                </w:p>
              </w:tc>
            </w:tr>
            <w:tr w14:paraId="0CA13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 w:hRule="atLeast"/>
                <w:jc w:val="center"/>
              </w:trPr>
              <w:tc>
                <w:tcPr>
                  <w:tcW w:w="800" w:type="pct"/>
                  <w:noWrap w:val="0"/>
                  <w:vAlign w:val="center"/>
                </w:tcPr>
                <w:p w14:paraId="6636336A">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23</w:t>
                  </w:r>
                </w:p>
              </w:tc>
              <w:tc>
                <w:tcPr>
                  <w:tcW w:w="1268" w:type="pct"/>
                  <w:noWrap w:val="0"/>
                  <w:vAlign w:val="center"/>
                </w:tcPr>
                <w:p w14:paraId="0FBDDA8A">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蒲公英</w:t>
                  </w:r>
                </w:p>
              </w:tc>
              <w:tc>
                <w:tcPr>
                  <w:tcW w:w="2930" w:type="pct"/>
                  <w:noWrap w:val="0"/>
                  <w:vAlign w:val="center"/>
                </w:tcPr>
                <w:p w14:paraId="23021E04">
                  <w:pPr>
                    <w:keepNext w:val="0"/>
                    <w:keepLines w:val="0"/>
                    <w:pageBreakBefore w:val="0"/>
                    <w:widowControl w:val="0"/>
                    <w:kinsoku/>
                    <w:wordWrap/>
                    <w:overflowPunct/>
                    <w:topLinePunct w:val="0"/>
                    <w:autoSpaceDE/>
                    <w:autoSpaceDN/>
                    <w:bidi w:val="0"/>
                    <w:adjustRightInd/>
                    <w:snapToGrid w:val="0"/>
                    <w:spacing w:line="240" w:lineRule="auto"/>
                    <w:ind w:left="510" w:right="86" w:firstLine="0" w:firstLineChars="0"/>
                    <w:jc w:val="center"/>
                    <w:textAlignment w:val="auto"/>
                    <w:rPr>
                      <w:rFonts w:hint="default" w:ascii="Times New Roman" w:hAnsi="Times New Roman" w:eastAsia="宋体" w:cs="Times New Roman"/>
                      <w:i/>
                      <w:iCs w:val="0"/>
                      <w:color w:val="auto"/>
                      <w:kern w:val="2"/>
                      <w:sz w:val="21"/>
                      <w:szCs w:val="21"/>
                      <w:highlight w:val="none"/>
                      <w:lang w:val="zh-CN" w:eastAsia="zh-CN" w:bidi="zh-CN"/>
                    </w:rPr>
                  </w:pPr>
                  <w:r>
                    <w:rPr>
                      <w:rFonts w:hint="default" w:ascii="Times New Roman" w:hAnsi="Times New Roman" w:eastAsia="宋体" w:cs="Times New Roman"/>
                      <w:i/>
                      <w:iCs w:val="0"/>
                      <w:color w:val="auto"/>
                      <w:kern w:val="2"/>
                      <w:sz w:val="21"/>
                      <w:szCs w:val="21"/>
                      <w:highlight w:val="none"/>
                      <w:lang w:val="zh-CN" w:eastAsia="zh-CN" w:bidi="zh-CN"/>
                    </w:rPr>
                    <w:t>Taraxacum mongolicum</w:t>
                  </w:r>
                </w:p>
              </w:tc>
            </w:tr>
            <w:tr w14:paraId="5C75C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5000" w:type="pct"/>
                  <w:gridSpan w:val="3"/>
                  <w:noWrap w:val="0"/>
                  <w:vAlign w:val="center"/>
                </w:tcPr>
                <w:p w14:paraId="082EA272">
                  <w:pPr>
                    <w:keepNext w:val="0"/>
                    <w:keepLines w:val="0"/>
                    <w:pageBreakBefore w:val="0"/>
                    <w:widowControl w:val="0"/>
                    <w:kinsoku/>
                    <w:wordWrap/>
                    <w:overflowPunct/>
                    <w:topLinePunct w:val="0"/>
                    <w:autoSpaceDE/>
                    <w:autoSpaceDN/>
                    <w:bidi w:val="0"/>
                    <w:adjustRightInd/>
                    <w:snapToGrid w:val="0"/>
                    <w:spacing w:line="240" w:lineRule="auto"/>
                    <w:ind w:left="109" w:right="10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w:t>
                  </w:r>
                  <w:r>
                    <w:rPr>
                      <w:rFonts w:hint="default" w:ascii="Times New Roman" w:hAnsi="Times New Roman" w:eastAsia="宋体" w:cs="Times New Roman"/>
                      <w:color w:val="auto"/>
                      <w:kern w:val="2"/>
                      <w:sz w:val="21"/>
                      <w:szCs w:val="21"/>
                      <w:highlight w:val="none"/>
                      <w:lang w:val="en-US" w:eastAsia="zh-CN" w:bidi="zh-CN"/>
                    </w:rPr>
                    <w:t>八</w:t>
                  </w:r>
                  <w:r>
                    <w:rPr>
                      <w:rFonts w:hint="default" w:ascii="Times New Roman" w:hAnsi="Times New Roman" w:eastAsia="宋体" w:cs="Times New Roman"/>
                      <w:color w:val="auto"/>
                      <w:kern w:val="2"/>
                      <w:sz w:val="21"/>
                      <w:szCs w:val="21"/>
                      <w:highlight w:val="none"/>
                      <w:lang w:val="zh-CN" w:eastAsia="zh-CN" w:bidi="zh-CN"/>
                    </w:rPr>
                    <w:t>）禾本科</w:t>
                  </w:r>
                  <w:r>
                    <w:rPr>
                      <w:rFonts w:hint="default" w:ascii="Times New Roman" w:hAnsi="Times New Roman" w:eastAsia="宋体" w:cs="Times New Roman"/>
                      <w:i/>
                      <w:iCs/>
                      <w:color w:val="auto"/>
                      <w:kern w:val="2"/>
                      <w:sz w:val="21"/>
                      <w:szCs w:val="21"/>
                      <w:highlight w:val="none"/>
                      <w:lang w:val="zh-CN" w:eastAsia="zh-CN" w:bidi="zh-CN"/>
                    </w:rPr>
                    <w:t>Poaceae</w:t>
                  </w:r>
                </w:p>
              </w:tc>
            </w:tr>
            <w:tr w14:paraId="6D61E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70C31EB8">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24</w:t>
                  </w:r>
                </w:p>
              </w:tc>
              <w:tc>
                <w:tcPr>
                  <w:tcW w:w="1268" w:type="pct"/>
                  <w:noWrap w:val="0"/>
                  <w:vAlign w:val="center"/>
                </w:tcPr>
                <w:p w14:paraId="03574DB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en-US" w:eastAsia="zh-CN"/>
                    </w:rPr>
                    <w:t>本氏针茅</w:t>
                  </w:r>
                </w:p>
              </w:tc>
              <w:tc>
                <w:tcPr>
                  <w:tcW w:w="2930" w:type="pct"/>
                  <w:noWrap w:val="0"/>
                  <w:vAlign w:val="center"/>
                </w:tcPr>
                <w:p w14:paraId="3D2A488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i/>
                      <w:iCs/>
                      <w:color w:val="auto"/>
                      <w:kern w:val="2"/>
                      <w:sz w:val="21"/>
                      <w:szCs w:val="21"/>
                      <w:highlight w:val="none"/>
                    </w:rPr>
                    <w:t>Stipa bungeana</w:t>
                  </w:r>
                </w:p>
              </w:tc>
            </w:tr>
            <w:tr w14:paraId="1C145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1F99CFF6">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25</w:t>
                  </w:r>
                </w:p>
              </w:tc>
              <w:tc>
                <w:tcPr>
                  <w:tcW w:w="1268" w:type="pct"/>
                  <w:noWrap w:val="0"/>
                  <w:vAlign w:val="center"/>
                </w:tcPr>
                <w:p w14:paraId="06CA1FB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披碱草</w:t>
                  </w:r>
                </w:p>
              </w:tc>
              <w:tc>
                <w:tcPr>
                  <w:tcW w:w="2930" w:type="pct"/>
                  <w:noWrap w:val="0"/>
                  <w:vAlign w:val="center"/>
                </w:tcPr>
                <w:p w14:paraId="7AAED0B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iCs/>
                      <w:color w:val="auto"/>
                      <w:kern w:val="2"/>
                      <w:sz w:val="21"/>
                      <w:szCs w:val="21"/>
                      <w:highlight w:val="none"/>
                    </w:rPr>
                    <w:t>Elymus dahuricus</w:t>
                  </w:r>
                </w:p>
              </w:tc>
            </w:tr>
            <w:tr w14:paraId="08DC3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4531AEC0">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26</w:t>
                  </w:r>
                </w:p>
              </w:tc>
              <w:tc>
                <w:tcPr>
                  <w:tcW w:w="1268" w:type="pct"/>
                  <w:noWrap w:val="0"/>
                  <w:vAlign w:val="center"/>
                </w:tcPr>
                <w:p w14:paraId="22C5DE69">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highlight w:val="none"/>
                      <w:lang w:val="en-US" w:eastAsia="zh-CN"/>
                    </w:rPr>
                    <w:t>克氏针茅</w:t>
                  </w:r>
                </w:p>
              </w:tc>
              <w:tc>
                <w:tcPr>
                  <w:tcW w:w="2930" w:type="pct"/>
                  <w:noWrap w:val="0"/>
                  <w:vAlign w:val="center"/>
                </w:tcPr>
                <w:p w14:paraId="5881ED2A">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iCs/>
                      <w:color w:val="auto"/>
                      <w:kern w:val="2"/>
                      <w:sz w:val="21"/>
                      <w:highlight w:val="none"/>
                    </w:rPr>
                    <w:t>Stipa krylovii</w:t>
                  </w:r>
                </w:p>
              </w:tc>
            </w:tr>
            <w:tr w14:paraId="71F4E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2B9F48D2">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27</w:t>
                  </w:r>
                </w:p>
              </w:tc>
              <w:tc>
                <w:tcPr>
                  <w:tcW w:w="1268" w:type="pct"/>
                  <w:noWrap w:val="0"/>
                  <w:vAlign w:val="center"/>
                </w:tcPr>
                <w:p w14:paraId="17AC748A">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芨芨草</w:t>
                  </w:r>
                </w:p>
              </w:tc>
              <w:tc>
                <w:tcPr>
                  <w:tcW w:w="2930" w:type="pct"/>
                  <w:noWrap w:val="0"/>
                  <w:vAlign w:val="center"/>
                </w:tcPr>
                <w:p w14:paraId="1208411A">
                  <w:pPr>
                    <w:keepNext w:val="0"/>
                    <w:keepLines w:val="0"/>
                    <w:pageBreakBefore w:val="0"/>
                    <w:widowControl w:val="0"/>
                    <w:kinsoku/>
                    <w:wordWrap/>
                    <w:overflowPunct/>
                    <w:topLinePunct w:val="0"/>
                    <w:autoSpaceDE/>
                    <w:autoSpaceDN/>
                    <w:bidi w:val="0"/>
                    <w:adjustRightInd/>
                    <w:snapToGrid w:val="0"/>
                    <w:spacing w:line="240" w:lineRule="auto"/>
                    <w:ind w:left="510" w:right="85"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Achnatherum splendens</w:t>
                  </w:r>
                </w:p>
              </w:tc>
            </w:tr>
            <w:tr w14:paraId="69880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800" w:type="pct"/>
                  <w:noWrap w:val="0"/>
                  <w:vAlign w:val="center"/>
                </w:tcPr>
                <w:p w14:paraId="3919AD4C">
                  <w:pPr>
                    <w:keepNext w:val="0"/>
                    <w:keepLines w:val="0"/>
                    <w:pageBreakBefore w:val="0"/>
                    <w:widowControl w:val="0"/>
                    <w:kinsoku/>
                    <w:wordWrap/>
                    <w:overflowPunct/>
                    <w:topLinePunct w:val="0"/>
                    <w:autoSpaceDE/>
                    <w:autoSpaceDN/>
                    <w:bidi w:val="0"/>
                    <w:adjustRightInd/>
                    <w:snapToGrid w:val="0"/>
                    <w:spacing w:line="240" w:lineRule="auto"/>
                    <w:ind w:left="106" w:right="10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28</w:t>
                  </w:r>
                </w:p>
              </w:tc>
              <w:tc>
                <w:tcPr>
                  <w:tcW w:w="1268" w:type="pct"/>
                  <w:noWrap w:val="0"/>
                  <w:vAlign w:val="center"/>
                </w:tcPr>
                <w:p w14:paraId="26513B3A">
                  <w:pPr>
                    <w:keepNext w:val="0"/>
                    <w:keepLines w:val="0"/>
                    <w:pageBreakBefore w:val="0"/>
                    <w:widowControl w:val="0"/>
                    <w:kinsoku/>
                    <w:wordWrap/>
                    <w:overflowPunct/>
                    <w:topLinePunct w:val="0"/>
                    <w:autoSpaceDE/>
                    <w:autoSpaceDN/>
                    <w:bidi w:val="0"/>
                    <w:adjustRightInd/>
                    <w:snapToGrid w:val="0"/>
                    <w:spacing w:line="240" w:lineRule="auto"/>
                    <w:ind w:left="163"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戈壁针茅</w:t>
                  </w:r>
                </w:p>
              </w:tc>
              <w:tc>
                <w:tcPr>
                  <w:tcW w:w="2930" w:type="pct"/>
                  <w:noWrap w:val="0"/>
                  <w:vAlign w:val="center"/>
                </w:tcPr>
                <w:p w14:paraId="5E9E1F32">
                  <w:pPr>
                    <w:keepNext w:val="0"/>
                    <w:keepLines w:val="0"/>
                    <w:pageBreakBefore w:val="0"/>
                    <w:widowControl w:val="0"/>
                    <w:kinsoku/>
                    <w:wordWrap/>
                    <w:overflowPunct/>
                    <w:topLinePunct w:val="0"/>
                    <w:autoSpaceDE/>
                    <w:autoSpaceDN/>
                    <w:bidi w:val="0"/>
                    <w:adjustRightInd/>
                    <w:snapToGrid w:val="0"/>
                    <w:spacing w:line="240" w:lineRule="auto"/>
                    <w:ind w:left="510" w:right="87"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Stipa gobica</w:t>
                  </w:r>
                </w:p>
              </w:tc>
            </w:tr>
            <w:tr w14:paraId="4805B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2FD38CAB">
                  <w:pPr>
                    <w:keepNext w:val="0"/>
                    <w:keepLines w:val="0"/>
                    <w:pageBreakBefore w:val="0"/>
                    <w:widowControl w:val="0"/>
                    <w:kinsoku/>
                    <w:wordWrap/>
                    <w:overflowPunct/>
                    <w:topLinePunct w:val="0"/>
                    <w:autoSpaceDE/>
                    <w:autoSpaceDN/>
                    <w:bidi w:val="0"/>
                    <w:adjustRightInd/>
                    <w:snapToGrid w:val="0"/>
                    <w:spacing w:line="240" w:lineRule="auto"/>
                    <w:ind w:left="106" w:leftChars="0" w:right="10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29</w:t>
                  </w:r>
                </w:p>
              </w:tc>
              <w:tc>
                <w:tcPr>
                  <w:tcW w:w="1268" w:type="pct"/>
                  <w:noWrap w:val="0"/>
                  <w:vAlign w:val="center"/>
                </w:tcPr>
                <w:p w14:paraId="26C952B4">
                  <w:pPr>
                    <w:keepNext w:val="0"/>
                    <w:keepLines w:val="0"/>
                    <w:pageBreakBefore w:val="0"/>
                    <w:widowControl w:val="0"/>
                    <w:kinsoku/>
                    <w:wordWrap/>
                    <w:overflowPunct/>
                    <w:topLinePunct w:val="0"/>
                    <w:autoSpaceDE/>
                    <w:autoSpaceDN/>
                    <w:bidi w:val="0"/>
                    <w:adjustRightInd/>
                    <w:snapToGrid w:val="0"/>
                    <w:spacing w:line="240" w:lineRule="auto"/>
                    <w:ind w:left="163"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糙隐子草</w:t>
                  </w:r>
                </w:p>
              </w:tc>
              <w:tc>
                <w:tcPr>
                  <w:tcW w:w="2930" w:type="pct"/>
                  <w:noWrap w:val="0"/>
                  <w:vAlign w:val="center"/>
                </w:tcPr>
                <w:p w14:paraId="2C4E6798">
                  <w:pPr>
                    <w:keepNext w:val="0"/>
                    <w:keepLines w:val="0"/>
                    <w:pageBreakBefore w:val="0"/>
                    <w:widowControl w:val="0"/>
                    <w:kinsoku/>
                    <w:wordWrap/>
                    <w:overflowPunct/>
                    <w:topLinePunct w:val="0"/>
                    <w:autoSpaceDE/>
                    <w:autoSpaceDN/>
                    <w:bidi w:val="0"/>
                    <w:adjustRightInd/>
                    <w:snapToGrid w:val="0"/>
                    <w:spacing w:line="240" w:lineRule="auto"/>
                    <w:ind w:left="509" w:right="89"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Cleistogenes squarrosa</w:t>
                  </w:r>
                </w:p>
              </w:tc>
            </w:tr>
            <w:tr w14:paraId="51907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0F87150A">
                  <w:pPr>
                    <w:keepNext w:val="0"/>
                    <w:keepLines w:val="0"/>
                    <w:pageBreakBefore w:val="0"/>
                    <w:widowControl w:val="0"/>
                    <w:kinsoku/>
                    <w:wordWrap/>
                    <w:overflowPunct/>
                    <w:topLinePunct w:val="0"/>
                    <w:autoSpaceDE/>
                    <w:autoSpaceDN/>
                    <w:bidi w:val="0"/>
                    <w:adjustRightInd/>
                    <w:snapToGrid w:val="0"/>
                    <w:spacing w:line="240" w:lineRule="auto"/>
                    <w:ind w:left="106" w:leftChars="0" w:right="10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30</w:t>
                  </w:r>
                </w:p>
              </w:tc>
              <w:tc>
                <w:tcPr>
                  <w:tcW w:w="1268" w:type="pct"/>
                  <w:noWrap w:val="0"/>
                  <w:vAlign w:val="center"/>
                </w:tcPr>
                <w:p w14:paraId="7F0C72AC">
                  <w:pPr>
                    <w:keepNext w:val="0"/>
                    <w:keepLines w:val="0"/>
                    <w:pageBreakBefore w:val="0"/>
                    <w:widowControl w:val="0"/>
                    <w:kinsoku/>
                    <w:wordWrap/>
                    <w:overflowPunct/>
                    <w:topLinePunct w:val="0"/>
                    <w:autoSpaceDE/>
                    <w:autoSpaceDN/>
                    <w:bidi w:val="0"/>
                    <w:adjustRightInd/>
                    <w:snapToGrid w:val="0"/>
                    <w:spacing w:line="240" w:lineRule="auto"/>
                    <w:ind w:left="163"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无芒隐子草</w:t>
                  </w:r>
                </w:p>
              </w:tc>
              <w:tc>
                <w:tcPr>
                  <w:tcW w:w="2930" w:type="pct"/>
                  <w:noWrap w:val="0"/>
                  <w:vAlign w:val="center"/>
                </w:tcPr>
                <w:p w14:paraId="5FC68D26">
                  <w:pPr>
                    <w:keepNext w:val="0"/>
                    <w:keepLines w:val="0"/>
                    <w:pageBreakBefore w:val="0"/>
                    <w:widowControl w:val="0"/>
                    <w:kinsoku/>
                    <w:wordWrap/>
                    <w:overflowPunct/>
                    <w:topLinePunct w:val="0"/>
                    <w:autoSpaceDE/>
                    <w:autoSpaceDN/>
                    <w:bidi w:val="0"/>
                    <w:adjustRightInd/>
                    <w:snapToGrid w:val="0"/>
                    <w:spacing w:line="240" w:lineRule="auto"/>
                    <w:ind w:left="510" w:right="8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Cleistogenes songorica</w:t>
                  </w:r>
                </w:p>
              </w:tc>
            </w:tr>
            <w:tr w14:paraId="7F03C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jc w:val="center"/>
              </w:trPr>
              <w:tc>
                <w:tcPr>
                  <w:tcW w:w="800" w:type="pct"/>
                  <w:noWrap w:val="0"/>
                  <w:vAlign w:val="center"/>
                </w:tcPr>
                <w:p w14:paraId="43865F55">
                  <w:pPr>
                    <w:keepNext w:val="0"/>
                    <w:keepLines w:val="0"/>
                    <w:pageBreakBefore w:val="0"/>
                    <w:widowControl w:val="0"/>
                    <w:kinsoku/>
                    <w:wordWrap/>
                    <w:overflowPunct/>
                    <w:topLinePunct w:val="0"/>
                    <w:autoSpaceDE/>
                    <w:autoSpaceDN/>
                    <w:bidi w:val="0"/>
                    <w:adjustRightInd/>
                    <w:snapToGrid w:val="0"/>
                    <w:spacing w:line="240" w:lineRule="auto"/>
                    <w:ind w:left="106" w:leftChars="0" w:right="10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31</w:t>
                  </w:r>
                </w:p>
              </w:tc>
              <w:tc>
                <w:tcPr>
                  <w:tcW w:w="1268" w:type="pct"/>
                  <w:noWrap w:val="0"/>
                  <w:vAlign w:val="center"/>
                </w:tcPr>
                <w:p w14:paraId="236692F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羊草</w:t>
                  </w:r>
                </w:p>
              </w:tc>
              <w:tc>
                <w:tcPr>
                  <w:tcW w:w="2930" w:type="pct"/>
                  <w:noWrap w:val="0"/>
                  <w:vAlign w:val="center"/>
                </w:tcPr>
                <w:p w14:paraId="54DCFF8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i/>
                      <w:iCs/>
                      <w:color w:val="auto"/>
                      <w:kern w:val="2"/>
                      <w:sz w:val="21"/>
                      <w:szCs w:val="21"/>
                      <w:highlight w:val="none"/>
                    </w:rPr>
                    <w:t>Leymus chinensis</w:t>
                  </w:r>
                </w:p>
              </w:tc>
            </w:tr>
            <w:tr w14:paraId="79082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00" w:type="pct"/>
                  <w:noWrap w:val="0"/>
                  <w:vAlign w:val="center"/>
                </w:tcPr>
                <w:p w14:paraId="65EDB5DD">
                  <w:pPr>
                    <w:keepNext w:val="0"/>
                    <w:keepLines w:val="0"/>
                    <w:pageBreakBefore w:val="0"/>
                    <w:widowControl w:val="0"/>
                    <w:kinsoku/>
                    <w:wordWrap/>
                    <w:overflowPunct/>
                    <w:topLinePunct w:val="0"/>
                    <w:autoSpaceDE/>
                    <w:autoSpaceDN/>
                    <w:bidi w:val="0"/>
                    <w:adjustRightInd/>
                    <w:snapToGrid w:val="0"/>
                    <w:spacing w:line="240" w:lineRule="auto"/>
                    <w:ind w:left="106" w:leftChars="0" w:right="10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32</w:t>
                  </w:r>
                </w:p>
              </w:tc>
              <w:tc>
                <w:tcPr>
                  <w:tcW w:w="1268" w:type="pct"/>
                  <w:noWrap w:val="0"/>
                  <w:vAlign w:val="center"/>
                </w:tcPr>
                <w:p w14:paraId="62E3610D">
                  <w:pPr>
                    <w:keepNext w:val="0"/>
                    <w:keepLines w:val="0"/>
                    <w:pageBreakBefore w:val="0"/>
                    <w:widowControl w:val="0"/>
                    <w:kinsoku/>
                    <w:wordWrap/>
                    <w:overflowPunct/>
                    <w:topLinePunct w:val="0"/>
                    <w:autoSpaceDE/>
                    <w:autoSpaceDN/>
                    <w:bidi w:val="0"/>
                    <w:adjustRightInd/>
                    <w:snapToGrid w:val="0"/>
                    <w:spacing w:line="240" w:lineRule="auto"/>
                    <w:ind w:left="165" w:right="156"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kern w:val="2"/>
                      <w:sz w:val="21"/>
                      <w:szCs w:val="21"/>
                      <w:highlight w:val="none"/>
                      <w:lang w:val="zh-CN" w:eastAsia="zh-CN" w:bidi="zh-CN"/>
                    </w:rPr>
                    <w:t>狗尾草</w:t>
                  </w:r>
                </w:p>
              </w:tc>
              <w:tc>
                <w:tcPr>
                  <w:tcW w:w="2930" w:type="pct"/>
                  <w:noWrap w:val="0"/>
                  <w:vAlign w:val="center"/>
                </w:tcPr>
                <w:p w14:paraId="5E4DCBA5">
                  <w:pPr>
                    <w:keepNext w:val="0"/>
                    <w:keepLines w:val="0"/>
                    <w:pageBreakBefore w:val="0"/>
                    <w:widowControl w:val="0"/>
                    <w:kinsoku/>
                    <w:wordWrap/>
                    <w:overflowPunct/>
                    <w:topLinePunct w:val="0"/>
                    <w:autoSpaceDE/>
                    <w:autoSpaceDN/>
                    <w:bidi w:val="0"/>
                    <w:adjustRightInd/>
                    <w:snapToGrid w:val="0"/>
                    <w:spacing w:line="240" w:lineRule="auto"/>
                    <w:ind w:left="510" w:right="84"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i/>
                      <w:color w:val="auto"/>
                      <w:kern w:val="2"/>
                      <w:sz w:val="21"/>
                      <w:szCs w:val="21"/>
                      <w:highlight w:val="none"/>
                      <w:lang w:val="zh-CN" w:eastAsia="zh-CN" w:bidi="zh-CN"/>
                    </w:rPr>
                    <w:t>Setaria viridis</w:t>
                  </w:r>
                </w:p>
              </w:tc>
            </w:tr>
          </w:tbl>
          <w:p w14:paraId="10222889">
            <w:pPr>
              <w:widowControl w:val="0"/>
              <w:spacing w:line="360" w:lineRule="auto"/>
              <w:ind w:firstLine="480"/>
              <w:outlineLvl w:val="3"/>
              <w:rPr>
                <w:rFonts w:hint="default" w:ascii="Times New Roman" w:hAnsi="Times New Roman" w:eastAsia="宋体" w:cs="Times New Roman"/>
                <w:b/>
                <w:bCs/>
                <w:color w:val="auto"/>
                <w:kern w:val="2"/>
                <w:sz w:val="24"/>
                <w:szCs w:val="28"/>
                <w:highlight w:val="none"/>
                <w:lang w:val="en-US" w:eastAsia="zh-CN"/>
              </w:rPr>
            </w:pPr>
            <w:bookmarkStart w:id="10" w:name="_Toc75194413"/>
            <w:bookmarkStart w:id="11" w:name="_Toc27344"/>
            <w:bookmarkStart w:id="12" w:name="_Toc12753"/>
            <w:bookmarkStart w:id="13" w:name="_Toc24430"/>
            <w:r>
              <w:rPr>
                <w:rFonts w:hint="default" w:ascii="Times New Roman" w:hAnsi="Times New Roman" w:eastAsia="宋体" w:cs="Times New Roman"/>
                <w:b/>
                <w:bCs/>
                <w:color w:val="auto"/>
                <w:kern w:val="2"/>
                <w:sz w:val="24"/>
                <w:szCs w:val="28"/>
                <w:highlight w:val="none"/>
                <w:lang w:val="en-US" w:eastAsia="zh-CN"/>
              </w:rPr>
              <w:t>3、动物资源现状</w:t>
            </w:r>
            <w:bookmarkEnd w:id="10"/>
            <w:bookmarkEnd w:id="11"/>
            <w:bookmarkEnd w:id="12"/>
            <w:bookmarkEnd w:id="13"/>
            <w:r>
              <w:rPr>
                <w:rFonts w:hint="default" w:ascii="Times New Roman" w:hAnsi="Times New Roman" w:eastAsia="宋体" w:cs="Times New Roman"/>
                <w:b/>
                <w:bCs/>
                <w:color w:val="auto"/>
                <w:kern w:val="2"/>
                <w:sz w:val="24"/>
                <w:szCs w:val="28"/>
                <w:highlight w:val="none"/>
                <w:lang w:val="en-US" w:eastAsia="zh-CN"/>
              </w:rPr>
              <w:t>调查</w:t>
            </w:r>
          </w:p>
          <w:p w14:paraId="42FE4B4A">
            <w:pPr>
              <w:widowControl w:val="0"/>
              <w:spacing w:line="360" w:lineRule="auto"/>
              <w:ind w:firstLine="480"/>
              <w:rPr>
                <w:rFonts w:hint="default" w:ascii="Times New Roman" w:hAnsi="Times New Roman" w:eastAsia="宋体" w:cs="Times New Roman"/>
                <w:color w:val="auto"/>
                <w:kern w:val="2"/>
                <w:sz w:val="24"/>
                <w:szCs w:val="28"/>
                <w:highlight w:val="none"/>
              </w:rPr>
            </w:pPr>
            <w:r>
              <w:rPr>
                <w:rFonts w:hint="default" w:ascii="Times New Roman" w:hAnsi="Times New Roman" w:eastAsia="宋体" w:cs="Times New Roman"/>
                <w:color w:val="auto"/>
                <w:kern w:val="2"/>
                <w:sz w:val="24"/>
                <w:szCs w:val="28"/>
                <w:highlight w:val="none"/>
                <w:lang w:eastAsia="zh-CN"/>
              </w:rPr>
              <w:t>通过资料收集、结合现场观察和访问，该区域生境条件较恶劣，尽管近年生态环境状况有所改善，但由于历史以来人为扰动较为严重，区域内野生动物的种类不多，数量不多。经过现场踏勘，</w:t>
            </w:r>
            <w:r>
              <w:rPr>
                <w:rFonts w:hint="default" w:ascii="Times New Roman" w:hAnsi="Times New Roman" w:eastAsia="宋体" w:cs="Times New Roman"/>
                <w:color w:val="auto"/>
                <w:kern w:val="2"/>
                <w:sz w:val="24"/>
                <w:szCs w:val="28"/>
                <w:highlight w:val="none"/>
                <w:lang w:val="en-US" w:eastAsia="zh-CN"/>
              </w:rPr>
              <w:t>评价</w:t>
            </w:r>
            <w:r>
              <w:rPr>
                <w:rFonts w:hint="default" w:ascii="Times New Roman" w:hAnsi="Times New Roman" w:eastAsia="宋体" w:cs="Times New Roman"/>
                <w:color w:val="auto"/>
                <w:kern w:val="2"/>
                <w:sz w:val="24"/>
                <w:szCs w:val="28"/>
                <w:highlight w:val="none"/>
                <w:lang w:eastAsia="zh-CN"/>
              </w:rPr>
              <w:t>区范围内偶能见到石鸡、刺猬等动物。对比《国家重点保护野生动物名录》《内蒙古自治区重点保护陆生野生动物名录》，本项目建设范围内未见国家及自治区级保护动物</w:t>
            </w:r>
            <w:r>
              <w:rPr>
                <w:rFonts w:hint="default" w:ascii="Times New Roman" w:hAnsi="Times New Roman" w:eastAsia="宋体" w:cs="Times New Roman"/>
                <w:color w:val="auto"/>
                <w:kern w:val="2"/>
                <w:sz w:val="24"/>
                <w:szCs w:val="28"/>
                <w:highlight w:val="none"/>
              </w:rPr>
              <w:t>。评价区常见野生动物名录见表</w:t>
            </w:r>
            <w:r>
              <w:rPr>
                <w:rFonts w:hint="default" w:ascii="Times New Roman" w:hAnsi="Times New Roman" w:eastAsia="宋体" w:cs="Times New Roman"/>
                <w:color w:val="auto"/>
                <w:kern w:val="2"/>
                <w:sz w:val="24"/>
                <w:szCs w:val="28"/>
                <w:highlight w:val="none"/>
                <w:lang w:val="en-US" w:eastAsia="zh-CN"/>
              </w:rPr>
              <w:t>3-6</w:t>
            </w:r>
            <w:r>
              <w:rPr>
                <w:rFonts w:hint="default" w:ascii="Times New Roman" w:hAnsi="Times New Roman" w:eastAsia="宋体" w:cs="Times New Roman"/>
                <w:color w:val="auto"/>
                <w:kern w:val="2"/>
                <w:sz w:val="24"/>
                <w:szCs w:val="28"/>
                <w:highlight w:val="none"/>
              </w:rPr>
              <w:t>。</w:t>
            </w:r>
          </w:p>
          <w:p w14:paraId="4841B542">
            <w:pPr>
              <w:widowControl w:val="0"/>
              <w:spacing w:line="240" w:lineRule="auto"/>
              <w:ind w:firstLine="482" w:firstLineChars="200"/>
              <w:jc w:val="center"/>
              <w:rPr>
                <w:rFonts w:hint="default" w:ascii="Times New Roman" w:hAnsi="Times New Roman" w:eastAsia="宋体" w:cs="Times New Roman"/>
                <w:b/>
                <w:bCs/>
                <w:color w:val="auto"/>
                <w:kern w:val="2"/>
                <w:sz w:val="24"/>
                <w:szCs w:val="24"/>
                <w:highlight w:val="none"/>
                <w:lang w:val="zh-CN"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表3-6 </w:t>
            </w:r>
            <w:r>
              <w:rPr>
                <w:rFonts w:hint="default" w:ascii="Times New Roman" w:hAnsi="Times New Roman" w:eastAsia="宋体" w:cs="Times New Roman"/>
                <w:b/>
                <w:bCs/>
                <w:color w:val="auto"/>
                <w:kern w:val="2"/>
                <w:sz w:val="24"/>
                <w:szCs w:val="24"/>
                <w:highlight w:val="none"/>
                <w:lang w:val="zh-CN" w:eastAsia="zh-CN" w:bidi="ar-SA"/>
              </w:rPr>
              <w:t>项目所在地常见动物名录表</w:t>
            </w:r>
          </w:p>
          <w:tbl>
            <w:tblPr>
              <w:tblStyle w:val="25"/>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6"/>
              <w:gridCol w:w="1480"/>
              <w:gridCol w:w="227"/>
              <w:gridCol w:w="3633"/>
              <w:gridCol w:w="1747"/>
            </w:tblGrid>
            <w:tr w14:paraId="4B34D0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1" w:hRule="atLeast"/>
                <w:jc w:val="center"/>
              </w:trPr>
              <w:tc>
                <w:tcPr>
                  <w:tcW w:w="550" w:type="pct"/>
                  <w:tcBorders>
                    <w:tl2br w:val="nil"/>
                    <w:tr2bl w:val="nil"/>
                  </w:tcBorders>
                  <w:noWrap w:val="0"/>
                  <w:vAlign w:val="center"/>
                </w:tcPr>
                <w:p w14:paraId="7C339C04">
                  <w:pPr>
                    <w:keepNext w:val="0"/>
                    <w:keepLines w:val="0"/>
                    <w:pageBreakBefore w:val="0"/>
                    <w:widowControl w:val="0"/>
                    <w:kinsoku/>
                    <w:wordWrap/>
                    <w:overflowPunct/>
                    <w:topLinePunct w:val="0"/>
                    <w:autoSpaceDE w:val="0"/>
                    <w:autoSpaceDN w:val="0"/>
                    <w:bidi w:val="0"/>
                    <w:adjustRightInd/>
                    <w:snapToGrid w:val="0"/>
                    <w:spacing w:line="240" w:lineRule="auto"/>
                    <w:ind w:right="26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序号</w:t>
                  </w:r>
                </w:p>
              </w:tc>
              <w:tc>
                <w:tcPr>
                  <w:tcW w:w="929" w:type="pct"/>
                  <w:tcBorders>
                    <w:tl2br w:val="nil"/>
                    <w:tr2bl w:val="nil"/>
                  </w:tcBorders>
                  <w:noWrap w:val="0"/>
                  <w:vAlign w:val="center"/>
                </w:tcPr>
                <w:p w14:paraId="486D2628">
                  <w:pPr>
                    <w:keepNext w:val="0"/>
                    <w:keepLines w:val="0"/>
                    <w:pageBreakBefore w:val="0"/>
                    <w:widowControl w:val="0"/>
                    <w:kinsoku/>
                    <w:wordWrap/>
                    <w:overflowPunct/>
                    <w:topLinePunct w:val="0"/>
                    <w:autoSpaceDE w:val="0"/>
                    <w:autoSpaceDN w:val="0"/>
                    <w:bidi w:val="0"/>
                    <w:adjustRightInd/>
                    <w:snapToGrid w:val="0"/>
                    <w:spacing w:line="240" w:lineRule="auto"/>
                    <w:ind w:left="496"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中文名</w:t>
                  </w:r>
                </w:p>
              </w:tc>
              <w:tc>
                <w:tcPr>
                  <w:tcW w:w="2423" w:type="pct"/>
                  <w:gridSpan w:val="2"/>
                  <w:tcBorders>
                    <w:tl2br w:val="nil"/>
                    <w:tr2bl w:val="nil"/>
                  </w:tcBorders>
                  <w:noWrap w:val="0"/>
                  <w:vAlign w:val="center"/>
                </w:tcPr>
                <w:p w14:paraId="6F19CEBE">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学名</w:t>
                  </w:r>
                </w:p>
              </w:tc>
              <w:tc>
                <w:tcPr>
                  <w:tcW w:w="1097" w:type="pct"/>
                  <w:tcBorders>
                    <w:tl2br w:val="nil"/>
                    <w:tr2bl w:val="nil"/>
                  </w:tcBorders>
                  <w:noWrap w:val="0"/>
                  <w:vAlign w:val="center"/>
                </w:tcPr>
                <w:p w14:paraId="6D8229EC">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分布生境类型</w:t>
                  </w:r>
                </w:p>
              </w:tc>
            </w:tr>
            <w:tr w14:paraId="538A45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5000" w:type="pct"/>
                  <w:gridSpan w:val="5"/>
                  <w:tcBorders>
                    <w:tl2br w:val="nil"/>
                    <w:tr2bl w:val="nil"/>
                  </w:tcBorders>
                  <w:noWrap w:val="0"/>
                  <w:vAlign w:val="center"/>
                </w:tcPr>
                <w:p w14:paraId="19FD5255">
                  <w:pPr>
                    <w:keepNext w:val="0"/>
                    <w:keepLines w:val="0"/>
                    <w:pageBreakBefore w:val="0"/>
                    <w:widowControl w:val="0"/>
                    <w:kinsoku/>
                    <w:wordWrap/>
                    <w:overflowPunct/>
                    <w:topLinePunct w:val="0"/>
                    <w:autoSpaceDE w:val="0"/>
                    <w:autoSpaceDN w:val="0"/>
                    <w:bidi w:val="0"/>
                    <w:adjustRightInd/>
                    <w:snapToGrid w:val="0"/>
                    <w:spacing w:line="240" w:lineRule="auto"/>
                    <w:ind w:left="2876" w:right="2866"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 xml:space="preserve">一、爬行纲 </w:t>
                  </w:r>
                  <w:r>
                    <w:rPr>
                      <w:rFonts w:hint="default" w:ascii="Times New Roman" w:hAnsi="Times New Roman" w:eastAsia="宋体" w:cs="Times New Roman"/>
                      <w:i/>
                      <w:iCs/>
                      <w:color w:val="auto"/>
                      <w:kern w:val="0"/>
                      <w:sz w:val="21"/>
                      <w:szCs w:val="24"/>
                      <w:highlight w:val="none"/>
                      <w:lang w:val="zh-CN" w:eastAsia="zh-CN" w:bidi="zh-CN"/>
                    </w:rPr>
                    <w:t>REPTILIA</w:t>
                  </w:r>
                </w:p>
              </w:tc>
            </w:tr>
            <w:tr w14:paraId="4A5588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000" w:type="pct"/>
                  <w:gridSpan w:val="5"/>
                  <w:tcBorders>
                    <w:tl2br w:val="nil"/>
                    <w:tr2bl w:val="nil"/>
                  </w:tcBorders>
                  <w:noWrap w:val="0"/>
                  <w:vAlign w:val="center"/>
                </w:tcPr>
                <w:p w14:paraId="7B5CDDFF">
                  <w:pPr>
                    <w:keepNext w:val="0"/>
                    <w:keepLines w:val="0"/>
                    <w:pageBreakBefore w:val="0"/>
                    <w:widowControl w:val="0"/>
                    <w:kinsoku/>
                    <w:wordWrap/>
                    <w:overflowPunct/>
                    <w:topLinePunct w:val="0"/>
                    <w:autoSpaceDE w:val="0"/>
                    <w:autoSpaceDN w:val="0"/>
                    <w:bidi w:val="0"/>
                    <w:adjustRightInd/>
                    <w:snapToGrid w:val="0"/>
                    <w:spacing w:line="240" w:lineRule="auto"/>
                    <w:ind w:left="2876" w:right="2864"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 xml:space="preserve">（1）有鳞目 </w:t>
                  </w:r>
                  <w:r>
                    <w:rPr>
                      <w:rFonts w:hint="default" w:ascii="Times New Roman" w:hAnsi="Times New Roman" w:eastAsia="宋体" w:cs="Times New Roman"/>
                      <w:i/>
                      <w:iCs/>
                      <w:color w:val="auto"/>
                      <w:kern w:val="0"/>
                      <w:sz w:val="21"/>
                      <w:szCs w:val="24"/>
                      <w:highlight w:val="none"/>
                      <w:lang w:val="zh-CN" w:eastAsia="zh-CN" w:bidi="zh-CN"/>
                    </w:rPr>
                    <w:t>SQUAMATA</w:t>
                  </w:r>
                </w:p>
              </w:tc>
            </w:tr>
            <w:tr w14:paraId="6FEC89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50" w:type="pct"/>
                  <w:tcBorders>
                    <w:tl2br w:val="nil"/>
                    <w:tr2bl w:val="nil"/>
                  </w:tcBorders>
                  <w:noWrap w:val="0"/>
                  <w:vAlign w:val="center"/>
                </w:tcPr>
                <w:p w14:paraId="31DF3B7B">
                  <w:pPr>
                    <w:keepNext w:val="0"/>
                    <w:keepLines w:val="0"/>
                    <w:pageBreakBefore w:val="0"/>
                    <w:widowControl w:val="0"/>
                    <w:kinsoku/>
                    <w:wordWrap/>
                    <w:overflowPunct/>
                    <w:topLinePunct w:val="0"/>
                    <w:autoSpaceDE w:val="0"/>
                    <w:autoSpaceDN w:val="0"/>
                    <w:bidi w:val="0"/>
                    <w:adjustRightInd/>
                    <w:snapToGrid w:val="0"/>
                    <w:spacing w:line="240" w:lineRule="auto"/>
                    <w:ind w:right="21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1</w:t>
                  </w:r>
                </w:p>
              </w:tc>
              <w:tc>
                <w:tcPr>
                  <w:tcW w:w="1071" w:type="pct"/>
                  <w:gridSpan w:val="2"/>
                  <w:tcBorders>
                    <w:tl2br w:val="nil"/>
                    <w:tr2bl w:val="nil"/>
                  </w:tcBorders>
                  <w:noWrap w:val="0"/>
                  <w:vAlign w:val="center"/>
                </w:tcPr>
                <w:p w14:paraId="4411849A">
                  <w:pPr>
                    <w:keepNext w:val="0"/>
                    <w:keepLines w:val="0"/>
                    <w:pageBreakBefore w:val="0"/>
                    <w:widowControl w:val="0"/>
                    <w:kinsoku/>
                    <w:wordWrap/>
                    <w:overflowPunct/>
                    <w:topLinePunct w:val="0"/>
                    <w:autoSpaceDE w:val="0"/>
                    <w:autoSpaceDN w:val="0"/>
                    <w:bidi w:val="0"/>
                    <w:adjustRightInd/>
                    <w:snapToGrid w:val="0"/>
                    <w:spacing w:line="240" w:lineRule="auto"/>
                    <w:ind w:left="515" w:firstLine="0" w:firstLineChars="0"/>
                    <w:jc w:val="both"/>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en-US" w:eastAsia="zh-CN" w:bidi="zh-CN"/>
                    </w:rPr>
                    <w:t>草原</w:t>
                  </w:r>
                  <w:r>
                    <w:rPr>
                      <w:rFonts w:hint="default" w:ascii="Times New Roman" w:hAnsi="Times New Roman" w:eastAsia="宋体" w:cs="Times New Roman"/>
                      <w:color w:val="auto"/>
                      <w:kern w:val="0"/>
                      <w:sz w:val="21"/>
                      <w:szCs w:val="24"/>
                      <w:highlight w:val="none"/>
                      <w:lang w:val="zh-CN" w:eastAsia="zh-CN" w:bidi="zh-CN"/>
                    </w:rPr>
                    <w:t>沙蜥</w:t>
                  </w:r>
                </w:p>
              </w:tc>
              <w:tc>
                <w:tcPr>
                  <w:tcW w:w="2281" w:type="pct"/>
                  <w:tcBorders>
                    <w:tl2br w:val="nil"/>
                    <w:tr2bl w:val="nil"/>
                  </w:tcBorders>
                  <w:noWrap w:val="0"/>
                  <w:vAlign w:val="center"/>
                </w:tcPr>
                <w:p w14:paraId="12D479B2">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i/>
                      <w:iCs/>
                      <w:color w:val="auto"/>
                      <w:kern w:val="0"/>
                      <w:sz w:val="21"/>
                      <w:szCs w:val="24"/>
                      <w:highlight w:val="none"/>
                      <w:lang w:val="zh-CN" w:eastAsia="zh-CN" w:bidi="zh-CN"/>
                    </w:rPr>
                  </w:pPr>
                  <w:r>
                    <w:rPr>
                      <w:rFonts w:hint="default" w:ascii="Times New Roman" w:hAnsi="Times New Roman" w:eastAsia="宋体" w:cs="Times New Roman"/>
                      <w:i/>
                      <w:iCs/>
                      <w:color w:val="auto"/>
                      <w:kern w:val="0"/>
                      <w:sz w:val="21"/>
                      <w:szCs w:val="24"/>
                      <w:highlight w:val="none"/>
                      <w:lang w:val="zh-CN" w:eastAsia="zh-CN" w:bidi="zh-CN"/>
                    </w:rPr>
                    <w:t>Phrynocephalus przewalskii</w:t>
                  </w:r>
                </w:p>
              </w:tc>
              <w:tc>
                <w:tcPr>
                  <w:tcW w:w="1097" w:type="pct"/>
                  <w:tcBorders>
                    <w:tl2br w:val="nil"/>
                    <w:tr2bl w:val="nil"/>
                  </w:tcBorders>
                  <w:noWrap w:val="0"/>
                  <w:vAlign w:val="center"/>
                </w:tcPr>
                <w:p w14:paraId="48790952">
                  <w:pPr>
                    <w:keepNext w:val="0"/>
                    <w:keepLines w:val="0"/>
                    <w:pageBreakBefore w:val="0"/>
                    <w:widowControl w:val="0"/>
                    <w:kinsoku/>
                    <w:wordWrap/>
                    <w:overflowPunct/>
                    <w:topLinePunct w:val="0"/>
                    <w:bidi w:val="0"/>
                    <w:adjustRightInd/>
                    <w:snapToGrid w:val="0"/>
                    <w:spacing w:line="240" w:lineRule="auto"/>
                    <w:ind w:left="210" w:right="195"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76E4FF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550" w:type="pct"/>
                  <w:tcBorders>
                    <w:tl2br w:val="nil"/>
                    <w:tr2bl w:val="nil"/>
                  </w:tcBorders>
                  <w:noWrap w:val="0"/>
                  <w:vAlign w:val="center"/>
                </w:tcPr>
                <w:p w14:paraId="02DC604A">
                  <w:pPr>
                    <w:keepNext w:val="0"/>
                    <w:keepLines w:val="0"/>
                    <w:pageBreakBefore w:val="0"/>
                    <w:widowControl w:val="0"/>
                    <w:kinsoku/>
                    <w:wordWrap/>
                    <w:overflowPunct/>
                    <w:topLinePunct w:val="0"/>
                    <w:autoSpaceDE w:val="0"/>
                    <w:autoSpaceDN w:val="0"/>
                    <w:bidi w:val="0"/>
                    <w:adjustRightInd/>
                    <w:snapToGrid w:val="0"/>
                    <w:spacing w:line="240" w:lineRule="auto"/>
                    <w:ind w:right="21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2</w:t>
                  </w:r>
                </w:p>
              </w:tc>
              <w:tc>
                <w:tcPr>
                  <w:tcW w:w="1071" w:type="pct"/>
                  <w:gridSpan w:val="2"/>
                  <w:tcBorders>
                    <w:tl2br w:val="nil"/>
                    <w:tr2bl w:val="nil"/>
                  </w:tcBorders>
                  <w:noWrap w:val="0"/>
                  <w:vAlign w:val="center"/>
                </w:tcPr>
                <w:p w14:paraId="73B057A3">
                  <w:pPr>
                    <w:keepNext w:val="0"/>
                    <w:keepLines w:val="0"/>
                    <w:pageBreakBefore w:val="0"/>
                    <w:widowControl w:val="0"/>
                    <w:kinsoku/>
                    <w:wordWrap/>
                    <w:overflowPunct/>
                    <w:topLinePunct w:val="0"/>
                    <w:autoSpaceDE w:val="0"/>
                    <w:autoSpaceDN w:val="0"/>
                    <w:bidi w:val="0"/>
                    <w:adjustRightInd/>
                    <w:snapToGrid w:val="0"/>
                    <w:spacing w:line="240" w:lineRule="auto"/>
                    <w:ind w:left="515" w:firstLine="0" w:firstLineChars="0"/>
                    <w:jc w:val="both"/>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荒漠麻蜥</w:t>
                  </w:r>
                </w:p>
              </w:tc>
              <w:tc>
                <w:tcPr>
                  <w:tcW w:w="2281" w:type="pct"/>
                  <w:tcBorders>
                    <w:tl2br w:val="nil"/>
                    <w:tr2bl w:val="nil"/>
                  </w:tcBorders>
                  <w:noWrap w:val="0"/>
                  <w:vAlign w:val="center"/>
                </w:tcPr>
                <w:p w14:paraId="357CDCFA">
                  <w:pPr>
                    <w:keepNext w:val="0"/>
                    <w:keepLines w:val="0"/>
                    <w:pageBreakBefore w:val="0"/>
                    <w:widowControl w:val="0"/>
                    <w:kinsoku/>
                    <w:wordWrap/>
                    <w:overflowPunct/>
                    <w:topLinePunct w:val="0"/>
                    <w:autoSpaceDE w:val="0"/>
                    <w:autoSpaceDN w:val="0"/>
                    <w:bidi w:val="0"/>
                    <w:adjustRightInd/>
                    <w:snapToGrid w:val="0"/>
                    <w:spacing w:line="240" w:lineRule="auto"/>
                    <w:ind w:left="871" w:right="861"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Eremias przewalskii</w:t>
                  </w:r>
                </w:p>
              </w:tc>
              <w:tc>
                <w:tcPr>
                  <w:tcW w:w="1097" w:type="pct"/>
                  <w:tcBorders>
                    <w:tl2br w:val="nil"/>
                    <w:tr2bl w:val="nil"/>
                  </w:tcBorders>
                  <w:noWrap w:val="0"/>
                  <w:vAlign w:val="center"/>
                </w:tcPr>
                <w:p w14:paraId="76261595">
                  <w:pPr>
                    <w:keepNext w:val="0"/>
                    <w:keepLines w:val="0"/>
                    <w:pageBreakBefore w:val="0"/>
                    <w:widowControl w:val="0"/>
                    <w:kinsoku/>
                    <w:wordWrap/>
                    <w:overflowPunct/>
                    <w:topLinePunct w:val="0"/>
                    <w:bidi w:val="0"/>
                    <w:adjustRightInd/>
                    <w:snapToGrid w:val="0"/>
                    <w:spacing w:line="240" w:lineRule="auto"/>
                    <w:ind w:left="210" w:right="195"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448051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000" w:type="pct"/>
                  <w:gridSpan w:val="5"/>
                  <w:tcBorders>
                    <w:tl2br w:val="nil"/>
                    <w:tr2bl w:val="nil"/>
                  </w:tcBorders>
                  <w:noWrap w:val="0"/>
                  <w:vAlign w:val="center"/>
                </w:tcPr>
                <w:p w14:paraId="26E58E35">
                  <w:pPr>
                    <w:keepNext w:val="0"/>
                    <w:keepLines w:val="0"/>
                    <w:pageBreakBefore w:val="0"/>
                    <w:widowControl w:val="0"/>
                    <w:kinsoku/>
                    <w:wordWrap/>
                    <w:overflowPunct/>
                    <w:topLinePunct w:val="0"/>
                    <w:autoSpaceDE w:val="0"/>
                    <w:autoSpaceDN w:val="0"/>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18"/>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二、</w:t>
                  </w:r>
                  <w:r>
                    <w:rPr>
                      <w:rFonts w:hint="default" w:ascii="Times New Roman" w:hAnsi="Times New Roman" w:eastAsia="宋体" w:cs="Times New Roman"/>
                      <w:color w:val="auto"/>
                      <w:kern w:val="0"/>
                      <w:sz w:val="21"/>
                      <w:szCs w:val="24"/>
                      <w:highlight w:val="none"/>
                      <w:lang w:val="en-US" w:eastAsia="zh-CN" w:bidi="zh-CN"/>
                    </w:rPr>
                    <w:t>鸟纲</w:t>
                  </w:r>
                  <w:r>
                    <w:rPr>
                      <w:rFonts w:hint="default" w:ascii="Times New Roman" w:hAnsi="Times New Roman" w:eastAsia="宋体" w:cs="Times New Roman"/>
                      <w:i/>
                      <w:iCs/>
                      <w:color w:val="auto"/>
                      <w:kern w:val="0"/>
                      <w:sz w:val="21"/>
                      <w:szCs w:val="24"/>
                      <w:highlight w:val="none"/>
                      <w:lang w:val="en-US" w:eastAsia="zh-CN" w:bidi="zh-CN"/>
                    </w:rPr>
                    <w:t xml:space="preserve"> </w:t>
                  </w:r>
                  <w:r>
                    <w:rPr>
                      <w:rFonts w:hint="default" w:ascii="Times New Roman" w:hAnsi="Times New Roman" w:eastAsia="宋体" w:cs="Times New Roman"/>
                      <w:i/>
                      <w:iCs/>
                      <w:color w:val="auto"/>
                      <w:kern w:val="0"/>
                      <w:sz w:val="21"/>
                      <w:szCs w:val="24"/>
                      <w:highlight w:val="none"/>
                      <w:lang w:val="zh-CN" w:eastAsia="zh-CN" w:bidi="zh-CN"/>
                    </w:rPr>
                    <w:t>AVES</w:t>
                  </w:r>
                </w:p>
              </w:tc>
            </w:tr>
            <w:tr w14:paraId="19A66F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5000" w:type="pct"/>
                  <w:gridSpan w:val="5"/>
                  <w:tcBorders>
                    <w:tl2br w:val="nil"/>
                    <w:tr2bl w:val="nil"/>
                  </w:tcBorders>
                  <w:noWrap w:val="0"/>
                  <w:vAlign w:val="center"/>
                </w:tcPr>
                <w:p w14:paraId="1AD41309">
                  <w:pPr>
                    <w:keepNext w:val="0"/>
                    <w:keepLines w:val="0"/>
                    <w:pageBreakBefore w:val="0"/>
                    <w:widowControl w:val="0"/>
                    <w:kinsoku/>
                    <w:wordWrap/>
                    <w:overflowPunct/>
                    <w:topLinePunct w:val="0"/>
                    <w:autoSpaceDE w:val="0"/>
                    <w:autoSpaceDN w:val="0"/>
                    <w:bidi w:val="0"/>
                    <w:adjustRightInd/>
                    <w:snapToGrid w:val="0"/>
                    <w:spacing w:line="240" w:lineRule="auto"/>
                    <w:ind w:left="2876" w:right="2864"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（2）鸡形目</w:t>
                  </w:r>
                  <w:r>
                    <w:rPr>
                      <w:rFonts w:hint="default" w:ascii="Times New Roman" w:hAnsi="Times New Roman" w:eastAsia="宋体" w:cs="Times New Roman"/>
                      <w:color w:val="auto"/>
                      <w:kern w:val="0"/>
                      <w:sz w:val="21"/>
                      <w:szCs w:val="24"/>
                      <w:highlight w:val="none"/>
                      <w:lang w:val="en-US" w:eastAsia="zh-CN" w:bidi="zh-CN"/>
                    </w:rPr>
                    <w:t xml:space="preserve"> </w:t>
                  </w:r>
                  <w:r>
                    <w:rPr>
                      <w:rFonts w:hint="default" w:ascii="Times New Roman" w:hAnsi="Times New Roman" w:eastAsia="宋体" w:cs="Times New Roman"/>
                      <w:i/>
                      <w:iCs/>
                      <w:color w:val="auto"/>
                      <w:kern w:val="0"/>
                      <w:sz w:val="21"/>
                      <w:szCs w:val="24"/>
                      <w:highlight w:val="none"/>
                      <w:lang w:val="zh-CN" w:eastAsia="zh-CN" w:bidi="zh-CN"/>
                    </w:rPr>
                    <w:t>GALLIFORMES</w:t>
                  </w:r>
                </w:p>
              </w:tc>
            </w:tr>
            <w:tr w14:paraId="1A0F31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50" w:type="pct"/>
                  <w:tcBorders>
                    <w:tl2br w:val="nil"/>
                    <w:tr2bl w:val="nil"/>
                  </w:tcBorders>
                  <w:noWrap w:val="0"/>
                  <w:vAlign w:val="center"/>
                </w:tcPr>
                <w:p w14:paraId="54CF0767">
                  <w:pPr>
                    <w:keepNext w:val="0"/>
                    <w:keepLines w:val="0"/>
                    <w:pageBreakBefore w:val="0"/>
                    <w:widowControl w:val="0"/>
                    <w:kinsoku/>
                    <w:wordWrap/>
                    <w:overflowPunct/>
                    <w:topLinePunct w:val="0"/>
                    <w:autoSpaceDE w:val="0"/>
                    <w:autoSpaceDN w:val="0"/>
                    <w:bidi w:val="0"/>
                    <w:adjustRightInd/>
                    <w:snapToGrid w:val="0"/>
                    <w:spacing w:line="240" w:lineRule="auto"/>
                    <w:ind w:right="21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3</w:t>
                  </w:r>
                </w:p>
              </w:tc>
              <w:tc>
                <w:tcPr>
                  <w:tcW w:w="1071" w:type="pct"/>
                  <w:gridSpan w:val="2"/>
                  <w:tcBorders>
                    <w:tl2br w:val="nil"/>
                    <w:tr2bl w:val="nil"/>
                  </w:tcBorders>
                  <w:noWrap w:val="0"/>
                  <w:vAlign w:val="center"/>
                </w:tcPr>
                <w:p w14:paraId="666625B5">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石鸡</w:t>
                  </w:r>
                </w:p>
              </w:tc>
              <w:tc>
                <w:tcPr>
                  <w:tcW w:w="2281" w:type="pct"/>
                  <w:tcBorders>
                    <w:tl2br w:val="nil"/>
                    <w:tr2bl w:val="nil"/>
                  </w:tcBorders>
                  <w:noWrap w:val="0"/>
                  <w:vAlign w:val="center"/>
                </w:tcPr>
                <w:p w14:paraId="1C04FFBC">
                  <w:pPr>
                    <w:keepNext w:val="0"/>
                    <w:keepLines w:val="0"/>
                    <w:pageBreakBefore w:val="0"/>
                    <w:widowControl w:val="0"/>
                    <w:kinsoku/>
                    <w:wordWrap/>
                    <w:overflowPunct/>
                    <w:topLinePunct w:val="0"/>
                    <w:autoSpaceDE w:val="0"/>
                    <w:autoSpaceDN w:val="0"/>
                    <w:bidi w:val="0"/>
                    <w:adjustRightInd/>
                    <w:snapToGrid w:val="0"/>
                    <w:spacing w:line="240" w:lineRule="auto"/>
                    <w:ind w:left="871" w:right="859"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Alectoris graeca</w:t>
                  </w:r>
                </w:p>
              </w:tc>
              <w:tc>
                <w:tcPr>
                  <w:tcW w:w="1097" w:type="pct"/>
                  <w:tcBorders>
                    <w:tl2br w:val="nil"/>
                    <w:tr2bl w:val="nil"/>
                  </w:tcBorders>
                  <w:noWrap w:val="0"/>
                  <w:vAlign w:val="center"/>
                </w:tcPr>
                <w:p w14:paraId="53A89692">
                  <w:pPr>
                    <w:keepNext w:val="0"/>
                    <w:keepLines w:val="0"/>
                    <w:pageBreakBefore w:val="0"/>
                    <w:widowControl w:val="0"/>
                    <w:kinsoku/>
                    <w:wordWrap/>
                    <w:overflowPunct/>
                    <w:topLinePunct w:val="0"/>
                    <w:bidi w:val="0"/>
                    <w:adjustRightInd/>
                    <w:snapToGrid w:val="0"/>
                    <w:spacing w:line="240" w:lineRule="auto"/>
                    <w:ind w:left="210" w:right="195"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17C14A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50" w:type="pct"/>
                  <w:tcBorders>
                    <w:tl2br w:val="nil"/>
                    <w:tr2bl w:val="nil"/>
                  </w:tcBorders>
                  <w:noWrap w:val="0"/>
                  <w:vAlign w:val="center"/>
                </w:tcPr>
                <w:p w14:paraId="0103F1CC">
                  <w:pPr>
                    <w:keepNext w:val="0"/>
                    <w:keepLines w:val="0"/>
                    <w:pageBreakBefore w:val="0"/>
                    <w:widowControl w:val="0"/>
                    <w:kinsoku/>
                    <w:wordWrap/>
                    <w:overflowPunct/>
                    <w:topLinePunct w:val="0"/>
                    <w:autoSpaceDE w:val="0"/>
                    <w:autoSpaceDN w:val="0"/>
                    <w:bidi w:val="0"/>
                    <w:adjustRightInd/>
                    <w:snapToGrid w:val="0"/>
                    <w:spacing w:line="240" w:lineRule="auto"/>
                    <w:ind w:right="21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4</w:t>
                  </w:r>
                </w:p>
              </w:tc>
              <w:tc>
                <w:tcPr>
                  <w:tcW w:w="1071" w:type="pct"/>
                  <w:gridSpan w:val="2"/>
                  <w:tcBorders>
                    <w:tl2br w:val="nil"/>
                    <w:tr2bl w:val="nil"/>
                  </w:tcBorders>
                  <w:noWrap w:val="0"/>
                  <w:vAlign w:val="center"/>
                </w:tcPr>
                <w:p w14:paraId="745268D0">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雉鸡</w:t>
                  </w:r>
                </w:p>
              </w:tc>
              <w:tc>
                <w:tcPr>
                  <w:tcW w:w="2281" w:type="pct"/>
                  <w:tcBorders>
                    <w:tl2br w:val="nil"/>
                    <w:tr2bl w:val="nil"/>
                  </w:tcBorders>
                  <w:noWrap w:val="0"/>
                  <w:vAlign w:val="center"/>
                </w:tcPr>
                <w:p w14:paraId="7CBCE6B8">
                  <w:pPr>
                    <w:keepNext w:val="0"/>
                    <w:keepLines w:val="0"/>
                    <w:pageBreakBefore w:val="0"/>
                    <w:widowControl w:val="0"/>
                    <w:kinsoku/>
                    <w:wordWrap/>
                    <w:overflowPunct/>
                    <w:topLinePunct w:val="0"/>
                    <w:autoSpaceDE w:val="0"/>
                    <w:autoSpaceDN w:val="0"/>
                    <w:bidi w:val="0"/>
                    <w:adjustRightInd/>
                    <w:snapToGrid w:val="0"/>
                    <w:spacing w:line="240" w:lineRule="auto"/>
                    <w:ind w:left="871" w:right="859"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Phasianus colchicus</w:t>
                  </w:r>
                </w:p>
              </w:tc>
              <w:tc>
                <w:tcPr>
                  <w:tcW w:w="1097" w:type="pct"/>
                  <w:tcBorders>
                    <w:tl2br w:val="nil"/>
                    <w:tr2bl w:val="nil"/>
                  </w:tcBorders>
                  <w:noWrap w:val="0"/>
                  <w:vAlign w:val="center"/>
                </w:tcPr>
                <w:p w14:paraId="7E6B5D76">
                  <w:pPr>
                    <w:keepNext w:val="0"/>
                    <w:keepLines w:val="0"/>
                    <w:pageBreakBefore w:val="0"/>
                    <w:widowControl w:val="0"/>
                    <w:kinsoku/>
                    <w:wordWrap/>
                    <w:overflowPunct/>
                    <w:topLinePunct w:val="0"/>
                    <w:bidi w:val="0"/>
                    <w:adjustRightInd/>
                    <w:snapToGrid w:val="0"/>
                    <w:spacing w:line="240" w:lineRule="auto"/>
                    <w:ind w:left="210" w:right="195"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7A1EAE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5000" w:type="pct"/>
                  <w:gridSpan w:val="5"/>
                  <w:tcBorders>
                    <w:tl2br w:val="nil"/>
                    <w:tr2bl w:val="nil"/>
                  </w:tcBorders>
                  <w:noWrap w:val="0"/>
                  <w:vAlign w:val="center"/>
                </w:tcPr>
                <w:p w14:paraId="047DCE95">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（3）鸽形</w:t>
                  </w:r>
                  <w:r>
                    <w:rPr>
                      <w:rFonts w:hint="default" w:ascii="Times New Roman" w:hAnsi="Times New Roman" w:eastAsia="宋体" w:cs="Times New Roman"/>
                      <w:color w:val="auto"/>
                      <w:kern w:val="0"/>
                      <w:sz w:val="21"/>
                      <w:szCs w:val="24"/>
                      <w:highlight w:val="none"/>
                      <w:lang w:val="en-US" w:eastAsia="zh-CN" w:bidi="zh-CN"/>
                    </w:rPr>
                    <w:t xml:space="preserve">目 </w:t>
                  </w:r>
                  <w:r>
                    <w:rPr>
                      <w:rFonts w:hint="default" w:ascii="Times New Roman" w:hAnsi="Times New Roman" w:eastAsia="宋体" w:cs="Times New Roman"/>
                      <w:i/>
                      <w:iCs/>
                      <w:color w:val="auto"/>
                      <w:kern w:val="0"/>
                      <w:sz w:val="21"/>
                      <w:szCs w:val="24"/>
                      <w:highlight w:val="none"/>
                      <w:lang w:val="zh-CN" w:eastAsia="zh-CN" w:bidi="zh-CN"/>
                    </w:rPr>
                    <w:t>COLUMIFORME</w:t>
                  </w:r>
                  <w:r>
                    <w:rPr>
                      <w:rFonts w:hint="default" w:ascii="Times New Roman" w:hAnsi="Times New Roman" w:eastAsia="宋体" w:cs="Times New Roman"/>
                      <w:color w:val="auto"/>
                      <w:kern w:val="0"/>
                      <w:sz w:val="21"/>
                      <w:szCs w:val="24"/>
                      <w:highlight w:val="none"/>
                      <w:lang w:val="zh-CN" w:eastAsia="zh-CN" w:bidi="zh-CN"/>
                    </w:rPr>
                    <w:t>S</w:t>
                  </w:r>
                </w:p>
              </w:tc>
            </w:tr>
            <w:tr w14:paraId="2B0CB8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50" w:type="pct"/>
                  <w:tcBorders>
                    <w:tl2br w:val="nil"/>
                    <w:tr2bl w:val="nil"/>
                  </w:tcBorders>
                  <w:noWrap w:val="0"/>
                  <w:vAlign w:val="center"/>
                </w:tcPr>
                <w:p w14:paraId="000C60B6">
                  <w:pPr>
                    <w:keepNext w:val="0"/>
                    <w:keepLines w:val="0"/>
                    <w:pageBreakBefore w:val="0"/>
                    <w:widowControl w:val="0"/>
                    <w:kinsoku/>
                    <w:wordWrap/>
                    <w:overflowPunct/>
                    <w:topLinePunct w:val="0"/>
                    <w:autoSpaceDE w:val="0"/>
                    <w:autoSpaceDN w:val="0"/>
                    <w:bidi w:val="0"/>
                    <w:adjustRightInd/>
                    <w:snapToGrid w:val="0"/>
                    <w:spacing w:line="240" w:lineRule="auto"/>
                    <w:ind w:right="21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5</w:t>
                  </w:r>
                </w:p>
              </w:tc>
              <w:tc>
                <w:tcPr>
                  <w:tcW w:w="1071" w:type="pct"/>
                  <w:gridSpan w:val="2"/>
                  <w:tcBorders>
                    <w:tl2br w:val="nil"/>
                    <w:tr2bl w:val="nil"/>
                  </w:tcBorders>
                  <w:noWrap w:val="0"/>
                  <w:vAlign w:val="center"/>
                </w:tcPr>
                <w:p w14:paraId="424B5D90">
                  <w:pPr>
                    <w:keepNext w:val="0"/>
                    <w:keepLines w:val="0"/>
                    <w:pageBreakBefore w:val="0"/>
                    <w:widowControl w:val="0"/>
                    <w:kinsoku/>
                    <w:wordWrap/>
                    <w:overflowPunct/>
                    <w:topLinePunct w:val="0"/>
                    <w:autoSpaceDE w:val="0"/>
                    <w:autoSpaceDN w:val="0"/>
                    <w:bidi w:val="0"/>
                    <w:adjustRightInd/>
                    <w:snapToGrid w:val="0"/>
                    <w:spacing w:line="240" w:lineRule="auto"/>
                    <w:ind w:left="210" w:right="197"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毛腿沙鸡</w:t>
                  </w:r>
                </w:p>
              </w:tc>
              <w:tc>
                <w:tcPr>
                  <w:tcW w:w="2281" w:type="pct"/>
                  <w:tcBorders>
                    <w:tl2br w:val="nil"/>
                    <w:tr2bl w:val="nil"/>
                  </w:tcBorders>
                  <w:noWrap w:val="0"/>
                  <w:vAlign w:val="center"/>
                </w:tcPr>
                <w:p w14:paraId="5536C580">
                  <w:pPr>
                    <w:keepNext w:val="0"/>
                    <w:keepLines w:val="0"/>
                    <w:pageBreakBefore w:val="0"/>
                    <w:widowControl w:val="0"/>
                    <w:kinsoku/>
                    <w:wordWrap/>
                    <w:overflowPunct/>
                    <w:topLinePunct w:val="0"/>
                    <w:autoSpaceDE w:val="0"/>
                    <w:autoSpaceDN w:val="0"/>
                    <w:bidi w:val="0"/>
                    <w:adjustRightInd/>
                    <w:snapToGrid w:val="0"/>
                    <w:spacing w:line="240" w:lineRule="auto"/>
                    <w:ind w:left="871" w:right="859"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Syrrhaptes paradoxus</w:t>
                  </w:r>
                </w:p>
              </w:tc>
              <w:tc>
                <w:tcPr>
                  <w:tcW w:w="1097" w:type="pct"/>
                  <w:tcBorders>
                    <w:tl2br w:val="nil"/>
                    <w:tr2bl w:val="nil"/>
                  </w:tcBorders>
                  <w:noWrap w:val="0"/>
                  <w:vAlign w:val="center"/>
                </w:tcPr>
                <w:p w14:paraId="110D68A3">
                  <w:pPr>
                    <w:keepNext w:val="0"/>
                    <w:keepLines w:val="0"/>
                    <w:pageBreakBefore w:val="0"/>
                    <w:widowControl w:val="0"/>
                    <w:kinsoku/>
                    <w:wordWrap/>
                    <w:overflowPunct/>
                    <w:topLinePunct w:val="0"/>
                    <w:bidi w:val="0"/>
                    <w:adjustRightInd/>
                    <w:snapToGrid w:val="0"/>
                    <w:spacing w:line="240" w:lineRule="auto"/>
                    <w:ind w:left="210" w:right="195"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6CC559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5000" w:type="pct"/>
                  <w:gridSpan w:val="5"/>
                  <w:tcBorders>
                    <w:tl2br w:val="nil"/>
                    <w:tr2bl w:val="nil"/>
                  </w:tcBorders>
                  <w:noWrap w:val="0"/>
                  <w:vAlign w:val="center"/>
                </w:tcPr>
                <w:p w14:paraId="4E09F376">
                  <w:pPr>
                    <w:keepNext w:val="0"/>
                    <w:keepLines w:val="0"/>
                    <w:pageBreakBefore w:val="0"/>
                    <w:widowControl w:val="0"/>
                    <w:kinsoku/>
                    <w:wordWrap/>
                    <w:overflowPunct/>
                    <w:topLinePunct w:val="0"/>
                    <w:autoSpaceDE w:val="0"/>
                    <w:autoSpaceDN w:val="0"/>
                    <w:bidi w:val="0"/>
                    <w:adjustRightInd/>
                    <w:snapToGrid w:val="0"/>
                    <w:spacing w:line="240" w:lineRule="auto"/>
                    <w:ind w:left="2772" w:firstLine="0" w:firstLineChars="0"/>
                    <w:jc w:val="both"/>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（4）</w:t>
                  </w:r>
                  <w:r>
                    <w:rPr>
                      <w:rFonts w:hint="default" w:ascii="Times New Roman" w:hAnsi="Times New Roman" w:eastAsia="宋体" w:cs="Times New Roman"/>
                      <w:color w:val="auto"/>
                      <w:kern w:val="0"/>
                      <w:sz w:val="21"/>
                      <w:szCs w:val="24"/>
                      <w:highlight w:val="none"/>
                      <w:lang w:val="zh-CN" w:eastAsia="zh-CN" w:bidi="zh-CN"/>
                    </w:rPr>
                    <w:t>佛法僧目</w:t>
                  </w:r>
                  <w:r>
                    <w:rPr>
                      <w:rFonts w:hint="default" w:ascii="Times New Roman" w:hAnsi="Times New Roman" w:eastAsia="宋体" w:cs="Times New Roman"/>
                      <w:color w:val="auto"/>
                      <w:kern w:val="0"/>
                      <w:sz w:val="21"/>
                      <w:szCs w:val="24"/>
                      <w:highlight w:val="none"/>
                      <w:lang w:val="en-US" w:eastAsia="zh-CN" w:bidi="zh-CN"/>
                    </w:rPr>
                    <w:t xml:space="preserve"> </w:t>
                  </w:r>
                  <w:r>
                    <w:rPr>
                      <w:rFonts w:hint="default" w:ascii="Times New Roman" w:hAnsi="Times New Roman" w:eastAsia="宋体" w:cs="Times New Roman"/>
                      <w:i/>
                      <w:iCs/>
                      <w:color w:val="auto"/>
                      <w:kern w:val="0"/>
                      <w:sz w:val="21"/>
                      <w:szCs w:val="24"/>
                      <w:highlight w:val="none"/>
                      <w:lang w:val="en-US" w:eastAsia="zh-CN" w:bidi="zh-CN"/>
                    </w:rPr>
                    <w:t>CORACILFORMES</w:t>
                  </w:r>
                </w:p>
              </w:tc>
            </w:tr>
            <w:tr w14:paraId="32C0D2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50" w:type="pct"/>
                  <w:tcBorders>
                    <w:tl2br w:val="nil"/>
                    <w:tr2bl w:val="nil"/>
                  </w:tcBorders>
                  <w:noWrap w:val="0"/>
                  <w:vAlign w:val="center"/>
                </w:tcPr>
                <w:p w14:paraId="70A736CD">
                  <w:pPr>
                    <w:keepNext w:val="0"/>
                    <w:keepLines w:val="0"/>
                    <w:pageBreakBefore w:val="0"/>
                    <w:widowControl w:val="0"/>
                    <w:kinsoku/>
                    <w:wordWrap/>
                    <w:overflowPunct/>
                    <w:topLinePunct w:val="0"/>
                    <w:autoSpaceDE w:val="0"/>
                    <w:autoSpaceDN w:val="0"/>
                    <w:bidi w:val="0"/>
                    <w:adjustRightInd/>
                    <w:snapToGrid w:val="0"/>
                    <w:spacing w:line="240" w:lineRule="auto"/>
                    <w:ind w:right="211"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en-US" w:eastAsia="zh-CN" w:bidi="zh-CN"/>
                    </w:rPr>
                    <w:t>6</w:t>
                  </w:r>
                </w:p>
              </w:tc>
              <w:tc>
                <w:tcPr>
                  <w:tcW w:w="1071" w:type="pct"/>
                  <w:gridSpan w:val="2"/>
                  <w:tcBorders>
                    <w:tl2br w:val="nil"/>
                    <w:tr2bl w:val="nil"/>
                  </w:tcBorders>
                  <w:noWrap w:val="0"/>
                  <w:vAlign w:val="center"/>
                </w:tcPr>
                <w:p w14:paraId="02144E7C">
                  <w:pPr>
                    <w:keepNext w:val="0"/>
                    <w:keepLines w:val="0"/>
                    <w:pageBreakBefore w:val="0"/>
                    <w:widowControl w:val="0"/>
                    <w:kinsoku/>
                    <w:wordWrap/>
                    <w:overflowPunct/>
                    <w:topLinePunct w:val="0"/>
                    <w:autoSpaceDE w:val="0"/>
                    <w:autoSpaceDN w:val="0"/>
                    <w:bidi w:val="0"/>
                    <w:adjustRightInd/>
                    <w:snapToGrid w:val="0"/>
                    <w:spacing w:line="240" w:lineRule="auto"/>
                    <w:ind w:left="515" w:firstLine="0" w:firstLineChars="0"/>
                    <w:jc w:val="both"/>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斑啄木鸟</w:t>
                  </w:r>
                </w:p>
              </w:tc>
              <w:tc>
                <w:tcPr>
                  <w:tcW w:w="2281" w:type="pct"/>
                  <w:tcBorders>
                    <w:tl2br w:val="nil"/>
                    <w:tr2bl w:val="nil"/>
                  </w:tcBorders>
                  <w:noWrap w:val="0"/>
                  <w:vAlign w:val="center"/>
                </w:tcPr>
                <w:p w14:paraId="24F20E51">
                  <w:pPr>
                    <w:keepNext w:val="0"/>
                    <w:keepLines w:val="0"/>
                    <w:pageBreakBefore w:val="0"/>
                    <w:widowControl w:val="0"/>
                    <w:kinsoku/>
                    <w:wordWrap/>
                    <w:overflowPunct/>
                    <w:topLinePunct w:val="0"/>
                    <w:autoSpaceDE w:val="0"/>
                    <w:autoSpaceDN w:val="0"/>
                    <w:bidi w:val="0"/>
                    <w:adjustRightInd/>
                    <w:snapToGrid w:val="0"/>
                    <w:spacing w:line="240" w:lineRule="auto"/>
                    <w:ind w:left="871" w:right="859"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Dendrocopos martius</w:t>
                  </w:r>
                </w:p>
              </w:tc>
              <w:tc>
                <w:tcPr>
                  <w:tcW w:w="1097" w:type="pct"/>
                  <w:tcBorders>
                    <w:tl2br w:val="nil"/>
                    <w:tr2bl w:val="nil"/>
                  </w:tcBorders>
                  <w:noWrap w:val="0"/>
                  <w:vAlign w:val="center"/>
                </w:tcPr>
                <w:p w14:paraId="215C1EC6">
                  <w:pPr>
                    <w:keepNext w:val="0"/>
                    <w:keepLines w:val="0"/>
                    <w:pageBreakBefore w:val="0"/>
                    <w:widowControl w:val="0"/>
                    <w:kinsoku/>
                    <w:wordWrap/>
                    <w:overflowPunct/>
                    <w:topLinePunct w:val="0"/>
                    <w:autoSpaceDE w:val="0"/>
                    <w:autoSpaceDN w:val="0"/>
                    <w:bidi w:val="0"/>
                    <w:adjustRightInd/>
                    <w:snapToGrid w:val="0"/>
                    <w:spacing w:line="240" w:lineRule="auto"/>
                    <w:ind w:left="210" w:right="195"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草地、</w:t>
                  </w:r>
                  <w:r>
                    <w:rPr>
                      <w:rFonts w:hint="default" w:ascii="Times New Roman" w:hAnsi="Times New Roman" w:eastAsia="宋体" w:cs="Times New Roman"/>
                      <w:color w:val="auto"/>
                      <w:kern w:val="0"/>
                      <w:sz w:val="21"/>
                      <w:szCs w:val="24"/>
                      <w:highlight w:val="none"/>
                      <w:lang w:val="en-US" w:eastAsia="zh-CN" w:bidi="zh-CN"/>
                    </w:rPr>
                    <w:t>林地</w:t>
                  </w:r>
                </w:p>
              </w:tc>
            </w:tr>
            <w:tr w14:paraId="41CA48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5000" w:type="pct"/>
                  <w:gridSpan w:val="5"/>
                  <w:tcBorders>
                    <w:tl2br w:val="nil"/>
                    <w:tr2bl w:val="nil"/>
                  </w:tcBorders>
                  <w:noWrap w:val="0"/>
                  <w:vAlign w:val="center"/>
                </w:tcPr>
                <w:p w14:paraId="2C5EAEA0">
                  <w:pPr>
                    <w:keepNext w:val="0"/>
                    <w:keepLines w:val="0"/>
                    <w:pageBreakBefore w:val="0"/>
                    <w:widowControl w:val="0"/>
                    <w:kinsoku/>
                    <w:wordWrap/>
                    <w:overflowPunct/>
                    <w:topLinePunct w:val="0"/>
                    <w:autoSpaceDE w:val="0"/>
                    <w:autoSpaceDN w:val="0"/>
                    <w:bidi w:val="0"/>
                    <w:adjustRightInd/>
                    <w:snapToGrid w:val="0"/>
                    <w:spacing w:line="240" w:lineRule="auto"/>
                    <w:ind w:left="2892" w:firstLine="0" w:firstLineChars="0"/>
                    <w:jc w:val="both"/>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（5）</w:t>
                  </w:r>
                  <w:r>
                    <w:rPr>
                      <w:rFonts w:hint="default" w:ascii="Times New Roman" w:hAnsi="Times New Roman" w:eastAsia="宋体" w:cs="Times New Roman"/>
                      <w:color w:val="auto"/>
                      <w:kern w:val="0"/>
                      <w:sz w:val="21"/>
                      <w:szCs w:val="24"/>
                      <w:highlight w:val="none"/>
                      <w:lang w:val="zh-CN" w:eastAsia="zh-CN" w:bidi="zh-CN"/>
                    </w:rPr>
                    <w:t>雀形目</w:t>
                  </w:r>
                  <w:r>
                    <w:rPr>
                      <w:rFonts w:hint="default" w:ascii="Times New Roman" w:hAnsi="Times New Roman" w:eastAsia="宋体" w:cs="Times New Roman"/>
                      <w:color w:val="auto"/>
                      <w:kern w:val="0"/>
                      <w:sz w:val="21"/>
                      <w:szCs w:val="24"/>
                      <w:highlight w:val="none"/>
                      <w:lang w:val="en-US" w:eastAsia="zh-CN" w:bidi="zh-CN"/>
                    </w:rPr>
                    <w:t xml:space="preserve"> </w:t>
                  </w:r>
                  <w:r>
                    <w:rPr>
                      <w:rFonts w:hint="default" w:ascii="Times New Roman" w:hAnsi="Times New Roman" w:eastAsia="宋体" w:cs="Times New Roman"/>
                      <w:i/>
                      <w:iCs/>
                      <w:color w:val="auto"/>
                      <w:kern w:val="0"/>
                      <w:sz w:val="21"/>
                      <w:szCs w:val="24"/>
                      <w:highlight w:val="none"/>
                      <w:lang w:val="en-US" w:eastAsia="zh-CN" w:bidi="zh-CN"/>
                    </w:rPr>
                    <w:t>PASSERIIFORMES</w:t>
                  </w:r>
                </w:p>
              </w:tc>
            </w:tr>
            <w:tr w14:paraId="1EB66B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0940C25B">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en-US" w:eastAsia="zh-CN" w:bidi="zh-CN"/>
                    </w:rPr>
                    <w:t>7</w:t>
                  </w:r>
                </w:p>
              </w:tc>
              <w:tc>
                <w:tcPr>
                  <w:tcW w:w="1071" w:type="pct"/>
                  <w:gridSpan w:val="2"/>
                  <w:tcBorders>
                    <w:tl2br w:val="nil"/>
                    <w:tr2bl w:val="nil"/>
                  </w:tcBorders>
                  <w:noWrap w:val="0"/>
                  <w:vAlign w:val="center"/>
                </w:tcPr>
                <w:p w14:paraId="6F12AADD">
                  <w:pPr>
                    <w:keepNext w:val="0"/>
                    <w:keepLines w:val="0"/>
                    <w:pageBreakBefore w:val="0"/>
                    <w:widowControl w:val="0"/>
                    <w:kinsoku/>
                    <w:wordWrap/>
                    <w:overflowPunct/>
                    <w:topLinePunct w:val="0"/>
                    <w:autoSpaceDE w:val="0"/>
                    <w:autoSpaceDN w:val="0"/>
                    <w:bidi w:val="0"/>
                    <w:adjustRightInd/>
                    <w:snapToGrid w:val="0"/>
                    <w:spacing w:line="240" w:lineRule="auto"/>
                    <w:ind w:left="180" w:right="169"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树麻雀</w:t>
                  </w:r>
                </w:p>
              </w:tc>
              <w:tc>
                <w:tcPr>
                  <w:tcW w:w="2281" w:type="pct"/>
                  <w:tcBorders>
                    <w:tl2br w:val="nil"/>
                    <w:tr2bl w:val="nil"/>
                  </w:tcBorders>
                  <w:noWrap w:val="0"/>
                  <w:vAlign w:val="center"/>
                </w:tcPr>
                <w:p w14:paraId="4E4F1B7F">
                  <w:pPr>
                    <w:keepNext w:val="0"/>
                    <w:keepLines w:val="0"/>
                    <w:pageBreakBefore w:val="0"/>
                    <w:widowControl w:val="0"/>
                    <w:kinsoku/>
                    <w:wordWrap/>
                    <w:overflowPunct/>
                    <w:topLinePunct w:val="0"/>
                    <w:autoSpaceDE w:val="0"/>
                    <w:autoSpaceDN w:val="0"/>
                    <w:bidi w:val="0"/>
                    <w:adjustRightInd/>
                    <w:snapToGrid w:val="0"/>
                    <w:spacing w:line="240" w:lineRule="auto"/>
                    <w:ind w:left="1310" w:right="1301"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P.mentanus</w:t>
                  </w:r>
                </w:p>
              </w:tc>
              <w:tc>
                <w:tcPr>
                  <w:tcW w:w="1097" w:type="pct"/>
                  <w:tcBorders>
                    <w:tl2br w:val="nil"/>
                    <w:tr2bl w:val="nil"/>
                  </w:tcBorders>
                  <w:noWrap w:val="0"/>
                  <w:vAlign w:val="center"/>
                </w:tcPr>
                <w:p w14:paraId="2499CAE4">
                  <w:pPr>
                    <w:keepNext w:val="0"/>
                    <w:keepLines w:val="0"/>
                    <w:pageBreakBefore w:val="0"/>
                    <w:widowControl w:val="0"/>
                    <w:kinsoku/>
                    <w:wordWrap/>
                    <w:overflowPunct/>
                    <w:topLinePunct w:val="0"/>
                    <w:autoSpaceDE w:val="0"/>
                    <w:autoSpaceDN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zh-CN" w:eastAsia="zh-CN" w:bidi="zh-CN"/>
                    </w:rPr>
                    <w:t>草地、</w:t>
                  </w:r>
                  <w:r>
                    <w:rPr>
                      <w:rFonts w:hint="default" w:ascii="Times New Roman" w:hAnsi="Times New Roman" w:eastAsia="宋体" w:cs="Times New Roman"/>
                      <w:color w:val="auto"/>
                      <w:kern w:val="0"/>
                      <w:sz w:val="21"/>
                      <w:szCs w:val="24"/>
                      <w:highlight w:val="none"/>
                      <w:lang w:val="en-US" w:eastAsia="zh-CN" w:bidi="zh-CN"/>
                    </w:rPr>
                    <w:t>林地</w:t>
                  </w:r>
                </w:p>
              </w:tc>
            </w:tr>
            <w:tr w14:paraId="4990EF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61D09DD0">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en-US" w:eastAsia="zh-CN" w:bidi="zh-CN"/>
                    </w:rPr>
                    <w:t>8</w:t>
                  </w:r>
                </w:p>
              </w:tc>
              <w:tc>
                <w:tcPr>
                  <w:tcW w:w="1071" w:type="pct"/>
                  <w:gridSpan w:val="2"/>
                  <w:tcBorders>
                    <w:tl2br w:val="nil"/>
                    <w:tr2bl w:val="nil"/>
                  </w:tcBorders>
                  <w:noWrap w:val="0"/>
                  <w:vAlign w:val="center"/>
                </w:tcPr>
                <w:p w14:paraId="0AD1E34F">
                  <w:pPr>
                    <w:keepNext w:val="0"/>
                    <w:keepLines w:val="0"/>
                    <w:pageBreakBefore w:val="0"/>
                    <w:widowControl w:val="0"/>
                    <w:kinsoku/>
                    <w:wordWrap/>
                    <w:overflowPunct/>
                    <w:topLinePunct w:val="0"/>
                    <w:autoSpaceDE w:val="0"/>
                    <w:autoSpaceDN w:val="0"/>
                    <w:bidi w:val="0"/>
                    <w:adjustRightInd/>
                    <w:snapToGrid w:val="0"/>
                    <w:spacing w:line="240" w:lineRule="auto"/>
                    <w:ind w:left="180" w:right="169"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喜鹊</w:t>
                  </w:r>
                </w:p>
              </w:tc>
              <w:tc>
                <w:tcPr>
                  <w:tcW w:w="2281" w:type="pct"/>
                  <w:tcBorders>
                    <w:tl2br w:val="nil"/>
                    <w:tr2bl w:val="nil"/>
                  </w:tcBorders>
                  <w:noWrap w:val="0"/>
                  <w:vAlign w:val="center"/>
                </w:tcPr>
                <w:p w14:paraId="13BF4D09">
                  <w:pPr>
                    <w:keepNext w:val="0"/>
                    <w:keepLines w:val="0"/>
                    <w:pageBreakBefore w:val="0"/>
                    <w:widowControl w:val="0"/>
                    <w:kinsoku/>
                    <w:wordWrap/>
                    <w:overflowPunct/>
                    <w:topLinePunct w:val="0"/>
                    <w:autoSpaceDE w:val="0"/>
                    <w:autoSpaceDN w:val="0"/>
                    <w:bidi w:val="0"/>
                    <w:adjustRightInd/>
                    <w:snapToGrid w:val="0"/>
                    <w:spacing w:line="240" w:lineRule="auto"/>
                    <w:ind w:left="1310" w:right="1301"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Pica pica</w:t>
                  </w:r>
                </w:p>
              </w:tc>
              <w:tc>
                <w:tcPr>
                  <w:tcW w:w="1097" w:type="pct"/>
                  <w:tcBorders>
                    <w:tl2br w:val="nil"/>
                    <w:tr2bl w:val="nil"/>
                  </w:tcBorders>
                  <w:noWrap w:val="0"/>
                  <w:vAlign w:val="center"/>
                </w:tcPr>
                <w:p w14:paraId="78FA8B1D">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r>
                    <w:rPr>
                      <w:rFonts w:hint="default" w:ascii="Times New Roman" w:hAnsi="Times New Roman" w:eastAsia="宋体" w:cs="Times New Roman"/>
                      <w:color w:val="auto"/>
                      <w:kern w:val="0"/>
                      <w:sz w:val="21"/>
                      <w:szCs w:val="24"/>
                      <w:highlight w:val="none"/>
                      <w:lang w:val="zh-CN" w:eastAsia="zh-CN" w:bidi="zh-CN"/>
                    </w:rPr>
                    <w:t>、</w:t>
                  </w:r>
                  <w:r>
                    <w:rPr>
                      <w:rFonts w:hint="default" w:ascii="Times New Roman" w:hAnsi="Times New Roman" w:eastAsia="宋体" w:cs="Times New Roman"/>
                      <w:color w:val="auto"/>
                      <w:kern w:val="0"/>
                      <w:sz w:val="21"/>
                      <w:szCs w:val="24"/>
                      <w:highlight w:val="none"/>
                      <w:lang w:val="en-US" w:eastAsia="zh-CN" w:bidi="zh-CN"/>
                    </w:rPr>
                    <w:t>林地</w:t>
                  </w:r>
                </w:p>
              </w:tc>
            </w:tr>
            <w:tr w14:paraId="10F24E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3E52A037">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en-US" w:eastAsia="zh-CN" w:bidi="zh-CN"/>
                    </w:rPr>
                    <w:t>9</w:t>
                  </w:r>
                </w:p>
              </w:tc>
              <w:tc>
                <w:tcPr>
                  <w:tcW w:w="1071" w:type="pct"/>
                  <w:gridSpan w:val="2"/>
                  <w:tcBorders>
                    <w:tl2br w:val="nil"/>
                    <w:tr2bl w:val="nil"/>
                  </w:tcBorders>
                  <w:noWrap w:val="0"/>
                  <w:vAlign w:val="center"/>
                </w:tcPr>
                <w:p w14:paraId="48002C36">
                  <w:pPr>
                    <w:keepNext w:val="0"/>
                    <w:keepLines w:val="0"/>
                    <w:pageBreakBefore w:val="0"/>
                    <w:widowControl w:val="0"/>
                    <w:kinsoku/>
                    <w:wordWrap/>
                    <w:overflowPunct/>
                    <w:topLinePunct w:val="0"/>
                    <w:autoSpaceDE w:val="0"/>
                    <w:autoSpaceDN w:val="0"/>
                    <w:bidi w:val="0"/>
                    <w:adjustRightInd/>
                    <w:snapToGrid w:val="0"/>
                    <w:spacing w:line="240" w:lineRule="auto"/>
                    <w:ind w:left="180" w:right="172"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乌鸦</w:t>
                  </w:r>
                </w:p>
              </w:tc>
              <w:tc>
                <w:tcPr>
                  <w:tcW w:w="2281" w:type="pct"/>
                  <w:tcBorders>
                    <w:tl2br w:val="nil"/>
                    <w:tr2bl w:val="nil"/>
                  </w:tcBorders>
                  <w:noWrap w:val="0"/>
                  <w:vAlign w:val="center"/>
                </w:tcPr>
                <w:p w14:paraId="4DD945D8">
                  <w:pPr>
                    <w:keepNext w:val="0"/>
                    <w:keepLines w:val="0"/>
                    <w:pageBreakBefore w:val="0"/>
                    <w:widowControl w:val="0"/>
                    <w:kinsoku/>
                    <w:wordWrap/>
                    <w:overflowPunct/>
                    <w:topLinePunct w:val="0"/>
                    <w:autoSpaceDE w:val="0"/>
                    <w:autoSpaceDN w:val="0"/>
                    <w:bidi w:val="0"/>
                    <w:adjustRightInd/>
                    <w:snapToGrid w:val="0"/>
                    <w:spacing w:line="240" w:lineRule="auto"/>
                    <w:ind w:right="1301" w:firstLine="1050" w:firstLineChars="50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Cervus fruilegus</w:t>
                  </w:r>
                </w:p>
              </w:tc>
              <w:tc>
                <w:tcPr>
                  <w:tcW w:w="1097" w:type="pct"/>
                  <w:tcBorders>
                    <w:tl2br w:val="nil"/>
                    <w:tr2bl w:val="nil"/>
                  </w:tcBorders>
                  <w:noWrap w:val="0"/>
                  <w:vAlign w:val="center"/>
                </w:tcPr>
                <w:p w14:paraId="332509DB">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r>
                    <w:rPr>
                      <w:rFonts w:hint="default" w:ascii="Times New Roman" w:hAnsi="Times New Roman" w:eastAsia="宋体" w:cs="Times New Roman"/>
                      <w:color w:val="auto"/>
                      <w:kern w:val="0"/>
                      <w:sz w:val="21"/>
                      <w:szCs w:val="24"/>
                      <w:highlight w:val="none"/>
                      <w:lang w:val="zh-CN" w:eastAsia="zh-CN" w:bidi="zh-CN"/>
                    </w:rPr>
                    <w:t>、</w:t>
                  </w:r>
                  <w:r>
                    <w:rPr>
                      <w:rFonts w:hint="default" w:ascii="Times New Roman" w:hAnsi="Times New Roman" w:eastAsia="宋体" w:cs="Times New Roman"/>
                      <w:color w:val="auto"/>
                      <w:kern w:val="0"/>
                      <w:sz w:val="21"/>
                      <w:szCs w:val="24"/>
                      <w:highlight w:val="none"/>
                      <w:lang w:val="en-US" w:eastAsia="zh-CN" w:bidi="zh-CN"/>
                    </w:rPr>
                    <w:t>林地</w:t>
                  </w:r>
                </w:p>
              </w:tc>
            </w:tr>
            <w:tr w14:paraId="7A3910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550" w:type="pct"/>
                  <w:tcBorders>
                    <w:tl2br w:val="nil"/>
                    <w:tr2bl w:val="nil"/>
                  </w:tcBorders>
                  <w:noWrap w:val="0"/>
                  <w:vAlign w:val="center"/>
                </w:tcPr>
                <w:p w14:paraId="7F35E513">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10</w:t>
                  </w:r>
                </w:p>
              </w:tc>
              <w:tc>
                <w:tcPr>
                  <w:tcW w:w="1071" w:type="pct"/>
                  <w:gridSpan w:val="2"/>
                  <w:tcBorders>
                    <w:tl2br w:val="nil"/>
                    <w:tr2bl w:val="nil"/>
                  </w:tcBorders>
                  <w:noWrap w:val="0"/>
                  <w:vAlign w:val="center"/>
                </w:tcPr>
                <w:p w14:paraId="4B97075F">
                  <w:pPr>
                    <w:keepNext w:val="0"/>
                    <w:keepLines w:val="0"/>
                    <w:pageBreakBefore w:val="0"/>
                    <w:widowControl w:val="0"/>
                    <w:kinsoku/>
                    <w:wordWrap/>
                    <w:overflowPunct/>
                    <w:topLinePunct w:val="0"/>
                    <w:autoSpaceDE w:val="0"/>
                    <w:autoSpaceDN w:val="0"/>
                    <w:bidi w:val="0"/>
                    <w:adjustRightInd/>
                    <w:snapToGrid w:val="0"/>
                    <w:spacing w:line="240" w:lineRule="auto"/>
                    <w:ind w:left="180" w:right="172"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灰喜鹊</w:t>
                  </w:r>
                </w:p>
              </w:tc>
              <w:tc>
                <w:tcPr>
                  <w:tcW w:w="2281" w:type="pct"/>
                  <w:tcBorders>
                    <w:tl2br w:val="nil"/>
                    <w:tr2bl w:val="nil"/>
                  </w:tcBorders>
                  <w:noWrap w:val="0"/>
                  <w:vAlign w:val="center"/>
                </w:tcPr>
                <w:p w14:paraId="3C5EC235">
                  <w:pPr>
                    <w:keepNext w:val="0"/>
                    <w:keepLines w:val="0"/>
                    <w:pageBreakBefore w:val="0"/>
                    <w:widowControl w:val="0"/>
                    <w:kinsoku/>
                    <w:wordWrap/>
                    <w:overflowPunct/>
                    <w:topLinePunct w:val="0"/>
                    <w:autoSpaceDE w:val="0"/>
                    <w:autoSpaceDN w:val="0"/>
                    <w:bidi w:val="0"/>
                    <w:adjustRightInd/>
                    <w:snapToGrid w:val="0"/>
                    <w:spacing w:line="240" w:lineRule="auto"/>
                    <w:ind w:right="1301" w:firstLine="1050" w:firstLineChars="50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Cyanopica cyana</w:t>
                  </w:r>
                </w:p>
              </w:tc>
              <w:tc>
                <w:tcPr>
                  <w:tcW w:w="1097" w:type="pct"/>
                  <w:tcBorders>
                    <w:tl2br w:val="nil"/>
                    <w:tr2bl w:val="nil"/>
                  </w:tcBorders>
                  <w:noWrap w:val="0"/>
                  <w:vAlign w:val="center"/>
                </w:tcPr>
                <w:p w14:paraId="06BE2189">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林地</w:t>
                  </w:r>
                  <w:r>
                    <w:rPr>
                      <w:rFonts w:hint="default" w:ascii="Times New Roman" w:hAnsi="Times New Roman" w:eastAsia="宋体" w:cs="Times New Roman"/>
                      <w:color w:val="auto"/>
                      <w:kern w:val="0"/>
                      <w:sz w:val="21"/>
                      <w:szCs w:val="24"/>
                      <w:highlight w:val="none"/>
                      <w:lang w:val="zh-CN" w:eastAsia="zh-CN" w:bidi="zh-CN"/>
                    </w:rPr>
                    <w:t>、</w:t>
                  </w:r>
                  <w:r>
                    <w:rPr>
                      <w:rFonts w:hint="default" w:ascii="Times New Roman" w:hAnsi="Times New Roman" w:eastAsia="宋体" w:cs="Times New Roman"/>
                      <w:color w:val="auto"/>
                      <w:kern w:val="0"/>
                      <w:sz w:val="21"/>
                      <w:szCs w:val="24"/>
                      <w:highlight w:val="none"/>
                      <w:lang w:val="en-US" w:eastAsia="zh-CN" w:bidi="zh-CN"/>
                    </w:rPr>
                    <w:t>林地</w:t>
                  </w:r>
                </w:p>
              </w:tc>
            </w:tr>
            <w:tr w14:paraId="2F0170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000" w:type="pct"/>
                  <w:gridSpan w:val="5"/>
                  <w:tcBorders>
                    <w:tl2br w:val="nil"/>
                    <w:tr2bl w:val="nil"/>
                  </w:tcBorders>
                  <w:noWrap w:val="0"/>
                  <w:vAlign w:val="center"/>
                </w:tcPr>
                <w:p w14:paraId="065DD907">
                  <w:pPr>
                    <w:keepNext w:val="0"/>
                    <w:keepLines w:val="0"/>
                    <w:pageBreakBefore w:val="0"/>
                    <w:widowControl w:val="0"/>
                    <w:kinsoku/>
                    <w:wordWrap/>
                    <w:overflowPunct/>
                    <w:topLinePunct w:val="0"/>
                    <w:autoSpaceDE w:val="0"/>
                    <w:autoSpaceDN w:val="0"/>
                    <w:bidi w:val="0"/>
                    <w:adjustRightInd/>
                    <w:snapToGrid w:val="0"/>
                    <w:spacing w:line="240" w:lineRule="auto"/>
                    <w:ind w:right="320"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 xml:space="preserve">四、哺乳纲 </w:t>
                  </w:r>
                  <w:r>
                    <w:rPr>
                      <w:rFonts w:hint="default" w:ascii="Times New Roman" w:hAnsi="Times New Roman" w:eastAsia="宋体" w:cs="Times New Roman"/>
                      <w:i/>
                      <w:iCs/>
                      <w:color w:val="auto"/>
                      <w:kern w:val="0"/>
                      <w:sz w:val="21"/>
                      <w:szCs w:val="24"/>
                      <w:highlight w:val="none"/>
                      <w:lang w:val="zh-CN" w:eastAsia="zh-CN" w:bidi="zh-CN"/>
                    </w:rPr>
                    <w:t>MAMMALTA</w:t>
                  </w:r>
                </w:p>
              </w:tc>
            </w:tr>
            <w:tr w14:paraId="332BD4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6E00BB78">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11</w:t>
                  </w:r>
                </w:p>
              </w:tc>
              <w:tc>
                <w:tcPr>
                  <w:tcW w:w="1071" w:type="pct"/>
                  <w:gridSpan w:val="2"/>
                  <w:tcBorders>
                    <w:tl2br w:val="nil"/>
                    <w:tr2bl w:val="nil"/>
                  </w:tcBorders>
                  <w:noWrap w:val="0"/>
                  <w:vAlign w:val="center"/>
                </w:tcPr>
                <w:p w14:paraId="0629453E">
                  <w:pPr>
                    <w:keepNext w:val="0"/>
                    <w:keepLines w:val="0"/>
                    <w:pageBreakBefore w:val="0"/>
                    <w:widowControl w:val="0"/>
                    <w:kinsoku/>
                    <w:wordWrap/>
                    <w:overflowPunct/>
                    <w:topLinePunct w:val="0"/>
                    <w:autoSpaceDE w:val="0"/>
                    <w:autoSpaceDN w:val="0"/>
                    <w:bidi w:val="0"/>
                    <w:adjustRightInd/>
                    <w:snapToGrid w:val="0"/>
                    <w:spacing w:line="240" w:lineRule="auto"/>
                    <w:ind w:left="180" w:right="169"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蒙古兔</w:t>
                  </w:r>
                </w:p>
              </w:tc>
              <w:tc>
                <w:tcPr>
                  <w:tcW w:w="2281" w:type="pct"/>
                  <w:tcBorders>
                    <w:tl2br w:val="nil"/>
                    <w:tr2bl w:val="nil"/>
                  </w:tcBorders>
                  <w:noWrap w:val="0"/>
                  <w:vAlign w:val="center"/>
                </w:tcPr>
                <w:p w14:paraId="394B7BE1">
                  <w:pPr>
                    <w:keepNext w:val="0"/>
                    <w:keepLines w:val="0"/>
                    <w:pageBreakBefore w:val="0"/>
                    <w:widowControl w:val="0"/>
                    <w:kinsoku/>
                    <w:wordWrap/>
                    <w:overflowPunct/>
                    <w:topLinePunct w:val="0"/>
                    <w:autoSpaceDE w:val="0"/>
                    <w:autoSpaceDN w:val="0"/>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Lepus tolei pallas</w:t>
                  </w:r>
                </w:p>
              </w:tc>
              <w:tc>
                <w:tcPr>
                  <w:tcW w:w="1097" w:type="pct"/>
                  <w:tcBorders>
                    <w:tl2br w:val="nil"/>
                    <w:tr2bl w:val="nil"/>
                  </w:tcBorders>
                  <w:noWrap w:val="0"/>
                  <w:vAlign w:val="center"/>
                </w:tcPr>
                <w:p w14:paraId="640DD8F9">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469D6C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649FFD5E">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12</w:t>
                  </w:r>
                </w:p>
              </w:tc>
              <w:tc>
                <w:tcPr>
                  <w:tcW w:w="1071" w:type="pct"/>
                  <w:gridSpan w:val="2"/>
                  <w:tcBorders>
                    <w:tl2br w:val="nil"/>
                    <w:tr2bl w:val="nil"/>
                  </w:tcBorders>
                  <w:noWrap w:val="0"/>
                  <w:vAlign w:val="center"/>
                </w:tcPr>
                <w:p w14:paraId="2938EEA7">
                  <w:pPr>
                    <w:keepNext w:val="0"/>
                    <w:keepLines w:val="0"/>
                    <w:pageBreakBefore w:val="0"/>
                    <w:widowControl w:val="0"/>
                    <w:kinsoku/>
                    <w:wordWrap/>
                    <w:overflowPunct/>
                    <w:topLinePunct w:val="0"/>
                    <w:autoSpaceDE w:val="0"/>
                    <w:autoSpaceDN w:val="0"/>
                    <w:bidi w:val="0"/>
                    <w:adjustRightInd/>
                    <w:snapToGrid w:val="0"/>
                    <w:spacing w:line="240" w:lineRule="auto"/>
                    <w:ind w:left="180" w:right="172"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达乌尔刺猬</w:t>
                  </w:r>
                </w:p>
              </w:tc>
              <w:tc>
                <w:tcPr>
                  <w:tcW w:w="2281" w:type="pct"/>
                  <w:tcBorders>
                    <w:tl2br w:val="nil"/>
                    <w:tr2bl w:val="nil"/>
                  </w:tcBorders>
                  <w:noWrap w:val="0"/>
                  <w:vAlign w:val="center"/>
                </w:tcPr>
                <w:p w14:paraId="01FAB8D4">
                  <w:pPr>
                    <w:keepNext w:val="0"/>
                    <w:keepLines w:val="0"/>
                    <w:pageBreakBefore w:val="0"/>
                    <w:widowControl w:val="0"/>
                    <w:kinsoku/>
                    <w:wordWrap/>
                    <w:overflowPunct/>
                    <w:topLinePunct w:val="0"/>
                    <w:autoSpaceDE w:val="0"/>
                    <w:autoSpaceDN w:val="0"/>
                    <w:bidi w:val="0"/>
                    <w:adjustRightInd/>
                    <w:snapToGrid w:val="0"/>
                    <w:spacing w:line="240" w:lineRule="auto"/>
                    <w:ind w:left="1310" w:right="1301"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Hdauuricus</w:t>
                  </w:r>
                </w:p>
              </w:tc>
              <w:tc>
                <w:tcPr>
                  <w:tcW w:w="1097" w:type="pct"/>
                  <w:tcBorders>
                    <w:tl2br w:val="nil"/>
                    <w:tr2bl w:val="nil"/>
                  </w:tcBorders>
                  <w:noWrap w:val="0"/>
                  <w:vAlign w:val="center"/>
                </w:tcPr>
                <w:p w14:paraId="25CEAFAF">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54565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4335306F">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13</w:t>
                  </w:r>
                </w:p>
              </w:tc>
              <w:tc>
                <w:tcPr>
                  <w:tcW w:w="1071" w:type="pct"/>
                  <w:gridSpan w:val="2"/>
                  <w:tcBorders>
                    <w:tl2br w:val="nil"/>
                    <w:tr2bl w:val="nil"/>
                  </w:tcBorders>
                  <w:noWrap w:val="0"/>
                  <w:vAlign w:val="center"/>
                </w:tcPr>
                <w:p w14:paraId="084A8B4F">
                  <w:pPr>
                    <w:keepNext w:val="0"/>
                    <w:keepLines w:val="0"/>
                    <w:pageBreakBefore w:val="0"/>
                    <w:widowControl w:val="0"/>
                    <w:kinsoku/>
                    <w:wordWrap/>
                    <w:overflowPunct/>
                    <w:topLinePunct w:val="0"/>
                    <w:autoSpaceDE w:val="0"/>
                    <w:autoSpaceDN w:val="0"/>
                    <w:bidi w:val="0"/>
                    <w:adjustRightInd/>
                    <w:snapToGrid w:val="0"/>
                    <w:spacing w:line="240" w:lineRule="auto"/>
                    <w:ind w:left="180" w:right="172"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三趾跳鼠</w:t>
                  </w:r>
                </w:p>
              </w:tc>
              <w:tc>
                <w:tcPr>
                  <w:tcW w:w="2281" w:type="pct"/>
                  <w:tcBorders>
                    <w:tl2br w:val="nil"/>
                    <w:tr2bl w:val="nil"/>
                  </w:tcBorders>
                  <w:noWrap w:val="0"/>
                  <w:vAlign w:val="center"/>
                </w:tcPr>
                <w:p w14:paraId="5EC9935B">
                  <w:pPr>
                    <w:keepNext w:val="0"/>
                    <w:keepLines w:val="0"/>
                    <w:pageBreakBefore w:val="0"/>
                    <w:widowControl w:val="0"/>
                    <w:kinsoku/>
                    <w:wordWrap/>
                    <w:overflowPunct/>
                    <w:topLinePunct w:val="0"/>
                    <w:autoSpaceDE w:val="0"/>
                    <w:autoSpaceDN w:val="0"/>
                    <w:bidi w:val="0"/>
                    <w:adjustRightInd/>
                    <w:snapToGrid w:val="0"/>
                    <w:spacing w:line="240" w:lineRule="auto"/>
                    <w:ind w:left="1309" w:right="1301"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Dipus sagitta</w:t>
                  </w:r>
                </w:p>
              </w:tc>
              <w:tc>
                <w:tcPr>
                  <w:tcW w:w="1097" w:type="pct"/>
                  <w:tcBorders>
                    <w:tl2br w:val="nil"/>
                    <w:tr2bl w:val="nil"/>
                  </w:tcBorders>
                  <w:noWrap w:val="0"/>
                  <w:vAlign w:val="center"/>
                </w:tcPr>
                <w:p w14:paraId="631EFE5A">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r w14:paraId="0CB7D3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8" w:hRule="atLeast"/>
                <w:jc w:val="center"/>
              </w:trPr>
              <w:tc>
                <w:tcPr>
                  <w:tcW w:w="550" w:type="pct"/>
                  <w:tcBorders>
                    <w:tl2br w:val="nil"/>
                    <w:tr2bl w:val="nil"/>
                  </w:tcBorders>
                  <w:noWrap w:val="0"/>
                  <w:vAlign w:val="center"/>
                </w:tcPr>
                <w:p w14:paraId="329488C3">
                  <w:pPr>
                    <w:keepNext w:val="0"/>
                    <w:keepLines w:val="0"/>
                    <w:pageBreakBefore w:val="0"/>
                    <w:widowControl w:val="0"/>
                    <w:kinsoku/>
                    <w:wordWrap/>
                    <w:overflowPunct/>
                    <w:topLinePunct w:val="0"/>
                    <w:autoSpaceDE w:val="0"/>
                    <w:autoSpaceDN w:val="0"/>
                    <w:bidi w:val="0"/>
                    <w:adjustRightInd/>
                    <w:snapToGrid w:val="0"/>
                    <w:spacing w:line="240" w:lineRule="auto"/>
                    <w:ind w:right="158" w:firstLine="0" w:firstLineChars="0"/>
                    <w:jc w:val="center"/>
                    <w:textAlignment w:val="auto"/>
                    <w:rPr>
                      <w:rFonts w:hint="default" w:ascii="Times New Roman" w:hAnsi="Times New Roman" w:eastAsia="宋体" w:cs="Times New Roman"/>
                      <w:color w:val="auto"/>
                      <w:kern w:val="0"/>
                      <w:sz w:val="21"/>
                      <w:szCs w:val="24"/>
                      <w:highlight w:val="none"/>
                      <w:lang w:val="en-US" w:eastAsia="zh-CN" w:bidi="zh-CN"/>
                    </w:rPr>
                  </w:pPr>
                  <w:r>
                    <w:rPr>
                      <w:rFonts w:hint="default" w:ascii="Times New Roman" w:hAnsi="Times New Roman" w:eastAsia="宋体" w:cs="Times New Roman"/>
                      <w:color w:val="auto"/>
                      <w:kern w:val="0"/>
                      <w:sz w:val="21"/>
                      <w:szCs w:val="24"/>
                      <w:highlight w:val="none"/>
                      <w:lang w:val="en-US" w:eastAsia="zh-CN" w:bidi="zh-CN"/>
                    </w:rPr>
                    <w:t>14</w:t>
                  </w:r>
                </w:p>
              </w:tc>
              <w:tc>
                <w:tcPr>
                  <w:tcW w:w="1071" w:type="pct"/>
                  <w:gridSpan w:val="2"/>
                  <w:tcBorders>
                    <w:tl2br w:val="nil"/>
                    <w:tr2bl w:val="nil"/>
                  </w:tcBorders>
                  <w:noWrap w:val="0"/>
                  <w:vAlign w:val="center"/>
                </w:tcPr>
                <w:p w14:paraId="4C9D0B82">
                  <w:pPr>
                    <w:keepNext w:val="0"/>
                    <w:keepLines w:val="0"/>
                    <w:pageBreakBefore w:val="0"/>
                    <w:widowControl w:val="0"/>
                    <w:kinsoku/>
                    <w:wordWrap/>
                    <w:overflowPunct/>
                    <w:topLinePunct w:val="0"/>
                    <w:autoSpaceDE w:val="0"/>
                    <w:autoSpaceDN w:val="0"/>
                    <w:bidi w:val="0"/>
                    <w:adjustRightInd/>
                    <w:snapToGrid w:val="0"/>
                    <w:spacing w:line="240" w:lineRule="auto"/>
                    <w:ind w:left="180" w:right="172" w:firstLine="0" w:firstLineChars="0"/>
                    <w:jc w:val="center"/>
                    <w:textAlignment w:val="auto"/>
                    <w:rPr>
                      <w:rFonts w:hint="default" w:ascii="Times New Roman" w:hAnsi="Times New Roman" w:eastAsia="宋体" w:cs="Times New Roman"/>
                      <w:color w:val="auto"/>
                      <w:kern w:val="0"/>
                      <w:sz w:val="21"/>
                      <w:szCs w:val="24"/>
                      <w:highlight w:val="none"/>
                      <w:lang w:val="zh-CN" w:eastAsia="zh-CN" w:bidi="zh-CN"/>
                    </w:rPr>
                  </w:pPr>
                  <w:r>
                    <w:rPr>
                      <w:rFonts w:hint="default" w:ascii="Times New Roman" w:hAnsi="Times New Roman" w:eastAsia="宋体" w:cs="Times New Roman"/>
                      <w:color w:val="auto"/>
                      <w:kern w:val="0"/>
                      <w:sz w:val="21"/>
                      <w:szCs w:val="24"/>
                      <w:highlight w:val="none"/>
                      <w:lang w:val="zh-CN" w:eastAsia="zh-CN" w:bidi="zh-CN"/>
                    </w:rPr>
                    <w:t>五趾跳鼠</w:t>
                  </w:r>
                </w:p>
              </w:tc>
              <w:tc>
                <w:tcPr>
                  <w:tcW w:w="2281" w:type="pct"/>
                  <w:tcBorders>
                    <w:tl2br w:val="nil"/>
                    <w:tr2bl w:val="nil"/>
                  </w:tcBorders>
                  <w:noWrap w:val="0"/>
                  <w:vAlign w:val="center"/>
                </w:tcPr>
                <w:p w14:paraId="1FB7F4C9">
                  <w:pPr>
                    <w:keepNext w:val="0"/>
                    <w:keepLines w:val="0"/>
                    <w:pageBreakBefore w:val="0"/>
                    <w:widowControl w:val="0"/>
                    <w:kinsoku/>
                    <w:wordWrap/>
                    <w:overflowPunct/>
                    <w:topLinePunct w:val="0"/>
                    <w:autoSpaceDE w:val="0"/>
                    <w:autoSpaceDN w:val="0"/>
                    <w:bidi w:val="0"/>
                    <w:adjustRightInd/>
                    <w:snapToGrid w:val="0"/>
                    <w:spacing w:line="240" w:lineRule="auto"/>
                    <w:ind w:left="1307" w:right="1301" w:firstLine="0" w:firstLineChars="0"/>
                    <w:jc w:val="center"/>
                    <w:textAlignment w:val="auto"/>
                    <w:rPr>
                      <w:rFonts w:hint="default" w:ascii="Times New Roman" w:hAnsi="Times New Roman" w:eastAsia="宋体" w:cs="Times New Roman"/>
                      <w:i/>
                      <w:color w:val="auto"/>
                      <w:kern w:val="0"/>
                      <w:sz w:val="21"/>
                      <w:szCs w:val="24"/>
                      <w:highlight w:val="none"/>
                      <w:lang w:val="zh-CN" w:eastAsia="zh-CN" w:bidi="zh-CN"/>
                    </w:rPr>
                  </w:pPr>
                  <w:r>
                    <w:rPr>
                      <w:rFonts w:hint="default" w:ascii="Times New Roman" w:hAnsi="Times New Roman" w:eastAsia="宋体" w:cs="Times New Roman"/>
                      <w:i/>
                      <w:color w:val="auto"/>
                      <w:kern w:val="0"/>
                      <w:sz w:val="21"/>
                      <w:szCs w:val="24"/>
                      <w:highlight w:val="none"/>
                      <w:lang w:val="zh-CN" w:eastAsia="zh-CN" w:bidi="zh-CN"/>
                    </w:rPr>
                    <w:t>A.sibirica</w:t>
                  </w:r>
                </w:p>
              </w:tc>
              <w:tc>
                <w:tcPr>
                  <w:tcW w:w="1097" w:type="pct"/>
                  <w:tcBorders>
                    <w:tl2br w:val="nil"/>
                    <w:tr2bl w:val="nil"/>
                  </w:tcBorders>
                  <w:noWrap w:val="0"/>
                  <w:vAlign w:val="center"/>
                </w:tcPr>
                <w:p w14:paraId="0AA26676">
                  <w:pPr>
                    <w:keepNext w:val="0"/>
                    <w:keepLines w:val="0"/>
                    <w:pageBreakBefore w:val="0"/>
                    <w:widowControl w:val="0"/>
                    <w:kinsoku/>
                    <w:wordWrap/>
                    <w:overflowPunct/>
                    <w:topLinePunct w:val="0"/>
                    <w:bidi w:val="0"/>
                    <w:adjustRightInd/>
                    <w:snapToGrid w:val="0"/>
                    <w:spacing w:line="240" w:lineRule="auto"/>
                    <w:ind w:right="-39" w:rightChars="0" w:firstLine="0" w:firstLineChars="0"/>
                    <w:jc w:val="center"/>
                    <w:textAlignment w:val="auto"/>
                    <w:rPr>
                      <w:rFonts w:hint="default" w:ascii="Times New Roman" w:hAnsi="Times New Roman" w:eastAsia="宋体" w:cs="Times New Roman"/>
                      <w:color w:val="auto"/>
                      <w:kern w:val="2"/>
                      <w:sz w:val="21"/>
                      <w:highlight w:val="none"/>
                    </w:rPr>
                  </w:pPr>
                  <w:r>
                    <w:rPr>
                      <w:rFonts w:hint="default" w:ascii="Times New Roman" w:hAnsi="Times New Roman" w:eastAsia="宋体" w:cs="Times New Roman"/>
                      <w:color w:val="auto"/>
                      <w:kern w:val="2"/>
                      <w:sz w:val="21"/>
                      <w:highlight w:val="none"/>
                    </w:rPr>
                    <w:t>草地</w:t>
                  </w:r>
                </w:p>
              </w:tc>
            </w:tr>
          </w:tbl>
          <w:p w14:paraId="54CC7E64">
            <w:pPr>
              <w:widowControl w:val="0"/>
              <w:spacing w:line="360" w:lineRule="auto"/>
              <w:ind w:firstLine="480"/>
              <w:outlineLvl w:val="3"/>
              <w:rPr>
                <w:rFonts w:hint="default" w:ascii="Times New Roman" w:hAnsi="Times New Roman" w:eastAsia="宋体" w:cs="Times New Roman"/>
                <w:b/>
                <w:bCs/>
                <w:color w:val="auto"/>
                <w:kern w:val="2"/>
                <w:sz w:val="24"/>
                <w:szCs w:val="28"/>
                <w:highlight w:val="none"/>
                <w:lang w:val="en-US" w:eastAsia="zh-CN"/>
              </w:rPr>
            </w:pPr>
            <w:bookmarkStart w:id="14" w:name="_Toc19347"/>
            <w:bookmarkStart w:id="15" w:name="_Toc20034"/>
            <w:bookmarkStart w:id="16" w:name="_Toc75194414"/>
            <w:bookmarkStart w:id="17" w:name="_Toc15541"/>
            <w:r>
              <w:rPr>
                <w:rFonts w:hint="default" w:ascii="Times New Roman" w:hAnsi="Times New Roman" w:eastAsia="宋体" w:cs="Times New Roman"/>
                <w:b/>
                <w:bCs/>
                <w:color w:val="auto"/>
                <w:kern w:val="2"/>
                <w:sz w:val="24"/>
                <w:szCs w:val="28"/>
                <w:highlight w:val="none"/>
                <w:lang w:val="en-US" w:eastAsia="zh-CN"/>
              </w:rPr>
              <w:t>4、土地利用</w:t>
            </w:r>
            <w:bookmarkEnd w:id="14"/>
            <w:bookmarkEnd w:id="15"/>
            <w:bookmarkEnd w:id="16"/>
            <w:bookmarkEnd w:id="17"/>
            <w:r>
              <w:rPr>
                <w:rFonts w:hint="default" w:ascii="Times New Roman" w:hAnsi="Times New Roman" w:eastAsia="宋体" w:cs="Times New Roman"/>
                <w:b/>
                <w:bCs/>
                <w:color w:val="auto"/>
                <w:kern w:val="2"/>
                <w:sz w:val="24"/>
                <w:szCs w:val="28"/>
                <w:highlight w:val="none"/>
                <w:lang w:val="en-US" w:eastAsia="zh-CN"/>
              </w:rPr>
              <w:t>现状调查</w:t>
            </w:r>
          </w:p>
          <w:p w14:paraId="511A2448">
            <w:pPr>
              <w:spacing w:line="360" w:lineRule="auto"/>
              <w:ind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评价区土地利用现状见图</w:t>
            </w:r>
            <w:r>
              <w:rPr>
                <w:rFonts w:hint="default" w:ascii="Times New Roman" w:hAnsi="Times New Roman" w:eastAsia="宋体" w:cs="Times New Roman"/>
                <w:color w:val="auto"/>
                <w:sz w:val="24"/>
                <w:szCs w:val="24"/>
                <w:highlight w:val="none"/>
                <w:lang w:eastAsia="zh-CN"/>
              </w:rPr>
              <w:t>3</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，项目区和评价区土地利用类型统计表见表</w:t>
            </w:r>
            <w:r>
              <w:rPr>
                <w:rFonts w:hint="default" w:ascii="Times New Roman" w:hAnsi="Times New Roman" w:eastAsia="宋体" w:cs="Times New Roman"/>
                <w:color w:val="auto"/>
                <w:sz w:val="24"/>
                <w:szCs w:val="24"/>
                <w:highlight w:val="none"/>
                <w:lang w:eastAsia="zh-CN"/>
              </w:rPr>
              <w:t>3</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4BB8D0F5">
            <w:pPr>
              <w:pStyle w:val="14"/>
              <w:spacing w:before="0" w:beforeLines="0" w:after="0" w:afterLines="0"/>
              <w:ind w:firstLine="482"/>
              <w:rPr>
                <w:rFonts w:hint="default" w:ascii="Times New Roman" w:hAnsi="Times New Roman" w:eastAsia="宋体" w:cs="Times New Roman"/>
                <w:b/>
                <w:color w:val="auto"/>
                <w:sz w:val="24"/>
                <w:szCs w:val="22"/>
                <w:highlight w:val="none"/>
              </w:rPr>
            </w:pPr>
            <w:r>
              <w:rPr>
                <w:rFonts w:hint="default" w:ascii="Times New Roman" w:hAnsi="Times New Roman" w:eastAsia="宋体" w:cs="Times New Roman"/>
                <w:b/>
                <w:color w:val="auto"/>
                <w:sz w:val="24"/>
                <w:szCs w:val="22"/>
                <w:highlight w:val="none"/>
              </w:rPr>
              <w:t>表</w:t>
            </w:r>
            <w:r>
              <w:rPr>
                <w:rFonts w:hint="default" w:ascii="Times New Roman" w:hAnsi="Times New Roman" w:eastAsia="宋体" w:cs="Times New Roman"/>
                <w:b/>
                <w:color w:val="auto"/>
                <w:sz w:val="24"/>
                <w:szCs w:val="22"/>
                <w:highlight w:val="none"/>
                <w:lang w:val="en-US" w:eastAsia="zh-CN"/>
              </w:rPr>
              <w:t>3-7</w:t>
            </w:r>
            <w:r>
              <w:rPr>
                <w:rFonts w:hint="default" w:ascii="Times New Roman" w:hAnsi="Times New Roman" w:eastAsia="宋体" w:cs="Times New Roman"/>
                <w:b/>
                <w:color w:val="auto"/>
                <w:sz w:val="24"/>
                <w:szCs w:val="22"/>
                <w:highlight w:val="none"/>
              </w:rPr>
              <w:t xml:space="preserve">    土地利用类型统计表</w:t>
            </w:r>
          </w:p>
          <w:tbl>
            <w:tblPr>
              <w:tblStyle w:val="25"/>
              <w:tblW w:w="779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37"/>
              <w:gridCol w:w="1267"/>
              <w:gridCol w:w="615"/>
              <w:gridCol w:w="755"/>
              <w:gridCol w:w="1003"/>
              <w:gridCol w:w="642"/>
              <w:gridCol w:w="1050"/>
              <w:gridCol w:w="1230"/>
            </w:tblGrid>
            <w:tr w14:paraId="67993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23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822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一级分类</w:t>
                  </w:r>
                </w:p>
              </w:tc>
              <w:tc>
                <w:tcPr>
                  <w:tcW w:w="126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8037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二级分类</w:t>
                  </w:r>
                </w:p>
              </w:tc>
              <w:tc>
                <w:tcPr>
                  <w:tcW w:w="2373" w:type="dxa"/>
                  <w:gridSpan w:val="3"/>
                  <w:tcBorders>
                    <w:top w:val="single" w:color="000000" w:sz="4" w:space="0"/>
                    <w:left w:val="nil"/>
                    <w:bottom w:val="single" w:color="000000" w:sz="4" w:space="0"/>
                    <w:right w:val="single" w:color="000000" w:sz="4" w:space="0"/>
                  </w:tcBorders>
                  <w:shd w:val="clear" w:color="auto" w:fill="auto"/>
                  <w:noWrap/>
                  <w:vAlign w:val="center"/>
                </w:tcPr>
                <w:p w14:paraId="27F3DD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项目区</w:t>
                  </w:r>
                </w:p>
              </w:tc>
              <w:tc>
                <w:tcPr>
                  <w:tcW w:w="2922"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3087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评价区</w:t>
                  </w:r>
                </w:p>
              </w:tc>
            </w:tr>
            <w:tr w14:paraId="2BC4F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04CD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p>
              </w:tc>
              <w:tc>
                <w:tcPr>
                  <w:tcW w:w="126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77E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p>
              </w:tc>
              <w:tc>
                <w:tcPr>
                  <w:tcW w:w="615" w:type="dxa"/>
                  <w:tcBorders>
                    <w:top w:val="single" w:color="000000" w:sz="4" w:space="0"/>
                    <w:left w:val="nil"/>
                    <w:bottom w:val="single" w:color="000000" w:sz="4" w:space="0"/>
                    <w:right w:val="single" w:color="000000" w:sz="4" w:space="0"/>
                  </w:tcBorders>
                  <w:shd w:val="clear" w:color="auto" w:fill="auto"/>
                  <w:noWrap/>
                  <w:vAlign w:val="center"/>
                </w:tcPr>
                <w:p w14:paraId="6BC9D6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斑块数</w:t>
                  </w:r>
                </w:p>
              </w:tc>
              <w:tc>
                <w:tcPr>
                  <w:tcW w:w="75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A37D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面积（hm</w:t>
                  </w:r>
                  <w:r>
                    <w:rPr>
                      <w:rFonts w:hint="default" w:ascii="Times New Roman" w:hAnsi="Times New Roman" w:eastAsia="宋体" w:cs="Times New Roman"/>
                      <w:color w:val="auto"/>
                      <w:kern w:val="2"/>
                      <w:sz w:val="21"/>
                      <w:highlight w:val="none"/>
                      <w:vertAlign w:val="superscript"/>
                      <w:lang w:val="en-US" w:eastAsia="zh-CN"/>
                    </w:rPr>
                    <w:t>2</w:t>
                  </w:r>
                  <w:r>
                    <w:rPr>
                      <w:rFonts w:hint="default" w:ascii="Times New Roman" w:hAnsi="Times New Roman" w:eastAsia="宋体" w:cs="Times New Roman"/>
                      <w:color w:val="auto"/>
                      <w:kern w:val="2"/>
                      <w:sz w:val="21"/>
                      <w:highlight w:val="none"/>
                      <w:lang w:val="en-US" w:eastAsia="zh-CN"/>
                    </w:rPr>
                    <w:t>）</w:t>
                  </w:r>
                </w:p>
              </w:tc>
              <w:tc>
                <w:tcPr>
                  <w:tcW w:w="100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CC4E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占评价区比例（%）</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4023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斑块数</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BBD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面积（hm</w:t>
                  </w:r>
                  <w:r>
                    <w:rPr>
                      <w:rFonts w:hint="default" w:ascii="Times New Roman" w:hAnsi="Times New Roman" w:eastAsia="宋体" w:cs="Times New Roman"/>
                      <w:color w:val="auto"/>
                      <w:kern w:val="2"/>
                      <w:sz w:val="21"/>
                      <w:highlight w:val="none"/>
                      <w:vertAlign w:val="superscript"/>
                      <w:lang w:val="en-US" w:eastAsia="zh-CN"/>
                    </w:rPr>
                    <w:t>2</w:t>
                  </w:r>
                  <w:r>
                    <w:rPr>
                      <w:rFonts w:hint="default" w:ascii="Times New Roman" w:hAnsi="Times New Roman" w:eastAsia="宋体" w:cs="Times New Roman"/>
                      <w:color w:val="auto"/>
                      <w:kern w:val="2"/>
                      <w:sz w:val="21"/>
                      <w:highlight w:val="none"/>
                      <w:lang w:val="en-US" w:eastAsia="zh-CN"/>
                    </w:rPr>
                    <w:t>）</w:t>
                  </w:r>
                </w:p>
              </w:tc>
              <w:tc>
                <w:tcPr>
                  <w:tcW w:w="123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AED0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占评价区比例（%）</w:t>
                  </w:r>
                </w:p>
              </w:tc>
            </w:tr>
            <w:tr w14:paraId="502E6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0BC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林地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F67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乔木林地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5CCF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598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608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38F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41</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2EE8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57.44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2D5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7.38%</w:t>
                  </w:r>
                </w:p>
              </w:tc>
            </w:tr>
            <w:tr w14:paraId="074BB1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71A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A2A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灌木林地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3A9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B46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DA3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592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7</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FB3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26.60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256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3.42%</w:t>
                  </w:r>
                </w:p>
              </w:tc>
            </w:tr>
            <w:tr w14:paraId="210AE8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CD35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C4DE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其他林地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505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62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A90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EAF6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4</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14A8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5.25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759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0.68%</w:t>
                  </w:r>
                </w:p>
              </w:tc>
            </w:tr>
            <w:tr w14:paraId="6C197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7B9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草地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B67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天然牧草地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EA4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4</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DBD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eastAsia" w:ascii="Times New Roman" w:hAnsi="Times New Roman" w:eastAsia="宋体" w:cs="Times New Roman"/>
                      <w:color w:val="auto"/>
                      <w:kern w:val="2"/>
                      <w:sz w:val="21"/>
                      <w:highlight w:val="none"/>
                      <w:lang w:val="en-US" w:eastAsia="zh-CN"/>
                    </w:rPr>
                    <w:t>0.71</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79F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eastAsia" w:ascii="Times New Roman" w:hAnsi="Times New Roman" w:eastAsia="宋体" w:cs="Times New Roman"/>
                      <w:color w:val="auto"/>
                      <w:kern w:val="2"/>
                      <w:sz w:val="21"/>
                      <w:highlight w:val="none"/>
                      <w:lang w:val="en-US" w:eastAsia="zh-CN"/>
                    </w:rPr>
                    <w:t>89.07</w:t>
                  </w:r>
                  <w:r>
                    <w:rPr>
                      <w:rFonts w:hint="default" w:ascii="Times New Roman" w:hAnsi="Times New Roman" w:eastAsia="宋体" w:cs="Times New Roman"/>
                      <w:color w:val="auto"/>
                      <w:kern w:val="2"/>
                      <w:sz w:val="21"/>
                      <w:highlight w:val="none"/>
                      <w:lang w:val="en-US" w:eastAsia="zh-CN"/>
                    </w:rPr>
                    <w:t>%</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2AF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71</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5FE2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260.15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577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33.43%</w:t>
                  </w:r>
                </w:p>
              </w:tc>
            </w:tr>
            <w:tr w14:paraId="7DA1C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F58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2AE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其他草地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E26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A9EE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A5A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C90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42</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E02C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14.23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59B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1.83%</w:t>
                  </w:r>
                </w:p>
              </w:tc>
            </w:tr>
            <w:tr w14:paraId="5F4D6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85B6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耕地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A2B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水浇地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7640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639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8B0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F6BC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52</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41B2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294.28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504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37.82%</w:t>
                  </w:r>
                </w:p>
              </w:tc>
            </w:tr>
            <w:tr w14:paraId="301D2A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235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商服用地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8755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商业服务业设施用地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4B0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8F8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0CD0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1E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2</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269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0.45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B47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0.06%</w:t>
                  </w:r>
                </w:p>
              </w:tc>
            </w:tr>
            <w:tr w14:paraId="1E2FF1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9914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工矿仓储用地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0E5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工业用地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1A0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1</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ACD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0.087</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01F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eastAsia" w:ascii="Times New Roman" w:hAnsi="Times New Roman" w:eastAsia="宋体" w:cs="Times New Roman"/>
                      <w:color w:val="auto"/>
                      <w:kern w:val="2"/>
                      <w:sz w:val="21"/>
                      <w:highlight w:val="none"/>
                      <w:lang w:val="en-US" w:eastAsia="zh-CN"/>
                    </w:rPr>
                    <w:t>10.93</w:t>
                  </w:r>
                  <w:r>
                    <w:rPr>
                      <w:rFonts w:hint="default" w:ascii="Times New Roman" w:hAnsi="Times New Roman" w:eastAsia="宋体" w:cs="Times New Roman"/>
                      <w:color w:val="auto"/>
                      <w:kern w:val="2"/>
                      <w:sz w:val="21"/>
                      <w:highlight w:val="none"/>
                      <w:lang w:val="en-US" w:eastAsia="zh-CN"/>
                    </w:rPr>
                    <w:t>%</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B5A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1</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EB9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 xml:space="preserve">13.97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8CC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zh-CN" w:eastAsia="zh-CN"/>
                    </w:rPr>
                  </w:pPr>
                  <w:r>
                    <w:rPr>
                      <w:rFonts w:hint="default" w:ascii="Times New Roman" w:hAnsi="Times New Roman" w:eastAsia="宋体" w:cs="Times New Roman"/>
                      <w:color w:val="auto"/>
                      <w:kern w:val="2"/>
                      <w:sz w:val="21"/>
                      <w:highlight w:val="none"/>
                      <w:lang w:val="en-US" w:eastAsia="zh-CN"/>
                    </w:rPr>
                    <w:t>1.80%</w:t>
                  </w:r>
                </w:p>
              </w:tc>
            </w:tr>
            <w:tr w14:paraId="13088B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8658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住宅用地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537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农村宅基地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713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1A07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959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C1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F1A7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70.33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102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9.04%</w:t>
                  </w:r>
                </w:p>
              </w:tc>
            </w:tr>
            <w:tr w14:paraId="54359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53A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交通运输用地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C3A4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公路用地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423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9F9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B60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3A8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2</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9E73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0.08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B2AE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0.01%</w:t>
                  </w:r>
                </w:p>
              </w:tc>
            </w:tr>
            <w:tr w14:paraId="7DE2F3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111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6E78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农村道路</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5E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C09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DB4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012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50</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103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4.57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55BD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0.59%</w:t>
                  </w:r>
                </w:p>
              </w:tc>
            </w:tr>
            <w:tr w14:paraId="01494D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443CD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水域及水利设施用地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F7C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河流水面</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85B5E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39F6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17B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96F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1</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194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2.54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B24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0.33%</w:t>
                  </w:r>
                </w:p>
              </w:tc>
            </w:tr>
            <w:tr w14:paraId="67AAE2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C046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B90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坑塘水面</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26C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CEA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C53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E00A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37</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630A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12.30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1C0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1.58%</w:t>
                  </w:r>
                </w:p>
              </w:tc>
            </w:tr>
            <w:tr w14:paraId="0C96AC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071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其他土地</w:t>
                  </w: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8A8F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设施农用地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3D4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C7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C8D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620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6</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F96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7.16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210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0.92%</w:t>
                  </w:r>
                </w:p>
              </w:tc>
            </w:tr>
            <w:tr w14:paraId="7EAF0A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23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12C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p>
              </w:tc>
              <w:tc>
                <w:tcPr>
                  <w:tcW w:w="12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1449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沙地</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BE0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862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DB3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34CC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1</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8604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0.20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34B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0.03%</w:t>
                  </w:r>
                </w:p>
              </w:tc>
            </w:tr>
            <w:tr w14:paraId="263C6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2504"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34A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总计</w:t>
                  </w:r>
                </w:p>
              </w:tc>
              <w:tc>
                <w:tcPr>
                  <w:tcW w:w="6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894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5</w:t>
                  </w:r>
                </w:p>
              </w:tc>
              <w:tc>
                <w:tcPr>
                  <w:tcW w:w="7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FEB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eastAsia" w:ascii="Times New Roman" w:hAnsi="Times New Roman" w:eastAsia="宋体" w:cs="Times New Roman"/>
                      <w:color w:val="auto"/>
                      <w:kern w:val="2"/>
                      <w:sz w:val="21"/>
                      <w:highlight w:val="none"/>
                      <w:lang w:val="en-US" w:eastAsia="zh-CN"/>
                    </w:rPr>
                    <w:t>0.797</w:t>
                  </w:r>
                </w:p>
              </w:tc>
              <w:tc>
                <w:tcPr>
                  <w:tcW w:w="10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67E5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100%</w:t>
                  </w:r>
                </w:p>
              </w:tc>
              <w:tc>
                <w:tcPr>
                  <w:tcW w:w="6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8D1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72</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C6A0F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 xml:space="preserve">7.74 </w:t>
                  </w:r>
                </w:p>
              </w:tc>
              <w:tc>
                <w:tcPr>
                  <w:tcW w:w="12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EAB6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highlight w:val="none"/>
                      <w:lang w:val="en-US" w:eastAsia="zh-CN"/>
                    </w:rPr>
                  </w:pPr>
                  <w:r>
                    <w:rPr>
                      <w:rFonts w:hint="default" w:ascii="Times New Roman" w:hAnsi="Times New Roman" w:eastAsia="宋体" w:cs="Times New Roman"/>
                      <w:color w:val="auto"/>
                      <w:kern w:val="2"/>
                      <w:sz w:val="21"/>
                      <w:highlight w:val="none"/>
                      <w:lang w:val="en-US" w:eastAsia="zh-CN"/>
                    </w:rPr>
                    <w:t>0.99%</w:t>
                  </w:r>
                </w:p>
              </w:tc>
            </w:tr>
          </w:tbl>
          <w:p w14:paraId="67783D4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从</w:t>
            </w:r>
            <w:r>
              <w:rPr>
                <w:rFonts w:hint="default" w:ascii="Times New Roman" w:hAnsi="Times New Roman" w:eastAsia="宋体" w:cs="Times New Roman"/>
                <w:color w:val="auto"/>
                <w:sz w:val="24"/>
                <w:szCs w:val="24"/>
                <w:highlight w:val="none"/>
              </w:rPr>
              <w:t>以上结果来看，</w:t>
            </w:r>
            <w:r>
              <w:rPr>
                <w:rFonts w:hint="default" w:ascii="Times New Roman" w:hAnsi="Times New Roman" w:eastAsia="宋体" w:cs="Times New Roman"/>
                <w:color w:val="auto"/>
                <w:sz w:val="24"/>
                <w:szCs w:val="24"/>
                <w:highlight w:val="none"/>
                <w:lang w:val="en-US" w:eastAsia="zh-CN"/>
              </w:rPr>
              <w:t>项目区</w:t>
            </w:r>
            <w:r>
              <w:rPr>
                <w:rFonts w:hint="default" w:ascii="Times New Roman" w:hAnsi="Times New Roman" w:eastAsia="宋体" w:cs="Times New Roman"/>
                <w:color w:val="auto"/>
                <w:sz w:val="24"/>
                <w:szCs w:val="24"/>
                <w:highlight w:val="none"/>
              </w:rPr>
              <w:t>范围</w:t>
            </w:r>
            <w:r>
              <w:rPr>
                <w:rFonts w:hint="default" w:ascii="Times New Roman" w:hAnsi="Times New Roman" w:eastAsia="宋体" w:cs="Times New Roman"/>
                <w:color w:val="auto"/>
                <w:sz w:val="24"/>
                <w:szCs w:val="24"/>
                <w:highlight w:val="none"/>
                <w:lang w:val="en-US" w:eastAsia="zh-CN"/>
              </w:rPr>
              <w:t>土地利用</w:t>
            </w:r>
            <w:r>
              <w:rPr>
                <w:rFonts w:hint="default" w:ascii="Times New Roman" w:hAnsi="Times New Roman" w:eastAsia="宋体" w:cs="Times New Roman"/>
                <w:color w:val="auto"/>
                <w:sz w:val="24"/>
                <w:szCs w:val="24"/>
                <w:highlight w:val="none"/>
              </w:rPr>
              <w:t>类型</w:t>
            </w:r>
            <w:r>
              <w:rPr>
                <w:rFonts w:hint="default" w:ascii="Times New Roman" w:hAnsi="Times New Roman" w:eastAsia="宋体" w:cs="Times New Roman"/>
                <w:color w:val="auto"/>
                <w:sz w:val="24"/>
                <w:szCs w:val="24"/>
                <w:highlight w:val="none"/>
                <w:lang w:val="en-US" w:eastAsia="zh-CN"/>
              </w:rPr>
              <w:t>主要为</w:t>
            </w:r>
            <w:r>
              <w:rPr>
                <w:rFonts w:hint="default" w:ascii="Times New Roman" w:hAnsi="Times New Roman" w:eastAsia="宋体" w:cs="Times New Roman"/>
                <w:color w:val="auto"/>
                <w:kern w:val="2"/>
                <w:sz w:val="24"/>
                <w:szCs w:val="24"/>
                <w:highlight w:val="none"/>
                <w:lang w:val="en-US" w:eastAsia="zh-CN"/>
              </w:rPr>
              <w:t>工业用地，</w:t>
            </w:r>
            <w:r>
              <w:rPr>
                <w:rFonts w:hint="default" w:ascii="Times New Roman" w:hAnsi="Times New Roman" w:eastAsia="宋体" w:cs="Times New Roman"/>
                <w:color w:val="auto"/>
                <w:sz w:val="24"/>
                <w:szCs w:val="24"/>
                <w:highlight w:val="none"/>
                <w:lang w:val="en-US" w:eastAsia="zh-CN"/>
              </w:rPr>
              <w:t>评价区</w:t>
            </w:r>
            <w:r>
              <w:rPr>
                <w:rFonts w:hint="default" w:ascii="Times New Roman" w:hAnsi="Times New Roman" w:eastAsia="宋体" w:cs="Times New Roman"/>
                <w:color w:val="auto"/>
                <w:sz w:val="24"/>
                <w:szCs w:val="24"/>
                <w:highlight w:val="none"/>
              </w:rPr>
              <w:t>范围</w:t>
            </w:r>
            <w:r>
              <w:rPr>
                <w:rFonts w:hint="default" w:ascii="Times New Roman" w:hAnsi="Times New Roman" w:eastAsia="宋体" w:cs="Times New Roman"/>
                <w:color w:val="auto"/>
                <w:sz w:val="24"/>
                <w:szCs w:val="24"/>
                <w:highlight w:val="none"/>
                <w:lang w:val="en-US" w:eastAsia="zh-CN"/>
              </w:rPr>
              <w:t>土地利用</w:t>
            </w:r>
            <w:r>
              <w:rPr>
                <w:rFonts w:hint="default" w:ascii="Times New Roman" w:hAnsi="Times New Roman" w:eastAsia="宋体" w:cs="Times New Roman"/>
                <w:color w:val="auto"/>
                <w:sz w:val="24"/>
                <w:szCs w:val="24"/>
                <w:highlight w:val="none"/>
              </w:rPr>
              <w:t>类型分别为</w:t>
            </w:r>
            <w:r>
              <w:rPr>
                <w:rFonts w:hint="default" w:ascii="Times New Roman" w:hAnsi="Times New Roman" w:eastAsia="宋体" w:cs="Times New Roman"/>
                <w:color w:val="auto"/>
                <w:sz w:val="24"/>
                <w:szCs w:val="24"/>
                <w:highlight w:val="none"/>
                <w:lang w:val="en-US" w:eastAsia="zh-CN"/>
              </w:rPr>
              <w:t>主要</w:t>
            </w:r>
            <w:r>
              <w:rPr>
                <w:rFonts w:hint="default" w:ascii="Times New Roman" w:hAnsi="Times New Roman" w:eastAsia="宋体" w:cs="Times New Roman"/>
                <w:color w:val="auto"/>
                <w:sz w:val="24"/>
                <w:szCs w:val="24"/>
                <w:highlight w:val="none"/>
              </w:rPr>
              <w:t>为</w:t>
            </w:r>
            <w:r>
              <w:rPr>
                <w:rFonts w:hint="default" w:ascii="Times New Roman" w:hAnsi="Times New Roman" w:eastAsia="宋体" w:cs="Times New Roman"/>
                <w:color w:val="auto"/>
                <w:sz w:val="24"/>
                <w:szCs w:val="24"/>
                <w:highlight w:val="none"/>
                <w:lang w:val="en-US" w:eastAsia="zh-CN"/>
              </w:rPr>
              <w:t>耕地</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草地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林地、交通运输用地、水域及水利设施用地、工矿仓储用地、住宅用地、商服用地及其他土地工矿仓储用地9</w:t>
            </w:r>
            <w:r>
              <w:rPr>
                <w:rFonts w:hint="default" w:ascii="Times New Roman" w:hAnsi="Times New Roman" w:eastAsia="宋体" w:cs="Times New Roman"/>
                <w:color w:val="auto"/>
                <w:sz w:val="24"/>
                <w:szCs w:val="24"/>
                <w:highlight w:val="none"/>
              </w:rPr>
              <w:t>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面积占比</w:t>
            </w:r>
            <w:r>
              <w:rPr>
                <w:rFonts w:hint="default" w:ascii="Times New Roman" w:hAnsi="Times New Roman" w:eastAsia="宋体" w:cs="Times New Roman"/>
                <w:color w:val="auto"/>
                <w:sz w:val="24"/>
                <w:szCs w:val="24"/>
                <w:highlight w:val="none"/>
                <w:lang w:val="en-US" w:eastAsia="zh-CN"/>
              </w:rPr>
              <w:t>以草地为主</w:t>
            </w:r>
            <w:r>
              <w:rPr>
                <w:rFonts w:hint="default" w:ascii="Times New Roman" w:hAnsi="Times New Roman" w:eastAsia="宋体" w:cs="Times New Roman"/>
                <w:color w:val="auto"/>
                <w:sz w:val="24"/>
                <w:szCs w:val="24"/>
                <w:highlight w:val="none"/>
              </w:rPr>
              <w:t>。</w:t>
            </w:r>
          </w:p>
          <w:p w14:paraId="39D00F24">
            <w:pPr>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anchor distT="0" distB="0" distL="114300" distR="114300" simplePos="0" relativeHeight="251668480" behindDoc="0" locked="0" layoutInCell="1" allowOverlap="1">
                  <wp:simplePos x="0" y="0"/>
                  <wp:positionH relativeFrom="column">
                    <wp:posOffset>0</wp:posOffset>
                  </wp:positionH>
                  <wp:positionV relativeFrom="paragraph">
                    <wp:posOffset>-5146040</wp:posOffset>
                  </wp:positionV>
                  <wp:extent cx="4526915" cy="6397625"/>
                  <wp:effectExtent l="0" t="0" r="6985" b="3175"/>
                  <wp:wrapSquare wrapText="bothSides"/>
                  <wp:docPr id="56" name="图片 56" descr="土地利用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土地利用类型图"/>
                          <pic:cNvPicPr>
                            <a:picLocks noChangeAspect="1"/>
                          </pic:cNvPicPr>
                        </pic:nvPicPr>
                        <pic:blipFill>
                          <a:blip r:embed="rId55"/>
                          <a:stretch>
                            <a:fillRect/>
                          </a:stretch>
                        </pic:blipFill>
                        <pic:spPr>
                          <a:xfrm>
                            <a:off x="0" y="0"/>
                            <a:ext cx="4526915" cy="6397625"/>
                          </a:xfrm>
                          <a:prstGeom prst="rect">
                            <a:avLst/>
                          </a:prstGeom>
                        </pic:spPr>
                      </pic:pic>
                    </a:graphicData>
                  </a:graphic>
                </wp:anchor>
              </w:drawing>
            </w:r>
          </w:p>
          <w:p w14:paraId="55E7F7BC">
            <w:pPr>
              <w:widowControl w:val="0"/>
              <w:spacing w:line="360" w:lineRule="auto"/>
              <w:jc w:val="center"/>
              <w:rPr>
                <w:rFonts w:hint="default" w:ascii="Times New Roman" w:hAnsi="Times New Roman" w:eastAsia="宋体" w:cs="Times New Roman"/>
                <w:color w:val="auto"/>
                <w:kern w:val="2"/>
                <w:sz w:val="24"/>
                <w:szCs w:val="28"/>
                <w:highlight w:val="none"/>
                <w:lang w:val="en-US" w:eastAsia="zh-CN"/>
              </w:rPr>
            </w:pPr>
            <w:r>
              <w:rPr>
                <w:rFonts w:hint="default" w:ascii="Times New Roman" w:hAnsi="Times New Roman" w:eastAsia="宋体" w:cs="Times New Roman"/>
                <w:b/>
                <w:bCs/>
                <w:color w:val="auto"/>
                <w:kern w:val="0"/>
                <w:sz w:val="24"/>
                <w:szCs w:val="21"/>
                <w:highlight w:val="none"/>
              </w:rPr>
              <w:t>图3</w:t>
            </w:r>
            <w:r>
              <w:rPr>
                <w:rFonts w:hint="default" w:ascii="Times New Roman" w:hAnsi="Times New Roman" w:eastAsia="宋体" w:cs="Times New Roman"/>
                <w:b/>
                <w:bCs/>
                <w:color w:val="auto"/>
                <w:kern w:val="0"/>
                <w:sz w:val="24"/>
                <w:szCs w:val="21"/>
                <w:highlight w:val="none"/>
                <w:lang w:val="en-US" w:eastAsia="zh-CN"/>
              </w:rPr>
              <w:t>-6</w:t>
            </w:r>
            <w:r>
              <w:rPr>
                <w:rFonts w:hint="default" w:ascii="Times New Roman" w:hAnsi="Times New Roman" w:eastAsia="宋体" w:cs="Times New Roman"/>
                <w:b/>
                <w:bCs/>
                <w:color w:val="auto"/>
                <w:kern w:val="0"/>
                <w:sz w:val="24"/>
                <w:szCs w:val="21"/>
                <w:highlight w:val="none"/>
              </w:rPr>
              <w:t xml:space="preserve">   </w:t>
            </w:r>
            <w:r>
              <w:rPr>
                <w:rFonts w:hint="default" w:ascii="Times New Roman" w:hAnsi="Times New Roman" w:eastAsia="宋体" w:cs="Times New Roman"/>
                <w:b/>
                <w:bCs/>
                <w:color w:val="auto"/>
                <w:kern w:val="0"/>
                <w:sz w:val="24"/>
                <w:szCs w:val="21"/>
                <w:highlight w:val="none"/>
                <w:lang w:val="en-US" w:eastAsia="zh-CN"/>
              </w:rPr>
              <w:t>土地利用类型</w:t>
            </w:r>
            <w:r>
              <w:rPr>
                <w:rFonts w:hint="default" w:ascii="Times New Roman" w:hAnsi="Times New Roman" w:eastAsia="宋体" w:cs="Times New Roman"/>
                <w:b/>
                <w:bCs/>
                <w:color w:val="auto"/>
                <w:kern w:val="0"/>
                <w:sz w:val="24"/>
                <w:szCs w:val="21"/>
                <w:highlight w:val="none"/>
              </w:rPr>
              <w:t>图</w:t>
            </w:r>
          </w:p>
          <w:p w14:paraId="7183F23E">
            <w:pPr>
              <w:widowControl w:val="0"/>
              <w:spacing w:line="360" w:lineRule="auto"/>
              <w:ind w:firstLine="480"/>
              <w:outlineLvl w:val="3"/>
              <w:rPr>
                <w:rFonts w:hint="default" w:ascii="Times New Roman" w:hAnsi="Times New Roman" w:eastAsia="宋体" w:cs="Times New Roman"/>
                <w:b/>
                <w:bCs/>
                <w:color w:val="auto"/>
                <w:kern w:val="2"/>
                <w:sz w:val="24"/>
                <w:szCs w:val="28"/>
                <w:highlight w:val="none"/>
                <w:lang w:val="en-US" w:eastAsia="zh-CN"/>
              </w:rPr>
            </w:pPr>
            <w:r>
              <w:rPr>
                <w:rFonts w:hint="default" w:ascii="Times New Roman" w:hAnsi="Times New Roman" w:eastAsia="宋体" w:cs="Times New Roman"/>
                <w:b/>
                <w:bCs/>
                <w:color w:val="auto"/>
                <w:kern w:val="2"/>
                <w:sz w:val="24"/>
                <w:szCs w:val="28"/>
                <w:highlight w:val="none"/>
                <w:lang w:val="en-US" w:eastAsia="zh-CN"/>
              </w:rPr>
              <w:t>5、</w:t>
            </w:r>
            <w:r>
              <w:rPr>
                <w:rFonts w:hint="default" w:ascii="Times New Roman" w:hAnsi="Times New Roman" w:eastAsia="宋体" w:cs="Times New Roman"/>
                <w:b/>
                <w:bCs/>
                <w:color w:val="auto"/>
                <w:kern w:val="2"/>
                <w:sz w:val="24"/>
                <w:szCs w:val="28"/>
                <w:highlight w:val="none"/>
              </w:rPr>
              <w:t>生态现状评价结论</w:t>
            </w:r>
          </w:p>
          <w:p w14:paraId="44295F1E">
            <w:pPr>
              <w:pStyle w:val="20"/>
              <w:spacing w:line="360" w:lineRule="auto"/>
              <w:ind w:firstLine="480" w:firstLineChars="20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32"/>
                <w:highlight w:val="none"/>
              </w:rPr>
              <w:t>根据《内蒙古自治区生态功能区划》，本项目</w:t>
            </w:r>
            <w:r>
              <w:rPr>
                <w:rFonts w:hint="default" w:ascii="Times New Roman" w:hAnsi="Times New Roman" w:eastAsia="宋体" w:cs="Times New Roman"/>
                <w:color w:val="auto"/>
                <w:sz w:val="24"/>
                <w:szCs w:val="32"/>
                <w:highlight w:val="none"/>
                <w:lang w:val="en-US" w:eastAsia="zh-CN"/>
              </w:rPr>
              <w:t>位</w:t>
            </w:r>
            <w:r>
              <w:rPr>
                <w:rFonts w:hint="default" w:ascii="Times New Roman" w:hAnsi="Times New Roman" w:eastAsia="宋体" w:cs="Times New Roman"/>
                <w:color w:val="auto"/>
                <w:sz w:val="24"/>
                <w:szCs w:val="32"/>
                <w:highlight w:val="none"/>
              </w:rPr>
              <w:t>于</w:t>
            </w:r>
            <w:r>
              <w:rPr>
                <w:rFonts w:hint="default" w:ascii="Times New Roman" w:hAnsi="Times New Roman" w:eastAsia="宋体" w:cs="Times New Roman"/>
                <w:color w:val="auto"/>
                <w:sz w:val="24"/>
                <w:szCs w:val="32"/>
                <w:highlight w:val="none"/>
                <w:lang w:eastAsia="zh-CN"/>
              </w:rPr>
              <w:t>Ⅲ</w:t>
            </w:r>
            <w:r>
              <w:rPr>
                <w:rFonts w:hint="default" w:ascii="Times New Roman" w:hAnsi="Times New Roman" w:eastAsia="宋体" w:cs="Times New Roman"/>
                <w:color w:val="auto"/>
                <w:sz w:val="24"/>
                <w:szCs w:val="32"/>
                <w:highlight w:val="none"/>
              </w:rPr>
              <w:t>-5-3毛乌素沙地植被防风固沙生态功能区；根据《鄂尔多斯市生态功能区划图》，本项目位于毛乌素沙地植被防风固沙生态功能区。由评价区生态环境质量现状调查结果可知，项目评价区土地利用类型以耕地、草地为主，评价区内主要植被类型以农田植被、沙蒿群落为主，评价区无保护动植物分布。</w:t>
            </w:r>
          </w:p>
        </w:tc>
      </w:tr>
      <w:tr w14:paraId="336792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824" w:type="dxa"/>
            <w:vAlign w:val="center"/>
          </w:tcPr>
          <w:p w14:paraId="713DC48F">
            <w:pPr>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环境保护目标</w:t>
            </w:r>
          </w:p>
        </w:tc>
        <w:tc>
          <w:tcPr>
            <w:tcW w:w="8194" w:type="dxa"/>
            <w:vAlign w:val="center"/>
          </w:tcPr>
          <w:p w14:paraId="086CC1A8">
            <w:pPr>
              <w:ind w:firstLine="482"/>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环境保护目标</w:t>
            </w:r>
          </w:p>
          <w:p w14:paraId="1C0F3F52">
            <w:pPr>
              <w:rPr>
                <w:rFonts w:hint="default" w:ascii="Times New Roman" w:hAnsi="Times New Roman" w:eastAsia="宋体" w:cs="Times New Roman"/>
                <w:color w:val="auto"/>
              </w:rPr>
            </w:pPr>
            <w:r>
              <w:rPr>
                <w:rFonts w:hint="default" w:ascii="Times New Roman" w:hAnsi="Times New Roman" w:eastAsia="宋体" w:cs="Times New Roman"/>
                <w:color w:val="auto"/>
              </w:rPr>
              <w:t>根据现场踏勘及工程资料，项目环境影响评价范围内，无通讯电台、飞机场、导航台等通讯设施，无自然保护区、风景名胜区、世界文化和自然遗产地、饮用水水源保护区等敏感区域。针对该项目的特点及地理位置，确定本项目环境保护目标及保护级别。</w:t>
            </w:r>
          </w:p>
          <w:p w14:paraId="419B4FBE">
            <w:pPr>
              <w:rPr>
                <w:rFonts w:hint="default" w:ascii="Times New Roman" w:hAnsi="Times New Roman" w:eastAsia="宋体" w:cs="Times New Roman"/>
                <w:color w:val="auto"/>
              </w:rPr>
            </w:pPr>
            <w:r>
              <w:rPr>
                <w:rFonts w:hint="default" w:ascii="Times New Roman" w:hAnsi="Times New Roman" w:eastAsia="宋体" w:cs="Times New Roman"/>
                <w:color w:val="auto"/>
              </w:rPr>
              <w:t>主要环境保护目标（列出名单及保护级别）：</w:t>
            </w:r>
          </w:p>
          <w:p w14:paraId="18FA437B">
            <w:pPr>
              <w:adjustRightInd/>
              <w:snapToGrid/>
              <w:rPr>
                <w:rFonts w:hint="default" w:ascii="Times New Roman" w:hAnsi="Times New Roman" w:eastAsia="宋体" w:cs="Times New Roman"/>
                <w:color w:val="auto"/>
              </w:rPr>
            </w:pPr>
            <w:r>
              <w:rPr>
                <w:rFonts w:hint="default" w:ascii="Times New Roman" w:hAnsi="Times New Roman" w:eastAsia="宋体" w:cs="Times New Roman"/>
                <w:color w:val="auto"/>
              </w:rPr>
              <w:t>根据《建设项目环境影响报告表编制技术指南</w:t>
            </w:r>
            <w:r>
              <w:rPr>
                <w:rFonts w:hint="default" w:ascii="Times New Roman" w:hAnsi="Times New Roman" w:eastAsia="宋体" w:cs="Times New Roman"/>
                <w:color w:val="auto"/>
                <w:lang w:eastAsia="zh-CN"/>
              </w:rPr>
              <w:t>（试行）》</w:t>
            </w:r>
            <w:r>
              <w:rPr>
                <w:rFonts w:hint="default" w:ascii="Times New Roman" w:hAnsi="Times New Roman" w:eastAsia="宋体" w:cs="Times New Roman"/>
                <w:color w:val="auto"/>
              </w:rPr>
              <w:t>中关于环境保护目标的规定：</w:t>
            </w:r>
          </w:p>
          <w:p w14:paraId="72819C0F">
            <w:pPr>
              <w:numPr>
                <w:ilvl w:val="0"/>
                <w:numId w:val="4"/>
              </w:numPr>
              <w:adjustRightInd/>
              <w:snapToGrid/>
              <w:rPr>
                <w:rFonts w:hint="default" w:ascii="Times New Roman" w:hAnsi="Times New Roman" w:eastAsia="宋体" w:cs="Times New Roman"/>
                <w:color w:val="auto"/>
              </w:rPr>
            </w:pPr>
            <w:r>
              <w:rPr>
                <w:rFonts w:hint="default" w:ascii="Times New Roman" w:hAnsi="Times New Roman" w:eastAsia="宋体" w:cs="Times New Roman"/>
                <w:color w:val="auto"/>
              </w:rPr>
              <w:t>大气环境：明确厂界外500m范围内的自然保护区、风景名胜区、居住区、文化区和农村地区中人群较集中的区域；</w:t>
            </w:r>
          </w:p>
          <w:p w14:paraId="3FD58147">
            <w:pPr>
              <w:numPr>
                <w:ilvl w:val="0"/>
                <w:numId w:val="4"/>
              </w:numPr>
              <w:adjustRightInd/>
              <w:snapToGrid/>
              <w:rPr>
                <w:rFonts w:hint="default" w:ascii="Times New Roman" w:hAnsi="Times New Roman" w:eastAsia="宋体" w:cs="Times New Roman"/>
                <w:color w:val="auto"/>
              </w:rPr>
            </w:pPr>
            <w:r>
              <w:rPr>
                <w:rFonts w:hint="default" w:ascii="Times New Roman" w:hAnsi="Times New Roman" w:eastAsia="宋体" w:cs="Times New Roman"/>
                <w:color w:val="auto"/>
              </w:rPr>
              <w:t>声环境：明确厂界外50m范围内声环境保护目标；</w:t>
            </w:r>
          </w:p>
          <w:p w14:paraId="01FDF1A7">
            <w:pPr>
              <w:numPr>
                <w:ilvl w:val="0"/>
                <w:numId w:val="4"/>
              </w:numPr>
              <w:rPr>
                <w:rFonts w:hint="default" w:ascii="Times New Roman" w:hAnsi="Times New Roman" w:eastAsia="宋体" w:cs="Times New Roman"/>
                <w:color w:val="auto"/>
              </w:rPr>
            </w:pPr>
            <w:r>
              <w:rPr>
                <w:rFonts w:hint="default" w:ascii="Times New Roman" w:hAnsi="Times New Roman" w:eastAsia="宋体" w:cs="Times New Roman"/>
                <w:color w:val="auto"/>
              </w:rPr>
              <w:t>地下水环境：厂界外500米范围内无地下水集中式饮用水水源和热水、矿泉水、温泉等特殊地下水资源。</w:t>
            </w:r>
          </w:p>
          <w:p w14:paraId="64EBEA5B">
            <w:pPr>
              <w:tabs>
                <w:tab w:val="left" w:pos="0"/>
              </w:tabs>
              <w:rPr>
                <w:rFonts w:hint="default" w:ascii="Times New Roman" w:hAnsi="Times New Roman" w:eastAsia="宋体" w:cs="Times New Roman"/>
                <w:color w:val="auto"/>
              </w:rPr>
            </w:pPr>
            <w:r>
              <w:rPr>
                <w:rFonts w:hint="default" w:ascii="Times New Roman" w:hAnsi="Times New Roman" w:eastAsia="宋体" w:cs="Times New Roman"/>
                <w:color w:val="auto"/>
              </w:rPr>
              <w:t>评价范围内的主要环境保护敏感目标见表3-</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w:t>
            </w:r>
          </w:p>
          <w:p w14:paraId="0F604178">
            <w:pPr>
              <w:pStyle w:val="37"/>
              <w:bidi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表3</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 xml:space="preserve">  项目环境保护目标</w:t>
            </w:r>
          </w:p>
          <w:tbl>
            <w:tblPr>
              <w:tblStyle w:val="25"/>
              <w:tblW w:w="79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115"/>
              <w:gridCol w:w="1371"/>
              <w:gridCol w:w="1341"/>
              <w:gridCol w:w="790"/>
              <w:gridCol w:w="2487"/>
            </w:tblGrid>
            <w:tr w14:paraId="3EE0D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547" w:type="pct"/>
                  <w:noWrap w:val="0"/>
                  <w:vAlign w:val="center"/>
                </w:tcPr>
                <w:p w14:paraId="56B71646">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环境</w:t>
                  </w:r>
                </w:p>
                <w:p w14:paraId="7778D269">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要素</w:t>
                  </w:r>
                </w:p>
              </w:tc>
              <w:tc>
                <w:tcPr>
                  <w:tcW w:w="698" w:type="pct"/>
                  <w:noWrap w:val="0"/>
                  <w:vAlign w:val="center"/>
                </w:tcPr>
                <w:p w14:paraId="2DBB3761">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保护目标</w:t>
                  </w:r>
                </w:p>
              </w:tc>
              <w:tc>
                <w:tcPr>
                  <w:tcW w:w="859" w:type="pct"/>
                  <w:noWrap w:val="0"/>
                  <w:vAlign w:val="center"/>
                </w:tcPr>
                <w:p w14:paraId="13C53452">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与厂址方位</w:t>
                  </w:r>
                </w:p>
              </w:tc>
              <w:tc>
                <w:tcPr>
                  <w:tcW w:w="840" w:type="pct"/>
                  <w:noWrap w:val="0"/>
                  <w:vAlign w:val="center"/>
                </w:tcPr>
                <w:p w14:paraId="66CB3AAD">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与厂址距离（m）</w:t>
                  </w:r>
                </w:p>
              </w:tc>
              <w:tc>
                <w:tcPr>
                  <w:tcW w:w="495" w:type="pct"/>
                  <w:noWrap w:val="0"/>
                  <w:vAlign w:val="center"/>
                </w:tcPr>
                <w:p w14:paraId="4BB47290">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人数</w:t>
                  </w:r>
                </w:p>
              </w:tc>
              <w:tc>
                <w:tcPr>
                  <w:tcW w:w="1558" w:type="pct"/>
                  <w:noWrap w:val="0"/>
                  <w:vAlign w:val="center"/>
                </w:tcPr>
                <w:p w14:paraId="7B5B708B">
                  <w:pPr>
                    <w:pStyle w:val="52"/>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功能目标</w:t>
                  </w:r>
                </w:p>
              </w:tc>
            </w:tr>
            <w:tr w14:paraId="5A7D9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547" w:type="pct"/>
                  <w:noWrap w:val="0"/>
                  <w:vAlign w:val="center"/>
                </w:tcPr>
                <w:p w14:paraId="7346AE71">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环境空气</w:t>
                  </w:r>
                </w:p>
              </w:tc>
              <w:tc>
                <w:tcPr>
                  <w:tcW w:w="2893" w:type="pct"/>
                  <w:gridSpan w:val="4"/>
                  <w:noWrap w:val="0"/>
                  <w:vAlign w:val="center"/>
                </w:tcPr>
                <w:p w14:paraId="36F64898">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厂界外500m范围内无自然保护区、风景名胜区、居住区、文化区和农村地区中人群较集中的区域，故无大气环境保护目标</w:t>
                  </w:r>
                </w:p>
              </w:tc>
              <w:tc>
                <w:tcPr>
                  <w:tcW w:w="1558" w:type="pct"/>
                  <w:noWrap w:val="0"/>
                  <w:vAlign w:val="center"/>
                </w:tcPr>
                <w:p w14:paraId="0159005E">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环境空气质量标准（GB3095-2012）二级标准</w:t>
                  </w:r>
                </w:p>
              </w:tc>
            </w:tr>
            <w:tr w14:paraId="61465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547" w:type="pct"/>
                  <w:noWrap w:val="0"/>
                  <w:vAlign w:val="center"/>
                </w:tcPr>
                <w:p w14:paraId="38C0B9E1">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声环境</w:t>
                  </w:r>
                </w:p>
              </w:tc>
              <w:tc>
                <w:tcPr>
                  <w:tcW w:w="2893" w:type="pct"/>
                  <w:gridSpan w:val="4"/>
                  <w:noWrap w:val="0"/>
                  <w:vAlign w:val="center"/>
                </w:tcPr>
                <w:p w14:paraId="3BB92CEB">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厂界外50m范围内无声环境敏感点</w:t>
                  </w:r>
                </w:p>
              </w:tc>
              <w:tc>
                <w:tcPr>
                  <w:tcW w:w="1558" w:type="pct"/>
                  <w:noWrap w:val="0"/>
                  <w:vAlign w:val="center"/>
                </w:tcPr>
                <w:p w14:paraId="6830E493">
                  <w:pPr>
                    <w:pStyle w:val="52"/>
                    <w:bidi w:val="0"/>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w:t>
                  </w:r>
                </w:p>
              </w:tc>
            </w:tr>
            <w:tr w14:paraId="1554D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7" w:hRule="atLeast"/>
                <w:jc w:val="center"/>
              </w:trPr>
              <w:tc>
                <w:tcPr>
                  <w:tcW w:w="547" w:type="pct"/>
                  <w:noWrap w:val="0"/>
                  <w:vAlign w:val="center"/>
                </w:tcPr>
                <w:p w14:paraId="331586B3">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地表水环境</w:t>
                  </w:r>
                </w:p>
              </w:tc>
              <w:tc>
                <w:tcPr>
                  <w:tcW w:w="2893" w:type="pct"/>
                  <w:gridSpan w:val="4"/>
                  <w:noWrap w:val="0"/>
                  <w:vAlign w:val="center"/>
                </w:tcPr>
                <w:p w14:paraId="08ED28C8">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嘎鲁图镇镇级河流海子湾沟部</w:t>
                  </w:r>
                </w:p>
              </w:tc>
              <w:tc>
                <w:tcPr>
                  <w:tcW w:w="1558" w:type="pct"/>
                  <w:noWrap w:val="0"/>
                  <w:vAlign w:val="center"/>
                </w:tcPr>
                <w:p w14:paraId="78AF8E6E">
                  <w:pPr>
                    <w:pStyle w:val="52"/>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永久占地、临时占地均不占用</w:t>
                  </w:r>
                </w:p>
              </w:tc>
            </w:tr>
            <w:tr w14:paraId="268F0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4" w:hRule="atLeast"/>
                <w:jc w:val="center"/>
              </w:trPr>
              <w:tc>
                <w:tcPr>
                  <w:tcW w:w="547" w:type="pct"/>
                  <w:noWrap w:val="0"/>
                  <w:vAlign w:val="center"/>
                </w:tcPr>
                <w:p w14:paraId="7B35C65E">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地下水环境</w:t>
                  </w:r>
                </w:p>
              </w:tc>
              <w:tc>
                <w:tcPr>
                  <w:tcW w:w="2893" w:type="pct"/>
                  <w:gridSpan w:val="4"/>
                  <w:noWrap w:val="0"/>
                  <w:vAlign w:val="center"/>
                </w:tcPr>
                <w:p w14:paraId="6474E8B1">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厂界外扩500m范围</w:t>
                  </w:r>
                </w:p>
              </w:tc>
              <w:tc>
                <w:tcPr>
                  <w:tcW w:w="1558" w:type="pct"/>
                  <w:noWrap w:val="0"/>
                  <w:vAlign w:val="center"/>
                </w:tcPr>
                <w:p w14:paraId="4FC95320">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厂界外500m范围内无地下水集中式饮用水水源和热水、矿泉水、温泉等特殊地下水资源</w:t>
                  </w:r>
                </w:p>
              </w:tc>
            </w:tr>
            <w:tr w14:paraId="39B4A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547" w:type="pct"/>
                  <w:noWrap w:val="0"/>
                  <w:vAlign w:val="center"/>
                </w:tcPr>
                <w:p w14:paraId="36750064">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生态</w:t>
                  </w:r>
                  <w:r>
                    <w:rPr>
                      <w:rFonts w:hint="default" w:ascii="Times New Roman" w:hAnsi="Times New Roman" w:eastAsia="宋体" w:cs="Times New Roman"/>
                      <w:color w:val="auto"/>
                    </w:rPr>
                    <w:t>环境</w:t>
                  </w:r>
                </w:p>
              </w:tc>
              <w:tc>
                <w:tcPr>
                  <w:tcW w:w="2893" w:type="pct"/>
                  <w:gridSpan w:val="4"/>
                  <w:noWrap w:val="0"/>
                  <w:vAlign w:val="center"/>
                </w:tcPr>
                <w:p w14:paraId="58C10F01">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评价范围</w:t>
                  </w:r>
                  <w:r>
                    <w:rPr>
                      <w:rFonts w:hint="default" w:ascii="Times New Roman" w:hAnsi="Times New Roman" w:eastAsia="宋体" w:cs="Times New Roman"/>
                      <w:color w:val="auto"/>
                    </w:rPr>
                    <w:t>内</w:t>
                  </w:r>
                  <w:r>
                    <w:rPr>
                      <w:rFonts w:hint="default" w:ascii="Times New Roman" w:hAnsi="Times New Roman" w:eastAsia="宋体" w:cs="Times New Roman"/>
                      <w:color w:val="auto"/>
                      <w:lang w:val="en-US" w:eastAsia="zh-CN"/>
                    </w:rPr>
                    <w:t>主要为</w:t>
                  </w:r>
                  <w:r>
                    <w:rPr>
                      <w:rFonts w:hint="default" w:ascii="Times New Roman" w:hAnsi="Times New Roman" w:eastAsia="宋体" w:cs="Times New Roman"/>
                      <w:color w:val="auto"/>
                    </w:rPr>
                    <w:t>林草地、</w:t>
                  </w:r>
                  <w:r>
                    <w:rPr>
                      <w:rFonts w:hint="default" w:ascii="Times New Roman" w:hAnsi="Times New Roman" w:eastAsia="宋体" w:cs="Times New Roman"/>
                      <w:color w:val="auto"/>
                      <w:lang w:val="en-US" w:eastAsia="zh-CN"/>
                    </w:rPr>
                    <w:t>农田</w:t>
                  </w:r>
                  <w:r>
                    <w:rPr>
                      <w:rFonts w:hint="default" w:ascii="Times New Roman" w:hAnsi="Times New Roman" w:eastAsia="宋体" w:cs="Times New Roman"/>
                      <w:color w:val="auto"/>
                    </w:rPr>
                    <w:t>、野生动物等</w:t>
                  </w:r>
                </w:p>
              </w:tc>
              <w:tc>
                <w:tcPr>
                  <w:tcW w:w="1558" w:type="pct"/>
                  <w:noWrap w:val="0"/>
                  <w:vAlign w:val="center"/>
                </w:tcPr>
                <w:p w14:paraId="5C662040">
                  <w:pPr>
                    <w:pStyle w:val="52"/>
                    <w:bidi w:val="0"/>
                    <w:rPr>
                      <w:rFonts w:hint="default" w:ascii="Times New Roman" w:hAnsi="Times New Roman" w:eastAsia="宋体" w:cs="Times New Roman"/>
                      <w:color w:val="auto"/>
                    </w:rPr>
                  </w:pPr>
                  <w:r>
                    <w:rPr>
                      <w:rFonts w:hint="default" w:ascii="Times New Roman" w:hAnsi="Times New Roman" w:eastAsia="宋体" w:cs="Times New Roman"/>
                      <w:color w:val="auto"/>
                    </w:rPr>
                    <w:t>减少植被、农田破坏和水土流失、降低对项目所在地野生动物惊扰</w:t>
                  </w:r>
                </w:p>
              </w:tc>
            </w:tr>
          </w:tbl>
          <w:p w14:paraId="054AC875">
            <w:pPr>
              <w:numPr>
                <w:ilvl w:val="0"/>
                <w:numId w:val="0"/>
              </w:numPr>
              <w:rPr>
                <w:rFonts w:hint="default" w:ascii="Times New Roman" w:hAnsi="Times New Roman" w:eastAsia="宋体" w:cs="Times New Roman"/>
                <w:color w:val="auto"/>
              </w:rPr>
            </w:pPr>
          </w:p>
          <w:p w14:paraId="35F07C95">
            <w:pPr>
              <w:pStyle w:val="37"/>
              <w:jc w:val="both"/>
              <w:rPr>
                <w:rFonts w:hint="default" w:ascii="Times New Roman" w:hAnsi="Times New Roman" w:eastAsia="宋体" w:cs="Times New Roman"/>
                <w:color w:val="auto"/>
              </w:rPr>
            </w:pPr>
          </w:p>
        </w:tc>
      </w:tr>
      <w:tr w14:paraId="33BF3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24" w:type="dxa"/>
            <w:tcMar>
              <w:left w:w="28" w:type="dxa"/>
              <w:right w:w="28" w:type="dxa"/>
            </w:tcMar>
            <w:vAlign w:val="center"/>
          </w:tcPr>
          <w:p w14:paraId="5311F17C">
            <w:pPr>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污染物排放控制标准</w:t>
            </w:r>
          </w:p>
        </w:tc>
        <w:tc>
          <w:tcPr>
            <w:tcW w:w="8194" w:type="dxa"/>
            <w:vAlign w:val="center"/>
          </w:tcPr>
          <w:p w14:paraId="5160DB1B">
            <w:pPr>
              <w:ind w:firstLine="482"/>
              <w:rPr>
                <w:rFonts w:hint="default" w:ascii="Times New Roman" w:hAnsi="Times New Roman" w:eastAsia="宋体" w:cs="Times New Roman"/>
                <w:b/>
                <w:bCs/>
                <w:color w:val="auto"/>
                <w:lang w:val="zh-CN"/>
              </w:rPr>
            </w:pPr>
            <w:r>
              <w:rPr>
                <w:rFonts w:hint="default" w:ascii="Times New Roman" w:hAnsi="Times New Roman" w:eastAsia="宋体" w:cs="Times New Roman"/>
                <w:b/>
                <w:bCs/>
                <w:color w:val="auto"/>
                <w:lang w:val="zh-CN"/>
              </w:rPr>
              <w:t>1、大气污染物排放标准</w:t>
            </w:r>
          </w:p>
          <w:p w14:paraId="074E958C">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0"/>
                <w:sz w:val="24"/>
                <w:szCs w:val="24"/>
                <w:lang w:bidi="ar"/>
              </w:rPr>
              <w:t>本项目</w:t>
            </w:r>
            <w:r>
              <w:rPr>
                <w:rFonts w:hint="default" w:ascii="Times New Roman" w:hAnsi="Times New Roman" w:eastAsia="宋体" w:cs="Times New Roman"/>
                <w:color w:val="auto"/>
                <w:kern w:val="2"/>
                <w:sz w:val="24"/>
                <w:szCs w:val="24"/>
                <w:lang w:bidi="ar"/>
              </w:rPr>
              <w:t>施工期扬尘无组织排放执行《大气污染物综合排放标准》（GB16297-1996）表2新污染源无组织排放监控浓度限值，具体标准值详见下表。运营期颗粒物排放执行《煤炭工业污染物排放标准》（GB20426-2006），具体标准值详见下表。</w:t>
            </w:r>
          </w:p>
          <w:p w14:paraId="6A405789">
            <w:pPr>
              <w:widowControl w:val="0"/>
              <w:spacing w:line="240" w:lineRule="auto"/>
              <w:ind w:firstLine="0" w:firstLineChars="0"/>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lang w:bidi="ar"/>
              </w:rPr>
              <w:t>表</w:t>
            </w:r>
            <w:r>
              <w:rPr>
                <w:rFonts w:hint="default" w:ascii="Times New Roman" w:hAnsi="Times New Roman" w:eastAsia="宋体" w:cs="Times New Roman"/>
                <w:b/>
                <w:color w:val="auto"/>
                <w:kern w:val="2"/>
                <w:sz w:val="24"/>
                <w:szCs w:val="24"/>
                <w:lang w:val="en-US" w:eastAsia="zh-CN" w:bidi="ar"/>
              </w:rPr>
              <w:t>3-9</w:t>
            </w:r>
            <w:r>
              <w:rPr>
                <w:rFonts w:hint="default" w:ascii="Times New Roman" w:hAnsi="Times New Roman" w:eastAsia="宋体" w:cs="Times New Roman"/>
                <w:b/>
                <w:color w:val="auto"/>
                <w:kern w:val="2"/>
                <w:sz w:val="24"/>
                <w:szCs w:val="24"/>
                <w:lang w:bidi="ar"/>
              </w:rPr>
              <w:t xml:space="preserve">   大气污染物排放浓度限值</w:t>
            </w:r>
          </w:p>
          <w:tbl>
            <w:tblPr>
              <w:tblStyle w:val="25"/>
              <w:tblW w:w="8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44"/>
              <w:gridCol w:w="3378"/>
              <w:gridCol w:w="2557"/>
            </w:tblGrid>
            <w:tr w14:paraId="20213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9" w:hRule="atLeast"/>
                <w:jc w:val="center"/>
              </w:trPr>
              <w:tc>
                <w:tcPr>
                  <w:tcW w:w="2244" w:type="dxa"/>
                  <w:vMerge w:val="restart"/>
                  <w:tcBorders>
                    <w:top w:val="single" w:color="auto" w:sz="4" w:space="0"/>
                    <w:left w:val="single" w:color="auto" w:sz="4" w:space="0"/>
                    <w:bottom w:val="single" w:color="auto" w:sz="4" w:space="0"/>
                    <w:right w:val="single" w:color="auto" w:sz="4" w:space="0"/>
                  </w:tcBorders>
                  <w:noWrap w:val="0"/>
                  <w:vAlign w:val="center"/>
                </w:tcPr>
                <w:p w14:paraId="24B11CD1">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污染物</w:t>
                  </w:r>
                </w:p>
              </w:tc>
              <w:tc>
                <w:tcPr>
                  <w:tcW w:w="5935" w:type="dxa"/>
                  <w:gridSpan w:val="2"/>
                  <w:tcBorders>
                    <w:top w:val="single" w:color="auto" w:sz="4" w:space="0"/>
                    <w:left w:val="single" w:color="auto" w:sz="4" w:space="0"/>
                    <w:bottom w:val="single" w:color="auto" w:sz="4" w:space="0"/>
                    <w:right w:val="single" w:color="auto" w:sz="4" w:space="0"/>
                  </w:tcBorders>
                  <w:noWrap w:val="0"/>
                  <w:vAlign w:val="center"/>
                </w:tcPr>
                <w:p w14:paraId="43FE77A3">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无组织排放监控浓度限值（mg/m</w:t>
                  </w:r>
                  <w:r>
                    <w:rPr>
                      <w:rFonts w:hint="default" w:ascii="Times New Roman" w:hAnsi="Times New Roman" w:eastAsia="宋体" w:cs="Times New Roman"/>
                      <w:color w:val="auto"/>
                      <w:kern w:val="2"/>
                      <w:sz w:val="21"/>
                      <w:szCs w:val="21"/>
                      <w:vertAlign w:val="superscript"/>
                      <w:lang w:bidi="ar"/>
                    </w:rPr>
                    <w:t>3</w:t>
                  </w:r>
                  <w:r>
                    <w:rPr>
                      <w:rFonts w:hint="default" w:ascii="Times New Roman" w:hAnsi="Times New Roman" w:eastAsia="宋体" w:cs="Times New Roman"/>
                      <w:color w:val="auto"/>
                      <w:kern w:val="2"/>
                      <w:sz w:val="21"/>
                      <w:szCs w:val="21"/>
                      <w:lang w:bidi="ar"/>
                    </w:rPr>
                    <w:t>）</w:t>
                  </w:r>
                </w:p>
              </w:tc>
            </w:tr>
            <w:tr w14:paraId="0E886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2244" w:type="dxa"/>
                  <w:vMerge w:val="continue"/>
                  <w:tcBorders>
                    <w:top w:val="single" w:color="auto" w:sz="4" w:space="0"/>
                    <w:left w:val="single" w:color="auto" w:sz="4" w:space="0"/>
                    <w:bottom w:val="single" w:color="auto" w:sz="4" w:space="0"/>
                    <w:right w:val="single" w:color="auto" w:sz="4" w:space="0"/>
                  </w:tcBorders>
                  <w:noWrap w:val="0"/>
                  <w:vAlign w:val="center"/>
                </w:tcPr>
                <w:p w14:paraId="6670B975">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3378" w:type="dxa"/>
                  <w:tcBorders>
                    <w:top w:val="single" w:color="auto" w:sz="4" w:space="0"/>
                    <w:left w:val="single" w:color="auto" w:sz="4" w:space="0"/>
                    <w:bottom w:val="single" w:color="auto" w:sz="4" w:space="0"/>
                    <w:right w:val="single" w:color="auto" w:sz="4" w:space="0"/>
                  </w:tcBorders>
                  <w:noWrap w:val="0"/>
                  <w:vAlign w:val="center"/>
                </w:tcPr>
                <w:p w14:paraId="53B07E2A">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监控点</w:t>
                  </w:r>
                </w:p>
              </w:tc>
              <w:tc>
                <w:tcPr>
                  <w:tcW w:w="2557" w:type="dxa"/>
                  <w:tcBorders>
                    <w:top w:val="single" w:color="auto" w:sz="4" w:space="0"/>
                    <w:left w:val="single" w:color="auto" w:sz="4" w:space="0"/>
                    <w:bottom w:val="single" w:color="auto" w:sz="4" w:space="0"/>
                    <w:right w:val="single" w:color="auto" w:sz="4" w:space="0"/>
                  </w:tcBorders>
                  <w:noWrap w:val="0"/>
                  <w:vAlign w:val="center"/>
                </w:tcPr>
                <w:p w14:paraId="641A75E1">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浓度</w:t>
                  </w:r>
                </w:p>
              </w:tc>
            </w:tr>
            <w:tr w14:paraId="6CD27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2244" w:type="dxa"/>
                  <w:tcBorders>
                    <w:top w:val="single" w:color="auto" w:sz="4" w:space="0"/>
                    <w:left w:val="single" w:color="auto" w:sz="4" w:space="0"/>
                    <w:bottom w:val="single" w:color="auto" w:sz="4" w:space="0"/>
                    <w:right w:val="single" w:color="auto" w:sz="4" w:space="0"/>
                  </w:tcBorders>
                  <w:noWrap w:val="0"/>
                  <w:vAlign w:val="center"/>
                </w:tcPr>
                <w:p w14:paraId="3057294C">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3378" w:type="dxa"/>
                  <w:tcBorders>
                    <w:top w:val="single" w:color="auto" w:sz="4" w:space="0"/>
                    <w:left w:val="single" w:color="auto" w:sz="4" w:space="0"/>
                    <w:bottom w:val="single" w:color="auto" w:sz="4" w:space="0"/>
                    <w:right w:val="single" w:color="auto" w:sz="4" w:space="0"/>
                  </w:tcBorders>
                  <w:noWrap w:val="0"/>
                  <w:vAlign w:val="center"/>
                </w:tcPr>
                <w:p w14:paraId="02077768">
                  <w:pPr>
                    <w:widowControl w:val="0"/>
                    <w:spacing w:line="240" w:lineRule="auto"/>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1"/>
                      <w:lang w:bidi="ar"/>
                    </w:rPr>
                    <w:t>周界外浓度最高点</w:t>
                  </w:r>
                </w:p>
              </w:tc>
              <w:tc>
                <w:tcPr>
                  <w:tcW w:w="2557" w:type="dxa"/>
                  <w:tcBorders>
                    <w:top w:val="single" w:color="auto" w:sz="4" w:space="0"/>
                    <w:left w:val="single" w:color="auto" w:sz="4" w:space="0"/>
                    <w:bottom w:val="single" w:color="auto" w:sz="4" w:space="0"/>
                    <w:right w:val="single" w:color="auto" w:sz="4" w:space="0"/>
                  </w:tcBorders>
                  <w:noWrap w:val="0"/>
                  <w:vAlign w:val="center"/>
                </w:tcPr>
                <w:p w14:paraId="25DEC660">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1.0</w:t>
                  </w:r>
                </w:p>
              </w:tc>
            </w:tr>
          </w:tbl>
          <w:p w14:paraId="269FC492">
            <w:pPr>
              <w:widowControl w:val="0"/>
              <w:spacing w:line="240" w:lineRule="auto"/>
              <w:ind w:firstLine="0" w:firstLineChars="0"/>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lang w:bidi="ar"/>
              </w:rPr>
              <w:t>表</w:t>
            </w:r>
            <w:r>
              <w:rPr>
                <w:rFonts w:hint="default" w:ascii="Times New Roman" w:hAnsi="Times New Roman" w:eastAsia="宋体" w:cs="Times New Roman"/>
                <w:b/>
                <w:color w:val="auto"/>
                <w:kern w:val="2"/>
                <w:sz w:val="24"/>
                <w:szCs w:val="24"/>
                <w:lang w:val="en-US" w:eastAsia="zh-CN" w:bidi="ar"/>
              </w:rPr>
              <w:t>3-10</w:t>
            </w:r>
            <w:r>
              <w:rPr>
                <w:rFonts w:hint="default" w:ascii="Times New Roman" w:hAnsi="Times New Roman" w:eastAsia="宋体" w:cs="Times New Roman"/>
                <w:b/>
                <w:color w:val="auto"/>
                <w:kern w:val="2"/>
                <w:sz w:val="24"/>
                <w:szCs w:val="24"/>
                <w:lang w:bidi="ar"/>
              </w:rPr>
              <w:t xml:space="preserve">    煤炭工业大气污染物排放限值</w:t>
            </w:r>
          </w:p>
          <w:tbl>
            <w:tblPr>
              <w:tblStyle w:val="25"/>
              <w:tblW w:w="81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49"/>
              <w:gridCol w:w="3470"/>
              <w:gridCol w:w="3420"/>
            </w:tblGrid>
            <w:tr w14:paraId="6492D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1249" w:type="dxa"/>
                  <w:vMerge w:val="restart"/>
                  <w:tcBorders>
                    <w:top w:val="single" w:color="auto" w:sz="4" w:space="0"/>
                    <w:left w:val="single" w:color="auto" w:sz="4" w:space="0"/>
                    <w:bottom w:val="single" w:color="auto" w:sz="4" w:space="0"/>
                    <w:right w:val="single" w:color="auto" w:sz="4" w:space="0"/>
                  </w:tcBorders>
                  <w:noWrap w:val="0"/>
                  <w:vAlign w:val="center"/>
                </w:tcPr>
                <w:p w14:paraId="63B3B088">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污染物</w:t>
                  </w:r>
                </w:p>
              </w:tc>
              <w:tc>
                <w:tcPr>
                  <w:tcW w:w="6890" w:type="dxa"/>
                  <w:gridSpan w:val="2"/>
                  <w:tcBorders>
                    <w:top w:val="single" w:color="auto" w:sz="4" w:space="0"/>
                    <w:left w:val="single" w:color="auto" w:sz="4" w:space="0"/>
                    <w:bottom w:val="single" w:color="auto" w:sz="4" w:space="0"/>
                    <w:right w:val="single" w:color="auto" w:sz="4" w:space="0"/>
                  </w:tcBorders>
                  <w:noWrap w:val="0"/>
                  <w:vAlign w:val="center"/>
                </w:tcPr>
                <w:p w14:paraId="56255F3D">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生产设备</w:t>
                  </w:r>
                </w:p>
              </w:tc>
            </w:tr>
            <w:tr w14:paraId="15B72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249" w:type="dxa"/>
                  <w:vMerge w:val="continue"/>
                  <w:tcBorders>
                    <w:top w:val="single" w:color="auto" w:sz="4" w:space="0"/>
                    <w:left w:val="single" w:color="auto" w:sz="4" w:space="0"/>
                    <w:bottom w:val="single" w:color="auto" w:sz="4" w:space="0"/>
                    <w:right w:val="single" w:color="auto" w:sz="4" w:space="0"/>
                  </w:tcBorders>
                  <w:noWrap w:val="0"/>
                  <w:vAlign w:val="center"/>
                </w:tcPr>
                <w:p w14:paraId="3C288F51">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3470" w:type="dxa"/>
                  <w:tcBorders>
                    <w:top w:val="single" w:color="auto" w:sz="4" w:space="0"/>
                    <w:left w:val="single" w:color="auto" w:sz="4" w:space="0"/>
                    <w:bottom w:val="single" w:color="auto" w:sz="4" w:space="0"/>
                    <w:right w:val="single" w:color="auto" w:sz="4" w:space="0"/>
                  </w:tcBorders>
                  <w:noWrap w:val="0"/>
                  <w:vAlign w:val="center"/>
                </w:tcPr>
                <w:p w14:paraId="041D79A6">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原煤筛分、破碎、转载点等除尘设备</w:t>
                  </w:r>
                </w:p>
              </w:tc>
              <w:tc>
                <w:tcPr>
                  <w:tcW w:w="3420" w:type="dxa"/>
                  <w:tcBorders>
                    <w:top w:val="single" w:color="auto" w:sz="4" w:space="0"/>
                    <w:left w:val="single" w:color="auto" w:sz="4" w:space="0"/>
                    <w:bottom w:val="single" w:color="auto" w:sz="4" w:space="0"/>
                    <w:right w:val="single" w:color="auto" w:sz="4" w:space="0"/>
                  </w:tcBorders>
                  <w:noWrap w:val="0"/>
                  <w:vAlign w:val="center"/>
                </w:tcPr>
                <w:p w14:paraId="570A98AA">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煤炭风选设备通风管道、筛面、转载点等除尘设备</w:t>
                  </w:r>
                </w:p>
              </w:tc>
            </w:tr>
            <w:tr w14:paraId="298E6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jc w:val="center"/>
              </w:trPr>
              <w:tc>
                <w:tcPr>
                  <w:tcW w:w="1249" w:type="dxa"/>
                  <w:tcBorders>
                    <w:top w:val="single" w:color="auto" w:sz="4" w:space="0"/>
                    <w:left w:val="single" w:color="auto" w:sz="4" w:space="0"/>
                    <w:bottom w:val="single" w:color="auto" w:sz="4" w:space="0"/>
                    <w:right w:val="single" w:color="auto" w:sz="4" w:space="0"/>
                  </w:tcBorders>
                  <w:noWrap w:val="0"/>
                  <w:vAlign w:val="center"/>
                </w:tcPr>
                <w:p w14:paraId="489AA3B3">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3470" w:type="dxa"/>
                  <w:tcBorders>
                    <w:top w:val="single" w:color="auto" w:sz="4" w:space="0"/>
                    <w:left w:val="single" w:color="auto" w:sz="4" w:space="0"/>
                    <w:bottom w:val="single" w:color="auto" w:sz="4" w:space="0"/>
                    <w:right w:val="single" w:color="auto" w:sz="4" w:space="0"/>
                  </w:tcBorders>
                  <w:noWrap w:val="0"/>
                  <w:vAlign w:val="center"/>
                </w:tcPr>
                <w:p w14:paraId="3EF60467">
                  <w:pPr>
                    <w:widowControl w:val="0"/>
                    <w:spacing w:line="240" w:lineRule="auto"/>
                    <w:ind w:firstLine="0" w:firstLineChars="0"/>
                    <w:jc w:val="center"/>
                    <w:rPr>
                      <w:rFonts w:hint="default" w:ascii="Times New Roman" w:hAnsi="Times New Roman" w:eastAsia="宋体" w:cs="Times New Roman"/>
                      <w:color w:val="auto"/>
                      <w:kern w:val="2"/>
                      <w:sz w:val="21"/>
                      <w:szCs w:val="20"/>
                      <w:lang w:eastAsia="zh-CN"/>
                    </w:rPr>
                  </w:pPr>
                  <w:r>
                    <w:rPr>
                      <w:rFonts w:hint="default" w:ascii="Times New Roman" w:hAnsi="Times New Roman" w:eastAsia="宋体" w:cs="Times New Roman"/>
                      <w:color w:val="auto"/>
                      <w:kern w:val="2"/>
                      <w:sz w:val="21"/>
                      <w:szCs w:val="21"/>
                      <w:lang w:bidi="ar"/>
                    </w:rPr>
                    <w:t>80mg/m</w:t>
                  </w:r>
                  <w:r>
                    <w:rPr>
                      <w:rFonts w:hint="default" w:ascii="Times New Roman" w:hAnsi="Times New Roman" w:eastAsia="宋体" w:cs="Times New Roman"/>
                      <w:color w:val="auto"/>
                      <w:kern w:val="2"/>
                      <w:sz w:val="21"/>
                      <w:szCs w:val="21"/>
                      <w:vertAlign w:val="superscript"/>
                      <w:lang w:bidi="ar"/>
                    </w:rPr>
                    <w:t>3</w:t>
                  </w:r>
                  <w:r>
                    <w:rPr>
                      <w:rFonts w:hint="default" w:ascii="Times New Roman" w:hAnsi="Times New Roman" w:eastAsia="宋体" w:cs="Times New Roman"/>
                      <w:color w:val="auto"/>
                      <w:kern w:val="2"/>
                      <w:sz w:val="21"/>
                      <w:szCs w:val="21"/>
                      <w:lang w:bidi="ar"/>
                    </w:rPr>
                    <w:t>或设备去除效率＞</w:t>
                  </w:r>
                  <w:r>
                    <w:rPr>
                      <w:rFonts w:hint="default" w:ascii="Times New Roman" w:hAnsi="Times New Roman" w:eastAsia="宋体" w:cs="Times New Roman"/>
                      <w:color w:val="auto"/>
                      <w:kern w:val="2"/>
                      <w:sz w:val="21"/>
                      <w:szCs w:val="21"/>
                      <w:lang w:eastAsia="zh-CN" w:bidi="ar"/>
                    </w:rPr>
                    <w:t>9</w:t>
                  </w:r>
                  <w:r>
                    <w:rPr>
                      <w:rFonts w:hint="default" w:ascii="Times New Roman" w:hAnsi="Times New Roman" w:eastAsia="宋体" w:cs="Times New Roman"/>
                      <w:color w:val="auto"/>
                      <w:kern w:val="2"/>
                      <w:sz w:val="21"/>
                      <w:szCs w:val="21"/>
                      <w:lang w:val="en-US" w:eastAsia="zh-CN" w:bidi="ar"/>
                    </w:rPr>
                    <w:t>8</w:t>
                  </w:r>
                  <w:r>
                    <w:rPr>
                      <w:rFonts w:hint="default" w:ascii="Times New Roman" w:hAnsi="Times New Roman" w:eastAsia="宋体" w:cs="Times New Roman"/>
                      <w:color w:val="auto"/>
                      <w:kern w:val="2"/>
                      <w:sz w:val="21"/>
                      <w:szCs w:val="21"/>
                      <w:lang w:eastAsia="zh-CN" w:bidi="ar"/>
                    </w:rPr>
                    <w:t>%</w:t>
                  </w:r>
                </w:p>
              </w:tc>
              <w:tc>
                <w:tcPr>
                  <w:tcW w:w="3420" w:type="dxa"/>
                  <w:tcBorders>
                    <w:top w:val="single" w:color="auto" w:sz="4" w:space="0"/>
                    <w:left w:val="single" w:color="auto" w:sz="4" w:space="0"/>
                    <w:bottom w:val="single" w:color="auto" w:sz="4" w:space="0"/>
                    <w:right w:val="single" w:color="auto" w:sz="4" w:space="0"/>
                  </w:tcBorders>
                  <w:noWrap w:val="0"/>
                  <w:vAlign w:val="center"/>
                </w:tcPr>
                <w:p w14:paraId="0176AD5F">
                  <w:pPr>
                    <w:widowControl w:val="0"/>
                    <w:spacing w:line="240" w:lineRule="auto"/>
                    <w:ind w:firstLine="0" w:firstLineChars="0"/>
                    <w:jc w:val="center"/>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lang w:bidi="ar"/>
                    </w:rPr>
                    <w:t>80mg/m</w:t>
                  </w:r>
                  <w:r>
                    <w:rPr>
                      <w:rFonts w:hint="default" w:ascii="Times New Roman" w:hAnsi="Times New Roman" w:eastAsia="宋体" w:cs="Times New Roman"/>
                      <w:color w:val="auto"/>
                      <w:kern w:val="2"/>
                      <w:sz w:val="21"/>
                      <w:szCs w:val="21"/>
                      <w:vertAlign w:val="superscript"/>
                      <w:lang w:bidi="ar"/>
                    </w:rPr>
                    <w:t>3</w:t>
                  </w:r>
                  <w:r>
                    <w:rPr>
                      <w:rFonts w:hint="default" w:ascii="Times New Roman" w:hAnsi="Times New Roman" w:eastAsia="宋体" w:cs="Times New Roman"/>
                      <w:color w:val="auto"/>
                      <w:kern w:val="2"/>
                      <w:sz w:val="21"/>
                      <w:szCs w:val="21"/>
                      <w:lang w:bidi="ar"/>
                    </w:rPr>
                    <w:t>或设备去除效率＞</w:t>
                  </w:r>
                  <w:r>
                    <w:rPr>
                      <w:rFonts w:hint="default" w:ascii="Times New Roman" w:hAnsi="Times New Roman" w:eastAsia="宋体" w:cs="Times New Roman"/>
                      <w:color w:val="auto"/>
                      <w:kern w:val="2"/>
                      <w:sz w:val="21"/>
                      <w:szCs w:val="21"/>
                      <w:lang w:eastAsia="zh-CN" w:bidi="ar"/>
                    </w:rPr>
                    <w:t>9</w:t>
                  </w:r>
                  <w:r>
                    <w:rPr>
                      <w:rFonts w:hint="default" w:ascii="Times New Roman" w:hAnsi="Times New Roman" w:eastAsia="宋体" w:cs="Times New Roman"/>
                      <w:color w:val="auto"/>
                      <w:kern w:val="2"/>
                      <w:sz w:val="21"/>
                      <w:szCs w:val="21"/>
                      <w:lang w:val="en-US" w:eastAsia="zh-CN" w:bidi="ar"/>
                    </w:rPr>
                    <w:t>8</w:t>
                  </w:r>
                  <w:r>
                    <w:rPr>
                      <w:rFonts w:hint="default" w:ascii="Times New Roman" w:hAnsi="Times New Roman" w:eastAsia="宋体" w:cs="Times New Roman"/>
                      <w:color w:val="auto"/>
                      <w:kern w:val="2"/>
                      <w:sz w:val="21"/>
                      <w:szCs w:val="21"/>
                      <w:lang w:eastAsia="zh-CN" w:bidi="ar"/>
                    </w:rPr>
                    <w:t>%</w:t>
                  </w:r>
                </w:p>
              </w:tc>
            </w:tr>
          </w:tbl>
          <w:p w14:paraId="4243CF63">
            <w:pPr>
              <w:widowControl w:val="0"/>
              <w:spacing w:line="240" w:lineRule="auto"/>
              <w:ind w:firstLine="0" w:firstLineChars="0"/>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lang w:bidi="ar"/>
              </w:rPr>
              <w:t>表</w:t>
            </w:r>
            <w:r>
              <w:rPr>
                <w:rFonts w:hint="default" w:ascii="Times New Roman" w:hAnsi="Times New Roman" w:eastAsia="宋体" w:cs="Times New Roman"/>
                <w:b/>
                <w:color w:val="auto"/>
                <w:kern w:val="2"/>
                <w:sz w:val="24"/>
                <w:szCs w:val="24"/>
                <w:lang w:val="en-US" w:eastAsia="zh-CN" w:bidi="ar"/>
              </w:rPr>
              <w:t>3-11</w:t>
            </w:r>
            <w:r>
              <w:rPr>
                <w:rFonts w:hint="default" w:ascii="Times New Roman" w:hAnsi="Times New Roman" w:eastAsia="宋体" w:cs="Times New Roman"/>
                <w:b/>
                <w:color w:val="auto"/>
                <w:kern w:val="2"/>
                <w:sz w:val="24"/>
                <w:szCs w:val="24"/>
                <w:lang w:bidi="ar"/>
              </w:rPr>
              <w:t xml:space="preserve">    煤炭工业无组织排放限值</w:t>
            </w:r>
          </w:p>
          <w:tbl>
            <w:tblPr>
              <w:tblStyle w:val="25"/>
              <w:tblW w:w="8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56"/>
              <w:gridCol w:w="1394"/>
              <w:gridCol w:w="2929"/>
              <w:gridCol w:w="2600"/>
            </w:tblGrid>
            <w:tr w14:paraId="38D99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1256" w:type="dxa"/>
                  <w:vMerge w:val="restart"/>
                  <w:tcBorders>
                    <w:top w:val="single" w:color="auto" w:sz="4" w:space="0"/>
                    <w:left w:val="single" w:color="auto" w:sz="4" w:space="0"/>
                    <w:bottom w:val="single" w:color="auto" w:sz="4" w:space="0"/>
                    <w:right w:val="single" w:color="auto" w:sz="4" w:space="0"/>
                  </w:tcBorders>
                  <w:noWrap w:val="0"/>
                  <w:vAlign w:val="center"/>
                </w:tcPr>
                <w:p w14:paraId="30CB22E7">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污染物</w:t>
                  </w:r>
                </w:p>
              </w:tc>
              <w:tc>
                <w:tcPr>
                  <w:tcW w:w="1394" w:type="dxa"/>
                  <w:vMerge w:val="restart"/>
                  <w:tcBorders>
                    <w:top w:val="single" w:color="auto" w:sz="4" w:space="0"/>
                    <w:left w:val="single" w:color="auto" w:sz="4" w:space="0"/>
                    <w:bottom w:val="single" w:color="auto" w:sz="4" w:space="0"/>
                    <w:right w:val="single" w:color="auto" w:sz="4" w:space="0"/>
                  </w:tcBorders>
                  <w:noWrap w:val="0"/>
                  <w:vAlign w:val="center"/>
                </w:tcPr>
                <w:p w14:paraId="5654045D">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监控点</w:t>
                  </w:r>
                </w:p>
              </w:tc>
              <w:tc>
                <w:tcPr>
                  <w:tcW w:w="5529" w:type="dxa"/>
                  <w:gridSpan w:val="2"/>
                  <w:tcBorders>
                    <w:top w:val="single" w:color="auto" w:sz="4" w:space="0"/>
                    <w:left w:val="single" w:color="auto" w:sz="4" w:space="0"/>
                    <w:bottom w:val="single" w:color="auto" w:sz="4" w:space="0"/>
                    <w:right w:val="single" w:color="auto" w:sz="4" w:space="0"/>
                  </w:tcBorders>
                  <w:noWrap w:val="0"/>
                  <w:vAlign w:val="center"/>
                </w:tcPr>
                <w:p w14:paraId="55200D7C">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作业场所</w:t>
                  </w:r>
                </w:p>
              </w:tc>
            </w:tr>
            <w:tr w14:paraId="13868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1256" w:type="dxa"/>
                  <w:vMerge w:val="continue"/>
                  <w:tcBorders>
                    <w:top w:val="single" w:color="auto" w:sz="4" w:space="0"/>
                    <w:left w:val="single" w:color="auto" w:sz="4" w:space="0"/>
                    <w:bottom w:val="single" w:color="auto" w:sz="4" w:space="0"/>
                    <w:right w:val="single" w:color="auto" w:sz="4" w:space="0"/>
                  </w:tcBorders>
                  <w:noWrap w:val="0"/>
                  <w:vAlign w:val="center"/>
                </w:tcPr>
                <w:p w14:paraId="3FF28AC2">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1394" w:type="dxa"/>
                  <w:vMerge w:val="continue"/>
                  <w:tcBorders>
                    <w:top w:val="single" w:color="auto" w:sz="4" w:space="0"/>
                    <w:left w:val="single" w:color="auto" w:sz="4" w:space="0"/>
                    <w:bottom w:val="single" w:color="auto" w:sz="4" w:space="0"/>
                    <w:right w:val="single" w:color="auto" w:sz="4" w:space="0"/>
                  </w:tcBorders>
                  <w:noWrap w:val="0"/>
                  <w:vAlign w:val="center"/>
                </w:tcPr>
                <w:p w14:paraId="3B7DBA63">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A6A1E1A">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煤炭工业所属装卸场所</w:t>
                  </w:r>
                </w:p>
              </w:tc>
              <w:tc>
                <w:tcPr>
                  <w:tcW w:w="2600" w:type="dxa"/>
                  <w:tcBorders>
                    <w:top w:val="single" w:color="auto" w:sz="4" w:space="0"/>
                    <w:left w:val="single" w:color="auto" w:sz="4" w:space="0"/>
                    <w:bottom w:val="single" w:color="auto" w:sz="4" w:space="0"/>
                    <w:right w:val="single" w:color="auto" w:sz="4" w:space="0"/>
                  </w:tcBorders>
                  <w:noWrap w:val="0"/>
                  <w:vAlign w:val="center"/>
                </w:tcPr>
                <w:p w14:paraId="601BB2A4">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煤炭储存场所、煤矸石堆置场</w:t>
                  </w:r>
                </w:p>
              </w:tc>
            </w:tr>
            <w:tr w14:paraId="38F18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8" w:hRule="atLeast"/>
                <w:jc w:val="center"/>
              </w:trPr>
              <w:tc>
                <w:tcPr>
                  <w:tcW w:w="1256" w:type="dxa"/>
                  <w:vMerge w:val="continue"/>
                  <w:tcBorders>
                    <w:top w:val="single" w:color="auto" w:sz="4" w:space="0"/>
                    <w:left w:val="single" w:color="auto" w:sz="4" w:space="0"/>
                    <w:bottom w:val="single" w:color="auto" w:sz="4" w:space="0"/>
                    <w:right w:val="single" w:color="auto" w:sz="4" w:space="0"/>
                  </w:tcBorders>
                  <w:noWrap w:val="0"/>
                  <w:vAlign w:val="center"/>
                </w:tcPr>
                <w:p w14:paraId="44F81B48">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1394" w:type="dxa"/>
                  <w:vMerge w:val="continue"/>
                  <w:tcBorders>
                    <w:top w:val="single" w:color="auto" w:sz="4" w:space="0"/>
                    <w:left w:val="single" w:color="auto" w:sz="4" w:space="0"/>
                    <w:bottom w:val="single" w:color="auto" w:sz="4" w:space="0"/>
                    <w:right w:val="single" w:color="auto" w:sz="4" w:space="0"/>
                  </w:tcBorders>
                  <w:noWrap w:val="0"/>
                  <w:vAlign w:val="center"/>
                </w:tcPr>
                <w:p w14:paraId="50B20C71">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2929" w:type="dxa"/>
                  <w:tcBorders>
                    <w:top w:val="single" w:color="auto" w:sz="4" w:space="0"/>
                    <w:left w:val="single" w:color="auto" w:sz="4" w:space="0"/>
                    <w:bottom w:val="single" w:color="auto" w:sz="4" w:space="0"/>
                    <w:right w:val="single" w:color="auto" w:sz="4" w:space="0"/>
                  </w:tcBorders>
                  <w:noWrap w:val="0"/>
                  <w:vAlign w:val="center"/>
                </w:tcPr>
                <w:p w14:paraId="34034C67">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无组织排放限值（mg/Nm</w:t>
                  </w:r>
                  <w:r>
                    <w:rPr>
                      <w:rFonts w:hint="default" w:ascii="Times New Roman" w:hAnsi="Times New Roman" w:eastAsia="宋体" w:cs="Times New Roman"/>
                      <w:color w:val="auto"/>
                      <w:kern w:val="2"/>
                      <w:sz w:val="21"/>
                      <w:szCs w:val="21"/>
                      <w:vertAlign w:val="superscript"/>
                      <w:lang w:bidi="ar"/>
                    </w:rPr>
                    <w:t>3</w:t>
                  </w:r>
                  <w:r>
                    <w:rPr>
                      <w:rFonts w:hint="default" w:ascii="Times New Roman" w:hAnsi="Times New Roman" w:eastAsia="宋体" w:cs="Times New Roman"/>
                      <w:color w:val="auto"/>
                      <w:kern w:val="2"/>
                      <w:sz w:val="21"/>
                      <w:szCs w:val="21"/>
                      <w:lang w:bidi="ar"/>
                    </w:rPr>
                    <w:t>）</w:t>
                  </w:r>
                </w:p>
                <w:p w14:paraId="197EC92F">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（监控点与参考点浓度差值）</w:t>
                  </w:r>
                </w:p>
              </w:tc>
              <w:tc>
                <w:tcPr>
                  <w:tcW w:w="2600" w:type="dxa"/>
                  <w:tcBorders>
                    <w:top w:val="single" w:color="auto" w:sz="4" w:space="0"/>
                    <w:left w:val="single" w:color="auto" w:sz="4" w:space="0"/>
                    <w:bottom w:val="single" w:color="auto" w:sz="4" w:space="0"/>
                    <w:right w:val="single" w:color="auto" w:sz="4" w:space="0"/>
                  </w:tcBorders>
                  <w:noWrap w:val="0"/>
                  <w:vAlign w:val="center"/>
                </w:tcPr>
                <w:p w14:paraId="6422C82A">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无组织排放限值（mg/Nm</w:t>
                  </w:r>
                  <w:r>
                    <w:rPr>
                      <w:rFonts w:hint="default" w:ascii="Times New Roman" w:hAnsi="Times New Roman" w:eastAsia="宋体" w:cs="Times New Roman"/>
                      <w:color w:val="auto"/>
                      <w:kern w:val="2"/>
                      <w:sz w:val="21"/>
                      <w:szCs w:val="21"/>
                      <w:vertAlign w:val="superscript"/>
                      <w:lang w:bidi="ar"/>
                    </w:rPr>
                    <w:t>3</w:t>
                  </w:r>
                  <w:r>
                    <w:rPr>
                      <w:rFonts w:hint="default" w:ascii="Times New Roman" w:hAnsi="Times New Roman" w:eastAsia="宋体" w:cs="Times New Roman"/>
                      <w:color w:val="auto"/>
                      <w:kern w:val="2"/>
                      <w:sz w:val="21"/>
                      <w:szCs w:val="21"/>
                      <w:lang w:bidi="ar"/>
                    </w:rPr>
                    <w:t>）</w:t>
                  </w:r>
                </w:p>
                <w:p w14:paraId="6429CF18">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（监控点与参考点浓度差值）</w:t>
                  </w:r>
                </w:p>
              </w:tc>
            </w:tr>
            <w:tr w14:paraId="28514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1256" w:type="dxa"/>
                  <w:tcBorders>
                    <w:top w:val="single" w:color="auto" w:sz="4" w:space="0"/>
                    <w:left w:val="single" w:color="auto" w:sz="4" w:space="0"/>
                    <w:bottom w:val="single" w:color="auto" w:sz="4" w:space="0"/>
                    <w:right w:val="single" w:color="auto" w:sz="4" w:space="0"/>
                  </w:tcBorders>
                  <w:noWrap w:val="0"/>
                  <w:vAlign w:val="center"/>
                </w:tcPr>
                <w:p w14:paraId="462021F7">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1394" w:type="dxa"/>
                  <w:tcBorders>
                    <w:top w:val="single" w:color="auto" w:sz="4" w:space="0"/>
                    <w:left w:val="single" w:color="auto" w:sz="4" w:space="0"/>
                    <w:bottom w:val="single" w:color="auto" w:sz="4" w:space="0"/>
                    <w:right w:val="single" w:color="auto" w:sz="4" w:space="0"/>
                  </w:tcBorders>
                  <w:noWrap w:val="0"/>
                  <w:vAlign w:val="center"/>
                </w:tcPr>
                <w:p w14:paraId="2807FCB7">
                  <w:pPr>
                    <w:widowControl w:val="0"/>
                    <w:spacing w:line="240" w:lineRule="auto"/>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周界外浓</w:t>
                  </w:r>
                </w:p>
                <w:p w14:paraId="19A4B0F0">
                  <w:pPr>
                    <w:widowControl w:val="0"/>
                    <w:spacing w:line="240" w:lineRule="auto"/>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度最高点</w:t>
                  </w:r>
                </w:p>
              </w:tc>
              <w:tc>
                <w:tcPr>
                  <w:tcW w:w="2929" w:type="dxa"/>
                  <w:tcBorders>
                    <w:top w:val="single" w:color="auto" w:sz="4" w:space="0"/>
                    <w:left w:val="single" w:color="auto" w:sz="4" w:space="0"/>
                    <w:bottom w:val="single" w:color="auto" w:sz="4" w:space="0"/>
                    <w:right w:val="single" w:color="auto" w:sz="4" w:space="0"/>
                  </w:tcBorders>
                  <w:noWrap w:val="0"/>
                  <w:vAlign w:val="center"/>
                </w:tcPr>
                <w:p w14:paraId="460858CC">
                  <w:pPr>
                    <w:widowControl w:val="0"/>
                    <w:spacing w:line="240" w:lineRule="auto"/>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1.0</w:t>
                  </w:r>
                </w:p>
              </w:tc>
              <w:tc>
                <w:tcPr>
                  <w:tcW w:w="2600" w:type="dxa"/>
                  <w:tcBorders>
                    <w:top w:val="single" w:color="auto" w:sz="4" w:space="0"/>
                    <w:left w:val="single" w:color="auto" w:sz="4" w:space="0"/>
                    <w:bottom w:val="single" w:color="auto" w:sz="4" w:space="0"/>
                    <w:right w:val="single" w:color="auto" w:sz="4" w:space="0"/>
                  </w:tcBorders>
                  <w:noWrap w:val="0"/>
                  <w:vAlign w:val="center"/>
                </w:tcPr>
                <w:p w14:paraId="367D586E">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1.0</w:t>
                  </w:r>
                </w:p>
              </w:tc>
            </w:tr>
          </w:tbl>
          <w:p w14:paraId="6379AD74">
            <w:pPr>
              <w:bidi w:val="0"/>
              <w:rPr>
                <w:rFonts w:hint="default" w:ascii="Times New Roman" w:hAnsi="Times New Roman" w:eastAsia="宋体" w:cs="Times New Roman"/>
                <w:color w:val="auto"/>
              </w:rPr>
            </w:pPr>
            <w:r>
              <w:rPr>
                <w:rFonts w:hint="default" w:ascii="Times New Roman" w:hAnsi="Times New Roman" w:eastAsia="宋体" w:cs="Times New Roman"/>
                <w:b/>
                <w:bCs/>
                <w:color w:val="auto"/>
                <w:lang w:val="en-US" w:eastAsia="zh-CN"/>
              </w:rPr>
              <w:t>2</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噪声</w:t>
            </w:r>
          </w:p>
          <w:p w14:paraId="1DAE01BC">
            <w:pPr>
              <w:widowControl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lang w:bidi="ar"/>
              </w:rPr>
              <w:t>运营期工业场地厂界噪声执行《工业企业厂界环境噪声排放标准》(GB12348－2008)表1中2类标准值；施工期施工场界噪声执行《建筑施工场界环境噪声排放标准》(GB12523-2011)，标准值见表</w:t>
            </w:r>
            <w:r>
              <w:rPr>
                <w:rFonts w:hint="default" w:ascii="Times New Roman" w:hAnsi="Times New Roman" w:eastAsia="宋体" w:cs="Times New Roman"/>
                <w:color w:val="auto"/>
                <w:kern w:val="0"/>
                <w:sz w:val="24"/>
                <w:szCs w:val="24"/>
                <w:lang w:val="en-US" w:eastAsia="zh-CN" w:bidi="ar"/>
              </w:rPr>
              <w:t>3-12</w:t>
            </w:r>
            <w:r>
              <w:rPr>
                <w:rFonts w:hint="default" w:ascii="Times New Roman" w:hAnsi="Times New Roman" w:eastAsia="宋体" w:cs="Times New Roman"/>
                <w:color w:val="auto"/>
                <w:kern w:val="0"/>
                <w:sz w:val="24"/>
                <w:szCs w:val="24"/>
                <w:lang w:bidi="ar"/>
              </w:rPr>
              <w:t>。</w:t>
            </w:r>
          </w:p>
          <w:p w14:paraId="25F8FC0A">
            <w:pPr>
              <w:widowControl w:val="0"/>
              <w:spacing w:line="240" w:lineRule="auto"/>
              <w:ind w:firstLine="0" w:firstLineChars="0"/>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lang w:bidi="ar"/>
              </w:rPr>
              <w:t>表</w:t>
            </w:r>
            <w:r>
              <w:rPr>
                <w:rFonts w:hint="default" w:ascii="Times New Roman" w:hAnsi="Times New Roman" w:eastAsia="宋体" w:cs="Times New Roman"/>
                <w:b/>
                <w:color w:val="auto"/>
                <w:kern w:val="2"/>
                <w:sz w:val="24"/>
                <w:szCs w:val="24"/>
                <w:lang w:val="en-US" w:eastAsia="zh-CN" w:bidi="ar"/>
              </w:rPr>
              <w:t>3-12</w:t>
            </w:r>
            <w:r>
              <w:rPr>
                <w:rFonts w:hint="default" w:ascii="Times New Roman" w:hAnsi="Times New Roman" w:eastAsia="宋体" w:cs="Times New Roman"/>
                <w:b/>
                <w:color w:val="auto"/>
                <w:kern w:val="2"/>
                <w:sz w:val="24"/>
                <w:szCs w:val="24"/>
                <w:lang w:bidi="ar"/>
              </w:rPr>
              <w:t xml:space="preserve">     噪声排放标准一览表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0"/>
              <w:gridCol w:w="882"/>
              <w:gridCol w:w="913"/>
              <w:gridCol w:w="705"/>
              <w:gridCol w:w="651"/>
              <w:gridCol w:w="664"/>
              <w:gridCol w:w="3753"/>
            </w:tblGrid>
            <w:tr w14:paraId="5B7D2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91" w:type="dxa"/>
                  <w:gridSpan w:val="2"/>
                  <w:tcBorders>
                    <w:top w:val="single" w:color="auto" w:sz="4" w:space="0"/>
                    <w:left w:val="single" w:color="auto" w:sz="4" w:space="0"/>
                    <w:bottom w:val="single" w:color="auto" w:sz="4" w:space="0"/>
                    <w:right w:val="single" w:color="auto" w:sz="4" w:space="0"/>
                  </w:tcBorders>
                  <w:noWrap w:val="0"/>
                  <w:vAlign w:val="center"/>
                </w:tcPr>
                <w:p w14:paraId="16CAD943">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类别</w:t>
                  </w:r>
                </w:p>
              </w:tc>
              <w:tc>
                <w:tcPr>
                  <w:tcW w:w="1064" w:type="dxa"/>
                  <w:tcBorders>
                    <w:top w:val="single" w:color="auto" w:sz="4" w:space="0"/>
                    <w:left w:val="single" w:color="auto" w:sz="4" w:space="0"/>
                    <w:bottom w:val="single" w:color="auto" w:sz="4" w:space="0"/>
                    <w:right w:val="single" w:color="auto" w:sz="4" w:space="0"/>
                  </w:tcBorders>
                  <w:noWrap w:val="0"/>
                  <w:vAlign w:val="center"/>
                </w:tcPr>
                <w:p w14:paraId="0C67B98A">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时段</w:t>
                  </w:r>
                </w:p>
              </w:tc>
              <w:tc>
                <w:tcPr>
                  <w:tcW w:w="821" w:type="dxa"/>
                  <w:tcBorders>
                    <w:top w:val="single" w:color="auto" w:sz="4" w:space="0"/>
                    <w:left w:val="single" w:color="auto" w:sz="4" w:space="0"/>
                    <w:bottom w:val="single" w:color="auto" w:sz="4" w:space="0"/>
                    <w:right w:val="single" w:color="auto" w:sz="4" w:space="0"/>
                  </w:tcBorders>
                  <w:noWrap w:val="0"/>
                  <w:vAlign w:val="center"/>
                </w:tcPr>
                <w:p w14:paraId="34680DC6">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单位</w:t>
                  </w:r>
                </w:p>
              </w:tc>
              <w:tc>
                <w:tcPr>
                  <w:tcW w:w="758" w:type="dxa"/>
                  <w:tcBorders>
                    <w:top w:val="single" w:color="auto" w:sz="4" w:space="0"/>
                    <w:left w:val="single" w:color="auto" w:sz="4" w:space="0"/>
                    <w:bottom w:val="single" w:color="auto" w:sz="4" w:space="0"/>
                    <w:right w:val="single" w:color="auto" w:sz="4" w:space="0"/>
                  </w:tcBorders>
                  <w:noWrap w:val="0"/>
                  <w:vAlign w:val="center"/>
                </w:tcPr>
                <w:p w14:paraId="67606782">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昼间</w:t>
                  </w:r>
                </w:p>
              </w:tc>
              <w:tc>
                <w:tcPr>
                  <w:tcW w:w="773" w:type="dxa"/>
                  <w:tcBorders>
                    <w:top w:val="single" w:color="auto" w:sz="4" w:space="0"/>
                    <w:left w:val="single" w:color="auto" w:sz="4" w:space="0"/>
                    <w:bottom w:val="single" w:color="auto" w:sz="4" w:space="0"/>
                    <w:right w:val="single" w:color="auto" w:sz="4" w:space="0"/>
                  </w:tcBorders>
                  <w:noWrap w:val="0"/>
                  <w:vAlign w:val="center"/>
                </w:tcPr>
                <w:p w14:paraId="71CC1577">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夜间</w:t>
                  </w:r>
                </w:p>
              </w:tc>
              <w:tc>
                <w:tcPr>
                  <w:tcW w:w="4379" w:type="dxa"/>
                  <w:tcBorders>
                    <w:top w:val="single" w:color="auto" w:sz="4" w:space="0"/>
                    <w:left w:val="single" w:color="auto" w:sz="4" w:space="0"/>
                    <w:bottom w:val="single" w:color="auto" w:sz="4" w:space="0"/>
                    <w:right w:val="single" w:color="auto" w:sz="4" w:space="0"/>
                  </w:tcBorders>
                  <w:noWrap w:val="0"/>
                  <w:vAlign w:val="center"/>
                </w:tcPr>
                <w:p w14:paraId="36AB7AD0">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执行标准</w:t>
                  </w:r>
                </w:p>
              </w:tc>
            </w:tr>
            <w:tr w14:paraId="563AC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64" w:type="dxa"/>
                  <w:vMerge w:val="restart"/>
                  <w:tcBorders>
                    <w:top w:val="single" w:color="auto" w:sz="4" w:space="0"/>
                    <w:left w:val="single" w:color="auto" w:sz="4" w:space="0"/>
                    <w:bottom w:val="single" w:color="auto" w:sz="4" w:space="0"/>
                    <w:right w:val="single" w:color="auto" w:sz="4" w:space="0"/>
                  </w:tcBorders>
                  <w:noWrap w:val="0"/>
                  <w:vAlign w:val="center"/>
                </w:tcPr>
                <w:p w14:paraId="00211DBF">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噪声</w:t>
                  </w:r>
                </w:p>
              </w:tc>
              <w:tc>
                <w:tcPr>
                  <w:tcW w:w="1027" w:type="dxa"/>
                  <w:vMerge w:val="restart"/>
                  <w:tcBorders>
                    <w:top w:val="single" w:color="auto" w:sz="4" w:space="0"/>
                    <w:left w:val="single" w:color="auto" w:sz="4" w:space="0"/>
                    <w:bottom w:val="single" w:color="auto" w:sz="4" w:space="0"/>
                    <w:right w:val="single" w:color="auto" w:sz="4" w:space="0"/>
                  </w:tcBorders>
                  <w:noWrap w:val="0"/>
                  <w:vAlign w:val="center"/>
                </w:tcPr>
                <w:p w14:paraId="47D382F3">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等效</w:t>
                  </w:r>
                </w:p>
                <w:p w14:paraId="5036BF73">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A声级</w:t>
                  </w:r>
                </w:p>
              </w:tc>
              <w:tc>
                <w:tcPr>
                  <w:tcW w:w="1064" w:type="dxa"/>
                  <w:tcBorders>
                    <w:top w:val="single" w:color="auto" w:sz="4" w:space="0"/>
                    <w:left w:val="single" w:color="auto" w:sz="4" w:space="0"/>
                    <w:bottom w:val="single" w:color="auto" w:sz="4" w:space="0"/>
                    <w:right w:val="single" w:color="auto" w:sz="4" w:space="0"/>
                  </w:tcBorders>
                  <w:noWrap w:val="0"/>
                  <w:vAlign w:val="center"/>
                </w:tcPr>
                <w:p w14:paraId="2CC8CCF1">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运营期</w:t>
                  </w:r>
                </w:p>
              </w:tc>
              <w:tc>
                <w:tcPr>
                  <w:tcW w:w="821" w:type="dxa"/>
                  <w:tcBorders>
                    <w:top w:val="single" w:color="auto" w:sz="4" w:space="0"/>
                    <w:left w:val="single" w:color="auto" w:sz="4" w:space="0"/>
                    <w:bottom w:val="single" w:color="auto" w:sz="4" w:space="0"/>
                    <w:right w:val="single" w:color="auto" w:sz="4" w:space="0"/>
                  </w:tcBorders>
                  <w:noWrap w:val="0"/>
                  <w:vAlign w:val="center"/>
                </w:tcPr>
                <w:p w14:paraId="57BAAE43">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dB(A)</w:t>
                  </w:r>
                </w:p>
              </w:tc>
              <w:tc>
                <w:tcPr>
                  <w:tcW w:w="758" w:type="dxa"/>
                  <w:tcBorders>
                    <w:top w:val="single" w:color="auto" w:sz="4" w:space="0"/>
                    <w:left w:val="single" w:color="auto" w:sz="4" w:space="0"/>
                    <w:bottom w:val="single" w:color="auto" w:sz="4" w:space="0"/>
                    <w:right w:val="single" w:color="auto" w:sz="4" w:space="0"/>
                  </w:tcBorders>
                  <w:noWrap w:val="0"/>
                  <w:vAlign w:val="center"/>
                </w:tcPr>
                <w:p w14:paraId="7BFF10AA">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60</w:t>
                  </w:r>
                </w:p>
              </w:tc>
              <w:tc>
                <w:tcPr>
                  <w:tcW w:w="773" w:type="dxa"/>
                  <w:tcBorders>
                    <w:top w:val="single" w:color="auto" w:sz="4" w:space="0"/>
                    <w:left w:val="single" w:color="auto" w:sz="4" w:space="0"/>
                    <w:bottom w:val="single" w:color="auto" w:sz="4" w:space="0"/>
                    <w:right w:val="single" w:color="auto" w:sz="4" w:space="0"/>
                  </w:tcBorders>
                  <w:noWrap w:val="0"/>
                  <w:vAlign w:val="center"/>
                </w:tcPr>
                <w:p w14:paraId="40BED6EA">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50</w:t>
                  </w:r>
                </w:p>
              </w:tc>
              <w:tc>
                <w:tcPr>
                  <w:tcW w:w="4379" w:type="dxa"/>
                  <w:tcBorders>
                    <w:top w:val="single" w:color="auto" w:sz="4" w:space="0"/>
                    <w:left w:val="single" w:color="auto" w:sz="4" w:space="0"/>
                    <w:bottom w:val="single" w:color="auto" w:sz="4" w:space="0"/>
                    <w:right w:val="single" w:color="auto" w:sz="4" w:space="0"/>
                  </w:tcBorders>
                  <w:noWrap w:val="0"/>
                  <w:vAlign w:val="center"/>
                </w:tcPr>
                <w:p w14:paraId="4A0FF081">
                  <w:pPr>
                    <w:widowControl/>
                    <w:spacing w:line="240" w:lineRule="auto"/>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《工业企业厂界环境噪声排放标准》(GB12348-2008)2类</w:t>
                  </w:r>
                </w:p>
              </w:tc>
            </w:tr>
            <w:tr w14:paraId="62DAC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64" w:type="dxa"/>
                  <w:vMerge w:val="continue"/>
                  <w:tcBorders>
                    <w:top w:val="single" w:color="auto" w:sz="4" w:space="0"/>
                    <w:left w:val="single" w:color="auto" w:sz="4" w:space="0"/>
                    <w:bottom w:val="single" w:color="auto" w:sz="4" w:space="0"/>
                    <w:right w:val="single" w:color="auto" w:sz="4" w:space="0"/>
                  </w:tcBorders>
                  <w:noWrap w:val="0"/>
                  <w:vAlign w:val="center"/>
                </w:tcPr>
                <w:p w14:paraId="04788DB9">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1027" w:type="dxa"/>
                  <w:vMerge w:val="continue"/>
                  <w:tcBorders>
                    <w:top w:val="single" w:color="auto" w:sz="4" w:space="0"/>
                    <w:left w:val="single" w:color="auto" w:sz="4" w:space="0"/>
                    <w:bottom w:val="single" w:color="auto" w:sz="4" w:space="0"/>
                    <w:right w:val="single" w:color="auto" w:sz="4" w:space="0"/>
                  </w:tcBorders>
                  <w:noWrap w:val="0"/>
                  <w:vAlign w:val="center"/>
                </w:tcPr>
                <w:p w14:paraId="667BF57C">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1064" w:type="dxa"/>
                  <w:tcBorders>
                    <w:top w:val="single" w:color="auto" w:sz="4" w:space="0"/>
                    <w:left w:val="single" w:color="auto" w:sz="4" w:space="0"/>
                    <w:bottom w:val="single" w:color="auto" w:sz="4" w:space="0"/>
                    <w:right w:val="single" w:color="auto" w:sz="4" w:space="0"/>
                  </w:tcBorders>
                  <w:noWrap w:val="0"/>
                  <w:vAlign w:val="center"/>
                </w:tcPr>
                <w:p w14:paraId="65C8834D">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施工期</w:t>
                  </w:r>
                </w:p>
              </w:tc>
              <w:tc>
                <w:tcPr>
                  <w:tcW w:w="821" w:type="dxa"/>
                  <w:tcBorders>
                    <w:top w:val="single" w:color="auto" w:sz="4" w:space="0"/>
                    <w:left w:val="single" w:color="auto" w:sz="4" w:space="0"/>
                    <w:bottom w:val="single" w:color="auto" w:sz="4" w:space="0"/>
                    <w:right w:val="single" w:color="auto" w:sz="4" w:space="0"/>
                  </w:tcBorders>
                  <w:noWrap w:val="0"/>
                  <w:vAlign w:val="center"/>
                </w:tcPr>
                <w:p w14:paraId="50E3D43C">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dB(A)</w:t>
                  </w:r>
                </w:p>
              </w:tc>
              <w:tc>
                <w:tcPr>
                  <w:tcW w:w="758" w:type="dxa"/>
                  <w:tcBorders>
                    <w:top w:val="single" w:color="auto" w:sz="4" w:space="0"/>
                    <w:left w:val="single" w:color="auto" w:sz="4" w:space="0"/>
                    <w:bottom w:val="single" w:color="auto" w:sz="4" w:space="0"/>
                    <w:right w:val="single" w:color="auto" w:sz="4" w:space="0"/>
                  </w:tcBorders>
                  <w:noWrap w:val="0"/>
                  <w:vAlign w:val="center"/>
                </w:tcPr>
                <w:p w14:paraId="11FF6FDC">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70</w:t>
                  </w:r>
                </w:p>
              </w:tc>
              <w:tc>
                <w:tcPr>
                  <w:tcW w:w="773" w:type="dxa"/>
                  <w:tcBorders>
                    <w:top w:val="single" w:color="auto" w:sz="4" w:space="0"/>
                    <w:left w:val="single" w:color="auto" w:sz="4" w:space="0"/>
                    <w:bottom w:val="single" w:color="auto" w:sz="4" w:space="0"/>
                    <w:right w:val="single" w:color="auto" w:sz="4" w:space="0"/>
                  </w:tcBorders>
                  <w:noWrap w:val="0"/>
                  <w:vAlign w:val="center"/>
                </w:tcPr>
                <w:p w14:paraId="2D89F3DF">
                  <w:pPr>
                    <w:widowControl/>
                    <w:spacing w:line="360" w:lineRule="exact"/>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55</w:t>
                  </w:r>
                </w:p>
              </w:tc>
              <w:tc>
                <w:tcPr>
                  <w:tcW w:w="4379" w:type="dxa"/>
                  <w:tcBorders>
                    <w:top w:val="single" w:color="auto" w:sz="4" w:space="0"/>
                    <w:left w:val="single" w:color="auto" w:sz="4" w:space="0"/>
                    <w:bottom w:val="single" w:color="auto" w:sz="4" w:space="0"/>
                    <w:right w:val="single" w:color="auto" w:sz="4" w:space="0"/>
                  </w:tcBorders>
                  <w:noWrap w:val="0"/>
                  <w:vAlign w:val="center"/>
                </w:tcPr>
                <w:p w14:paraId="22A9CD75">
                  <w:pPr>
                    <w:widowControl/>
                    <w:spacing w:line="240" w:lineRule="auto"/>
                    <w:ind w:firstLine="0" w:firstLineChars="0"/>
                    <w:jc w:val="center"/>
                    <w:rPr>
                      <w:rFonts w:hint="default" w:ascii="Times New Roman" w:hAnsi="Times New Roman" w:eastAsia="宋体" w:cs="Times New Roman"/>
                      <w:color w:val="auto"/>
                      <w:kern w:val="2"/>
                      <w:sz w:val="21"/>
                      <w:szCs w:val="20"/>
                    </w:rPr>
                  </w:pPr>
                  <w:r>
                    <w:rPr>
                      <w:rFonts w:hint="default" w:ascii="Times New Roman" w:hAnsi="Times New Roman" w:eastAsia="宋体" w:cs="Times New Roman"/>
                      <w:color w:val="auto"/>
                      <w:kern w:val="2"/>
                      <w:sz w:val="21"/>
                      <w:szCs w:val="20"/>
                      <w:lang w:bidi="ar"/>
                    </w:rPr>
                    <w:t>《建筑施工场界环境噪声排放标准》(GB12523-2011)</w:t>
                  </w:r>
                </w:p>
              </w:tc>
            </w:tr>
          </w:tbl>
          <w:p w14:paraId="653334CD">
            <w:pPr>
              <w:bidi w:val="0"/>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color w:val="auto"/>
                <w:lang w:eastAsia="zh-CN"/>
              </w:rPr>
              <w:t>、</w:t>
            </w:r>
            <w:r>
              <w:rPr>
                <w:rFonts w:hint="default" w:ascii="Times New Roman" w:hAnsi="Times New Roman" w:eastAsia="宋体" w:cs="Times New Roman"/>
                <w:b/>
                <w:bCs/>
                <w:color w:val="auto"/>
              </w:rPr>
              <w:t>固体废物控制标准</w:t>
            </w:r>
          </w:p>
          <w:p w14:paraId="1A3E5C0E">
            <w:pPr>
              <w:bidi w:val="0"/>
              <w:rPr>
                <w:rFonts w:hint="default" w:ascii="Times New Roman" w:hAnsi="Times New Roman" w:eastAsia="宋体" w:cs="Times New Roman"/>
                <w:color w:val="auto"/>
              </w:rPr>
            </w:pPr>
            <w:r>
              <w:rPr>
                <w:rFonts w:hint="default" w:ascii="Times New Roman" w:hAnsi="Times New Roman" w:eastAsia="宋体" w:cs="Times New Roman"/>
                <w:color w:val="auto"/>
                <w:sz w:val="24"/>
                <w:lang w:bidi="ar"/>
              </w:rPr>
              <w:t>固体废物一般工业固体废物贮存执行《一般工业固体废物贮存和填埋污染控制标准》（GB18599-2020）中的相关要求。危险废物执行《危险废物贮存污染控制标准》（GB18597-2023）相关要求。</w:t>
            </w:r>
          </w:p>
        </w:tc>
      </w:tr>
      <w:tr w14:paraId="55BEE1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48" w:hRule="atLeast"/>
          <w:jc w:val="center"/>
        </w:trPr>
        <w:tc>
          <w:tcPr>
            <w:tcW w:w="824" w:type="dxa"/>
            <w:vAlign w:val="center"/>
          </w:tcPr>
          <w:p w14:paraId="04F64E9A">
            <w:pPr>
              <w:ind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t>总量控制指标</w:t>
            </w:r>
          </w:p>
        </w:tc>
        <w:tc>
          <w:tcPr>
            <w:tcW w:w="8194" w:type="dxa"/>
            <w:vAlign w:val="center"/>
          </w:tcPr>
          <w:p w14:paraId="5F0679CE">
            <w:pPr>
              <w:pStyle w:val="56"/>
              <w:pageBreakBefore w:val="0"/>
              <w:widowControl/>
              <w:kinsoku/>
              <w:wordWrap/>
              <w:overflowPunct w:val="0"/>
              <w:topLinePunct w:val="0"/>
              <w:autoSpaceDE/>
              <w:autoSpaceDN/>
              <w:bidi w:val="0"/>
              <w:adjustRightInd w:val="0"/>
              <w:snapToGrid w:val="0"/>
              <w:ind w:firstLine="480" w:firstLineChars="200"/>
              <w:textAlignment w:val="baseline"/>
              <w:rPr>
                <w:rFonts w:hint="default"/>
                <w:color w:val="auto"/>
              </w:rPr>
            </w:pPr>
            <w:r>
              <w:rPr>
                <w:color w:val="auto"/>
              </w:rPr>
              <w:t>根据报告表，本项目实施后排放的主要污染物为颗粒物按照原环境保护部《关于印发&lt;建设项目主要污染物排放总量指标审核及管理暂行办法&gt;的通知》(环发〔2014〕197号)、《国务院关于印发“十四五”节能减排综合工作方案的通知》（国发〔2021〕33号）等相关文件的要求，无需申请总量排放指标。</w:t>
            </w:r>
          </w:p>
          <w:p w14:paraId="4A6DE332">
            <w:pPr>
              <w:bidi w:val="0"/>
              <w:jc w:val="center"/>
              <w:rPr>
                <w:rFonts w:hint="default" w:ascii="Times New Roman" w:hAnsi="Times New Roman" w:eastAsia="宋体" w:cs="Times New Roman"/>
                <w:color w:val="auto"/>
                <w:lang w:val="en-US" w:eastAsia="zh-CN"/>
              </w:rPr>
            </w:pPr>
          </w:p>
        </w:tc>
      </w:tr>
    </w:tbl>
    <w:p w14:paraId="3030AC98">
      <w:pPr>
        <w:bidi w:val="0"/>
        <w:rPr>
          <w:rFonts w:hint="default" w:ascii="Times New Roman" w:hAnsi="Times New Roman" w:eastAsia="宋体" w:cs="Times New Roman"/>
          <w:color w:val="auto"/>
        </w:rPr>
        <w:sectPr>
          <w:pgSz w:w="11906" w:h="16838"/>
          <w:pgMar w:top="1440" w:right="1800" w:bottom="1440" w:left="1800" w:header="992" w:footer="992" w:gutter="0"/>
          <w:pgBorders>
            <w:top w:val="none" w:sz="0" w:space="0"/>
            <w:left w:val="none" w:sz="0" w:space="0"/>
            <w:bottom w:val="none" w:sz="0" w:space="0"/>
            <w:right w:val="none" w:sz="0" w:space="0"/>
          </w:pgBorders>
          <w:cols w:space="425" w:num="1"/>
          <w:docGrid w:type="lines" w:linePitch="312" w:charSpace="0"/>
        </w:sectPr>
      </w:pPr>
    </w:p>
    <w:p w14:paraId="508E22DF">
      <w:pPr>
        <w:pStyle w:val="2"/>
        <w:ind w:firstLine="640"/>
        <w:jc w:val="center"/>
        <w:rPr>
          <w:rFonts w:hint="default" w:ascii="Times New Roman" w:hAnsi="Times New Roman" w:eastAsia="宋体" w:cs="Times New Roman"/>
          <w:color w:val="auto"/>
        </w:rPr>
      </w:pPr>
      <w:bookmarkStart w:id="18" w:name="_Toc144507128"/>
      <w:r>
        <w:rPr>
          <w:rFonts w:hint="default" w:ascii="Times New Roman" w:hAnsi="Times New Roman" w:eastAsia="宋体" w:cs="Times New Roman"/>
          <w:snapToGrid w:val="0"/>
          <w:color w:val="auto"/>
        </w:rPr>
        <w:t>四、主要</w:t>
      </w:r>
      <w:r>
        <w:rPr>
          <w:rFonts w:hint="default" w:ascii="Times New Roman" w:hAnsi="Times New Roman" w:eastAsia="宋体" w:cs="Times New Roman"/>
          <w:snapToGrid w:val="0"/>
          <w:color w:val="auto"/>
          <w:lang w:eastAsia="zh-CN"/>
        </w:rPr>
        <w:t>的</w:t>
      </w:r>
      <w:r>
        <w:rPr>
          <w:rFonts w:hint="default" w:ascii="Times New Roman" w:hAnsi="Times New Roman" w:eastAsia="宋体" w:cs="Times New Roman"/>
          <w:snapToGrid w:val="0"/>
          <w:color w:val="auto"/>
        </w:rPr>
        <w:t>环境影响和保护措施</w:t>
      </w:r>
      <w:bookmarkEnd w:id="18"/>
    </w:p>
    <w:tbl>
      <w:tblPr>
        <w:tblStyle w:val="25"/>
        <w:tblW w:w="84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1"/>
        <w:gridCol w:w="7771"/>
      </w:tblGrid>
      <w:tr w14:paraId="10EA6B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80" w:hRule="atLeast"/>
          <w:jc w:val="center"/>
        </w:trPr>
        <w:tc>
          <w:tcPr>
            <w:tcW w:w="671" w:type="dxa"/>
            <w:tcMar>
              <w:left w:w="28" w:type="dxa"/>
              <w:right w:w="28" w:type="dxa"/>
            </w:tcMar>
            <w:vAlign w:val="center"/>
          </w:tcPr>
          <w:p w14:paraId="77AF0F81">
            <w:pPr>
              <w:ind w:firstLine="0" w:firstLineChars="0"/>
              <w:jc w:val="center"/>
              <w:rPr>
                <w:rFonts w:hint="default" w:ascii="Times New Roman" w:hAnsi="Times New Roman" w:eastAsia="宋体" w:cs="Times New Roman"/>
                <w:bCs/>
                <w:color w:val="auto"/>
                <w:szCs w:val="21"/>
              </w:rPr>
            </w:pPr>
            <w:r>
              <w:rPr>
                <w:rFonts w:hint="default" w:ascii="Times New Roman" w:hAnsi="Times New Roman" w:eastAsia="宋体" w:cs="Times New Roman"/>
                <w:color w:val="auto"/>
                <w:szCs w:val="21"/>
              </w:rPr>
              <w:t>施工期环境保护措施</w:t>
            </w:r>
          </w:p>
        </w:tc>
        <w:tc>
          <w:tcPr>
            <w:tcW w:w="7771" w:type="dxa"/>
            <w:vAlign w:val="center"/>
          </w:tcPr>
          <w:p w14:paraId="3800F993">
            <w:pPr>
              <w:widowControl/>
              <w:spacing w:line="360" w:lineRule="auto"/>
              <w:ind w:firstLine="482" w:firstLineChars="200"/>
              <w:rPr>
                <w:rFonts w:hint="default" w:ascii="Times New Roman" w:hAnsi="Times New Roman" w:eastAsia="宋体" w:cs="Times New Roman"/>
                <w:b/>
                <w:bCs/>
                <w:color w:val="auto"/>
                <w:sz w:val="24"/>
              </w:rPr>
            </w:pPr>
            <w:bookmarkStart w:id="19" w:name="_Toc355426872"/>
            <w:bookmarkStart w:id="20" w:name="_Toc404172671"/>
            <w:bookmarkStart w:id="21" w:name="_Toc396487057"/>
            <w:bookmarkStart w:id="22" w:name="_Toc395541702"/>
            <w:r>
              <w:rPr>
                <w:rFonts w:hint="default" w:ascii="Times New Roman" w:hAnsi="Times New Roman" w:eastAsia="宋体" w:cs="Times New Roman"/>
                <w:b/>
                <w:bCs/>
                <w:color w:val="auto"/>
                <w:sz w:val="24"/>
                <w:lang w:bidi="ar"/>
              </w:rPr>
              <w:t>（一）施工期大气污染防治措施</w:t>
            </w:r>
            <w:bookmarkEnd w:id="19"/>
            <w:bookmarkEnd w:id="20"/>
            <w:bookmarkEnd w:id="21"/>
            <w:bookmarkEnd w:id="22"/>
          </w:p>
          <w:p w14:paraId="0F62682B">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项目施工场地为防止施工扬尘污染，采取以下控制措施：</w:t>
            </w:r>
          </w:p>
          <w:p w14:paraId="41715201">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1、施工单位应有扬尘污染防治实施方案，应明确扬尘防治工作目标、扬尘防治技术措施、责任人等。</w:t>
            </w:r>
          </w:p>
          <w:p w14:paraId="4117DD39">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2、施工使用建筑材料存放于库房或严密遮盖，砂石、土方等散体材料必须覆盖，场内装卸、搬运物料应遮盖、封闭或洒水，不得凌空抛掷、抛洒。</w:t>
            </w:r>
          </w:p>
          <w:p w14:paraId="25C9BC37">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3、项目施工场地四周进行围挡，每天定时对施工现场各扬尘点及道路洒水，遇有四级以上大风天气预报或政府发布空气质量预警时，不得进行土方及拆除作业。</w:t>
            </w:r>
          </w:p>
          <w:p w14:paraId="5C5040C8">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4、地基等挖掘产生的弃土应及时用于场区平整，并压实。</w:t>
            </w:r>
          </w:p>
          <w:p w14:paraId="5CF8349C">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5、工地出口设置宽3.5m、长10m、深0.2m水池，池内铺一层粒径约50mm碎石，以减少驶出工地车辆轮胎带的泥土量。</w:t>
            </w:r>
          </w:p>
          <w:p w14:paraId="7C074D93">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6、材料运输中要采取遮盖措施或利用</w:t>
            </w:r>
            <w:r>
              <w:rPr>
                <w:rFonts w:hint="eastAsia" w:cs="Times New Roman"/>
                <w:color w:val="auto"/>
                <w:sz w:val="24"/>
                <w:lang w:eastAsia="zh-CN" w:bidi="ar"/>
              </w:rPr>
              <w:t>密闭型运输车</w:t>
            </w:r>
            <w:r>
              <w:rPr>
                <w:rFonts w:hint="default" w:ascii="Times New Roman" w:hAnsi="Times New Roman" w:eastAsia="宋体" w:cs="Times New Roman"/>
                <w:color w:val="auto"/>
                <w:sz w:val="24"/>
                <w:lang w:bidi="ar"/>
              </w:rPr>
              <w:t>，运输车辆行驶路线要避开居民区等环境敏感点，并限制运输车辆的车速。</w:t>
            </w:r>
          </w:p>
          <w:p w14:paraId="06508ED8">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在采取上述措施的前提下，施工期产生的扬尘对周围环境的影响可降至最低，并且施工期废气对环境空气的影响是有限的，故项目建设对环境空气影响较小，措施可行。</w:t>
            </w:r>
          </w:p>
          <w:p w14:paraId="320BE506">
            <w:pPr>
              <w:widowControl/>
              <w:spacing w:line="360" w:lineRule="auto"/>
              <w:ind w:firstLine="482" w:firstLineChars="200"/>
              <w:rPr>
                <w:rFonts w:hint="default" w:ascii="Times New Roman" w:hAnsi="Times New Roman" w:eastAsia="宋体" w:cs="Times New Roman"/>
                <w:b/>
                <w:bCs/>
                <w:color w:val="auto"/>
                <w:sz w:val="24"/>
              </w:rPr>
            </w:pPr>
            <w:bookmarkStart w:id="23" w:name="_Toc396487058"/>
            <w:bookmarkStart w:id="24" w:name="_Toc404172672"/>
            <w:bookmarkStart w:id="25" w:name="_Toc395541703"/>
            <w:r>
              <w:rPr>
                <w:rFonts w:hint="default" w:ascii="Times New Roman" w:hAnsi="Times New Roman" w:eastAsia="宋体" w:cs="Times New Roman"/>
                <w:b/>
                <w:bCs/>
                <w:color w:val="auto"/>
                <w:sz w:val="24"/>
                <w:lang w:bidi="ar"/>
              </w:rPr>
              <w:t>（二）施工期水污染环境保护措施</w:t>
            </w:r>
            <w:bookmarkEnd w:id="23"/>
            <w:bookmarkEnd w:id="24"/>
            <w:bookmarkEnd w:id="25"/>
          </w:p>
          <w:p w14:paraId="13DFC357">
            <w:pPr>
              <w:spacing w:line="360" w:lineRule="auto"/>
              <w:ind w:firstLine="480" w:firstLineChars="200"/>
              <w:rPr>
                <w:rFonts w:hint="default" w:ascii="Times New Roman" w:hAnsi="Times New Roman" w:eastAsia="宋体" w:cs="Times New Roman"/>
                <w:snapToGrid w:val="0"/>
                <w:color w:val="auto"/>
                <w:kern w:val="0"/>
                <w:sz w:val="24"/>
                <w:szCs w:val="20"/>
              </w:rPr>
            </w:pPr>
            <w:r>
              <w:rPr>
                <w:rFonts w:hint="default" w:ascii="Times New Roman" w:hAnsi="Times New Roman" w:eastAsia="宋体" w:cs="Times New Roman"/>
                <w:snapToGrid w:val="0"/>
                <w:color w:val="auto"/>
                <w:kern w:val="0"/>
                <w:sz w:val="24"/>
                <w:szCs w:val="20"/>
                <w:lang w:bidi="ar"/>
              </w:rPr>
              <w:t>针对本项目施工过程中产生的废水，施工单位采取</w:t>
            </w:r>
            <w:r>
              <w:rPr>
                <w:rFonts w:hint="default" w:ascii="Times New Roman" w:hAnsi="Times New Roman" w:eastAsia="宋体" w:cs="Times New Roman"/>
                <w:snapToGrid w:val="0"/>
                <w:color w:val="auto"/>
                <w:kern w:val="0"/>
                <w:sz w:val="24"/>
                <w:szCs w:val="20"/>
                <w:lang w:val="en-US" w:eastAsia="zh-CN" w:bidi="ar"/>
              </w:rPr>
              <w:t>了</w:t>
            </w:r>
            <w:r>
              <w:rPr>
                <w:rFonts w:hint="default" w:ascii="Times New Roman" w:hAnsi="Times New Roman" w:eastAsia="宋体" w:cs="Times New Roman"/>
                <w:snapToGrid w:val="0"/>
                <w:color w:val="auto"/>
                <w:kern w:val="0"/>
                <w:sz w:val="24"/>
                <w:szCs w:val="20"/>
                <w:lang w:bidi="ar"/>
              </w:rPr>
              <w:t>以下防治措施：</w:t>
            </w:r>
          </w:p>
          <w:p w14:paraId="5ABC722D">
            <w:pPr>
              <w:spacing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bidi="ar"/>
              </w:rPr>
              <w:t>1、场地设沉淀池，将场地生产废水收集沉淀处理后用于场地泼洒抑尘；工程完工后，尽快对周边进行绿化、恢复或地面硬化。</w:t>
            </w:r>
          </w:p>
          <w:p w14:paraId="491D1A4B">
            <w:pPr>
              <w:spacing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bidi="ar"/>
              </w:rPr>
              <w:t>2、施工人员统一安排、统一管理，</w:t>
            </w:r>
            <w:r>
              <w:rPr>
                <w:rFonts w:hint="default" w:ascii="Times New Roman" w:hAnsi="Times New Roman" w:eastAsia="宋体" w:cs="Times New Roman"/>
                <w:color w:val="auto"/>
                <w:sz w:val="24"/>
                <w:lang w:bidi="ar"/>
              </w:rPr>
              <w:t>施工期</w:t>
            </w:r>
            <w:r>
              <w:rPr>
                <w:rFonts w:hint="default" w:ascii="Times New Roman" w:hAnsi="Times New Roman" w:eastAsia="宋体" w:cs="Times New Roman"/>
                <w:color w:val="auto"/>
                <w:sz w:val="24"/>
                <w:szCs w:val="20"/>
                <w:lang w:bidi="ar"/>
              </w:rPr>
              <w:t>生活污水依托矿区现有生活污水处理设施，污水经污水处理设施处理后用于洒水抑尘、绿化用水等。</w:t>
            </w:r>
          </w:p>
          <w:p w14:paraId="0B066239">
            <w:pPr>
              <w:spacing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bidi="ar"/>
              </w:rPr>
              <w:t>3、施工单位对施工场地用水应严格管理，贯彻“一水多用、重复利用、节约用水”的原则，尽量减少废水的排放量，减轻废水排放对周围环境的影响。</w:t>
            </w:r>
          </w:p>
          <w:p w14:paraId="76B21775">
            <w:pPr>
              <w:spacing w:line="360" w:lineRule="auto"/>
              <w:ind w:firstLine="480" w:firstLineChars="200"/>
              <w:rPr>
                <w:rFonts w:hint="default" w:ascii="Times New Roman" w:hAnsi="Times New Roman" w:eastAsia="宋体" w:cs="Times New Roman"/>
                <w:color w:val="auto"/>
                <w:sz w:val="24"/>
                <w:szCs w:val="20"/>
                <w:lang w:bidi="ar"/>
              </w:rPr>
            </w:pPr>
            <w:r>
              <w:rPr>
                <w:rFonts w:hint="default" w:ascii="Times New Roman" w:hAnsi="Times New Roman" w:eastAsia="宋体" w:cs="Times New Roman"/>
                <w:color w:val="auto"/>
                <w:sz w:val="24"/>
                <w:szCs w:val="20"/>
                <w:lang w:bidi="ar"/>
              </w:rPr>
              <w:t>4、加强施工期工地用水管理，对施工废水的排放进行组织设计，严禁乱排、乱流，污染道路和环境；尽可能避免施工用水过程中的“跑、冒、滴、漏”，减少施工废水外排量。</w:t>
            </w:r>
          </w:p>
          <w:p w14:paraId="2635C715">
            <w:pPr>
              <w:widowControl w:val="0"/>
              <w:spacing w:line="360" w:lineRule="auto"/>
              <w:ind w:firstLine="480" w:firstLineChars="200"/>
              <w:rPr>
                <w:rFonts w:hint="eastAsia" w:ascii="Times New Roman" w:hAnsi="Times New Roman" w:eastAsia="宋体" w:cs="Times New Roman"/>
                <w:b w:val="0"/>
                <w:bCs/>
                <w:color w:val="auto"/>
                <w:kern w:val="2"/>
                <w:sz w:val="24"/>
                <w:szCs w:val="24"/>
                <w:lang w:val="en-US" w:eastAsia="zh-CN"/>
              </w:rPr>
            </w:pPr>
            <w:r>
              <w:rPr>
                <w:rFonts w:hint="default" w:ascii="Times New Roman" w:hAnsi="Times New Roman" w:eastAsia="宋体" w:cs="Times New Roman"/>
                <w:b w:val="0"/>
                <w:bCs/>
                <w:color w:val="auto"/>
                <w:kern w:val="2"/>
                <w:sz w:val="24"/>
                <w:szCs w:val="24"/>
                <w:lang w:val="en-US" w:eastAsia="zh-CN"/>
              </w:rPr>
              <w:t>5、</w:t>
            </w:r>
            <w:r>
              <w:rPr>
                <w:rFonts w:hint="default" w:ascii="Times New Roman" w:hAnsi="Times New Roman" w:eastAsia="宋体" w:cs="Times New Roman"/>
                <w:b w:val="0"/>
                <w:bCs/>
                <w:color w:val="auto"/>
                <w:kern w:val="2"/>
                <w:sz w:val="24"/>
                <w:szCs w:val="24"/>
              </w:rPr>
              <w:t>钻井</w:t>
            </w:r>
            <w:r>
              <w:rPr>
                <w:rFonts w:hint="eastAsia" w:cs="Times New Roman"/>
                <w:b w:val="0"/>
                <w:bCs/>
                <w:color w:val="auto"/>
                <w:kern w:val="2"/>
                <w:sz w:val="24"/>
                <w:szCs w:val="24"/>
                <w:lang w:val="en-US" w:eastAsia="zh-CN"/>
              </w:rPr>
              <w:t>泥浆</w:t>
            </w:r>
          </w:p>
          <w:p w14:paraId="1129BB16">
            <w:pPr>
              <w:widowControl w:val="0"/>
              <w:spacing w:line="360" w:lineRule="auto"/>
              <w:ind w:firstLine="480" w:firstLineChars="200"/>
              <w:rPr>
                <w:rFonts w:hint="default" w:ascii="Times New Roman" w:hAnsi="Times New Roman" w:eastAsia="宋体" w:cs="Times New Roman"/>
                <w:b w:val="0"/>
                <w:bCs/>
                <w:color w:val="auto"/>
                <w:kern w:val="2"/>
                <w:sz w:val="24"/>
                <w:szCs w:val="24"/>
                <w:lang w:val="en-US" w:eastAsia="zh-CN"/>
              </w:rPr>
            </w:pPr>
            <w:r>
              <w:rPr>
                <w:rFonts w:hint="default" w:ascii="Times New Roman" w:hAnsi="Times New Roman" w:eastAsia="宋体" w:cs="Times New Roman"/>
                <w:color w:val="auto"/>
                <w:kern w:val="0"/>
                <w:sz w:val="24"/>
                <w:szCs w:val="24"/>
                <w:highlight w:val="none"/>
                <w:lang w:val="en-US" w:eastAsia="zh-CN" w:bidi="ar"/>
              </w:rPr>
              <w:t>项目每个钻井泥浆产生量为20m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kern w:val="0"/>
                <w:sz w:val="24"/>
                <w:szCs w:val="24"/>
                <w:highlight w:val="none"/>
                <w:lang w:val="en-US" w:eastAsia="zh-CN" w:bidi="ar"/>
              </w:rPr>
              <w:t>本项目注浆钻孔数量为70个，钻孔泥浆产生量为1400m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/a，钻井泥浆主要污染物为悬浮物等，钻井泥浆收集后委托有资质单位进行处置，不外排。</w:t>
            </w:r>
          </w:p>
          <w:p w14:paraId="24C63E13">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lang w:val="en-US" w:eastAsia="zh-CN"/>
              </w:rPr>
              <w:t>6、</w:t>
            </w:r>
            <w:r>
              <w:rPr>
                <w:rFonts w:hint="default" w:ascii="Times New Roman" w:hAnsi="Times New Roman" w:eastAsia="宋体" w:cs="Times New Roman"/>
                <w:b w:val="0"/>
                <w:bCs/>
                <w:color w:val="auto"/>
                <w:kern w:val="2"/>
                <w:sz w:val="24"/>
                <w:szCs w:val="24"/>
              </w:rPr>
              <w:t>管道试压废水</w:t>
            </w:r>
          </w:p>
          <w:p w14:paraId="64B166D0">
            <w:pPr>
              <w:widowControl w:val="0"/>
              <w:spacing w:line="360" w:lineRule="auto"/>
              <w:ind w:firstLine="480" w:firstLineChars="200"/>
              <w:rPr>
                <w:rFonts w:hint="default" w:ascii="Times New Roman" w:hAnsi="Times New Roman" w:eastAsia="宋体" w:cs="Times New Roman"/>
                <w:b w:val="0"/>
                <w:bCs/>
                <w:color w:val="auto"/>
                <w:kern w:val="2"/>
                <w:sz w:val="24"/>
                <w:szCs w:val="24"/>
              </w:rPr>
            </w:pPr>
            <w:r>
              <w:rPr>
                <w:rFonts w:hint="default" w:ascii="Times New Roman" w:hAnsi="Times New Roman" w:eastAsia="宋体" w:cs="Times New Roman"/>
                <w:b w:val="0"/>
                <w:bCs/>
                <w:color w:val="auto"/>
                <w:kern w:val="2"/>
                <w:sz w:val="24"/>
                <w:szCs w:val="24"/>
              </w:rPr>
              <w:t>管道铺设完毕后，进行清管、试压作业，管道试压废水水量约为 8.6m</w:t>
            </w:r>
            <w:r>
              <w:rPr>
                <w:rFonts w:hint="default" w:ascii="Times New Roman" w:hAnsi="Times New Roman" w:eastAsia="宋体" w:cs="Times New Roman"/>
                <w:b w:val="0"/>
                <w:bCs/>
                <w:color w:val="auto"/>
                <w:kern w:val="2"/>
                <w:sz w:val="24"/>
                <w:szCs w:val="24"/>
                <w:vertAlign w:val="superscript"/>
              </w:rPr>
              <w:t>3</w:t>
            </w:r>
            <w:r>
              <w:rPr>
                <w:rFonts w:hint="default" w:ascii="Times New Roman" w:hAnsi="Times New Roman" w:eastAsia="宋体" w:cs="Times New Roman"/>
                <w:b w:val="0"/>
                <w:bCs/>
                <w:color w:val="auto"/>
                <w:kern w:val="2"/>
                <w:sz w:val="24"/>
                <w:szCs w:val="24"/>
              </w:rPr>
              <w:t>/d，试压介质为洁净水，试压废水内主要污染物仅为少量悬浮物，收集沉淀后回用于煤矿选煤厂综合利用。</w:t>
            </w:r>
          </w:p>
          <w:p w14:paraId="7DE8229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bidi="ar"/>
              </w:rPr>
              <w:t>在采取上述措施的前提下，施工期产生的废水对周围环境的影响可降至最低，并且施工期结束后不再产生施工废水，废水对环境的影响是有限的，措施可行。</w:t>
            </w:r>
          </w:p>
          <w:p w14:paraId="6FFEA272">
            <w:pPr>
              <w:widowControl/>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bidi="ar"/>
              </w:rPr>
              <w:t>（三）施工期噪声污染环境保护措施</w:t>
            </w:r>
          </w:p>
          <w:p w14:paraId="76B90C92">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项目施工期噪声主要来源于施工阶段使用的不同施工机械的非连续性作业噪声，具有阶段性、临时性和不固定性等特点。为了降低施工噪声对周围村庄的影响，企业做到</w:t>
            </w:r>
            <w:r>
              <w:rPr>
                <w:rFonts w:hint="default" w:ascii="Times New Roman" w:hAnsi="Times New Roman" w:eastAsia="宋体" w:cs="Times New Roman"/>
                <w:color w:val="auto"/>
                <w:sz w:val="24"/>
                <w:lang w:val="en-US" w:eastAsia="zh-CN" w:bidi="ar"/>
              </w:rPr>
              <w:t>了如下保护措施</w:t>
            </w:r>
            <w:r>
              <w:rPr>
                <w:rFonts w:hint="default" w:ascii="Times New Roman" w:hAnsi="Times New Roman" w:eastAsia="宋体" w:cs="Times New Roman"/>
                <w:color w:val="auto"/>
                <w:sz w:val="24"/>
                <w:lang w:bidi="ar"/>
              </w:rPr>
              <w:t>：</w:t>
            </w:r>
          </w:p>
          <w:p w14:paraId="3E66067C">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1、施工单位应加强管理，文明施工，合理安排施工时间，严格控制夜间施工时间，使施工期间内噪声污染控制在《建筑施工场界环境噪声排放标准》（GB12523-2011）标准限值之内。</w:t>
            </w:r>
          </w:p>
          <w:p w14:paraId="4EA49F2C">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2</w:t>
            </w:r>
            <w:r>
              <w:rPr>
                <w:rFonts w:hint="default" w:ascii="Times New Roman" w:hAnsi="Times New Roman" w:eastAsia="宋体" w:cs="Times New Roman"/>
                <w:color w:val="auto"/>
                <w:sz w:val="24"/>
                <w:lang w:eastAsia="zh-CN" w:bidi="ar"/>
              </w:rPr>
              <w:t>、</w:t>
            </w:r>
            <w:r>
              <w:rPr>
                <w:rFonts w:hint="default" w:ascii="Times New Roman" w:hAnsi="Times New Roman" w:eastAsia="宋体" w:cs="Times New Roman"/>
                <w:color w:val="auto"/>
                <w:sz w:val="24"/>
                <w:lang w:bidi="ar"/>
              </w:rPr>
              <w:t>制定施工计划时应尽可能避免大量高噪声设备同时施工；合理布局施工场地，避免同一地点安装大量动力机械设备，以避免局部声级过高。</w:t>
            </w:r>
          </w:p>
          <w:p w14:paraId="2D940DB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3</w:t>
            </w:r>
            <w:r>
              <w:rPr>
                <w:rFonts w:hint="default" w:ascii="Times New Roman" w:hAnsi="Times New Roman" w:eastAsia="宋体" w:cs="Times New Roman"/>
                <w:color w:val="auto"/>
                <w:sz w:val="24"/>
                <w:lang w:eastAsia="zh-CN" w:bidi="ar"/>
              </w:rPr>
              <w:t>、</w:t>
            </w:r>
            <w:r>
              <w:rPr>
                <w:rFonts w:hint="default" w:ascii="Times New Roman" w:hAnsi="Times New Roman" w:eastAsia="宋体" w:cs="Times New Roman"/>
                <w:color w:val="auto"/>
                <w:sz w:val="24"/>
                <w:lang w:bidi="ar"/>
              </w:rPr>
              <w:t>尽量采用低噪声设备，固定机械设备与挖土、运土机械可通过消音器、隔离发动机振动部件降低噪声；施工过</w:t>
            </w:r>
            <w:r>
              <w:rPr>
                <w:rFonts w:hint="eastAsia" w:cs="Times New Roman"/>
                <w:color w:val="auto"/>
                <w:sz w:val="24"/>
                <w:lang w:eastAsia="zh-CN" w:bidi="ar"/>
              </w:rPr>
              <w:t>程中</w:t>
            </w:r>
            <w:r>
              <w:rPr>
                <w:rFonts w:hint="default" w:ascii="Times New Roman" w:hAnsi="Times New Roman" w:eastAsia="宋体" w:cs="Times New Roman"/>
                <w:color w:val="auto"/>
                <w:sz w:val="24"/>
                <w:lang w:bidi="ar"/>
              </w:rPr>
              <w:t>使用的噪声设备，施工单位必须在工程开工十五日以前向工程所在地生态环境主管部门申报该工程的项目名称、施工场所和期限、可能产生的环境噪声值以及所采取的环境噪声污染防治措施的情况。</w:t>
            </w:r>
          </w:p>
          <w:p w14:paraId="3C836025">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4</w:t>
            </w:r>
            <w:r>
              <w:rPr>
                <w:rFonts w:hint="default" w:ascii="Times New Roman" w:hAnsi="Times New Roman" w:eastAsia="宋体" w:cs="Times New Roman"/>
                <w:color w:val="auto"/>
                <w:sz w:val="24"/>
                <w:lang w:eastAsia="zh-CN" w:bidi="ar"/>
              </w:rPr>
              <w:t>、</w:t>
            </w:r>
            <w:r>
              <w:rPr>
                <w:rFonts w:hint="default" w:ascii="Times New Roman" w:hAnsi="Times New Roman" w:eastAsia="宋体" w:cs="Times New Roman"/>
                <w:color w:val="auto"/>
                <w:lang w:bidi="ar"/>
              </w:rPr>
              <w:t xml:space="preserve"> </w:t>
            </w:r>
            <w:r>
              <w:rPr>
                <w:rFonts w:hint="default" w:ascii="Times New Roman" w:hAnsi="Times New Roman" w:eastAsia="宋体" w:cs="Times New Roman"/>
                <w:color w:val="auto"/>
                <w:sz w:val="24"/>
                <w:lang w:bidi="ar"/>
              </w:rPr>
              <w:t>施工过程中对动力机械设备和运输车辆进行定期保养和维护，对现场工作人员进行培训，规范设备的使用；适当限制运输车辆的车速，运输途中路过居民区、学校和医院等声敏感区时，减少或杜绝鸣笛。</w:t>
            </w:r>
          </w:p>
          <w:p w14:paraId="6BE430C3">
            <w:pPr>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5、加强施工管理，降低人为噪声影响。加强施工期间的车辆、人员调度和管理，按操作规范操作机械设备等过程中减少碰撞噪声，并对工人进行环保方面的教育。尽量少用钟、笛等指挥作业。在装卸进程中，禁止野蛮作业，减少作业噪声。</w:t>
            </w:r>
          </w:p>
          <w:p w14:paraId="7F16DCE5">
            <w:pPr>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在采取上述措施的前提下，施工期产生的噪声对周围环境的影响可降至最低，措施可行。</w:t>
            </w:r>
          </w:p>
          <w:p w14:paraId="64BAA969">
            <w:pPr>
              <w:spacing w:line="360" w:lineRule="auto"/>
              <w:ind w:firstLine="482"/>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bidi="ar"/>
              </w:rPr>
              <w:t>（四）施工期固废污染环境保护措施</w:t>
            </w:r>
          </w:p>
          <w:p w14:paraId="0E9E7634">
            <w:pPr>
              <w:spacing w:line="360" w:lineRule="auto"/>
              <w:ind w:firstLine="480" w:firstLineChars="200"/>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bidi="ar"/>
              </w:rPr>
              <w:t>施工中产生的固体废物主要是</w:t>
            </w:r>
            <w:r>
              <w:rPr>
                <w:rFonts w:hint="default" w:ascii="Times New Roman" w:hAnsi="Times New Roman" w:eastAsia="宋体" w:cs="Times New Roman"/>
                <w:color w:val="auto"/>
                <w:sz w:val="24"/>
                <w:szCs w:val="20"/>
                <w:lang w:val="en-US" w:eastAsia="zh-CN" w:bidi="ar"/>
              </w:rPr>
              <w:t>表土、</w:t>
            </w:r>
            <w:r>
              <w:rPr>
                <w:rFonts w:hint="default" w:ascii="Times New Roman" w:hAnsi="Times New Roman" w:eastAsia="宋体" w:cs="Times New Roman"/>
                <w:color w:val="auto"/>
                <w:sz w:val="24"/>
                <w:szCs w:val="20"/>
                <w:lang w:bidi="ar"/>
              </w:rPr>
              <w:t>建筑垃圾</w:t>
            </w:r>
            <w:r>
              <w:rPr>
                <w:rFonts w:hint="default" w:ascii="Times New Roman" w:hAnsi="Times New Roman" w:eastAsia="宋体" w:cs="Times New Roman"/>
                <w:color w:val="auto"/>
                <w:sz w:val="24"/>
                <w:szCs w:val="20"/>
                <w:lang w:eastAsia="zh-CN" w:bidi="ar"/>
              </w:rPr>
              <w:t>、</w:t>
            </w:r>
            <w:r>
              <w:rPr>
                <w:rFonts w:hint="default" w:ascii="Times New Roman" w:hAnsi="Times New Roman" w:eastAsia="宋体" w:cs="Times New Roman"/>
                <w:color w:val="auto"/>
                <w:sz w:val="24"/>
                <w:szCs w:val="20"/>
                <w:lang w:val="en-US" w:eastAsia="zh-CN" w:bidi="ar"/>
              </w:rPr>
              <w:t>钻孔泥泞、钻孔岩屑</w:t>
            </w:r>
            <w:r>
              <w:rPr>
                <w:rFonts w:hint="default" w:ascii="Times New Roman" w:hAnsi="Times New Roman" w:eastAsia="宋体" w:cs="Times New Roman"/>
                <w:color w:val="auto"/>
                <w:sz w:val="24"/>
                <w:szCs w:val="20"/>
                <w:lang w:bidi="ar"/>
              </w:rPr>
              <w:t>和工作人员产生的生活垃圾。</w:t>
            </w:r>
          </w:p>
          <w:p w14:paraId="1080790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bidi="ar"/>
              </w:rPr>
            </w:pPr>
            <w:r>
              <w:rPr>
                <w:rFonts w:hint="default" w:ascii="Times New Roman" w:hAnsi="Times New Roman" w:eastAsia="宋体" w:cs="Times New Roman"/>
                <w:color w:val="auto"/>
                <w:sz w:val="24"/>
                <w:szCs w:val="24"/>
                <w:lang w:val="en-US" w:eastAsia="zh-CN"/>
              </w:rPr>
              <w:t>项目施工过程中表土单独堆放，表土堆存场所</w:t>
            </w:r>
            <w:r>
              <w:rPr>
                <w:rFonts w:hint="eastAsia" w:cs="Times New Roman"/>
                <w:color w:val="auto"/>
                <w:sz w:val="24"/>
                <w:szCs w:val="24"/>
                <w:lang w:val="en-US" w:eastAsia="zh-CN"/>
              </w:rPr>
              <w:t>控制在</w:t>
            </w:r>
            <w:r>
              <w:rPr>
                <w:rFonts w:hint="default" w:ascii="Times New Roman" w:hAnsi="Times New Roman" w:eastAsia="宋体" w:cs="Times New Roman"/>
                <w:color w:val="auto"/>
                <w:sz w:val="24"/>
                <w:szCs w:val="24"/>
                <w:lang w:val="en-US" w:eastAsia="zh-CN"/>
              </w:rPr>
              <w:t>钻孔</w:t>
            </w:r>
            <w:r>
              <w:rPr>
                <w:rFonts w:hint="eastAsia" w:cs="Times New Roman"/>
                <w:color w:val="auto"/>
                <w:sz w:val="24"/>
                <w:szCs w:val="24"/>
                <w:lang w:val="en-US" w:eastAsia="zh-CN"/>
              </w:rPr>
              <w:t>施工平台内</w:t>
            </w:r>
            <w:r>
              <w:rPr>
                <w:rFonts w:hint="default" w:ascii="Times New Roman" w:hAnsi="Times New Roman" w:eastAsia="宋体" w:cs="Times New Roman"/>
                <w:color w:val="auto"/>
                <w:sz w:val="24"/>
                <w:szCs w:val="24"/>
                <w:lang w:val="en-US" w:eastAsia="zh-CN"/>
              </w:rPr>
              <w:t>，用苫布苫盖，妥善管理。</w:t>
            </w:r>
          </w:p>
          <w:p w14:paraId="49B1841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bidi="ar"/>
              </w:rPr>
            </w:pPr>
            <w:r>
              <w:rPr>
                <w:rFonts w:hint="default" w:ascii="Times New Roman" w:hAnsi="Times New Roman" w:eastAsia="宋体" w:cs="Times New Roman"/>
                <w:color w:val="auto"/>
                <w:sz w:val="24"/>
                <w:szCs w:val="24"/>
                <w:highlight w:val="none"/>
                <w:lang w:bidi="ar"/>
              </w:rPr>
              <w:t>项目建设期产生的建筑垃圾送市政部门指定地点集中处理，则不会形成二次污染。</w:t>
            </w:r>
          </w:p>
          <w:p w14:paraId="1D04F8E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钻孔土岩、岩屑：钻井岩屑是钻井过程中钻头切屑地层岩石而产生的碎屑和土层，每钻井400m进尺产生岩屑10m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。钻孔施工结束后，</w:t>
            </w:r>
            <w:r>
              <w:rPr>
                <w:rFonts w:hint="default" w:ascii="Times New Roman" w:hAnsi="Times New Roman" w:eastAsia="宋体" w:cs="Times New Roman"/>
                <w:color w:val="auto"/>
                <w:sz w:val="24"/>
                <w:szCs w:val="24"/>
                <w:highlight w:val="none"/>
                <w:shd w:val="clear" w:color="auto" w:fill="auto"/>
              </w:rPr>
              <w:t>钻孔岩屑收集后委托有资质单位进行处置，不外排</w:t>
            </w:r>
            <w:r>
              <w:rPr>
                <w:rFonts w:hint="default" w:ascii="Times New Roman" w:hAnsi="Times New Roman" w:eastAsia="宋体" w:cs="Times New Roman"/>
                <w:color w:val="auto"/>
                <w:sz w:val="24"/>
                <w:szCs w:val="24"/>
                <w:highlight w:val="none"/>
                <w:shd w:val="clear" w:color="auto" w:fill="auto"/>
                <w:lang w:eastAsia="zh-CN"/>
              </w:rPr>
              <w:t>。</w:t>
            </w:r>
          </w:p>
          <w:p w14:paraId="5DE53F9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bidi="ar"/>
              </w:rPr>
            </w:pPr>
            <w:r>
              <w:rPr>
                <w:rFonts w:hint="default" w:ascii="Times New Roman" w:hAnsi="Times New Roman" w:eastAsia="宋体" w:cs="Times New Roman"/>
                <w:color w:val="auto"/>
                <w:sz w:val="24"/>
                <w:szCs w:val="24"/>
                <w:highlight w:val="none"/>
                <w:lang w:bidi="ar"/>
              </w:rPr>
              <w:t>生活垃圾集中收集后</w:t>
            </w:r>
            <w:r>
              <w:rPr>
                <w:rFonts w:hint="default" w:ascii="Times New Roman" w:hAnsi="Times New Roman" w:eastAsia="宋体" w:cs="Times New Roman"/>
                <w:color w:val="auto"/>
                <w:sz w:val="24"/>
                <w:szCs w:val="24"/>
                <w:highlight w:val="none"/>
                <w:lang w:val="en-US" w:eastAsia="zh-CN" w:bidi="ar"/>
              </w:rPr>
              <w:t>按环卫部门要求统一处理</w:t>
            </w:r>
            <w:r>
              <w:rPr>
                <w:rFonts w:hint="default" w:ascii="Times New Roman" w:hAnsi="Times New Roman" w:eastAsia="宋体" w:cs="Times New Roman"/>
                <w:color w:val="auto"/>
                <w:sz w:val="24"/>
                <w:szCs w:val="24"/>
                <w:highlight w:val="none"/>
                <w:lang w:bidi="ar"/>
              </w:rPr>
              <w:t>。</w:t>
            </w:r>
          </w:p>
          <w:p w14:paraId="659DEE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0"/>
                <w:lang w:bidi="ar"/>
              </w:rPr>
            </w:pPr>
            <w:r>
              <w:rPr>
                <w:rFonts w:hint="default" w:ascii="Times New Roman" w:hAnsi="Times New Roman" w:eastAsia="宋体" w:cs="Times New Roman"/>
                <w:color w:val="auto"/>
                <w:sz w:val="24"/>
                <w:szCs w:val="24"/>
                <w:highlight w:val="none"/>
                <w:lang w:bidi="ar"/>
              </w:rPr>
              <w:t>本项目施工固废</w:t>
            </w:r>
            <w:r>
              <w:rPr>
                <w:rFonts w:hint="default" w:ascii="Times New Roman" w:hAnsi="Times New Roman" w:eastAsia="宋体" w:cs="Times New Roman"/>
                <w:color w:val="auto"/>
                <w:sz w:val="24"/>
                <w:szCs w:val="20"/>
                <w:lang w:bidi="ar"/>
              </w:rPr>
              <w:t>处理措施合理可行，各固体废物均得到</w:t>
            </w:r>
            <w:r>
              <w:rPr>
                <w:rFonts w:hint="default" w:ascii="Times New Roman" w:hAnsi="Times New Roman" w:eastAsia="宋体" w:cs="Times New Roman"/>
                <w:color w:val="auto"/>
                <w:sz w:val="24"/>
                <w:szCs w:val="20"/>
                <w:lang w:val="en-US" w:eastAsia="zh-CN" w:bidi="ar"/>
              </w:rPr>
              <w:t>了</w:t>
            </w:r>
            <w:r>
              <w:rPr>
                <w:rFonts w:hint="default" w:ascii="Times New Roman" w:hAnsi="Times New Roman" w:eastAsia="宋体" w:cs="Times New Roman"/>
                <w:color w:val="auto"/>
                <w:sz w:val="24"/>
                <w:szCs w:val="20"/>
                <w:lang w:bidi="ar"/>
              </w:rPr>
              <w:t>妥善处置。</w:t>
            </w:r>
          </w:p>
          <w:p w14:paraId="5483AF0A">
            <w:pPr>
              <w:spacing w:line="360" w:lineRule="auto"/>
              <w:ind w:firstLine="482"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lang w:bidi="ar"/>
              </w:rPr>
              <w:t>（</w:t>
            </w:r>
            <w:r>
              <w:rPr>
                <w:rFonts w:hint="default" w:ascii="Times New Roman" w:hAnsi="Times New Roman" w:eastAsia="宋体" w:cs="Times New Roman"/>
                <w:b/>
                <w:bCs/>
                <w:color w:val="auto"/>
                <w:sz w:val="24"/>
                <w:lang w:val="en-US" w:eastAsia="zh-CN" w:bidi="ar"/>
              </w:rPr>
              <w:t>五</w:t>
            </w:r>
            <w:r>
              <w:rPr>
                <w:rFonts w:hint="default" w:ascii="Times New Roman" w:hAnsi="Times New Roman" w:eastAsia="宋体" w:cs="Times New Roman"/>
                <w:b/>
                <w:bCs/>
                <w:color w:val="auto"/>
                <w:sz w:val="24"/>
                <w:lang w:bidi="ar"/>
              </w:rPr>
              <w:t>）施工期</w:t>
            </w:r>
            <w:r>
              <w:rPr>
                <w:rFonts w:hint="default" w:ascii="Times New Roman" w:hAnsi="Times New Roman" w:eastAsia="宋体" w:cs="Times New Roman"/>
                <w:b/>
                <w:bCs/>
                <w:color w:val="auto"/>
                <w:sz w:val="24"/>
                <w:lang w:val="en-US" w:eastAsia="zh-CN" w:bidi="ar"/>
              </w:rPr>
              <w:t>生态</w:t>
            </w:r>
            <w:r>
              <w:rPr>
                <w:rFonts w:hint="default" w:ascii="Times New Roman" w:hAnsi="Times New Roman" w:eastAsia="宋体" w:cs="Times New Roman"/>
                <w:b/>
                <w:bCs/>
                <w:color w:val="auto"/>
                <w:sz w:val="24"/>
                <w:lang w:bidi="ar"/>
              </w:rPr>
              <w:t>环境保护措施</w:t>
            </w:r>
          </w:p>
          <w:p w14:paraId="3DDBC3B9">
            <w:pPr>
              <w:keepNext w:val="0"/>
              <w:keepLines w:val="0"/>
              <w:widowControl/>
              <w:suppressLineNumbers w:val="0"/>
              <w:jc w:val="both"/>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本项目不新增永久占地，临时占地包括</w:t>
            </w:r>
            <w:r>
              <w:rPr>
                <w:rFonts w:hint="eastAsia" w:cs="Times New Roman"/>
                <w:color w:val="auto"/>
                <w:kern w:val="0"/>
                <w:sz w:val="24"/>
                <w:szCs w:val="24"/>
                <w:lang w:val="en-US" w:eastAsia="zh-CN" w:bidi="ar"/>
              </w:rPr>
              <w:t>地埋注浆管线（工业场地内）</w:t>
            </w:r>
            <w:r>
              <w:rPr>
                <w:rFonts w:hint="default" w:ascii="Times New Roman" w:hAnsi="Times New Roman" w:eastAsia="宋体" w:cs="Times New Roman"/>
                <w:color w:val="auto"/>
                <w:kern w:val="0"/>
                <w:sz w:val="24"/>
                <w:szCs w:val="24"/>
                <w:lang w:val="en-US" w:eastAsia="zh-CN" w:bidi="ar"/>
              </w:rPr>
              <w:t>、注浆站（厂外）至钻孔管线占地、管线支架占地、钻孔（70个）占地。根据现场调查，项目临时占地不涉及风景名胜区、自然遗产地、森林公园等特殊保护区，也无珍稀、保护动植物分布，用地现状为耕地、林地、草地等，项目的实施将会清除地表植被，造成沙土裸露，加剧水土流失。为减轻施工期对生态环境的影响，评价提出生态保护与恢复措施如下：</w:t>
            </w:r>
          </w:p>
          <w:p w14:paraId="23EF1ADA">
            <w:pPr>
              <w:keepNext w:val="0"/>
              <w:keepLines w:val="0"/>
              <w:widowControl/>
              <w:suppressLineNumbers w:val="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1、管线工程生态保护措施</w:t>
            </w:r>
          </w:p>
          <w:p w14:paraId="19246E59">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（1）</w:t>
            </w:r>
            <w:r>
              <w:rPr>
                <w:rFonts w:hint="eastAsia" w:ascii="Times New Roman" w:hAnsi="Times New Roman" w:eastAsia="宋体" w:cs="Times New Roman"/>
                <w:color w:val="auto"/>
                <w:kern w:val="0"/>
                <w:sz w:val="24"/>
                <w:szCs w:val="24"/>
                <w:lang w:val="en-US" w:eastAsia="zh-CN" w:bidi="ar"/>
              </w:rPr>
              <w:t>厂外管线均为架空管线，管线支架严格避让</w:t>
            </w:r>
            <w:r>
              <w:rPr>
                <w:rFonts w:hint="eastAsia" w:cs="Times New Roman"/>
                <w:color w:val="auto"/>
                <w:kern w:val="0"/>
                <w:sz w:val="24"/>
                <w:szCs w:val="24"/>
                <w:lang w:val="en-US" w:eastAsia="zh-CN" w:bidi="ar"/>
              </w:rPr>
              <w:t>永久基本农田</w:t>
            </w:r>
            <w:r>
              <w:rPr>
                <w:rFonts w:hint="eastAsia" w:ascii="Times New Roman" w:hAnsi="Times New Roman" w:eastAsia="宋体" w:cs="Times New Roman"/>
                <w:color w:val="auto"/>
                <w:kern w:val="0"/>
                <w:sz w:val="24"/>
                <w:szCs w:val="24"/>
                <w:lang w:val="en-US" w:eastAsia="zh-CN" w:bidi="ar"/>
              </w:rPr>
              <w:t>，不占用</w:t>
            </w:r>
            <w:r>
              <w:rPr>
                <w:rFonts w:hint="eastAsia" w:cs="Times New Roman"/>
                <w:color w:val="auto"/>
                <w:kern w:val="0"/>
                <w:sz w:val="24"/>
                <w:szCs w:val="24"/>
                <w:lang w:val="en-US" w:eastAsia="zh-CN" w:bidi="ar"/>
              </w:rPr>
              <w:t>永久基本农田</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对管线占地合理规划，严格控制临时占地面积，管线施工临时占地</w:t>
            </w:r>
            <w:r>
              <w:rPr>
                <w:rFonts w:hint="eastAsia" w:cs="Times New Roman"/>
                <w:color w:val="auto"/>
                <w:kern w:val="0"/>
                <w:sz w:val="24"/>
                <w:szCs w:val="24"/>
                <w:lang w:val="en-US" w:eastAsia="zh-CN" w:bidi="ar"/>
              </w:rPr>
              <w:t>主要为管线支架施工，严格控制管线支架施工作业范围</w:t>
            </w:r>
            <w:r>
              <w:rPr>
                <w:rFonts w:hint="default" w:ascii="Times New Roman" w:hAnsi="Times New Roman" w:eastAsia="宋体" w:cs="Times New Roman"/>
                <w:color w:val="auto"/>
                <w:kern w:val="0"/>
                <w:sz w:val="24"/>
                <w:szCs w:val="24"/>
                <w:lang w:val="en-US" w:eastAsia="zh-CN" w:bidi="ar"/>
              </w:rPr>
              <w:t>，尽量避让植被较多的区域，对规划占地范围外的区域严禁机械及车辆进入、占用，禁止乱轧乱碾，避免破坏自然植被，造成土地松动。</w:t>
            </w:r>
          </w:p>
          <w:p w14:paraId="189380DE">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优化注浆管线线路，管线在选线过程中尽可能避开耕地、林地、地表水体以及村民聚集居住区。</w:t>
            </w:r>
          </w:p>
          <w:p w14:paraId="2C74C838">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本项目占地及补偿应按照地方有关工程征地及补偿要求进行，由相关部门许可后方可开工建设。</w:t>
            </w:r>
          </w:p>
          <w:p w14:paraId="28C06DCF">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管线施工时应根据地形条件，尽量按地形走向、起伏施工。</w:t>
            </w:r>
          </w:p>
          <w:p w14:paraId="07DC1C55">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施工期充分利用现有道路，降低对地表和植被的破坏，施工机械不得在道路以外行驶和作业，保持地表不被扰动。</w:t>
            </w:r>
          </w:p>
          <w:p w14:paraId="1C7AB821">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严格落实环评所提环保措施，加强施工管理，杜绝废水固废乱堆乱排的现象，避免施工期废水、固废等对自然植被及土壤造成不良影响。</w:t>
            </w:r>
          </w:p>
          <w:p w14:paraId="0BB2D5EA">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（7）</w:t>
            </w:r>
            <w:r>
              <w:rPr>
                <w:rFonts w:hint="default" w:ascii="Times New Roman" w:hAnsi="Times New Roman" w:eastAsia="宋体" w:cs="Times New Roman"/>
                <w:color w:val="auto"/>
                <w:kern w:val="0"/>
                <w:sz w:val="24"/>
                <w:szCs w:val="24"/>
                <w:lang w:val="en-US" w:eastAsia="zh-CN" w:bidi="ar"/>
              </w:rPr>
              <w:t>加强野生动物保护，对施工人员进行宣传教育，禁止捕杀野生动物。</w:t>
            </w:r>
          </w:p>
          <w:p w14:paraId="2F619DCB">
            <w:pPr>
              <w:keepNext w:val="0"/>
              <w:keepLines w:val="0"/>
              <w:widowControl/>
              <w:suppressLineNumbers w:val="0"/>
              <w:jc w:val="both"/>
              <w:rPr>
                <w:rFonts w:hint="default" w:ascii="Times New Roman" w:hAnsi="Times New Roman" w:eastAsia="宋体" w:cs="Times New Roman"/>
                <w:color w:val="auto"/>
              </w:rPr>
            </w:pPr>
            <w:r>
              <w:rPr>
                <w:rFonts w:hint="eastAsia" w:cs="Times New Roman"/>
                <w:color w:val="auto"/>
                <w:kern w:val="0"/>
                <w:sz w:val="24"/>
                <w:szCs w:val="24"/>
                <w:lang w:val="en-US" w:eastAsia="zh-CN" w:bidi="ar"/>
              </w:rPr>
              <w:t>（8）</w:t>
            </w:r>
            <w:r>
              <w:rPr>
                <w:rFonts w:hint="default" w:ascii="Times New Roman" w:hAnsi="Times New Roman" w:eastAsia="宋体" w:cs="Times New Roman"/>
                <w:color w:val="auto"/>
                <w:kern w:val="0"/>
                <w:sz w:val="24"/>
                <w:szCs w:val="24"/>
                <w:lang w:val="en-US" w:eastAsia="zh-CN" w:bidi="ar"/>
              </w:rPr>
              <w:t>及时清理施工现场，做到“工完、料净、场地清”。注浆结束后，建设单位应承担恢复生态的责任，及时对临时占地区域进行平整、恢复原貌，使占地造成的影响逐步得以恢复。</w:t>
            </w:r>
          </w:p>
          <w:p w14:paraId="0E48A27F">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2、钻孔工程生态保护措施</w:t>
            </w:r>
          </w:p>
          <w:p w14:paraId="49EEC50D">
            <w:pPr>
              <w:keepNext w:val="0"/>
              <w:keepLines w:val="0"/>
              <w:widowControl/>
              <w:suppressLineNumbers w:val="0"/>
              <w:jc w:val="both"/>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w:t>
            </w:r>
            <w:r>
              <w:rPr>
                <w:rFonts w:hint="eastAsia" w:ascii="Times New Roman" w:hAnsi="Times New Roman" w:eastAsia="宋体" w:cs="Times New Roman"/>
                <w:color w:val="auto"/>
                <w:kern w:val="0"/>
                <w:sz w:val="24"/>
                <w:szCs w:val="24"/>
                <w:lang w:val="en-US" w:eastAsia="zh-CN" w:bidi="ar"/>
              </w:rPr>
              <w:t>注浆孔均在2201首采工作面，</w:t>
            </w:r>
            <w:r>
              <w:rPr>
                <w:rFonts w:hint="default" w:ascii="Times New Roman" w:hAnsi="Times New Roman" w:eastAsia="宋体" w:cs="Times New Roman"/>
                <w:color w:val="auto"/>
                <w:kern w:val="0"/>
                <w:sz w:val="24"/>
                <w:szCs w:val="24"/>
                <w:lang w:val="en-US" w:eastAsia="zh-CN" w:bidi="ar"/>
              </w:rPr>
              <w:t>每年注浆钻孔数量约70个，钻孔建设将会破坏地表植被，形成植被破口斑块，如果不采取必要的措施，破口将扩大发展，导致水土流失加剧。</w:t>
            </w:r>
            <w:r>
              <w:rPr>
                <w:rFonts w:hint="eastAsia" w:ascii="Times New Roman" w:hAnsi="Times New Roman" w:eastAsia="宋体" w:cs="Times New Roman"/>
                <w:color w:val="auto"/>
                <w:kern w:val="0"/>
                <w:sz w:val="24"/>
                <w:szCs w:val="24"/>
                <w:lang w:val="en-US" w:eastAsia="zh-CN" w:bidi="ar"/>
              </w:rPr>
              <w:t>注浆孔严格避让</w:t>
            </w:r>
            <w:r>
              <w:rPr>
                <w:rFonts w:hint="eastAsia" w:cs="Times New Roman"/>
                <w:color w:val="auto"/>
                <w:kern w:val="0"/>
                <w:sz w:val="24"/>
                <w:szCs w:val="24"/>
                <w:lang w:val="en-US" w:eastAsia="zh-CN" w:bidi="ar"/>
              </w:rPr>
              <w:t>永久基本农田</w:t>
            </w:r>
            <w:r>
              <w:rPr>
                <w:rFonts w:hint="eastAsia" w:ascii="Times New Roman" w:hAnsi="Times New Roman" w:eastAsia="宋体" w:cs="Times New Roman"/>
                <w:color w:val="auto"/>
                <w:kern w:val="0"/>
                <w:sz w:val="24"/>
                <w:szCs w:val="24"/>
                <w:lang w:val="en-US" w:eastAsia="zh-CN" w:bidi="ar"/>
              </w:rPr>
              <w:t>，不</w:t>
            </w:r>
            <w:r>
              <w:rPr>
                <w:rFonts w:hint="eastAsia" w:cs="Times New Roman"/>
                <w:color w:val="auto"/>
                <w:kern w:val="0"/>
                <w:sz w:val="24"/>
                <w:szCs w:val="24"/>
                <w:lang w:val="en-US" w:eastAsia="zh-CN" w:bidi="ar"/>
              </w:rPr>
              <w:t>得</w:t>
            </w:r>
            <w:r>
              <w:rPr>
                <w:rFonts w:hint="eastAsia" w:ascii="Times New Roman" w:hAnsi="Times New Roman" w:eastAsia="宋体" w:cs="Times New Roman"/>
                <w:color w:val="auto"/>
                <w:kern w:val="0"/>
                <w:sz w:val="24"/>
                <w:szCs w:val="24"/>
                <w:lang w:val="en-US" w:eastAsia="zh-CN" w:bidi="ar"/>
              </w:rPr>
              <w:t>占用</w:t>
            </w:r>
            <w:r>
              <w:rPr>
                <w:rFonts w:hint="eastAsia" w:cs="Times New Roman"/>
                <w:color w:val="auto"/>
                <w:kern w:val="0"/>
                <w:sz w:val="24"/>
                <w:szCs w:val="24"/>
                <w:lang w:val="en-US" w:eastAsia="zh-CN" w:bidi="ar"/>
              </w:rPr>
              <w:t>永久基本农田</w:t>
            </w:r>
            <w:r>
              <w:rPr>
                <w:rFonts w:hint="eastAsia" w:ascii="Times New Roman" w:hAnsi="Times New Roman" w:eastAsia="宋体" w:cs="Times New Roman"/>
                <w:color w:val="auto"/>
                <w:kern w:val="0"/>
                <w:sz w:val="24"/>
                <w:szCs w:val="24"/>
                <w:lang w:val="en-US" w:eastAsia="zh-CN" w:bidi="ar"/>
              </w:rPr>
              <w:t>；海子湾沟跨越2201首采工作面，钻孔应严格避让海子湾沟</w:t>
            </w:r>
            <w:r>
              <w:rPr>
                <w:rFonts w:hint="eastAsia" w:cs="Times New Roman"/>
                <w:color w:val="auto"/>
                <w:kern w:val="0"/>
                <w:sz w:val="24"/>
                <w:szCs w:val="24"/>
                <w:lang w:val="en-US" w:eastAsia="zh-CN" w:bidi="ar"/>
              </w:rPr>
              <w:t>，严格控制钻孔施工区作业区域，减少对植被的破坏。</w:t>
            </w:r>
            <w:r>
              <w:rPr>
                <w:rFonts w:hint="default" w:ascii="Times New Roman" w:hAnsi="Times New Roman" w:eastAsia="宋体" w:cs="Times New Roman"/>
                <w:color w:val="auto"/>
                <w:kern w:val="0"/>
                <w:sz w:val="24"/>
                <w:szCs w:val="24"/>
                <w:lang w:val="en-US" w:eastAsia="zh-CN" w:bidi="ar"/>
              </w:rPr>
              <w:t>钻孔泥浆、岩屑收集后委托有资质单位进行处置，不外排；生活垃圾收集后统一纳入煤矿生活垃圾清运系统；</w:t>
            </w:r>
          </w:p>
          <w:p w14:paraId="070043AE">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从项目选址所处地形地貌看，本项目拟建钻孔位于风积沙丘地貌单元，结合地形地貌提出井场生态恢复措施：</w:t>
            </w:r>
          </w:p>
          <w:p w14:paraId="4A963178">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控制钻孔场地作业面范围，钻孔作业应尽量减少临时占地；尽量少破坏植被</w:t>
            </w:r>
            <w:r>
              <w:rPr>
                <w:rFonts w:hint="eastAsia" w:cs="Times New Roman"/>
                <w:color w:val="auto"/>
                <w:kern w:val="0"/>
                <w:sz w:val="24"/>
                <w:szCs w:val="24"/>
                <w:lang w:val="en-US" w:eastAsia="zh-CN" w:bidi="ar"/>
              </w:rPr>
              <w:t>，不得占用农田</w:t>
            </w:r>
            <w:r>
              <w:rPr>
                <w:rFonts w:hint="default" w:ascii="Times New Roman" w:hAnsi="Times New Roman" w:eastAsia="宋体" w:cs="Times New Roman"/>
                <w:color w:val="auto"/>
                <w:kern w:val="0"/>
                <w:sz w:val="24"/>
                <w:szCs w:val="24"/>
                <w:lang w:val="en-US" w:eastAsia="zh-CN" w:bidi="ar"/>
              </w:rPr>
              <w:t>。</w:t>
            </w:r>
          </w:p>
          <w:p w14:paraId="4A363F5C">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临时占地在施工结束后，要及时将土方回填，平整地面，草地覆土植树（草），栽植树种应保持与建设前植物种类一致，所有生态措施应在施工结束后半年内完成。</w:t>
            </w:r>
          </w:p>
          <w:p w14:paraId="4451B48B">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钻孔场地在无植被安全防护距离以外扰动区域，必须进行植被重建；安全防护距离属于无植被区域，应采取工程措施防止地表土壤的风蚀。</w:t>
            </w:r>
          </w:p>
          <w:p w14:paraId="1323F06B">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钻孔场地覆土均来源于各钻孔开挖及场地平整产生的临时堆存土方。评价要求建设单位承担连带的水土保持责任，做好施工期开挖土方临时堆存的水土保持措施，确保土方水土流失得到有效控制。</w:t>
            </w:r>
          </w:p>
          <w:p w14:paraId="45ADCF7F">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t xml:space="preserve">3、对野生动植物的生态保护措施 </w:t>
            </w:r>
          </w:p>
          <w:p w14:paraId="12C5D41F">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合理选择钻孔场地、管线走向，应避开植被茂盛的区段，尽量避免砍伐野生植物；管线敷设尽量取直，考虑管线距离最短。</w:t>
            </w:r>
          </w:p>
          <w:p w14:paraId="2248A1C2">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 xml:space="preserve">钻孔场地、管线施工应严格限定施工范围，确定作业路线，不得随意改线。施工若遇到保护植物应当采取避让的措施，若无法进行避让，需对保护植物进行移植保护。 </w:t>
            </w:r>
          </w:p>
          <w:p w14:paraId="604E93BA">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施工机械和车辆应严格按规定在设计场地及便道上作业和行驶，防止扩大对土壤和植被的破坏范围。在保证顺利施工的前提下，应尽可能缩小施工作业宽度，以减少临时占地影响，将施工期对环境不利影响降到最低限度。</w:t>
            </w:r>
          </w:p>
          <w:p w14:paraId="1A5773E5">
            <w:pPr>
              <w:keepNext w:val="0"/>
              <w:keepLines w:val="0"/>
              <w:widowControl/>
              <w:suppressLineNumbers w:val="0"/>
              <w:jc w:val="left"/>
              <w:rPr>
                <w:rFonts w:hint="default" w:ascii="Times New Roman" w:hAnsi="Times New Roman" w:eastAsia="宋体" w:cs="Times New Roman"/>
                <w:color w:val="auto"/>
              </w:rPr>
            </w:pPr>
            <w:r>
              <w:rPr>
                <w:rFonts w:hint="eastAsia"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在管道沿线、钻孔场地设置“保护生态环境、保护野生动植物”等警示牌，并从管理上对施工作业人员加强宣传教育，切实提高保护生态环境的意识。车辆行驶过程中不得鸣笛惊吓野生动物。</w:t>
            </w:r>
          </w:p>
          <w:p w14:paraId="041EEE02">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临时占地在施工结束后，要及时将土方回填，平整地面，覆土植树（草），栽植树种应保持与建设前植物种类一致，所有生态措施应在施工结束后半年内完成。</w:t>
            </w:r>
          </w:p>
          <w:p w14:paraId="70768D4B">
            <w:pPr>
              <w:keepNext w:val="0"/>
              <w:keepLines w:val="0"/>
              <w:widowControl/>
              <w:suppressLineNumbers w:val="0"/>
              <w:jc w:val="left"/>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4、对植被保护措施</w:t>
            </w:r>
          </w:p>
          <w:p w14:paraId="48805DA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施工中破坏的地表植被，应严格按土地复垦有关规定，使之尽快恢复，应在施工结束后的当年或来年予以恢复。</w:t>
            </w:r>
            <w:r>
              <w:rPr>
                <w:rFonts w:hint="default" w:ascii="Times New Roman" w:hAnsi="Times New Roman" w:eastAsia="宋体" w:cs="Times New Roman"/>
                <w:color w:val="auto"/>
                <w:kern w:val="0"/>
                <w:sz w:val="24"/>
                <w:szCs w:val="24"/>
                <w:lang w:val="en-US" w:eastAsia="zh-CN" w:bidi="ar"/>
              </w:rPr>
              <w:t>施工完成后的绿化工程要因地制宜选择适合当地生长的绿化物种，同时要保证恢复植被覆盖度不低于当地原生植被覆盖度。并在运营期进行养护，保证其植被成活率达到</w:t>
            </w:r>
            <w:r>
              <w:rPr>
                <w:rFonts w:hint="eastAsia" w:cs="Times New Roman"/>
                <w:color w:val="auto"/>
                <w:kern w:val="0"/>
                <w:sz w:val="24"/>
                <w:szCs w:val="24"/>
                <w:lang w:val="en-US" w:eastAsia="zh-CN" w:bidi="ar"/>
              </w:rPr>
              <w:t>9</w:t>
            </w:r>
            <w:r>
              <w:rPr>
                <w:rFonts w:hint="default" w:ascii="Times New Roman" w:hAnsi="Times New Roman" w:eastAsia="宋体" w:cs="Times New Roman"/>
                <w:color w:val="auto"/>
                <w:kern w:val="0"/>
                <w:sz w:val="24"/>
                <w:szCs w:val="24"/>
                <w:lang w:val="en-US" w:eastAsia="zh-CN" w:bidi="ar"/>
              </w:rPr>
              <w:t>5%以上。</w:t>
            </w:r>
            <w:r>
              <w:rPr>
                <w:rFonts w:hint="default" w:ascii="Times New Roman" w:hAnsi="Times New Roman" w:eastAsia="宋体" w:cs="Times New Roman"/>
                <w:color w:val="auto"/>
                <w:sz w:val="24"/>
                <w:szCs w:val="24"/>
                <w:lang w:val="en-US" w:eastAsia="zh-CN"/>
              </w:rPr>
              <w:t>地表开挖时，项目施工过程中表土单独堆放，在钻孔附近设置100m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表土堆存场所，用苫布苫盖，妥善管理，施工结束后，应及时清理施工现场，平整土地，将原表土覆于平整后的土地上。恢复区域生态环境原貌，在选择草种时必须选择当地乡土物种，确保生物安全不可移栽的保护植被尽量选择避让措施保护植物物种。具体保护措施如下：</w:t>
            </w:r>
          </w:p>
          <w:p w14:paraId="3657030D">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在施工人员进入施工现场前，应组织进行生态环境保护相关法规方面的宣传、教育，使所有参与施工人员认识到野生动物和天然植被的重要性，初步认识和辨别项目区内分布的植物种类，强化施工人员的保护意识，并落实到自身的实际行动中。在施工过程中，必须加强对参与施工人员的严格管理，杜绝人为破坏天然植被的行为。</w:t>
            </w:r>
          </w:p>
          <w:p w14:paraId="49D43D79">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②在施工过程中，必须尽量减少对施工区域周边地表植被的压占，不得随意扩大施工面积，要注意避免施工</w:t>
            </w:r>
            <w:r>
              <w:rPr>
                <w:rFonts w:hint="eastAsia" w:cs="Times New Roman"/>
                <w:color w:val="auto"/>
                <w:sz w:val="24"/>
                <w:szCs w:val="24"/>
                <w:lang w:val="en-US" w:eastAsia="zh-CN"/>
              </w:rPr>
              <w:t>车辆</w:t>
            </w:r>
            <w:r>
              <w:rPr>
                <w:rFonts w:hint="default" w:ascii="Times New Roman" w:hAnsi="Times New Roman" w:eastAsia="宋体" w:cs="Times New Roman"/>
                <w:color w:val="auto"/>
                <w:sz w:val="24"/>
                <w:szCs w:val="24"/>
                <w:lang w:val="en-US" w:eastAsia="zh-CN"/>
              </w:rPr>
              <w:t>超范围行驶，特别是在较为敏感的植被分布区域施工时，更需尽量将施工范围限制在必须范围内。</w:t>
            </w:r>
          </w:p>
          <w:p w14:paraId="364B5ACB">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③各类宣传牌、警示牌在安放时，禁止施工人员为了方便省力而采取的拖地拉运行为，减少对地表植被的破坏。</w:t>
            </w:r>
          </w:p>
          <w:p w14:paraId="120A16C3">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施工结束后，应及时清理施工现场，对施工过程中产生的生活垃圾和废弃物，应集中收集装袋，并在结束施工时带出施工区域，不得随意丢弃于施工区域的天然植被中，既造成环境污染，又对植被的正常生长发育产生不良影响。</w:t>
            </w:r>
          </w:p>
          <w:p w14:paraId="6E0B20BE">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⑤</w:t>
            </w:r>
            <w:r>
              <w:rPr>
                <w:rFonts w:hint="eastAsia" w:cs="Times New Roman"/>
                <w:color w:val="auto"/>
                <w:sz w:val="24"/>
                <w:szCs w:val="24"/>
                <w:lang w:val="en-US" w:eastAsia="zh-CN"/>
              </w:rPr>
              <w:t>施工结束后半年内，</w:t>
            </w:r>
            <w:r>
              <w:rPr>
                <w:rFonts w:hint="default" w:ascii="Times New Roman" w:hAnsi="Times New Roman" w:eastAsia="宋体" w:cs="Times New Roman"/>
                <w:color w:val="auto"/>
                <w:sz w:val="24"/>
                <w:szCs w:val="24"/>
                <w:lang w:val="en-US" w:eastAsia="zh-CN"/>
              </w:rPr>
              <w:t>对施工便道临时占用土地进行平整、临时占地</w:t>
            </w:r>
            <w:r>
              <w:rPr>
                <w:rFonts w:hint="eastAsia" w:cs="Times New Roman"/>
                <w:color w:val="auto"/>
                <w:sz w:val="24"/>
                <w:szCs w:val="24"/>
                <w:lang w:val="en-US" w:eastAsia="zh-CN"/>
              </w:rPr>
              <w:t>按原地类恢复</w:t>
            </w:r>
            <w:r>
              <w:rPr>
                <w:rFonts w:hint="default" w:ascii="Times New Roman" w:hAnsi="Times New Roman" w:eastAsia="宋体" w:cs="Times New Roman"/>
                <w:color w:val="auto"/>
                <w:sz w:val="24"/>
                <w:szCs w:val="24"/>
                <w:lang w:val="en-US" w:eastAsia="zh-CN"/>
              </w:rPr>
              <w:t>，恢复面积为</w:t>
            </w:r>
            <w:r>
              <w:rPr>
                <w:rFonts w:hint="eastAsia" w:cs="Times New Roman"/>
                <w:color w:val="auto"/>
                <w:sz w:val="24"/>
                <w:szCs w:val="24"/>
                <w:lang w:val="en-US" w:eastAsia="zh-CN"/>
              </w:rPr>
              <w:t>5200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。加强对植被的抚育、补种工作，提高施工便道植被覆盖度，恢复植被覆盖度不低于当地原生植被覆盖度，植被成活率达到</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lang w:val="en-US" w:eastAsia="zh-CN"/>
              </w:rPr>
              <w:t>5%以上。</w:t>
            </w:r>
          </w:p>
          <w:p w14:paraId="4E684E5D">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⑥妥善处理施工期产生的各类污染物，施工开挖时，表土单独堆放，用于施工结束后的植被恢复；施工结束后采取妥善措施进行植被恢复，优先使用当地草种，不得引进外来物种。在施工期选用先进的施工手段，按设计要求施工，减少开挖土石方量，减少建筑垃圾量的产生，及时清除多余的土方和石料，严禁就地倾倒覆压植被。</w:t>
            </w:r>
          </w:p>
          <w:p w14:paraId="17721D12">
            <w:pPr>
              <w:spacing w:line="360" w:lineRule="auto"/>
              <w:ind w:firstLine="482" w:firstLineChars="20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5、其他措施</w:t>
            </w:r>
          </w:p>
          <w:p w14:paraId="4B266BDA">
            <w:pPr>
              <w:numPr>
                <w:ilvl w:val="0"/>
                <w:numId w:val="0"/>
              </w:num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（1）施工人员培训</w:t>
            </w:r>
          </w:p>
          <w:p w14:paraId="3AA54033">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加强对施工人员的培训，注意区域植被及受保护动植物，禁止随意开辟施工道路及场地，禁止对施工区以外地区进行碾压和破坏，禁止随意割草、采药等活动，不得偷猎、伤害、恐吓、袭击野生动物。施工过程中，发现有野生动物的繁殖地时，应避开，不得随意干扰和破坏野生动物的栖息、活动场所。合理设计规划施工便道，施工、运输及运营维护车辆严格按照规划的道路运行，禁止车辆随意碾压植被。</w:t>
            </w:r>
          </w:p>
          <w:p w14:paraId="318B325A">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（2）施工现场管理</w:t>
            </w:r>
          </w:p>
          <w:p w14:paraId="700B6826">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①施工时确定施工方案及施工范围，对施工场地等设置围护，各种施工活动应控制在施工范围内，不得随意扩大施工场地范围。施工人员和机械不得在规定区域范围外随意活动和行驶；施工时产生的垃圾应集中收集，按照相关部门的要求统一处理，不得随意抛撒，随意排放倾倒建筑垃圾及生活垃圾等；项目不设立弃土弃渣场，降低对生态的影响。</w:t>
            </w:r>
          </w:p>
          <w:p w14:paraId="6D1C2AC1">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②工程建设部门和施工单位应与各级环境保护部门保持经常联系，自觉接受管理检查，并定期向各级环境保护部门汇报工作，共同协调处理施工中产生的各种问题。</w:t>
            </w:r>
          </w:p>
          <w:p w14:paraId="6F610BDA">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③工程建设部门应制定针对施工阶段的环境保护实施方案，加强施工阶段的环境保护工作，加强对施工人员特别是施工管理人员的宣传教育，禁止人员随意离开施工区域，进入野外区域；严格禁止任何人员捕杀动物。 </w:t>
            </w:r>
          </w:p>
          <w:p w14:paraId="05BAD7CE">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④必须严格按照国家管理部门的有关保护措施和污染防治办法的要求进行施工管理和施工环境监理。</w:t>
            </w:r>
          </w:p>
          <w:p w14:paraId="4F7BF777">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⑤施工过程应建立工程进度报告制度，整个施工过程中必须与地方环境保护部门加强联系，在做好相应防护措施的同时，应提前向地方环境保护部门报告，保证工程环境监测和环境保护措施的落实。</w:t>
            </w:r>
          </w:p>
          <w:p w14:paraId="7D3B1E2C">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⑥严格控制施工范围，以最大程度保持生态原貌，并派人管理监督，严禁越界施工。</w:t>
            </w:r>
          </w:p>
          <w:p w14:paraId="5AAFA105">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⑦禁止本项目的人员、车辆进入与施工活动无关的区域内，如确需进入上述区域则必须严格执行审批程序，通过主管部门和地方环境保护主管部门的同意后方可进行。</w:t>
            </w:r>
          </w:p>
          <w:p w14:paraId="514FEFB2">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⑧加强各种施工过程的管理，加强各种生活废物的治理，避免对湿地和地表水产生影响。</w:t>
            </w:r>
          </w:p>
          <w:p w14:paraId="6025C80E">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⑨合理安排施工时间，避免夜间施工。</w:t>
            </w:r>
          </w:p>
          <w:p w14:paraId="688C1057">
            <w:pPr>
              <w:snapToGrid w:val="0"/>
              <w:spacing w:line="480" w:lineRule="exact"/>
              <w:ind w:left="0" w:leftChars="0" w:firstLine="0" w:firstLineChars="0"/>
              <w:rPr>
                <w:rFonts w:hint="default" w:ascii="Times New Roman" w:hAnsi="Times New Roman" w:eastAsia="宋体" w:cs="Times New Roman"/>
                <w:bCs/>
                <w:color w:val="auto"/>
                <w:sz w:val="24"/>
              </w:rPr>
            </w:pPr>
          </w:p>
          <w:p w14:paraId="3397DCE6">
            <w:pPr>
              <w:snapToGrid w:val="0"/>
              <w:spacing w:line="480" w:lineRule="exact"/>
              <w:ind w:firstLine="480" w:firstLineChars="200"/>
              <w:rPr>
                <w:rFonts w:hint="default" w:ascii="Times New Roman" w:hAnsi="Times New Roman" w:eastAsia="宋体" w:cs="Times New Roman"/>
                <w:bCs/>
                <w:color w:val="auto"/>
                <w:sz w:val="24"/>
              </w:rPr>
            </w:pPr>
          </w:p>
          <w:p w14:paraId="6ED71761">
            <w:pPr>
              <w:snapToGrid w:val="0"/>
              <w:spacing w:line="480" w:lineRule="exact"/>
              <w:rPr>
                <w:rFonts w:hint="default" w:ascii="Times New Roman" w:hAnsi="Times New Roman" w:eastAsia="宋体" w:cs="Times New Roman"/>
                <w:bCs/>
                <w:color w:val="auto"/>
                <w:sz w:val="24"/>
              </w:rPr>
            </w:pPr>
          </w:p>
          <w:p w14:paraId="22141734">
            <w:pPr>
              <w:snapToGrid w:val="0"/>
              <w:spacing w:line="480" w:lineRule="exact"/>
              <w:rPr>
                <w:rFonts w:hint="default" w:ascii="Times New Roman" w:hAnsi="Times New Roman" w:eastAsia="宋体" w:cs="Times New Roman"/>
                <w:bCs/>
                <w:color w:val="auto"/>
                <w:sz w:val="24"/>
              </w:rPr>
            </w:pPr>
          </w:p>
          <w:p w14:paraId="64203F06">
            <w:pPr>
              <w:snapToGrid w:val="0"/>
              <w:spacing w:line="480" w:lineRule="exact"/>
              <w:rPr>
                <w:rFonts w:hint="default" w:ascii="Times New Roman" w:hAnsi="Times New Roman" w:eastAsia="宋体" w:cs="Times New Roman"/>
                <w:bCs/>
                <w:color w:val="auto"/>
                <w:sz w:val="24"/>
              </w:rPr>
            </w:pPr>
          </w:p>
          <w:p w14:paraId="3C158FBE">
            <w:pPr>
              <w:snapToGrid w:val="0"/>
              <w:spacing w:line="480" w:lineRule="exact"/>
              <w:rPr>
                <w:rFonts w:hint="default" w:ascii="Times New Roman" w:hAnsi="Times New Roman" w:eastAsia="宋体" w:cs="Times New Roman"/>
                <w:bCs/>
                <w:color w:val="auto"/>
                <w:sz w:val="24"/>
              </w:rPr>
            </w:pPr>
          </w:p>
          <w:p w14:paraId="0CAB0D6D">
            <w:pPr>
              <w:snapToGrid w:val="0"/>
              <w:spacing w:line="480" w:lineRule="exact"/>
              <w:rPr>
                <w:rFonts w:hint="default" w:ascii="Times New Roman" w:hAnsi="Times New Roman" w:eastAsia="宋体" w:cs="Times New Roman"/>
                <w:bCs/>
                <w:color w:val="auto"/>
                <w:sz w:val="24"/>
              </w:rPr>
            </w:pPr>
          </w:p>
          <w:p w14:paraId="600916A0">
            <w:pPr>
              <w:snapToGrid w:val="0"/>
              <w:spacing w:line="480" w:lineRule="exact"/>
              <w:rPr>
                <w:rFonts w:hint="default" w:ascii="Times New Roman" w:hAnsi="Times New Roman" w:eastAsia="宋体" w:cs="Times New Roman"/>
                <w:bCs/>
                <w:color w:val="auto"/>
                <w:sz w:val="24"/>
              </w:rPr>
            </w:pPr>
          </w:p>
          <w:p w14:paraId="4FCD5D2D">
            <w:pPr>
              <w:snapToGrid w:val="0"/>
              <w:spacing w:line="480" w:lineRule="exact"/>
              <w:rPr>
                <w:rFonts w:hint="default" w:ascii="Times New Roman" w:hAnsi="Times New Roman" w:eastAsia="宋体" w:cs="Times New Roman"/>
                <w:bCs/>
                <w:color w:val="auto"/>
                <w:sz w:val="24"/>
              </w:rPr>
            </w:pPr>
          </w:p>
          <w:p w14:paraId="1014EC70">
            <w:pPr>
              <w:snapToGrid w:val="0"/>
              <w:spacing w:line="480" w:lineRule="exact"/>
              <w:ind w:left="0" w:leftChars="0" w:firstLine="0" w:firstLineChars="0"/>
              <w:rPr>
                <w:rFonts w:hint="default" w:ascii="Times New Roman" w:hAnsi="Times New Roman" w:eastAsia="宋体" w:cs="Times New Roman"/>
                <w:bCs/>
                <w:color w:val="auto"/>
                <w:sz w:val="24"/>
              </w:rPr>
            </w:pPr>
          </w:p>
          <w:p w14:paraId="4F39B385">
            <w:pPr>
              <w:snapToGrid w:val="0"/>
              <w:spacing w:line="480" w:lineRule="exact"/>
              <w:rPr>
                <w:rFonts w:hint="default" w:ascii="Times New Roman" w:hAnsi="Times New Roman" w:eastAsia="宋体" w:cs="Times New Roman"/>
                <w:bCs/>
                <w:color w:val="auto"/>
                <w:sz w:val="24"/>
              </w:rPr>
            </w:pPr>
          </w:p>
          <w:p w14:paraId="30AE7A3F">
            <w:pPr>
              <w:snapToGrid w:val="0"/>
              <w:spacing w:line="480" w:lineRule="exact"/>
              <w:rPr>
                <w:rFonts w:hint="default" w:ascii="Times New Roman" w:hAnsi="Times New Roman" w:eastAsia="宋体" w:cs="Times New Roman"/>
                <w:bCs/>
                <w:color w:val="auto"/>
                <w:sz w:val="24"/>
              </w:rPr>
            </w:pPr>
          </w:p>
          <w:p w14:paraId="0906FDC2">
            <w:pPr>
              <w:snapToGrid w:val="0"/>
              <w:spacing w:line="480" w:lineRule="exact"/>
              <w:rPr>
                <w:rFonts w:hint="default" w:ascii="Times New Roman" w:hAnsi="Times New Roman" w:eastAsia="宋体" w:cs="Times New Roman"/>
                <w:bCs/>
                <w:color w:val="auto"/>
                <w:sz w:val="24"/>
              </w:rPr>
            </w:pPr>
          </w:p>
          <w:p w14:paraId="27282556">
            <w:pPr>
              <w:snapToGrid w:val="0"/>
              <w:spacing w:line="480" w:lineRule="exact"/>
              <w:ind w:left="0" w:leftChars="0" w:firstLine="0" w:firstLineChars="0"/>
              <w:rPr>
                <w:rFonts w:hint="default" w:ascii="Times New Roman" w:hAnsi="Times New Roman" w:eastAsia="宋体" w:cs="Times New Roman"/>
                <w:bCs/>
                <w:color w:val="auto"/>
                <w:sz w:val="24"/>
              </w:rPr>
            </w:pPr>
          </w:p>
        </w:tc>
      </w:tr>
      <w:tr w14:paraId="16DB5E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73" w:hRule="atLeast"/>
          <w:jc w:val="center"/>
        </w:trPr>
        <w:tc>
          <w:tcPr>
            <w:tcW w:w="671" w:type="dxa"/>
            <w:tcMar>
              <w:left w:w="28" w:type="dxa"/>
              <w:right w:w="28" w:type="dxa"/>
            </w:tcMar>
            <w:vAlign w:val="center"/>
          </w:tcPr>
          <w:p w14:paraId="34A4D80A">
            <w:pPr>
              <w:ind w:firstLine="0" w:firstLineChars="0"/>
              <w:jc w:val="center"/>
              <w:rPr>
                <w:rFonts w:hint="default" w:ascii="Times New Roman" w:hAnsi="Times New Roman" w:eastAsia="宋体" w:cs="Times New Roman"/>
                <w:color w:val="auto"/>
                <w:szCs w:val="21"/>
              </w:rPr>
            </w:pPr>
            <w:bookmarkStart w:id="26" w:name="_Hlk78365085"/>
            <w:r>
              <w:rPr>
                <w:rFonts w:hint="default" w:ascii="Times New Roman" w:hAnsi="Times New Roman" w:eastAsia="宋体" w:cs="Times New Roman"/>
                <w:bCs/>
                <w:color w:val="auto"/>
                <w:szCs w:val="21"/>
              </w:rPr>
              <w:t>运营期环境影响和保护措施</w:t>
            </w:r>
          </w:p>
        </w:tc>
        <w:tc>
          <w:tcPr>
            <w:tcW w:w="7771" w:type="dxa"/>
            <w:vAlign w:val="center"/>
          </w:tcPr>
          <w:p w14:paraId="540892A3">
            <w:pPr>
              <w:widowControl w:val="0"/>
              <w:spacing w:line="360" w:lineRule="auto"/>
              <w:ind w:firstLine="482" w:firstLineChars="200"/>
              <w:rPr>
                <w:rFonts w:hint="default" w:ascii="Times New Roman" w:hAnsi="Times New Roman" w:eastAsia="宋体" w:cs="Times New Roman"/>
                <w:b/>
                <w:bCs/>
                <w:color w:val="auto"/>
                <w:kern w:val="2"/>
                <w:sz w:val="24"/>
                <w:szCs w:val="24"/>
              </w:rPr>
            </w:pPr>
            <w:bookmarkStart w:id="27" w:name="_Hlk78372578"/>
            <w:bookmarkStart w:id="28" w:name="_Hlk78373195"/>
            <w:r>
              <w:rPr>
                <w:rFonts w:hint="default" w:ascii="Times New Roman" w:hAnsi="Times New Roman" w:eastAsia="宋体" w:cs="Times New Roman"/>
                <w:b/>
                <w:bCs/>
                <w:color w:val="auto"/>
                <w:kern w:val="2"/>
                <w:sz w:val="24"/>
                <w:szCs w:val="24"/>
                <w:lang w:bidi="ar"/>
              </w:rPr>
              <w:t>一、环境空气影响分析</w:t>
            </w:r>
          </w:p>
          <w:p w14:paraId="078FEAE0">
            <w:pPr>
              <w:widowControl w:val="0"/>
              <w:spacing w:line="360" w:lineRule="auto"/>
              <w:ind w:firstLine="482" w:firstLineChars="200"/>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val="en-US" w:eastAsia="zh-CN" w:bidi="ar"/>
              </w:rPr>
              <w:t>1、</w:t>
            </w:r>
            <w:r>
              <w:rPr>
                <w:rFonts w:hint="default" w:ascii="Times New Roman" w:hAnsi="Times New Roman" w:eastAsia="宋体" w:cs="Times New Roman"/>
                <w:b/>
                <w:bCs/>
                <w:color w:val="auto"/>
                <w:kern w:val="2"/>
                <w:sz w:val="24"/>
                <w:szCs w:val="24"/>
                <w:lang w:bidi="ar"/>
              </w:rPr>
              <w:t>大气污染源及源强核算</w:t>
            </w:r>
          </w:p>
          <w:p w14:paraId="62FCE594">
            <w:pPr>
              <w:widowControl w:val="0"/>
              <w:spacing w:line="360" w:lineRule="auto"/>
              <w:ind w:firstLine="480" w:firstLineChars="200"/>
              <w:rPr>
                <w:rFonts w:hint="default" w:ascii="Times New Roman" w:hAnsi="Times New Roman" w:eastAsia="宋体" w:cs="Times New Roman"/>
                <w:bCs/>
                <w:color w:val="auto"/>
                <w:kern w:val="2"/>
                <w:sz w:val="24"/>
                <w:szCs w:val="24"/>
              </w:rPr>
            </w:pPr>
            <w:bookmarkStart w:id="29" w:name="_Toc292148246"/>
            <w:bookmarkStart w:id="30" w:name="_Toc260113056"/>
            <w:bookmarkStart w:id="31" w:name="_Toc291979718"/>
            <w:bookmarkStart w:id="32" w:name="_Toc12266850"/>
            <w:bookmarkStart w:id="33" w:name="_Toc292367010"/>
            <w:bookmarkStart w:id="34" w:name="_Toc246732267"/>
            <w:bookmarkStart w:id="35" w:name="_Toc260402797"/>
            <w:bookmarkStart w:id="36" w:name="_Toc296310163"/>
            <w:r>
              <w:rPr>
                <w:rFonts w:hint="default" w:ascii="Times New Roman" w:hAnsi="Times New Roman" w:eastAsia="宋体" w:cs="Times New Roman"/>
                <w:bCs/>
                <w:color w:val="auto"/>
                <w:kern w:val="2"/>
                <w:sz w:val="24"/>
                <w:szCs w:val="24"/>
                <w:lang w:bidi="ar"/>
              </w:rPr>
              <w:t>（</w:t>
            </w:r>
            <w:r>
              <w:rPr>
                <w:rFonts w:hint="default" w:ascii="Times New Roman" w:hAnsi="Times New Roman" w:eastAsia="宋体" w:cs="Times New Roman"/>
                <w:bCs/>
                <w:color w:val="auto"/>
                <w:kern w:val="2"/>
                <w:sz w:val="24"/>
                <w:szCs w:val="24"/>
                <w:lang w:val="en-US" w:eastAsia="zh-CN" w:bidi="ar"/>
              </w:rPr>
              <w:t>1</w:t>
            </w:r>
            <w:r>
              <w:rPr>
                <w:rFonts w:hint="default" w:ascii="Times New Roman" w:hAnsi="Times New Roman" w:eastAsia="宋体" w:cs="Times New Roman"/>
                <w:bCs/>
                <w:color w:val="auto"/>
                <w:kern w:val="2"/>
                <w:sz w:val="24"/>
                <w:szCs w:val="24"/>
                <w:lang w:bidi="ar"/>
              </w:rPr>
              <w:t>）一级破碎粉尘</w:t>
            </w:r>
          </w:p>
          <w:p w14:paraId="24758BA3">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bidi="ar"/>
              </w:rPr>
              <w:t>矸石进入破碎机破碎过程中</w:t>
            </w:r>
            <w:r>
              <w:rPr>
                <w:rFonts w:hint="default" w:ascii="Times New Roman" w:hAnsi="Times New Roman" w:eastAsia="宋体" w:cs="Times New Roman"/>
                <w:bCs/>
                <w:color w:val="auto"/>
                <w:kern w:val="2"/>
                <w:sz w:val="24"/>
                <w:szCs w:val="24"/>
                <w:lang w:val="en-US" w:eastAsia="zh-CN" w:bidi="ar"/>
              </w:rPr>
              <w:t>会</w:t>
            </w:r>
            <w:r>
              <w:rPr>
                <w:rFonts w:hint="default" w:ascii="Times New Roman" w:hAnsi="Times New Roman" w:eastAsia="宋体" w:cs="Times New Roman"/>
                <w:bCs/>
                <w:color w:val="auto"/>
                <w:kern w:val="2"/>
                <w:sz w:val="24"/>
                <w:szCs w:val="24"/>
                <w:lang w:bidi="ar"/>
              </w:rPr>
              <w:t>产生大量粉尘，本项目</w:t>
            </w:r>
            <w:r>
              <w:rPr>
                <w:rFonts w:hint="default" w:ascii="Times New Roman" w:hAnsi="Times New Roman" w:eastAsia="宋体" w:cs="Times New Roman"/>
                <w:bCs/>
                <w:color w:val="auto"/>
                <w:kern w:val="2"/>
                <w:sz w:val="24"/>
                <w:szCs w:val="24"/>
                <w:lang w:val="en-US" w:eastAsia="zh-CN" w:bidi="ar"/>
              </w:rPr>
              <w:t>在一级破碎机上方</w:t>
            </w:r>
            <w:r>
              <w:rPr>
                <w:rFonts w:hint="default" w:ascii="Times New Roman" w:hAnsi="Times New Roman" w:eastAsia="宋体" w:cs="Times New Roman"/>
                <w:bCs/>
                <w:color w:val="auto"/>
                <w:kern w:val="2"/>
                <w:sz w:val="24"/>
                <w:szCs w:val="24"/>
                <w:lang w:bidi="ar"/>
              </w:rPr>
              <w:t>设</w:t>
            </w:r>
            <w:r>
              <w:rPr>
                <w:rFonts w:hint="default" w:ascii="Times New Roman" w:hAnsi="Times New Roman" w:eastAsia="宋体" w:cs="Times New Roman"/>
                <w:bCs/>
                <w:color w:val="auto"/>
                <w:kern w:val="2"/>
                <w:sz w:val="24"/>
                <w:szCs w:val="24"/>
                <w:lang w:val="en-US" w:eastAsia="zh-CN" w:bidi="ar"/>
              </w:rPr>
              <w:t>集气罩（90%集气效率）+湿式除尘洗气机</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除尘效率为96%</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除尘后由1个</w:t>
            </w:r>
            <w:r>
              <w:rPr>
                <w:rFonts w:hint="default" w:ascii="Times New Roman" w:hAnsi="Times New Roman" w:eastAsia="宋体" w:cs="Times New Roman"/>
                <w:bCs/>
                <w:color w:val="auto"/>
                <w:kern w:val="2"/>
                <w:sz w:val="24"/>
                <w:szCs w:val="24"/>
                <w:lang w:val="en-US" w:eastAsia="zh-CN" w:bidi="ar"/>
              </w:rPr>
              <w:t>20m</w:t>
            </w:r>
            <w:r>
              <w:rPr>
                <w:rFonts w:hint="default" w:ascii="Times New Roman" w:hAnsi="Times New Roman" w:eastAsia="宋体" w:cs="Times New Roman"/>
                <w:bCs/>
                <w:color w:val="auto"/>
                <w:kern w:val="2"/>
                <w:sz w:val="24"/>
                <w:szCs w:val="24"/>
                <w:lang w:bidi="ar"/>
              </w:rPr>
              <w:t>高排气筒（P1）排放。</w:t>
            </w:r>
          </w:p>
          <w:p w14:paraId="637774AE">
            <w:pPr>
              <w:widowControl w:val="0"/>
              <w:spacing w:line="360" w:lineRule="auto"/>
              <w:ind w:firstLine="480" w:firstLineChars="200"/>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bCs/>
                <w:color w:val="auto"/>
                <w:kern w:val="2"/>
                <w:sz w:val="24"/>
                <w:szCs w:val="24"/>
                <w:lang w:bidi="ar"/>
              </w:rPr>
              <w:t>一级破碎粉尘产排量核算参照《逸散性工业粉尘控制技术》（中国环境科学出版社）中“第十九章 煤加工厂”表19-2中2. 一级破碎的产污系数是0.01kg/t（破碎料）。</w:t>
            </w:r>
            <w:r>
              <w:rPr>
                <w:rFonts w:hint="default" w:ascii="Times New Roman" w:hAnsi="Times New Roman" w:eastAsia="宋体" w:cs="Times New Roman"/>
                <w:color w:val="auto"/>
                <w:kern w:val="2"/>
                <w:sz w:val="24"/>
                <w:szCs w:val="24"/>
                <w:lang w:bidi="ar"/>
              </w:rPr>
              <w:t>本项目年破碎矸石</w:t>
            </w:r>
            <w:r>
              <w:rPr>
                <w:rFonts w:hint="default" w:ascii="Times New Roman" w:hAnsi="Times New Roman" w:eastAsia="宋体" w:cs="Times New Roman"/>
                <w:color w:val="auto"/>
                <w:kern w:val="2"/>
                <w:sz w:val="24"/>
                <w:szCs w:val="24"/>
                <w:lang w:val="en-US" w:eastAsia="zh-CN" w:bidi="ar"/>
              </w:rPr>
              <w:t>900000</w:t>
            </w:r>
            <w:r>
              <w:rPr>
                <w:rFonts w:hint="default" w:ascii="Times New Roman" w:hAnsi="Times New Roman" w:eastAsia="宋体" w:cs="Times New Roman"/>
                <w:color w:val="auto"/>
                <w:kern w:val="2"/>
                <w:sz w:val="24"/>
                <w:szCs w:val="24"/>
                <w:lang w:bidi="ar"/>
              </w:rPr>
              <w:t>t，则一级破碎工序粉尘产生量为</w:t>
            </w:r>
            <w:r>
              <w:rPr>
                <w:rFonts w:hint="default" w:ascii="Times New Roman" w:hAnsi="Times New Roman" w:eastAsia="宋体" w:cs="Times New Roman"/>
                <w:color w:val="auto"/>
                <w:kern w:val="2"/>
                <w:sz w:val="24"/>
                <w:szCs w:val="24"/>
                <w:lang w:val="en-US" w:eastAsia="zh-CN" w:bidi="ar"/>
              </w:rPr>
              <w:t>9</w:t>
            </w:r>
            <w:r>
              <w:rPr>
                <w:rFonts w:hint="default" w:ascii="Times New Roman" w:hAnsi="Times New Roman" w:eastAsia="宋体" w:cs="Times New Roman"/>
                <w:bCs/>
                <w:color w:val="auto"/>
                <w:kern w:val="2"/>
                <w:sz w:val="24"/>
                <w:szCs w:val="24"/>
                <w:lang w:bidi="ar"/>
              </w:rPr>
              <w:t>t/a，产尘速率为</w:t>
            </w:r>
            <w:r>
              <w:rPr>
                <w:rFonts w:hint="default" w:ascii="Times New Roman" w:hAnsi="Times New Roman" w:eastAsia="宋体" w:cs="Times New Roman"/>
                <w:bCs/>
                <w:color w:val="auto"/>
                <w:kern w:val="2"/>
                <w:sz w:val="24"/>
                <w:szCs w:val="24"/>
                <w:lang w:val="en-US" w:eastAsia="zh-CN" w:bidi="ar"/>
              </w:rPr>
              <w:t>1.51</w:t>
            </w:r>
            <w:r>
              <w:rPr>
                <w:rFonts w:hint="default" w:ascii="Times New Roman" w:hAnsi="Times New Roman" w:eastAsia="宋体" w:cs="Times New Roman"/>
                <w:bCs/>
                <w:color w:val="auto"/>
                <w:kern w:val="2"/>
                <w:sz w:val="24"/>
                <w:szCs w:val="24"/>
                <w:lang w:bidi="ar"/>
              </w:rPr>
              <w:t>kg/h，</w:t>
            </w:r>
            <w:r>
              <w:rPr>
                <w:rFonts w:hint="default" w:ascii="Times New Roman" w:hAnsi="Times New Roman" w:eastAsia="宋体" w:cs="Times New Roman"/>
                <w:color w:val="auto"/>
                <w:kern w:val="2"/>
                <w:sz w:val="24"/>
                <w:szCs w:val="24"/>
                <w:lang w:bidi="ar"/>
              </w:rPr>
              <w:t>风机引风量为</w:t>
            </w:r>
            <w:r>
              <w:rPr>
                <w:rFonts w:hint="default" w:ascii="Times New Roman" w:hAnsi="Times New Roman" w:eastAsia="宋体" w:cs="Times New Roman"/>
                <w:color w:val="auto"/>
                <w:kern w:val="2"/>
                <w:sz w:val="24"/>
                <w:szCs w:val="24"/>
                <w:lang w:val="en-US" w:eastAsia="zh-CN" w:bidi="ar"/>
              </w:rPr>
              <w:t>8000</w:t>
            </w:r>
            <w:r>
              <w:rPr>
                <w:rFonts w:hint="default" w:ascii="Times New Roman" w:hAnsi="Times New Roman" w:eastAsia="宋体" w:cs="Times New Roman"/>
                <w:color w:val="auto"/>
                <w:kern w:val="2"/>
                <w:sz w:val="24"/>
                <w:szCs w:val="24"/>
                <w:lang w:bidi="ar"/>
              </w:rPr>
              <w:t>m</w:t>
            </w:r>
            <w:r>
              <w:rPr>
                <w:rFonts w:hint="default" w:ascii="Times New Roman" w:hAnsi="Times New Roman" w:eastAsia="宋体" w:cs="Times New Roman"/>
                <w:color w:val="auto"/>
                <w:kern w:val="2"/>
                <w:sz w:val="24"/>
                <w:szCs w:val="24"/>
                <w:vertAlign w:val="superscript"/>
                <w:lang w:bidi="ar"/>
              </w:rPr>
              <w:t>3</w:t>
            </w:r>
            <w:r>
              <w:rPr>
                <w:rFonts w:hint="default" w:ascii="Times New Roman" w:hAnsi="Times New Roman" w:eastAsia="宋体" w:cs="Times New Roman"/>
                <w:color w:val="auto"/>
                <w:kern w:val="2"/>
                <w:sz w:val="24"/>
                <w:szCs w:val="24"/>
                <w:lang w:bidi="ar"/>
              </w:rPr>
              <w:t>/h</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经集气罩收集后的量为8.1</w:t>
            </w:r>
            <w:r>
              <w:rPr>
                <w:rFonts w:hint="default" w:ascii="Times New Roman" w:hAnsi="Times New Roman" w:eastAsia="宋体" w:cs="Times New Roman"/>
                <w:bCs/>
                <w:color w:val="auto"/>
                <w:kern w:val="2"/>
                <w:sz w:val="24"/>
                <w:szCs w:val="24"/>
                <w:lang w:bidi="ar"/>
              </w:rPr>
              <w:t>t/a</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通过</w:t>
            </w:r>
            <w:r>
              <w:rPr>
                <w:rFonts w:hint="default" w:ascii="Times New Roman" w:hAnsi="Times New Roman" w:eastAsia="宋体" w:cs="Times New Roman"/>
                <w:bCs/>
                <w:color w:val="auto"/>
                <w:kern w:val="2"/>
                <w:sz w:val="24"/>
                <w:szCs w:val="24"/>
                <w:lang w:val="en-US" w:eastAsia="zh-CN" w:bidi="ar"/>
              </w:rPr>
              <w:t>湿式除尘洗气机</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除尘效率为96%</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除尘，排放量为</w:t>
            </w:r>
            <w:r>
              <w:rPr>
                <w:rFonts w:hint="default" w:ascii="Times New Roman" w:hAnsi="Times New Roman" w:eastAsia="宋体" w:cs="Times New Roman"/>
                <w:bCs/>
                <w:color w:val="auto"/>
                <w:kern w:val="2"/>
                <w:sz w:val="24"/>
                <w:szCs w:val="24"/>
                <w:lang w:val="en-US" w:eastAsia="zh-CN" w:bidi="ar"/>
              </w:rPr>
              <w:t>0.32</w:t>
            </w:r>
            <w:r>
              <w:rPr>
                <w:rFonts w:hint="default" w:ascii="Times New Roman" w:hAnsi="Times New Roman" w:eastAsia="宋体" w:cs="Times New Roman"/>
                <w:bCs/>
                <w:color w:val="auto"/>
                <w:kern w:val="2"/>
                <w:sz w:val="24"/>
                <w:szCs w:val="24"/>
                <w:lang w:bidi="ar"/>
              </w:rPr>
              <w:t>t/a，排放速率为</w:t>
            </w:r>
            <w:r>
              <w:rPr>
                <w:rFonts w:hint="default" w:ascii="Times New Roman" w:hAnsi="Times New Roman" w:eastAsia="宋体" w:cs="Times New Roman"/>
                <w:bCs/>
                <w:color w:val="auto"/>
                <w:kern w:val="2"/>
                <w:sz w:val="24"/>
                <w:szCs w:val="24"/>
                <w:lang w:val="en-US" w:eastAsia="zh-CN" w:bidi="ar"/>
              </w:rPr>
              <w:t>0.05</w:t>
            </w:r>
            <w:r>
              <w:rPr>
                <w:rFonts w:hint="default" w:ascii="Times New Roman" w:hAnsi="Times New Roman" w:eastAsia="宋体" w:cs="Times New Roman"/>
                <w:bCs/>
                <w:color w:val="auto"/>
                <w:kern w:val="2"/>
                <w:sz w:val="24"/>
                <w:szCs w:val="24"/>
                <w:lang w:bidi="ar"/>
              </w:rPr>
              <w:t>kg/h，排放浓度为</w:t>
            </w:r>
            <w:r>
              <w:rPr>
                <w:rFonts w:hint="default" w:ascii="Times New Roman" w:hAnsi="Times New Roman" w:eastAsia="宋体" w:cs="Times New Roman"/>
                <w:bCs/>
                <w:color w:val="auto"/>
                <w:kern w:val="2"/>
                <w:sz w:val="24"/>
                <w:szCs w:val="24"/>
                <w:lang w:val="en-US" w:eastAsia="zh-CN" w:bidi="ar"/>
              </w:rPr>
              <w:t>6.82</w:t>
            </w:r>
            <w:r>
              <w:rPr>
                <w:rFonts w:hint="default" w:ascii="Times New Roman" w:hAnsi="Times New Roman" w:eastAsia="宋体" w:cs="Times New Roman"/>
                <w:bCs/>
                <w:color w:val="auto"/>
                <w:kern w:val="2"/>
                <w:sz w:val="24"/>
                <w:szCs w:val="24"/>
                <w:lang w:bidi="ar"/>
              </w:rPr>
              <w:t>mg/m</w:t>
            </w:r>
            <w:r>
              <w:rPr>
                <w:rFonts w:hint="default" w:ascii="Times New Roman" w:hAnsi="Times New Roman" w:eastAsia="宋体" w:cs="Times New Roman"/>
                <w:bCs/>
                <w:color w:val="auto"/>
                <w:kern w:val="2"/>
                <w:sz w:val="24"/>
                <w:szCs w:val="24"/>
                <w:vertAlign w:val="superscript"/>
                <w:lang w:bidi="ar"/>
              </w:rPr>
              <w:t>3</w:t>
            </w:r>
            <w:r>
              <w:rPr>
                <w:rFonts w:hint="default" w:ascii="Times New Roman" w:hAnsi="Times New Roman" w:eastAsia="宋体" w:cs="Times New Roman"/>
                <w:bCs/>
                <w:color w:val="auto"/>
                <w:kern w:val="2"/>
                <w:sz w:val="24"/>
                <w:szCs w:val="24"/>
                <w:lang w:eastAsia="zh-CN" w:bidi="ar"/>
              </w:rPr>
              <w:t>。</w:t>
            </w:r>
          </w:p>
          <w:p w14:paraId="5B486971">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bidi="ar"/>
              </w:rPr>
              <w:t>（</w:t>
            </w:r>
            <w:r>
              <w:rPr>
                <w:rFonts w:hint="default" w:ascii="Times New Roman" w:hAnsi="Times New Roman" w:eastAsia="宋体" w:cs="Times New Roman"/>
                <w:bCs/>
                <w:color w:val="auto"/>
                <w:kern w:val="2"/>
                <w:sz w:val="24"/>
                <w:szCs w:val="24"/>
                <w:lang w:val="en-US" w:eastAsia="zh-CN" w:bidi="ar"/>
              </w:rPr>
              <w:t>2</w:t>
            </w:r>
            <w:r>
              <w:rPr>
                <w:rFonts w:hint="default" w:ascii="Times New Roman" w:hAnsi="Times New Roman" w:eastAsia="宋体" w:cs="Times New Roman"/>
                <w:bCs/>
                <w:color w:val="auto"/>
                <w:kern w:val="2"/>
                <w:sz w:val="24"/>
                <w:szCs w:val="24"/>
                <w:lang w:bidi="ar"/>
              </w:rPr>
              <w:t>）二级破碎粉尘</w:t>
            </w:r>
          </w:p>
          <w:p w14:paraId="3F43730A">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bidi="ar"/>
              </w:rPr>
              <w:t>矸石进入二次破碎过程中产生一定量粉尘，本项目</w:t>
            </w:r>
            <w:r>
              <w:rPr>
                <w:rFonts w:hint="default" w:ascii="Times New Roman" w:hAnsi="Times New Roman" w:eastAsia="宋体" w:cs="Times New Roman"/>
                <w:bCs/>
                <w:color w:val="auto"/>
                <w:kern w:val="2"/>
                <w:sz w:val="24"/>
                <w:szCs w:val="24"/>
                <w:lang w:val="en-US" w:eastAsia="zh-CN" w:bidi="ar"/>
              </w:rPr>
              <w:t>在二级破碎机上方</w:t>
            </w:r>
            <w:r>
              <w:rPr>
                <w:rFonts w:hint="default" w:ascii="Times New Roman" w:hAnsi="Times New Roman" w:eastAsia="宋体" w:cs="Times New Roman"/>
                <w:bCs/>
                <w:color w:val="auto"/>
                <w:kern w:val="2"/>
                <w:sz w:val="24"/>
                <w:szCs w:val="24"/>
                <w:lang w:bidi="ar"/>
              </w:rPr>
              <w:t>设</w:t>
            </w:r>
            <w:r>
              <w:rPr>
                <w:rFonts w:hint="default" w:ascii="Times New Roman" w:hAnsi="Times New Roman" w:eastAsia="宋体" w:cs="Times New Roman"/>
                <w:bCs/>
                <w:color w:val="auto"/>
                <w:kern w:val="2"/>
                <w:sz w:val="24"/>
                <w:szCs w:val="24"/>
                <w:lang w:val="en-US" w:eastAsia="zh-CN" w:bidi="ar"/>
              </w:rPr>
              <w:t>集气罩（90%集气效率）+</w:t>
            </w:r>
            <w:r>
              <w:rPr>
                <w:rFonts w:hint="default" w:ascii="Times New Roman" w:hAnsi="Times New Roman" w:eastAsia="宋体" w:cs="Times New Roman"/>
                <w:bCs/>
                <w:color w:val="auto"/>
                <w:kern w:val="2"/>
                <w:sz w:val="24"/>
                <w:szCs w:val="24"/>
                <w:lang w:bidi="ar"/>
              </w:rPr>
              <w:t>设</w:t>
            </w:r>
            <w:r>
              <w:rPr>
                <w:rFonts w:hint="default" w:ascii="Times New Roman" w:hAnsi="Times New Roman" w:eastAsia="宋体" w:cs="Times New Roman"/>
                <w:bCs/>
                <w:color w:val="auto"/>
                <w:kern w:val="2"/>
                <w:sz w:val="24"/>
                <w:szCs w:val="24"/>
                <w:lang w:val="en-US" w:eastAsia="zh-CN" w:bidi="ar"/>
              </w:rPr>
              <w:t>湿式除尘洗气机</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除尘效率为96%</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除尘后由1个</w:t>
            </w:r>
            <w:r>
              <w:rPr>
                <w:rFonts w:hint="default" w:ascii="Times New Roman" w:hAnsi="Times New Roman" w:eastAsia="宋体" w:cs="Times New Roman"/>
                <w:bCs/>
                <w:color w:val="auto"/>
                <w:kern w:val="2"/>
                <w:sz w:val="24"/>
                <w:szCs w:val="24"/>
                <w:lang w:val="en-US" w:eastAsia="zh-CN" w:bidi="ar"/>
              </w:rPr>
              <w:t>20m</w:t>
            </w:r>
            <w:r>
              <w:rPr>
                <w:rFonts w:hint="default" w:ascii="Times New Roman" w:hAnsi="Times New Roman" w:eastAsia="宋体" w:cs="Times New Roman"/>
                <w:bCs/>
                <w:color w:val="auto"/>
                <w:kern w:val="2"/>
                <w:sz w:val="24"/>
                <w:szCs w:val="24"/>
                <w:lang w:bidi="ar"/>
              </w:rPr>
              <w:t>高排气筒（P</w:t>
            </w:r>
            <w:r>
              <w:rPr>
                <w:rFonts w:hint="default" w:ascii="Times New Roman" w:hAnsi="Times New Roman" w:eastAsia="宋体" w:cs="Times New Roman"/>
                <w:bCs/>
                <w:color w:val="auto"/>
                <w:kern w:val="2"/>
                <w:sz w:val="24"/>
                <w:szCs w:val="24"/>
                <w:lang w:val="en-US" w:eastAsia="zh-CN" w:bidi="ar"/>
              </w:rPr>
              <w:t>2</w:t>
            </w:r>
            <w:r>
              <w:rPr>
                <w:rFonts w:hint="default" w:ascii="Times New Roman" w:hAnsi="Times New Roman" w:eastAsia="宋体" w:cs="Times New Roman"/>
                <w:bCs/>
                <w:color w:val="auto"/>
                <w:kern w:val="2"/>
                <w:sz w:val="24"/>
                <w:szCs w:val="24"/>
                <w:lang w:bidi="ar"/>
              </w:rPr>
              <w:t>）排放。</w:t>
            </w:r>
          </w:p>
          <w:p w14:paraId="2060339E">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bidi="ar"/>
              </w:rPr>
              <w:t>二级破碎粉尘产排量核算参照《逸散性工业粉尘控制技术》（中国环境科学出版社）中“第十九章 煤加工厂”表19-2中3. 二级破碎和筛选的产污系数是0.08kg/t（破碎和过筛料）。</w:t>
            </w:r>
            <w:r>
              <w:rPr>
                <w:rFonts w:hint="default" w:ascii="Times New Roman" w:hAnsi="Times New Roman" w:eastAsia="宋体" w:cs="Times New Roman"/>
                <w:color w:val="auto"/>
                <w:kern w:val="2"/>
                <w:sz w:val="24"/>
                <w:szCs w:val="24"/>
                <w:lang w:bidi="ar"/>
              </w:rPr>
              <w:t>本项目需二级破碎矸石约总矸石量</w:t>
            </w:r>
            <w:r>
              <w:rPr>
                <w:rFonts w:hint="default" w:ascii="Times New Roman" w:hAnsi="Times New Roman" w:eastAsia="宋体" w:cs="Times New Roman"/>
                <w:color w:val="auto"/>
                <w:kern w:val="2"/>
                <w:sz w:val="24"/>
                <w:szCs w:val="24"/>
                <w:lang w:val="en-US" w:eastAsia="zh-CN" w:bidi="ar"/>
              </w:rPr>
              <w:t>900000</w:t>
            </w:r>
            <w:r>
              <w:rPr>
                <w:rFonts w:hint="default" w:ascii="Times New Roman" w:hAnsi="Times New Roman" w:eastAsia="宋体" w:cs="Times New Roman"/>
                <w:color w:val="auto"/>
                <w:kern w:val="2"/>
                <w:sz w:val="24"/>
                <w:szCs w:val="24"/>
                <w:lang w:bidi="ar"/>
              </w:rPr>
              <w:t>t，则二级破碎粉尘产生量共为</w:t>
            </w:r>
            <w:r>
              <w:rPr>
                <w:rFonts w:hint="default" w:ascii="Times New Roman" w:hAnsi="Times New Roman" w:eastAsia="宋体" w:cs="Times New Roman"/>
                <w:color w:val="auto"/>
                <w:kern w:val="2"/>
                <w:sz w:val="24"/>
                <w:szCs w:val="24"/>
                <w:lang w:val="en-US" w:eastAsia="zh-CN" w:bidi="ar"/>
              </w:rPr>
              <w:t>72</w:t>
            </w:r>
            <w:r>
              <w:rPr>
                <w:rFonts w:hint="default" w:ascii="Times New Roman" w:hAnsi="Times New Roman" w:eastAsia="宋体" w:cs="Times New Roman"/>
                <w:bCs/>
                <w:color w:val="auto"/>
                <w:kern w:val="2"/>
                <w:sz w:val="24"/>
                <w:szCs w:val="24"/>
                <w:lang w:bidi="ar"/>
              </w:rPr>
              <w:t>t/a，产尘速率为</w:t>
            </w:r>
            <w:r>
              <w:rPr>
                <w:rFonts w:hint="default" w:ascii="Times New Roman" w:hAnsi="Times New Roman" w:eastAsia="宋体" w:cs="Times New Roman"/>
                <w:bCs/>
                <w:color w:val="auto"/>
                <w:kern w:val="2"/>
                <w:sz w:val="24"/>
                <w:szCs w:val="24"/>
                <w:lang w:val="en-US" w:eastAsia="zh-CN" w:bidi="ar"/>
              </w:rPr>
              <w:t>12.12</w:t>
            </w:r>
            <w:r>
              <w:rPr>
                <w:rFonts w:hint="default" w:ascii="Times New Roman" w:hAnsi="Times New Roman" w:eastAsia="宋体" w:cs="Times New Roman"/>
                <w:bCs/>
                <w:color w:val="auto"/>
                <w:kern w:val="2"/>
                <w:sz w:val="24"/>
                <w:szCs w:val="24"/>
                <w:lang w:bidi="ar"/>
              </w:rPr>
              <w:t>kg/h，</w:t>
            </w:r>
            <w:r>
              <w:rPr>
                <w:rFonts w:hint="default" w:ascii="Times New Roman" w:hAnsi="Times New Roman" w:eastAsia="宋体" w:cs="Times New Roman"/>
                <w:color w:val="auto"/>
                <w:kern w:val="2"/>
                <w:sz w:val="24"/>
                <w:szCs w:val="24"/>
                <w:lang w:bidi="ar"/>
              </w:rPr>
              <w:t>风机引风量为</w:t>
            </w:r>
            <w:r>
              <w:rPr>
                <w:rFonts w:hint="default" w:ascii="Times New Roman" w:hAnsi="Times New Roman" w:eastAsia="宋体" w:cs="Times New Roman"/>
                <w:color w:val="auto"/>
                <w:kern w:val="2"/>
                <w:sz w:val="24"/>
                <w:szCs w:val="24"/>
                <w:lang w:val="en-US" w:eastAsia="zh-CN" w:bidi="ar"/>
              </w:rPr>
              <w:t>15000</w:t>
            </w:r>
            <w:r>
              <w:rPr>
                <w:rFonts w:hint="default" w:ascii="Times New Roman" w:hAnsi="Times New Roman" w:eastAsia="宋体" w:cs="Times New Roman"/>
                <w:color w:val="auto"/>
                <w:kern w:val="2"/>
                <w:sz w:val="24"/>
                <w:szCs w:val="24"/>
                <w:lang w:bidi="ar"/>
              </w:rPr>
              <w:t>m</w:t>
            </w:r>
            <w:r>
              <w:rPr>
                <w:rFonts w:hint="default" w:ascii="Times New Roman" w:hAnsi="Times New Roman" w:eastAsia="宋体" w:cs="Times New Roman"/>
                <w:color w:val="auto"/>
                <w:kern w:val="2"/>
                <w:sz w:val="24"/>
                <w:szCs w:val="24"/>
                <w:vertAlign w:val="superscript"/>
                <w:lang w:bidi="ar"/>
              </w:rPr>
              <w:t>3</w:t>
            </w:r>
            <w:r>
              <w:rPr>
                <w:rFonts w:hint="default" w:ascii="Times New Roman" w:hAnsi="Times New Roman" w:eastAsia="宋体" w:cs="Times New Roman"/>
                <w:color w:val="auto"/>
                <w:kern w:val="2"/>
                <w:sz w:val="24"/>
                <w:szCs w:val="24"/>
                <w:lang w:bidi="ar"/>
              </w:rPr>
              <w:t>/ h</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经集气罩收集后的量为64.80</w:t>
            </w:r>
            <w:r>
              <w:rPr>
                <w:rFonts w:hint="default" w:ascii="Times New Roman" w:hAnsi="Times New Roman" w:eastAsia="宋体" w:cs="Times New Roman"/>
                <w:bCs/>
                <w:color w:val="auto"/>
                <w:kern w:val="2"/>
                <w:sz w:val="24"/>
                <w:szCs w:val="24"/>
                <w:lang w:bidi="ar"/>
              </w:rPr>
              <w:t>t/a</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通过</w:t>
            </w:r>
            <w:r>
              <w:rPr>
                <w:rFonts w:hint="default" w:ascii="Times New Roman" w:hAnsi="Times New Roman" w:eastAsia="宋体" w:cs="Times New Roman"/>
                <w:bCs/>
                <w:color w:val="auto"/>
                <w:kern w:val="2"/>
                <w:sz w:val="24"/>
                <w:szCs w:val="24"/>
                <w:lang w:val="en-US" w:eastAsia="zh-CN" w:bidi="ar"/>
              </w:rPr>
              <w:t>湿式除尘洗气机</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除尘效率为96%</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除尘，排放量为</w:t>
            </w:r>
            <w:r>
              <w:rPr>
                <w:rFonts w:hint="default" w:ascii="Times New Roman" w:hAnsi="Times New Roman" w:eastAsia="宋体" w:cs="Times New Roman"/>
                <w:bCs/>
                <w:color w:val="auto"/>
                <w:kern w:val="2"/>
                <w:sz w:val="24"/>
                <w:szCs w:val="24"/>
                <w:lang w:val="en-US" w:eastAsia="zh-CN" w:bidi="ar"/>
              </w:rPr>
              <w:t>2.59</w:t>
            </w:r>
            <w:r>
              <w:rPr>
                <w:rFonts w:hint="default" w:ascii="Times New Roman" w:hAnsi="Times New Roman" w:eastAsia="宋体" w:cs="Times New Roman"/>
                <w:bCs/>
                <w:color w:val="auto"/>
                <w:kern w:val="2"/>
                <w:sz w:val="24"/>
                <w:szCs w:val="24"/>
                <w:lang w:bidi="ar"/>
              </w:rPr>
              <w:t>t/a，排放速率为</w:t>
            </w:r>
            <w:r>
              <w:rPr>
                <w:rFonts w:hint="default" w:ascii="Times New Roman" w:hAnsi="Times New Roman" w:eastAsia="宋体" w:cs="Times New Roman"/>
                <w:bCs/>
                <w:color w:val="auto"/>
                <w:kern w:val="2"/>
                <w:sz w:val="24"/>
                <w:szCs w:val="24"/>
                <w:lang w:val="en-US" w:eastAsia="zh-CN" w:bidi="ar"/>
              </w:rPr>
              <w:t>0.44</w:t>
            </w:r>
            <w:r>
              <w:rPr>
                <w:rFonts w:hint="default" w:ascii="Times New Roman" w:hAnsi="Times New Roman" w:eastAsia="宋体" w:cs="Times New Roman"/>
                <w:bCs/>
                <w:color w:val="auto"/>
                <w:kern w:val="2"/>
                <w:sz w:val="24"/>
                <w:szCs w:val="24"/>
                <w:lang w:bidi="ar"/>
              </w:rPr>
              <w:t>kg/h，排放浓度为</w:t>
            </w:r>
            <w:r>
              <w:rPr>
                <w:rFonts w:hint="default" w:ascii="Times New Roman" w:hAnsi="Times New Roman" w:eastAsia="宋体" w:cs="Times New Roman"/>
                <w:bCs/>
                <w:color w:val="auto"/>
                <w:kern w:val="2"/>
                <w:sz w:val="24"/>
                <w:szCs w:val="24"/>
                <w:lang w:val="en-US" w:eastAsia="zh-CN" w:bidi="ar"/>
              </w:rPr>
              <w:t>2.09</w:t>
            </w:r>
            <w:r>
              <w:rPr>
                <w:rFonts w:hint="default" w:ascii="Times New Roman" w:hAnsi="Times New Roman" w:eastAsia="宋体" w:cs="Times New Roman"/>
                <w:bCs/>
                <w:color w:val="auto"/>
                <w:kern w:val="2"/>
                <w:sz w:val="24"/>
                <w:szCs w:val="24"/>
                <w:lang w:bidi="ar"/>
              </w:rPr>
              <w:t>mg/m</w:t>
            </w:r>
            <w:r>
              <w:rPr>
                <w:rFonts w:hint="default" w:ascii="Times New Roman" w:hAnsi="Times New Roman" w:eastAsia="宋体" w:cs="Times New Roman"/>
                <w:bCs/>
                <w:color w:val="auto"/>
                <w:kern w:val="2"/>
                <w:sz w:val="24"/>
                <w:szCs w:val="24"/>
                <w:vertAlign w:val="superscript"/>
                <w:lang w:bidi="ar"/>
              </w:rPr>
              <w:t>3</w:t>
            </w:r>
            <w:r>
              <w:rPr>
                <w:rFonts w:hint="default" w:ascii="Times New Roman" w:hAnsi="Times New Roman" w:eastAsia="宋体" w:cs="Times New Roman"/>
                <w:bCs/>
                <w:color w:val="auto"/>
                <w:kern w:val="2"/>
                <w:sz w:val="24"/>
                <w:szCs w:val="24"/>
                <w:lang w:eastAsia="zh-CN" w:bidi="ar"/>
              </w:rPr>
              <w:t>。</w:t>
            </w:r>
          </w:p>
          <w:p w14:paraId="73519B8D">
            <w:pPr>
              <w:pStyle w:val="6"/>
              <w:numPr>
                <w:ilvl w:val="0"/>
                <w:numId w:val="0"/>
              </w:numPr>
              <w:ind w:firstLine="402"/>
              <w:jc w:val="center"/>
              <w:rPr>
                <w:rFonts w:hint="default" w:ascii="Times New Roman" w:hAnsi="Times New Roman" w:eastAsia="宋体" w:cs="Times New Roman"/>
                <w:b/>
                <w:bCs/>
                <w:color w:val="auto"/>
                <w:kern w:val="2"/>
                <w:sz w:val="24"/>
                <w:szCs w:val="24"/>
                <w:lang w:bidi="ar"/>
              </w:rPr>
            </w:pPr>
            <w:r>
              <w:rPr>
                <w:rFonts w:hint="default" w:ascii="Times New Roman" w:hAnsi="Times New Roman" w:eastAsia="宋体" w:cs="Times New Roman"/>
                <w:b/>
                <w:bCs/>
                <w:color w:val="auto"/>
              </w:rPr>
              <w:t>表4-</w:t>
            </w:r>
            <w:r>
              <w:rPr>
                <w:rFonts w:hint="eastAsia" w:cs="Times New Roman"/>
                <w:b/>
                <w:bCs/>
                <w:color w:val="auto"/>
                <w:lang w:val="en-US" w:eastAsia="zh-CN"/>
              </w:rPr>
              <w:t>2</w:t>
            </w:r>
            <w:r>
              <w:rPr>
                <w:rFonts w:hint="default" w:ascii="Times New Roman" w:hAnsi="Times New Roman" w:eastAsia="宋体" w:cs="Times New Roman"/>
                <w:b/>
                <w:bCs/>
                <w:color w:val="auto"/>
                <w:lang w:val="en-US" w:eastAsia="zh-CN"/>
              </w:rPr>
              <w:t>破碎工段颗粒物产生排放</w:t>
            </w:r>
            <w:r>
              <w:rPr>
                <w:rFonts w:hint="default" w:ascii="Times New Roman" w:hAnsi="Times New Roman" w:eastAsia="宋体" w:cs="Times New Roman"/>
                <w:b/>
                <w:bCs/>
                <w:color w:val="auto"/>
              </w:rPr>
              <w:t>情况表</w:t>
            </w:r>
          </w:p>
          <w:tbl>
            <w:tblPr>
              <w:tblStyle w:val="25"/>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
              <w:gridCol w:w="402"/>
              <w:gridCol w:w="777"/>
              <w:gridCol w:w="732"/>
              <w:gridCol w:w="599"/>
              <w:gridCol w:w="735"/>
              <w:gridCol w:w="771"/>
              <w:gridCol w:w="850"/>
              <w:gridCol w:w="904"/>
              <w:gridCol w:w="768"/>
              <w:gridCol w:w="602"/>
            </w:tblGrid>
            <w:tr w14:paraId="60E77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2" w:type="pct"/>
                  <w:gridSpan w:val="2"/>
                  <w:vMerge w:val="restart"/>
                  <w:noWrap w:val="0"/>
                  <w:vAlign w:val="center"/>
                </w:tcPr>
                <w:p w14:paraId="5FF3347A">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w:t>
                  </w:r>
                </w:p>
              </w:tc>
              <w:tc>
                <w:tcPr>
                  <w:tcW w:w="515" w:type="pct"/>
                  <w:vMerge w:val="restart"/>
                  <w:noWrap w:val="0"/>
                  <w:vAlign w:val="center"/>
                </w:tcPr>
                <w:p w14:paraId="769BE52B">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废气量m</w:t>
                  </w:r>
                  <w:r>
                    <w:rPr>
                      <w:rFonts w:hint="default" w:ascii="Times New Roman" w:hAnsi="Times New Roman" w:eastAsia="宋体" w:cs="Times New Roman"/>
                      <w:b/>
                      <w:bCs/>
                      <w:color w:val="auto"/>
                      <w:vertAlign w:val="superscript"/>
                      <w:lang w:val="en-US" w:eastAsia="zh-CN"/>
                    </w:rPr>
                    <w:t>3</w:t>
                  </w:r>
                  <w:r>
                    <w:rPr>
                      <w:rFonts w:hint="default" w:ascii="Times New Roman" w:hAnsi="Times New Roman" w:eastAsia="宋体" w:cs="Times New Roman"/>
                      <w:b/>
                      <w:bCs/>
                      <w:color w:val="auto"/>
                      <w:lang w:val="en-US" w:eastAsia="zh-CN"/>
                    </w:rPr>
                    <w:t>/h</w:t>
                  </w:r>
                </w:p>
              </w:tc>
              <w:tc>
                <w:tcPr>
                  <w:tcW w:w="1369" w:type="pct"/>
                  <w:gridSpan w:val="3"/>
                  <w:noWrap w:val="0"/>
                  <w:vAlign w:val="center"/>
                </w:tcPr>
                <w:p w14:paraId="697E6B99">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产生</w:t>
                  </w:r>
                </w:p>
              </w:tc>
              <w:tc>
                <w:tcPr>
                  <w:tcW w:w="511" w:type="pct"/>
                  <w:vMerge w:val="restart"/>
                  <w:noWrap w:val="0"/>
                  <w:vAlign w:val="center"/>
                </w:tcPr>
                <w:p w14:paraId="2F5FA82A">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处理措施</w:t>
                  </w:r>
                </w:p>
              </w:tc>
              <w:tc>
                <w:tcPr>
                  <w:tcW w:w="1671" w:type="pct"/>
                  <w:gridSpan w:val="3"/>
                  <w:noWrap w:val="0"/>
                  <w:vAlign w:val="center"/>
                </w:tcPr>
                <w:p w14:paraId="107801F7">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排放</w:t>
                  </w:r>
                </w:p>
              </w:tc>
              <w:tc>
                <w:tcPr>
                  <w:tcW w:w="399" w:type="pct"/>
                  <w:vMerge w:val="restart"/>
                  <w:noWrap w:val="0"/>
                  <w:vAlign w:val="center"/>
                </w:tcPr>
                <w:p w14:paraId="0ACEBFC1">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时间h</w:t>
                  </w:r>
                </w:p>
              </w:tc>
            </w:tr>
            <w:tr w14:paraId="06007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2" w:type="pct"/>
                  <w:gridSpan w:val="2"/>
                  <w:vMerge w:val="continue"/>
                  <w:noWrap w:val="0"/>
                  <w:vAlign w:val="center"/>
                </w:tcPr>
                <w:p w14:paraId="170F4C39">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lang w:val="en-US" w:eastAsia="zh-CN"/>
                    </w:rPr>
                  </w:pPr>
                </w:p>
              </w:tc>
              <w:tc>
                <w:tcPr>
                  <w:tcW w:w="515" w:type="pct"/>
                  <w:vMerge w:val="continue"/>
                  <w:noWrap w:val="0"/>
                  <w:vAlign w:val="center"/>
                </w:tcPr>
                <w:p w14:paraId="5B0AB770">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val="en-US" w:eastAsia="zh-CN"/>
                    </w:rPr>
                  </w:pPr>
                </w:p>
              </w:tc>
              <w:tc>
                <w:tcPr>
                  <w:tcW w:w="485" w:type="pct"/>
                  <w:noWrap w:val="0"/>
                  <w:vAlign w:val="center"/>
                </w:tcPr>
                <w:p w14:paraId="14B0A21F">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产生量t/a</w:t>
                  </w:r>
                </w:p>
              </w:tc>
              <w:tc>
                <w:tcPr>
                  <w:tcW w:w="397" w:type="pct"/>
                  <w:noWrap w:val="0"/>
                  <w:vAlign w:val="center"/>
                </w:tcPr>
                <w:p w14:paraId="2F8D1B1F">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速率kg/h</w:t>
                  </w:r>
                </w:p>
              </w:tc>
              <w:tc>
                <w:tcPr>
                  <w:tcW w:w="487" w:type="pct"/>
                  <w:noWrap w:val="0"/>
                  <w:vAlign w:val="center"/>
                </w:tcPr>
                <w:p w14:paraId="1A329646">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浓度mg/m</w:t>
                  </w:r>
                  <w:r>
                    <w:rPr>
                      <w:rFonts w:hint="default" w:ascii="Times New Roman" w:hAnsi="Times New Roman" w:eastAsia="宋体" w:cs="Times New Roman"/>
                      <w:b/>
                      <w:bCs/>
                      <w:color w:val="auto"/>
                      <w:vertAlign w:val="superscript"/>
                      <w:lang w:val="en-US" w:eastAsia="zh-CN"/>
                    </w:rPr>
                    <w:t>3</w:t>
                  </w:r>
                </w:p>
              </w:tc>
              <w:tc>
                <w:tcPr>
                  <w:tcW w:w="511" w:type="pct"/>
                  <w:vMerge w:val="continue"/>
                  <w:noWrap w:val="0"/>
                  <w:vAlign w:val="center"/>
                </w:tcPr>
                <w:p w14:paraId="3AAA2313">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b/>
                      <w:bCs/>
                      <w:color w:val="auto"/>
                    </w:rPr>
                  </w:pPr>
                </w:p>
              </w:tc>
              <w:tc>
                <w:tcPr>
                  <w:tcW w:w="563" w:type="pct"/>
                  <w:shd w:val="clear" w:color="auto" w:fill="auto"/>
                  <w:noWrap w:val="0"/>
                  <w:vAlign w:val="center"/>
                </w:tcPr>
                <w:p w14:paraId="3C8DF70C">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b/>
                      <w:bCs/>
                      <w:color w:val="auto"/>
                      <w:sz w:val="21"/>
                      <w:szCs w:val="22"/>
                      <w:lang w:val="en-US" w:eastAsia="zh-CN" w:bidi="ar-SA"/>
                    </w:rPr>
                  </w:pPr>
                  <w:r>
                    <w:rPr>
                      <w:rFonts w:hint="default" w:ascii="Times New Roman" w:hAnsi="Times New Roman" w:eastAsia="宋体" w:cs="Times New Roman"/>
                      <w:b/>
                      <w:bCs/>
                      <w:color w:val="auto"/>
                      <w:lang w:val="en-US" w:eastAsia="zh-CN"/>
                    </w:rPr>
                    <w:t>排放量t/a</w:t>
                  </w:r>
                </w:p>
              </w:tc>
              <w:tc>
                <w:tcPr>
                  <w:tcW w:w="599" w:type="pct"/>
                  <w:shd w:val="clear" w:color="auto" w:fill="auto"/>
                  <w:noWrap w:val="0"/>
                  <w:vAlign w:val="center"/>
                </w:tcPr>
                <w:p w14:paraId="7ED226EE">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b/>
                      <w:bCs/>
                      <w:color w:val="auto"/>
                      <w:sz w:val="21"/>
                      <w:szCs w:val="22"/>
                      <w:lang w:val="en-US" w:eastAsia="zh-CN" w:bidi="ar-SA"/>
                    </w:rPr>
                  </w:pPr>
                  <w:r>
                    <w:rPr>
                      <w:rFonts w:hint="default" w:ascii="Times New Roman" w:hAnsi="Times New Roman" w:eastAsia="宋体" w:cs="Times New Roman"/>
                      <w:b/>
                      <w:bCs/>
                      <w:color w:val="auto"/>
                      <w:lang w:val="en-US" w:eastAsia="zh-CN"/>
                    </w:rPr>
                    <w:t>速率kg/h</w:t>
                  </w:r>
                </w:p>
              </w:tc>
              <w:tc>
                <w:tcPr>
                  <w:tcW w:w="509" w:type="pct"/>
                  <w:shd w:val="clear" w:color="auto" w:fill="auto"/>
                  <w:noWrap w:val="0"/>
                  <w:vAlign w:val="center"/>
                </w:tcPr>
                <w:p w14:paraId="5B594CF8">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b/>
                      <w:bCs/>
                      <w:color w:val="auto"/>
                      <w:sz w:val="21"/>
                      <w:szCs w:val="22"/>
                      <w:lang w:val="en-US" w:eastAsia="zh-CN" w:bidi="ar-SA"/>
                    </w:rPr>
                  </w:pPr>
                  <w:r>
                    <w:rPr>
                      <w:rFonts w:hint="default" w:ascii="Times New Roman" w:hAnsi="Times New Roman" w:eastAsia="宋体" w:cs="Times New Roman"/>
                      <w:b/>
                      <w:bCs/>
                      <w:color w:val="auto"/>
                      <w:lang w:val="en-US" w:eastAsia="zh-CN"/>
                    </w:rPr>
                    <w:t>浓度mg/m</w:t>
                  </w:r>
                  <w:r>
                    <w:rPr>
                      <w:rFonts w:hint="default" w:ascii="Times New Roman" w:hAnsi="Times New Roman" w:eastAsia="宋体" w:cs="Times New Roman"/>
                      <w:b/>
                      <w:bCs/>
                      <w:color w:val="auto"/>
                      <w:vertAlign w:val="superscript"/>
                      <w:lang w:val="en-US" w:eastAsia="zh-CN"/>
                    </w:rPr>
                    <w:t>3</w:t>
                  </w:r>
                </w:p>
              </w:tc>
              <w:tc>
                <w:tcPr>
                  <w:tcW w:w="399" w:type="pct"/>
                  <w:vMerge w:val="continue"/>
                  <w:shd w:val="clear" w:color="auto" w:fill="auto"/>
                  <w:noWrap w:val="0"/>
                  <w:vAlign w:val="center"/>
                </w:tcPr>
                <w:p w14:paraId="4920CA32">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p>
              </w:tc>
            </w:tr>
            <w:tr w14:paraId="1DB1D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 w:type="pct"/>
                  <w:vMerge w:val="restart"/>
                  <w:noWrap w:val="0"/>
                  <w:vAlign w:val="center"/>
                </w:tcPr>
                <w:p w14:paraId="6194C239">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一级破碎</w:t>
                  </w:r>
                </w:p>
              </w:tc>
              <w:tc>
                <w:tcPr>
                  <w:tcW w:w="266" w:type="pct"/>
                  <w:noWrap w:val="0"/>
                  <w:vAlign w:val="center"/>
                </w:tcPr>
                <w:p w14:paraId="407BCDD6">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有组织</w:t>
                  </w:r>
                </w:p>
              </w:tc>
              <w:tc>
                <w:tcPr>
                  <w:tcW w:w="515" w:type="pct"/>
                  <w:noWrap w:val="0"/>
                  <w:vAlign w:val="center"/>
                </w:tcPr>
                <w:p w14:paraId="4C420F78">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8000</w:t>
                  </w:r>
                </w:p>
              </w:tc>
              <w:tc>
                <w:tcPr>
                  <w:tcW w:w="733" w:type="dxa"/>
                  <w:noWrap w:val="0"/>
                  <w:vAlign w:val="center"/>
                </w:tcPr>
                <w:p w14:paraId="0927A7C0">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8.1</w:t>
                  </w:r>
                </w:p>
              </w:tc>
              <w:tc>
                <w:tcPr>
                  <w:tcW w:w="600" w:type="dxa"/>
                  <w:noWrap w:val="0"/>
                  <w:vAlign w:val="center"/>
                </w:tcPr>
                <w:p w14:paraId="5279F868">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1.36 </w:t>
                  </w:r>
                </w:p>
              </w:tc>
              <w:tc>
                <w:tcPr>
                  <w:tcW w:w="736" w:type="dxa"/>
                  <w:noWrap w:val="0"/>
                  <w:vAlign w:val="center"/>
                </w:tcPr>
                <w:p w14:paraId="4B04D732">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170.45 </w:t>
                  </w:r>
                </w:p>
              </w:tc>
              <w:tc>
                <w:tcPr>
                  <w:tcW w:w="511" w:type="pct"/>
                  <w:noWrap w:val="0"/>
                  <w:vAlign w:val="center"/>
                </w:tcPr>
                <w:p w14:paraId="483EA4ED">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除尘洗气机+15m</w:t>
                  </w:r>
                </w:p>
                <w:p w14:paraId="2A585AAB">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排气筒（P1）</w:t>
                  </w:r>
                </w:p>
              </w:tc>
              <w:tc>
                <w:tcPr>
                  <w:tcW w:w="851" w:type="dxa"/>
                  <w:noWrap w:val="0"/>
                  <w:vAlign w:val="center"/>
                </w:tcPr>
                <w:p w14:paraId="747C0738">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0.32 </w:t>
                  </w:r>
                </w:p>
              </w:tc>
              <w:tc>
                <w:tcPr>
                  <w:tcW w:w="905" w:type="dxa"/>
                  <w:noWrap w:val="0"/>
                  <w:vAlign w:val="center"/>
                </w:tcPr>
                <w:p w14:paraId="3379C10C">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0.05 </w:t>
                  </w:r>
                </w:p>
              </w:tc>
              <w:tc>
                <w:tcPr>
                  <w:tcW w:w="769" w:type="dxa"/>
                  <w:noWrap w:val="0"/>
                  <w:vAlign w:val="center"/>
                </w:tcPr>
                <w:p w14:paraId="6AC7104B">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6.82 </w:t>
                  </w:r>
                </w:p>
              </w:tc>
              <w:tc>
                <w:tcPr>
                  <w:tcW w:w="399" w:type="pct"/>
                  <w:noWrap w:val="0"/>
                  <w:vAlign w:val="center"/>
                </w:tcPr>
                <w:p w14:paraId="253CD993">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5940</w:t>
                  </w:r>
                </w:p>
              </w:tc>
            </w:tr>
            <w:tr w14:paraId="05E71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 w:type="pct"/>
                  <w:vMerge w:val="continue"/>
                  <w:noWrap w:val="0"/>
                  <w:vAlign w:val="center"/>
                </w:tcPr>
                <w:p w14:paraId="16955E45">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rPr>
                  </w:pPr>
                </w:p>
              </w:tc>
              <w:tc>
                <w:tcPr>
                  <w:tcW w:w="266" w:type="pct"/>
                  <w:noWrap w:val="0"/>
                  <w:vAlign w:val="center"/>
                </w:tcPr>
                <w:p w14:paraId="1CE34BA5">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无组织</w:t>
                  </w:r>
                </w:p>
              </w:tc>
              <w:tc>
                <w:tcPr>
                  <w:tcW w:w="515" w:type="pct"/>
                  <w:noWrap w:val="0"/>
                  <w:vAlign w:val="center"/>
                </w:tcPr>
                <w:p w14:paraId="1FA87CE0">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733" w:type="dxa"/>
                  <w:noWrap w:val="0"/>
                  <w:vAlign w:val="center"/>
                </w:tcPr>
                <w:p w14:paraId="177C57EA">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0.9</w:t>
                  </w:r>
                </w:p>
              </w:tc>
              <w:tc>
                <w:tcPr>
                  <w:tcW w:w="600" w:type="dxa"/>
                  <w:noWrap w:val="0"/>
                  <w:vAlign w:val="center"/>
                </w:tcPr>
                <w:p w14:paraId="424F4944">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0.15 </w:t>
                  </w:r>
                </w:p>
              </w:tc>
              <w:tc>
                <w:tcPr>
                  <w:tcW w:w="487" w:type="pct"/>
                  <w:noWrap w:val="0"/>
                  <w:vAlign w:val="center"/>
                </w:tcPr>
                <w:p w14:paraId="33AE2FC3">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511" w:type="pct"/>
                  <w:noWrap w:val="0"/>
                  <w:vAlign w:val="center"/>
                </w:tcPr>
                <w:p w14:paraId="494BBB52">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车间阻隔</w:t>
                  </w:r>
                </w:p>
              </w:tc>
              <w:tc>
                <w:tcPr>
                  <w:tcW w:w="851" w:type="dxa"/>
                  <w:noWrap w:val="0"/>
                  <w:vAlign w:val="center"/>
                </w:tcPr>
                <w:p w14:paraId="46CD5A0C">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0.09</w:t>
                  </w:r>
                </w:p>
              </w:tc>
              <w:tc>
                <w:tcPr>
                  <w:tcW w:w="905" w:type="dxa"/>
                  <w:noWrap w:val="0"/>
                  <w:vAlign w:val="center"/>
                </w:tcPr>
                <w:p w14:paraId="01D0A0C2">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0.02 </w:t>
                  </w:r>
                </w:p>
              </w:tc>
              <w:tc>
                <w:tcPr>
                  <w:tcW w:w="509" w:type="pct"/>
                  <w:noWrap w:val="0"/>
                  <w:vAlign w:val="center"/>
                </w:tcPr>
                <w:p w14:paraId="416A1347">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399" w:type="pct"/>
                  <w:noWrap w:val="0"/>
                  <w:vAlign w:val="center"/>
                </w:tcPr>
                <w:p w14:paraId="407C2E56">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5940</w:t>
                  </w:r>
                </w:p>
              </w:tc>
            </w:tr>
            <w:tr w14:paraId="0B4B2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 w:type="pct"/>
                  <w:vMerge w:val="restart"/>
                  <w:noWrap w:val="0"/>
                  <w:vAlign w:val="center"/>
                </w:tcPr>
                <w:p w14:paraId="19A44806">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二级破碎</w:t>
                  </w:r>
                </w:p>
              </w:tc>
              <w:tc>
                <w:tcPr>
                  <w:tcW w:w="266" w:type="pct"/>
                  <w:shd w:val="clear" w:color="auto" w:fill="auto"/>
                  <w:noWrap w:val="0"/>
                  <w:vAlign w:val="center"/>
                </w:tcPr>
                <w:p w14:paraId="5E71CEAD">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sz w:val="21"/>
                      <w:szCs w:val="22"/>
                      <w:lang w:val="en-US" w:eastAsia="zh-CN" w:bidi="ar-SA"/>
                    </w:rPr>
                  </w:pPr>
                  <w:r>
                    <w:rPr>
                      <w:rFonts w:hint="default" w:ascii="Times New Roman" w:hAnsi="Times New Roman" w:eastAsia="宋体" w:cs="Times New Roman"/>
                      <w:color w:val="auto"/>
                      <w:lang w:val="en-US" w:eastAsia="zh-CN"/>
                    </w:rPr>
                    <w:t>有组织</w:t>
                  </w:r>
                </w:p>
              </w:tc>
              <w:tc>
                <w:tcPr>
                  <w:tcW w:w="515" w:type="pct"/>
                  <w:noWrap w:val="0"/>
                  <w:vAlign w:val="center"/>
                </w:tcPr>
                <w:p w14:paraId="0B855742">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15000 </w:t>
                  </w:r>
                </w:p>
              </w:tc>
              <w:tc>
                <w:tcPr>
                  <w:tcW w:w="733" w:type="dxa"/>
                  <w:noWrap w:val="0"/>
                  <w:vAlign w:val="center"/>
                </w:tcPr>
                <w:p w14:paraId="15B8A399">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64.80 </w:t>
                  </w:r>
                </w:p>
              </w:tc>
              <w:tc>
                <w:tcPr>
                  <w:tcW w:w="600" w:type="dxa"/>
                  <w:noWrap w:val="0"/>
                  <w:vAlign w:val="center"/>
                </w:tcPr>
                <w:p w14:paraId="7CC31262">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10.91 </w:t>
                  </w:r>
                </w:p>
              </w:tc>
              <w:tc>
                <w:tcPr>
                  <w:tcW w:w="736" w:type="dxa"/>
                  <w:noWrap w:val="0"/>
                  <w:vAlign w:val="center"/>
                </w:tcPr>
                <w:p w14:paraId="343C08BB">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727.27 </w:t>
                  </w:r>
                </w:p>
              </w:tc>
              <w:tc>
                <w:tcPr>
                  <w:tcW w:w="511" w:type="pct"/>
                  <w:noWrap w:val="0"/>
                  <w:vAlign w:val="center"/>
                </w:tcPr>
                <w:p w14:paraId="37868724">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除尘洗气机+15m</w:t>
                  </w:r>
                </w:p>
                <w:p w14:paraId="3F6FB75C">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排气筒（P2）</w:t>
                  </w:r>
                </w:p>
              </w:tc>
              <w:tc>
                <w:tcPr>
                  <w:tcW w:w="851" w:type="dxa"/>
                  <w:noWrap w:val="0"/>
                  <w:vAlign w:val="center"/>
                </w:tcPr>
                <w:p w14:paraId="5AA775F3">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2.59 </w:t>
                  </w:r>
                </w:p>
              </w:tc>
              <w:tc>
                <w:tcPr>
                  <w:tcW w:w="905" w:type="dxa"/>
                  <w:noWrap w:val="0"/>
                  <w:vAlign w:val="center"/>
                </w:tcPr>
                <w:p w14:paraId="332F4799">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0.44 </w:t>
                  </w:r>
                </w:p>
              </w:tc>
              <w:tc>
                <w:tcPr>
                  <w:tcW w:w="769" w:type="dxa"/>
                  <w:noWrap w:val="0"/>
                  <w:vAlign w:val="center"/>
                </w:tcPr>
                <w:p w14:paraId="7B074F6E">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29.09 </w:t>
                  </w:r>
                </w:p>
              </w:tc>
              <w:tc>
                <w:tcPr>
                  <w:tcW w:w="399" w:type="pct"/>
                  <w:noWrap w:val="0"/>
                  <w:vAlign w:val="center"/>
                </w:tcPr>
                <w:p w14:paraId="6E8264D7">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5940</w:t>
                  </w:r>
                </w:p>
              </w:tc>
            </w:tr>
            <w:tr w14:paraId="39FB6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6" w:type="pct"/>
                  <w:vMerge w:val="continue"/>
                  <w:noWrap w:val="0"/>
                  <w:vAlign w:val="center"/>
                </w:tcPr>
                <w:p w14:paraId="75ED1A9B">
                  <w:pPr>
                    <w:pStyle w:val="52"/>
                    <w:keepNext w:val="0"/>
                    <w:keepLines w:val="0"/>
                    <w:pageBreakBefore w:val="0"/>
                    <w:widowControl/>
                    <w:kinsoku/>
                    <w:wordWrap/>
                    <w:overflowPunct/>
                    <w:topLinePunct w:val="0"/>
                    <w:autoSpaceDE/>
                    <w:autoSpaceDN/>
                    <w:bidi w:val="0"/>
                    <w:adjustRightInd/>
                    <w:snapToGrid w:val="0"/>
                    <w:textAlignment w:val="auto"/>
                    <w:rPr>
                      <w:rFonts w:hint="default" w:ascii="Times New Roman" w:hAnsi="Times New Roman" w:eastAsia="宋体" w:cs="Times New Roman"/>
                      <w:color w:val="auto"/>
                    </w:rPr>
                  </w:pPr>
                </w:p>
              </w:tc>
              <w:tc>
                <w:tcPr>
                  <w:tcW w:w="266" w:type="pct"/>
                  <w:shd w:val="clear" w:color="auto" w:fill="auto"/>
                  <w:noWrap w:val="0"/>
                  <w:vAlign w:val="center"/>
                </w:tcPr>
                <w:p w14:paraId="1DCD5481">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sz w:val="21"/>
                      <w:szCs w:val="22"/>
                      <w:lang w:val="en-US" w:eastAsia="zh-CN" w:bidi="ar-SA"/>
                    </w:rPr>
                  </w:pPr>
                  <w:r>
                    <w:rPr>
                      <w:rFonts w:hint="default" w:ascii="Times New Roman" w:hAnsi="Times New Roman" w:eastAsia="宋体" w:cs="Times New Roman"/>
                      <w:color w:val="auto"/>
                      <w:lang w:val="en-US" w:eastAsia="zh-CN"/>
                    </w:rPr>
                    <w:t>无组织</w:t>
                  </w:r>
                </w:p>
              </w:tc>
              <w:tc>
                <w:tcPr>
                  <w:tcW w:w="515" w:type="pct"/>
                  <w:noWrap w:val="0"/>
                  <w:vAlign w:val="center"/>
                </w:tcPr>
                <w:p w14:paraId="67675FF4">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733" w:type="dxa"/>
                  <w:noWrap w:val="0"/>
                  <w:vAlign w:val="center"/>
                </w:tcPr>
                <w:p w14:paraId="18340B30">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7.2</w:t>
                  </w:r>
                </w:p>
              </w:tc>
              <w:tc>
                <w:tcPr>
                  <w:tcW w:w="600" w:type="dxa"/>
                  <w:noWrap w:val="0"/>
                  <w:vAlign w:val="center"/>
                </w:tcPr>
                <w:p w14:paraId="2947F7F0">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1.21 </w:t>
                  </w:r>
                </w:p>
              </w:tc>
              <w:tc>
                <w:tcPr>
                  <w:tcW w:w="487" w:type="pct"/>
                  <w:noWrap w:val="0"/>
                  <w:vAlign w:val="center"/>
                </w:tcPr>
                <w:p w14:paraId="3EA1582F">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511" w:type="pct"/>
                  <w:noWrap w:val="0"/>
                  <w:vAlign w:val="center"/>
                </w:tcPr>
                <w:p w14:paraId="591B1EE8">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车间阻隔</w:t>
                  </w:r>
                </w:p>
              </w:tc>
              <w:tc>
                <w:tcPr>
                  <w:tcW w:w="851" w:type="dxa"/>
                  <w:noWrap w:val="0"/>
                  <w:vAlign w:val="center"/>
                </w:tcPr>
                <w:p w14:paraId="5E4E0374">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0.72</w:t>
                  </w:r>
                </w:p>
              </w:tc>
              <w:tc>
                <w:tcPr>
                  <w:tcW w:w="905" w:type="dxa"/>
                  <w:noWrap w:val="0"/>
                  <w:vAlign w:val="center"/>
                </w:tcPr>
                <w:p w14:paraId="0AE30A09">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0.12 </w:t>
                  </w:r>
                </w:p>
              </w:tc>
              <w:tc>
                <w:tcPr>
                  <w:tcW w:w="509" w:type="pct"/>
                  <w:noWrap w:val="0"/>
                  <w:vAlign w:val="center"/>
                </w:tcPr>
                <w:p w14:paraId="4D7E4DAE">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399" w:type="pct"/>
                  <w:noWrap w:val="0"/>
                  <w:vAlign w:val="center"/>
                </w:tcPr>
                <w:p w14:paraId="7A05A4AB">
                  <w:pPr>
                    <w:pStyle w:val="52"/>
                    <w:keepNext w:val="0"/>
                    <w:keepLines w:val="0"/>
                    <w:pageBreakBefore w:val="0"/>
                    <w:widowControl/>
                    <w:kinsoku/>
                    <w:wordWrap/>
                    <w:overflowPunct/>
                    <w:topLinePunct w:val="0"/>
                    <w:autoSpaceDE/>
                    <w:autoSpaceDN/>
                    <w:bidi w:val="0"/>
                    <w:adjustRightInd/>
                    <w:snapToGrid w:val="0"/>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5940</w:t>
                  </w:r>
                </w:p>
              </w:tc>
            </w:tr>
          </w:tbl>
          <w:p w14:paraId="5407ACF6">
            <w:pPr>
              <w:widowControl w:val="0"/>
              <w:spacing w:line="360" w:lineRule="auto"/>
              <w:ind w:firstLine="480" w:firstLineChars="200"/>
              <w:rPr>
                <w:rFonts w:hint="default" w:ascii="Times New Roman" w:hAnsi="Times New Roman" w:eastAsia="宋体" w:cs="Times New Roman"/>
                <w:bCs/>
                <w:color w:val="auto"/>
                <w:kern w:val="2"/>
                <w:sz w:val="24"/>
                <w:szCs w:val="24"/>
                <w:lang w:eastAsia="zh-CN"/>
              </w:rPr>
            </w:pPr>
            <w:r>
              <w:rPr>
                <w:rFonts w:hint="default" w:ascii="Times New Roman" w:hAnsi="Times New Roman" w:eastAsia="宋体" w:cs="Times New Roman"/>
                <w:bCs/>
                <w:color w:val="auto"/>
                <w:kern w:val="2"/>
                <w:sz w:val="24"/>
                <w:szCs w:val="24"/>
                <w:lang w:bidi="ar"/>
              </w:rPr>
              <w:t>（</w:t>
            </w:r>
            <w:r>
              <w:rPr>
                <w:rFonts w:hint="default" w:ascii="Times New Roman" w:hAnsi="Times New Roman" w:eastAsia="宋体" w:cs="Times New Roman"/>
                <w:bCs/>
                <w:color w:val="auto"/>
                <w:kern w:val="2"/>
                <w:sz w:val="24"/>
                <w:szCs w:val="24"/>
                <w:lang w:val="en-US" w:eastAsia="zh-CN" w:bidi="ar"/>
              </w:rPr>
              <w:t>3</w:t>
            </w:r>
            <w:r>
              <w:rPr>
                <w:rFonts w:hint="default" w:ascii="Times New Roman" w:hAnsi="Times New Roman" w:eastAsia="宋体" w:cs="Times New Roman"/>
                <w:bCs/>
                <w:color w:val="auto"/>
                <w:kern w:val="2"/>
                <w:sz w:val="24"/>
                <w:szCs w:val="24"/>
                <w:lang w:bidi="ar"/>
              </w:rPr>
              <w:t>）注浆站</w:t>
            </w:r>
            <w:r>
              <w:rPr>
                <w:rFonts w:hint="default" w:ascii="Times New Roman" w:hAnsi="Times New Roman" w:eastAsia="宋体" w:cs="Times New Roman"/>
                <w:bCs/>
                <w:color w:val="auto"/>
                <w:kern w:val="2"/>
                <w:sz w:val="24"/>
                <w:szCs w:val="24"/>
                <w:lang w:val="en-US" w:eastAsia="zh-CN" w:bidi="ar"/>
              </w:rPr>
              <w:t>皮带输送转载</w:t>
            </w:r>
            <w:r>
              <w:rPr>
                <w:rFonts w:hint="default" w:ascii="Times New Roman" w:hAnsi="Times New Roman" w:eastAsia="宋体" w:cs="Times New Roman"/>
                <w:bCs/>
                <w:color w:val="auto"/>
                <w:kern w:val="2"/>
                <w:sz w:val="24"/>
                <w:szCs w:val="24"/>
                <w:lang w:bidi="ar"/>
              </w:rPr>
              <w:t>粉尘</w:t>
            </w:r>
          </w:p>
          <w:p w14:paraId="79CBBB4B">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val="en-US" w:eastAsia="zh-CN" w:bidi="ar"/>
              </w:rPr>
              <w:t>破碎后的</w:t>
            </w:r>
            <w:r>
              <w:rPr>
                <w:rFonts w:hint="default" w:ascii="Times New Roman" w:hAnsi="Times New Roman" w:eastAsia="宋体" w:cs="Times New Roman"/>
                <w:bCs/>
                <w:color w:val="auto"/>
                <w:kern w:val="2"/>
                <w:sz w:val="24"/>
                <w:szCs w:val="24"/>
                <w:lang w:bidi="ar"/>
              </w:rPr>
              <w:t>矸石进入注浆站配料皮带</w:t>
            </w:r>
            <w:r>
              <w:rPr>
                <w:rFonts w:hint="default" w:ascii="Times New Roman" w:hAnsi="Times New Roman" w:eastAsia="宋体" w:cs="Times New Roman"/>
                <w:bCs/>
                <w:color w:val="auto"/>
                <w:kern w:val="2"/>
                <w:sz w:val="24"/>
                <w:szCs w:val="24"/>
                <w:lang w:val="en-US" w:eastAsia="zh-CN" w:bidi="ar"/>
              </w:rPr>
              <w:t>输送至球磨机</w:t>
            </w:r>
            <w:r>
              <w:rPr>
                <w:rFonts w:hint="default" w:ascii="Times New Roman" w:hAnsi="Times New Roman" w:eastAsia="宋体" w:cs="Times New Roman"/>
                <w:bCs/>
                <w:color w:val="auto"/>
                <w:kern w:val="2"/>
                <w:sz w:val="24"/>
                <w:szCs w:val="24"/>
                <w:lang w:bidi="ar"/>
              </w:rPr>
              <w:t>过程中产生一定量粉尘，本项目</w:t>
            </w:r>
            <w:r>
              <w:rPr>
                <w:rFonts w:hint="default" w:ascii="Times New Roman" w:hAnsi="Times New Roman" w:eastAsia="宋体" w:cs="Times New Roman"/>
                <w:bCs/>
                <w:color w:val="auto"/>
                <w:kern w:val="2"/>
                <w:sz w:val="24"/>
                <w:szCs w:val="24"/>
                <w:lang w:val="en-US" w:eastAsia="zh-CN" w:bidi="ar"/>
              </w:rPr>
              <w:t>在配料皮带上方</w:t>
            </w:r>
            <w:r>
              <w:rPr>
                <w:rFonts w:hint="default" w:ascii="Times New Roman" w:hAnsi="Times New Roman" w:eastAsia="宋体" w:cs="Times New Roman"/>
                <w:bCs/>
                <w:color w:val="auto"/>
                <w:kern w:val="2"/>
                <w:sz w:val="24"/>
                <w:szCs w:val="24"/>
                <w:lang w:bidi="ar"/>
              </w:rPr>
              <w:t>设</w:t>
            </w:r>
            <w:r>
              <w:rPr>
                <w:rFonts w:hint="default" w:ascii="Times New Roman" w:hAnsi="Times New Roman" w:eastAsia="宋体" w:cs="Times New Roman"/>
                <w:bCs/>
                <w:color w:val="auto"/>
                <w:kern w:val="2"/>
                <w:sz w:val="24"/>
                <w:szCs w:val="24"/>
                <w:lang w:val="en-US" w:eastAsia="zh-CN" w:bidi="ar"/>
              </w:rPr>
              <w:t>集气罩（90%集气效率）+</w:t>
            </w:r>
            <w:r>
              <w:rPr>
                <w:rFonts w:hint="default" w:ascii="Times New Roman" w:hAnsi="Times New Roman" w:eastAsia="宋体" w:cs="Times New Roman"/>
                <w:bCs/>
                <w:color w:val="auto"/>
                <w:kern w:val="2"/>
                <w:sz w:val="24"/>
                <w:szCs w:val="24"/>
                <w:lang w:bidi="ar"/>
              </w:rPr>
              <w:t>设</w:t>
            </w:r>
            <w:r>
              <w:rPr>
                <w:rFonts w:hint="default" w:ascii="Times New Roman" w:hAnsi="Times New Roman" w:eastAsia="宋体" w:cs="Times New Roman"/>
                <w:bCs/>
                <w:color w:val="auto"/>
                <w:kern w:val="2"/>
                <w:sz w:val="24"/>
                <w:szCs w:val="24"/>
                <w:lang w:val="en-US" w:eastAsia="zh-CN" w:bidi="ar"/>
              </w:rPr>
              <w:t>湿式除尘洗气机</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除尘效率为96%</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除尘后由1个</w:t>
            </w:r>
            <w:r>
              <w:rPr>
                <w:rFonts w:hint="default" w:ascii="Times New Roman" w:hAnsi="Times New Roman" w:eastAsia="宋体" w:cs="Times New Roman"/>
                <w:bCs/>
                <w:color w:val="auto"/>
                <w:kern w:val="2"/>
                <w:sz w:val="24"/>
                <w:szCs w:val="24"/>
                <w:lang w:val="en-US" w:eastAsia="zh-CN" w:bidi="ar"/>
              </w:rPr>
              <w:t>20m</w:t>
            </w:r>
            <w:r>
              <w:rPr>
                <w:rFonts w:hint="default" w:ascii="Times New Roman" w:hAnsi="Times New Roman" w:eastAsia="宋体" w:cs="Times New Roman"/>
                <w:bCs/>
                <w:color w:val="auto"/>
                <w:kern w:val="2"/>
                <w:sz w:val="24"/>
                <w:szCs w:val="24"/>
                <w:lang w:bidi="ar"/>
              </w:rPr>
              <w:t>高排气筒（P</w:t>
            </w:r>
            <w:r>
              <w:rPr>
                <w:rFonts w:hint="default" w:ascii="Times New Roman" w:hAnsi="Times New Roman" w:eastAsia="宋体" w:cs="Times New Roman"/>
                <w:bCs/>
                <w:color w:val="auto"/>
                <w:kern w:val="2"/>
                <w:sz w:val="24"/>
                <w:szCs w:val="24"/>
                <w:lang w:val="en-US" w:eastAsia="zh-CN" w:bidi="ar"/>
              </w:rPr>
              <w:t>3</w:t>
            </w:r>
            <w:r>
              <w:rPr>
                <w:rFonts w:hint="default" w:ascii="Times New Roman" w:hAnsi="Times New Roman" w:eastAsia="宋体" w:cs="Times New Roman"/>
                <w:bCs/>
                <w:color w:val="auto"/>
                <w:kern w:val="2"/>
                <w:sz w:val="24"/>
                <w:szCs w:val="24"/>
                <w:lang w:bidi="ar"/>
              </w:rPr>
              <w:t>）排放。</w:t>
            </w:r>
          </w:p>
          <w:p w14:paraId="3F1E9FE2">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bidi="ar"/>
              </w:rPr>
              <w:t>注浆站配料皮带输送颗粒物排放系数按《逸散性工业粉尘控制技术》(J.A.奥里蒙G.A.久兹等编著，张良壁、刘敬严编译：中国环境科学出版社 1989-12-01)中第十八章煤加工厂，表19-2煤加工过程逸散尘的排放因子：皮带运输转载点颗粒物排放系数为0.</w:t>
            </w:r>
            <w:r>
              <w:rPr>
                <w:rFonts w:hint="default" w:ascii="Times New Roman" w:hAnsi="Times New Roman" w:eastAsia="宋体" w:cs="Times New Roman"/>
                <w:bCs/>
                <w:color w:val="auto"/>
                <w:kern w:val="2"/>
                <w:sz w:val="24"/>
                <w:szCs w:val="24"/>
                <w:lang w:val="en-US" w:eastAsia="zh-CN" w:bidi="ar"/>
              </w:rPr>
              <w:t>0</w:t>
            </w:r>
            <w:r>
              <w:rPr>
                <w:rFonts w:hint="default" w:ascii="Times New Roman" w:hAnsi="Times New Roman" w:eastAsia="宋体" w:cs="Times New Roman"/>
                <w:bCs/>
                <w:color w:val="auto"/>
                <w:kern w:val="2"/>
                <w:sz w:val="24"/>
                <w:szCs w:val="24"/>
                <w:lang w:bidi="ar"/>
              </w:rPr>
              <w:t>1kg/t·原料。</w:t>
            </w: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bCs/>
                <w:color w:val="auto"/>
                <w:kern w:val="2"/>
                <w:sz w:val="24"/>
                <w:szCs w:val="24"/>
                <w:lang w:bidi="ar"/>
              </w:rPr>
              <w:t>注浆站配料皮带</w:t>
            </w:r>
            <w:r>
              <w:rPr>
                <w:rFonts w:hint="default" w:ascii="Times New Roman" w:hAnsi="Times New Roman" w:eastAsia="宋体" w:cs="Times New Roman"/>
                <w:bCs/>
                <w:color w:val="auto"/>
                <w:kern w:val="2"/>
                <w:sz w:val="24"/>
                <w:szCs w:val="24"/>
                <w:lang w:val="en-US" w:eastAsia="zh-CN" w:bidi="ar"/>
              </w:rPr>
              <w:t>需</w:t>
            </w:r>
            <w:r>
              <w:rPr>
                <w:rFonts w:hint="default" w:ascii="Times New Roman" w:hAnsi="Times New Roman" w:eastAsia="宋体" w:cs="Times New Roman"/>
                <w:color w:val="auto"/>
                <w:kern w:val="2"/>
                <w:sz w:val="24"/>
                <w:szCs w:val="24"/>
                <w:lang w:val="en-US" w:eastAsia="zh-CN" w:bidi="ar"/>
              </w:rPr>
              <w:t>输送</w:t>
            </w:r>
            <w:r>
              <w:rPr>
                <w:rFonts w:hint="default" w:ascii="Times New Roman" w:hAnsi="Times New Roman" w:eastAsia="宋体" w:cs="Times New Roman"/>
                <w:color w:val="auto"/>
                <w:kern w:val="2"/>
                <w:sz w:val="24"/>
                <w:szCs w:val="24"/>
                <w:lang w:bidi="ar"/>
              </w:rPr>
              <w:t>矸石量</w:t>
            </w:r>
            <w:r>
              <w:rPr>
                <w:rFonts w:hint="default" w:ascii="Times New Roman" w:hAnsi="Times New Roman" w:eastAsia="宋体" w:cs="Times New Roman"/>
                <w:color w:val="auto"/>
                <w:kern w:val="2"/>
                <w:sz w:val="24"/>
                <w:szCs w:val="24"/>
                <w:lang w:val="en-US" w:eastAsia="zh-CN" w:bidi="ar"/>
              </w:rPr>
              <w:t>为900000t/a</w:t>
            </w:r>
            <w:r>
              <w:rPr>
                <w:rFonts w:hint="default" w:ascii="Times New Roman" w:hAnsi="Times New Roman" w:eastAsia="宋体" w:cs="Times New Roman"/>
                <w:color w:val="auto"/>
                <w:kern w:val="2"/>
                <w:sz w:val="24"/>
                <w:szCs w:val="24"/>
                <w:lang w:bidi="ar"/>
              </w:rPr>
              <w:t>，则</w:t>
            </w:r>
            <w:r>
              <w:rPr>
                <w:rFonts w:hint="default" w:ascii="Times New Roman" w:hAnsi="Times New Roman" w:eastAsia="宋体" w:cs="Times New Roman"/>
                <w:bCs/>
                <w:color w:val="auto"/>
                <w:kern w:val="2"/>
                <w:sz w:val="24"/>
                <w:szCs w:val="24"/>
                <w:lang w:bidi="ar"/>
              </w:rPr>
              <w:t>配料皮带</w:t>
            </w:r>
            <w:r>
              <w:rPr>
                <w:rFonts w:hint="default" w:ascii="Times New Roman" w:hAnsi="Times New Roman" w:eastAsia="宋体" w:cs="Times New Roman"/>
                <w:color w:val="auto"/>
                <w:kern w:val="2"/>
                <w:sz w:val="24"/>
                <w:szCs w:val="24"/>
                <w:lang w:bidi="ar"/>
              </w:rPr>
              <w:t>粉尘产生量共为</w:t>
            </w:r>
            <w:r>
              <w:rPr>
                <w:rFonts w:hint="default" w:ascii="Times New Roman" w:hAnsi="Times New Roman" w:eastAsia="宋体" w:cs="Times New Roman"/>
                <w:color w:val="auto"/>
                <w:kern w:val="2"/>
                <w:sz w:val="24"/>
                <w:szCs w:val="24"/>
                <w:lang w:val="en-US" w:eastAsia="zh-CN" w:bidi="ar"/>
              </w:rPr>
              <w:t>9</w:t>
            </w:r>
            <w:r>
              <w:rPr>
                <w:rFonts w:hint="default" w:ascii="Times New Roman" w:hAnsi="Times New Roman" w:eastAsia="宋体" w:cs="Times New Roman"/>
                <w:bCs/>
                <w:color w:val="auto"/>
                <w:kern w:val="2"/>
                <w:sz w:val="24"/>
                <w:szCs w:val="24"/>
                <w:lang w:bidi="ar"/>
              </w:rPr>
              <w:t>t/a，产尘速率为</w:t>
            </w:r>
            <w:r>
              <w:rPr>
                <w:rFonts w:hint="default" w:ascii="Times New Roman" w:hAnsi="Times New Roman" w:eastAsia="宋体" w:cs="Times New Roman"/>
                <w:bCs/>
                <w:color w:val="auto"/>
                <w:kern w:val="2"/>
                <w:sz w:val="24"/>
                <w:szCs w:val="24"/>
                <w:lang w:val="en-US" w:eastAsia="zh-CN" w:bidi="ar"/>
              </w:rPr>
              <w:t>1.15</w:t>
            </w:r>
            <w:r>
              <w:rPr>
                <w:rFonts w:hint="default" w:ascii="Times New Roman" w:hAnsi="Times New Roman" w:eastAsia="宋体" w:cs="Times New Roman"/>
                <w:bCs/>
                <w:color w:val="auto"/>
                <w:kern w:val="2"/>
                <w:sz w:val="24"/>
                <w:szCs w:val="24"/>
                <w:lang w:bidi="ar"/>
              </w:rPr>
              <w:t>kg/h，</w:t>
            </w:r>
            <w:r>
              <w:rPr>
                <w:rFonts w:hint="default" w:ascii="Times New Roman" w:hAnsi="Times New Roman" w:eastAsia="宋体" w:cs="Times New Roman"/>
                <w:color w:val="auto"/>
                <w:kern w:val="2"/>
                <w:sz w:val="24"/>
                <w:szCs w:val="24"/>
                <w:lang w:bidi="ar"/>
              </w:rPr>
              <w:t>风机引风量为</w:t>
            </w:r>
            <w:r>
              <w:rPr>
                <w:rFonts w:hint="default" w:ascii="Times New Roman" w:hAnsi="Times New Roman" w:eastAsia="宋体" w:cs="Times New Roman"/>
                <w:color w:val="auto"/>
                <w:kern w:val="2"/>
                <w:sz w:val="24"/>
                <w:szCs w:val="24"/>
                <w:lang w:val="en-US" w:eastAsia="zh-CN" w:bidi="ar"/>
              </w:rPr>
              <w:t>6000</w:t>
            </w:r>
            <w:r>
              <w:rPr>
                <w:rFonts w:hint="default" w:ascii="Times New Roman" w:hAnsi="Times New Roman" w:eastAsia="宋体" w:cs="Times New Roman"/>
                <w:color w:val="auto"/>
                <w:kern w:val="2"/>
                <w:sz w:val="24"/>
                <w:szCs w:val="24"/>
                <w:lang w:bidi="ar"/>
              </w:rPr>
              <w:t>m</w:t>
            </w:r>
            <w:r>
              <w:rPr>
                <w:rFonts w:hint="default" w:ascii="Times New Roman" w:hAnsi="Times New Roman" w:eastAsia="宋体" w:cs="Times New Roman"/>
                <w:color w:val="auto"/>
                <w:kern w:val="2"/>
                <w:sz w:val="24"/>
                <w:szCs w:val="24"/>
                <w:vertAlign w:val="superscript"/>
                <w:lang w:bidi="ar"/>
              </w:rPr>
              <w:t>3</w:t>
            </w:r>
            <w:r>
              <w:rPr>
                <w:rFonts w:hint="default" w:ascii="Times New Roman" w:hAnsi="Times New Roman" w:eastAsia="宋体" w:cs="Times New Roman"/>
                <w:color w:val="auto"/>
                <w:kern w:val="2"/>
                <w:sz w:val="24"/>
                <w:szCs w:val="24"/>
                <w:lang w:bidi="ar"/>
              </w:rPr>
              <w:t>/ h</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经集气罩收集后的量为8.1</w:t>
            </w:r>
            <w:r>
              <w:rPr>
                <w:rFonts w:hint="default" w:ascii="Times New Roman" w:hAnsi="Times New Roman" w:eastAsia="宋体" w:cs="Times New Roman"/>
                <w:bCs/>
                <w:color w:val="auto"/>
                <w:kern w:val="2"/>
                <w:sz w:val="24"/>
                <w:szCs w:val="24"/>
                <w:lang w:bidi="ar"/>
              </w:rPr>
              <w:t>t/a</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通过</w:t>
            </w:r>
            <w:r>
              <w:rPr>
                <w:rFonts w:hint="default" w:ascii="Times New Roman" w:hAnsi="Times New Roman" w:eastAsia="宋体" w:cs="Times New Roman"/>
                <w:bCs/>
                <w:color w:val="auto"/>
                <w:kern w:val="2"/>
                <w:sz w:val="24"/>
                <w:szCs w:val="24"/>
                <w:lang w:val="en-US" w:eastAsia="zh-CN" w:bidi="ar"/>
              </w:rPr>
              <w:t>湿式除尘洗气机</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val="en-US" w:eastAsia="zh-CN" w:bidi="ar"/>
              </w:rPr>
              <w:t>除尘效率为96%</w:t>
            </w:r>
            <w:r>
              <w:rPr>
                <w:rFonts w:hint="default" w:ascii="Times New Roman" w:hAnsi="Times New Roman" w:eastAsia="宋体" w:cs="Times New Roman"/>
                <w:bCs/>
                <w:color w:val="auto"/>
                <w:kern w:val="2"/>
                <w:sz w:val="24"/>
                <w:szCs w:val="24"/>
                <w:lang w:eastAsia="zh-CN" w:bidi="ar"/>
              </w:rPr>
              <w:t>）</w:t>
            </w:r>
            <w:r>
              <w:rPr>
                <w:rFonts w:hint="default" w:ascii="Times New Roman" w:hAnsi="Times New Roman" w:eastAsia="宋体" w:cs="Times New Roman"/>
                <w:bCs/>
                <w:color w:val="auto"/>
                <w:kern w:val="2"/>
                <w:sz w:val="24"/>
                <w:szCs w:val="24"/>
                <w:lang w:bidi="ar"/>
              </w:rPr>
              <w:t>除尘，排放量为</w:t>
            </w:r>
            <w:r>
              <w:rPr>
                <w:rFonts w:hint="default" w:ascii="Times New Roman" w:hAnsi="Times New Roman" w:eastAsia="宋体" w:cs="Times New Roman"/>
                <w:bCs/>
                <w:color w:val="auto"/>
                <w:kern w:val="2"/>
                <w:sz w:val="24"/>
                <w:szCs w:val="24"/>
                <w:lang w:val="en-US" w:eastAsia="zh-CN" w:bidi="ar"/>
              </w:rPr>
              <w:t>0.32</w:t>
            </w:r>
            <w:r>
              <w:rPr>
                <w:rFonts w:hint="default" w:ascii="Times New Roman" w:hAnsi="Times New Roman" w:eastAsia="宋体" w:cs="Times New Roman"/>
                <w:bCs/>
                <w:color w:val="auto"/>
                <w:kern w:val="2"/>
                <w:sz w:val="24"/>
                <w:szCs w:val="24"/>
                <w:lang w:bidi="ar"/>
              </w:rPr>
              <w:t>t/a，排放速率为</w:t>
            </w:r>
            <w:r>
              <w:rPr>
                <w:rFonts w:hint="default" w:ascii="Times New Roman" w:hAnsi="Times New Roman" w:eastAsia="宋体" w:cs="Times New Roman"/>
                <w:bCs/>
                <w:color w:val="auto"/>
                <w:kern w:val="2"/>
                <w:sz w:val="24"/>
                <w:szCs w:val="24"/>
                <w:lang w:val="en-US" w:eastAsia="zh-CN" w:bidi="ar"/>
              </w:rPr>
              <w:t>0.05</w:t>
            </w:r>
            <w:r>
              <w:rPr>
                <w:rFonts w:hint="default" w:ascii="Times New Roman" w:hAnsi="Times New Roman" w:eastAsia="宋体" w:cs="Times New Roman"/>
                <w:bCs/>
                <w:color w:val="auto"/>
                <w:kern w:val="2"/>
                <w:sz w:val="24"/>
                <w:szCs w:val="24"/>
                <w:lang w:bidi="ar"/>
              </w:rPr>
              <w:t>kg/h，排放浓度为</w:t>
            </w:r>
            <w:r>
              <w:rPr>
                <w:rFonts w:hint="default" w:ascii="Times New Roman" w:hAnsi="Times New Roman" w:eastAsia="宋体" w:cs="Times New Roman"/>
                <w:bCs/>
                <w:color w:val="auto"/>
                <w:kern w:val="2"/>
                <w:sz w:val="24"/>
                <w:szCs w:val="24"/>
                <w:lang w:val="en-US" w:eastAsia="zh-CN" w:bidi="ar"/>
              </w:rPr>
              <w:t>9.09</w:t>
            </w:r>
            <w:r>
              <w:rPr>
                <w:rFonts w:hint="default" w:ascii="Times New Roman" w:hAnsi="Times New Roman" w:eastAsia="宋体" w:cs="Times New Roman"/>
                <w:bCs/>
                <w:color w:val="auto"/>
                <w:kern w:val="2"/>
                <w:sz w:val="24"/>
                <w:szCs w:val="24"/>
                <w:lang w:bidi="ar"/>
              </w:rPr>
              <w:t>mg/m</w:t>
            </w:r>
            <w:r>
              <w:rPr>
                <w:rFonts w:hint="default" w:ascii="Times New Roman" w:hAnsi="Times New Roman" w:eastAsia="宋体" w:cs="Times New Roman"/>
                <w:bCs/>
                <w:color w:val="auto"/>
                <w:kern w:val="2"/>
                <w:sz w:val="24"/>
                <w:szCs w:val="24"/>
                <w:vertAlign w:val="superscript"/>
                <w:lang w:bidi="ar"/>
              </w:rPr>
              <w:t>3</w:t>
            </w:r>
            <w:r>
              <w:rPr>
                <w:rFonts w:hint="default" w:ascii="Times New Roman" w:hAnsi="Times New Roman" w:eastAsia="宋体" w:cs="Times New Roman"/>
                <w:bCs/>
                <w:color w:val="auto"/>
                <w:kern w:val="2"/>
                <w:sz w:val="24"/>
                <w:szCs w:val="24"/>
                <w:lang w:eastAsia="zh-CN" w:bidi="ar"/>
              </w:rPr>
              <w:t>。</w:t>
            </w:r>
          </w:p>
          <w:p w14:paraId="5E13EA83">
            <w:pPr>
              <w:pStyle w:val="6"/>
              <w:numPr>
                <w:ilvl w:val="0"/>
                <w:numId w:val="0"/>
              </w:numPr>
              <w:ind w:firstLine="402"/>
              <w:jc w:val="center"/>
              <w:rPr>
                <w:rFonts w:hint="default" w:ascii="Times New Roman" w:hAnsi="Times New Roman" w:eastAsia="宋体" w:cs="Times New Roman"/>
                <w:b/>
                <w:bCs/>
                <w:color w:val="auto"/>
                <w:kern w:val="2"/>
                <w:sz w:val="24"/>
                <w:szCs w:val="24"/>
                <w:lang w:bidi="ar"/>
              </w:rPr>
            </w:pPr>
            <w:r>
              <w:rPr>
                <w:rFonts w:hint="default" w:ascii="Times New Roman" w:hAnsi="Times New Roman" w:eastAsia="宋体" w:cs="Times New Roman"/>
                <w:b/>
                <w:bCs/>
                <w:color w:val="auto"/>
              </w:rPr>
              <w:t>表4-</w:t>
            </w:r>
            <w:r>
              <w:rPr>
                <w:rFonts w:hint="eastAsia" w:cs="Times New Roman"/>
                <w:b/>
                <w:bCs/>
                <w:color w:val="auto"/>
                <w:lang w:val="en-US" w:eastAsia="zh-CN"/>
              </w:rPr>
              <w:t>3</w:t>
            </w:r>
            <w:r>
              <w:rPr>
                <w:rFonts w:hint="default" w:ascii="Times New Roman" w:hAnsi="Times New Roman" w:eastAsia="宋体" w:cs="Times New Roman"/>
                <w:b/>
                <w:bCs/>
                <w:color w:val="auto"/>
              </w:rPr>
              <w:t xml:space="preserve"> </w:t>
            </w:r>
            <w:r>
              <w:rPr>
                <w:rFonts w:hint="default" w:ascii="Times New Roman" w:hAnsi="Times New Roman" w:eastAsia="宋体" w:cs="Times New Roman"/>
                <w:b/>
                <w:bCs/>
                <w:color w:val="auto"/>
                <w:lang w:val="en-US" w:eastAsia="zh-CN"/>
              </w:rPr>
              <w:t>转载点颗粒物产生排放</w:t>
            </w:r>
            <w:r>
              <w:rPr>
                <w:rFonts w:hint="default" w:ascii="Times New Roman" w:hAnsi="Times New Roman" w:eastAsia="宋体" w:cs="Times New Roman"/>
                <w:b/>
                <w:bCs/>
                <w:color w:val="auto"/>
              </w:rPr>
              <w:t>情况表</w:t>
            </w:r>
          </w:p>
          <w:tbl>
            <w:tblPr>
              <w:tblStyle w:val="25"/>
              <w:tblW w:w="8155"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
              <w:gridCol w:w="403"/>
              <w:gridCol w:w="636"/>
              <w:gridCol w:w="601"/>
              <w:gridCol w:w="558"/>
              <w:gridCol w:w="1052"/>
              <w:gridCol w:w="772"/>
              <w:gridCol w:w="851"/>
              <w:gridCol w:w="905"/>
              <w:gridCol w:w="769"/>
              <w:gridCol w:w="603"/>
              <w:gridCol w:w="603"/>
            </w:tblGrid>
            <w:tr w14:paraId="3E0A1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3" w:type="pct"/>
                  <w:gridSpan w:val="2"/>
                  <w:vMerge w:val="restart"/>
                  <w:noWrap w:val="0"/>
                  <w:vAlign w:val="center"/>
                </w:tcPr>
                <w:p w14:paraId="14E2A4BB">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污染源</w:t>
                  </w:r>
                </w:p>
              </w:tc>
              <w:tc>
                <w:tcPr>
                  <w:tcW w:w="389" w:type="pct"/>
                  <w:vMerge w:val="restart"/>
                  <w:noWrap w:val="0"/>
                  <w:vAlign w:val="center"/>
                </w:tcPr>
                <w:p w14:paraId="058A937E">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废气量m3/h</w:t>
                  </w:r>
                </w:p>
              </w:tc>
              <w:tc>
                <w:tcPr>
                  <w:tcW w:w="1355" w:type="pct"/>
                  <w:gridSpan w:val="3"/>
                  <w:noWrap w:val="0"/>
                  <w:vAlign w:val="center"/>
                </w:tcPr>
                <w:p w14:paraId="71617CCB">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产生</w:t>
                  </w:r>
                </w:p>
              </w:tc>
              <w:tc>
                <w:tcPr>
                  <w:tcW w:w="473" w:type="pct"/>
                  <w:vMerge w:val="restart"/>
                  <w:noWrap w:val="0"/>
                  <w:vAlign w:val="center"/>
                </w:tcPr>
                <w:p w14:paraId="2A8009B4">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处理措施</w:t>
                  </w:r>
                </w:p>
              </w:tc>
              <w:tc>
                <w:tcPr>
                  <w:tcW w:w="1548" w:type="pct"/>
                  <w:gridSpan w:val="3"/>
                  <w:noWrap w:val="0"/>
                  <w:vAlign w:val="center"/>
                </w:tcPr>
                <w:p w14:paraId="12DEED6A">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排放</w:t>
                  </w:r>
                </w:p>
              </w:tc>
              <w:tc>
                <w:tcPr>
                  <w:tcW w:w="369" w:type="pct"/>
                  <w:vMerge w:val="restart"/>
                  <w:noWrap w:val="0"/>
                  <w:vAlign w:val="center"/>
                </w:tcPr>
                <w:p w14:paraId="65B937CB">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时间h</w:t>
                  </w:r>
                </w:p>
              </w:tc>
              <w:tc>
                <w:tcPr>
                  <w:tcW w:w="369" w:type="pct"/>
                  <w:noWrap w:val="0"/>
                  <w:vAlign w:val="center"/>
                </w:tcPr>
                <w:p w14:paraId="2F6DFCFD">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val="en-US" w:eastAsia="zh-CN"/>
                    </w:rPr>
                  </w:pPr>
                </w:p>
              </w:tc>
            </w:tr>
            <w:tr w14:paraId="3EDA2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93" w:type="pct"/>
                  <w:gridSpan w:val="2"/>
                  <w:vMerge w:val="continue"/>
                  <w:noWrap w:val="0"/>
                  <w:vAlign w:val="center"/>
                </w:tcPr>
                <w:p w14:paraId="4A6B5125">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color w:val="auto"/>
                      <w:lang w:val="en-US" w:eastAsia="zh-CN"/>
                    </w:rPr>
                  </w:pPr>
                </w:p>
              </w:tc>
              <w:tc>
                <w:tcPr>
                  <w:tcW w:w="389" w:type="pct"/>
                  <w:vMerge w:val="continue"/>
                  <w:noWrap w:val="0"/>
                  <w:vAlign w:val="center"/>
                </w:tcPr>
                <w:p w14:paraId="37CE3263">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color w:val="auto"/>
                      <w:lang w:val="en-US" w:eastAsia="zh-CN"/>
                    </w:rPr>
                  </w:pPr>
                </w:p>
              </w:tc>
              <w:tc>
                <w:tcPr>
                  <w:tcW w:w="368" w:type="pct"/>
                  <w:noWrap w:val="0"/>
                  <w:vAlign w:val="center"/>
                </w:tcPr>
                <w:p w14:paraId="279AC61B">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产生量t/a</w:t>
                  </w:r>
                </w:p>
              </w:tc>
              <w:tc>
                <w:tcPr>
                  <w:tcW w:w="342" w:type="pct"/>
                  <w:noWrap w:val="0"/>
                  <w:vAlign w:val="center"/>
                </w:tcPr>
                <w:p w14:paraId="5A83A972">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速率kg/h</w:t>
                  </w:r>
                </w:p>
              </w:tc>
              <w:tc>
                <w:tcPr>
                  <w:tcW w:w="645" w:type="pct"/>
                  <w:noWrap w:val="0"/>
                  <w:vAlign w:val="center"/>
                </w:tcPr>
                <w:p w14:paraId="1CBDE67C">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浓度mg/m</w:t>
                  </w:r>
                  <w:r>
                    <w:rPr>
                      <w:rFonts w:hint="default" w:ascii="Times New Roman" w:hAnsi="Times New Roman" w:eastAsia="宋体" w:cs="Times New Roman"/>
                      <w:b/>
                      <w:bCs/>
                      <w:color w:val="auto"/>
                      <w:vertAlign w:val="superscript"/>
                      <w:lang w:val="en-US" w:eastAsia="zh-CN"/>
                    </w:rPr>
                    <w:t>3</w:t>
                  </w:r>
                </w:p>
              </w:tc>
              <w:tc>
                <w:tcPr>
                  <w:tcW w:w="473" w:type="pct"/>
                  <w:vMerge w:val="continue"/>
                  <w:noWrap w:val="0"/>
                  <w:vAlign w:val="center"/>
                </w:tcPr>
                <w:p w14:paraId="6A91B6E0">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b/>
                      <w:bCs/>
                      <w:color w:val="auto"/>
                    </w:rPr>
                  </w:pPr>
                </w:p>
              </w:tc>
              <w:tc>
                <w:tcPr>
                  <w:tcW w:w="521" w:type="pct"/>
                  <w:shd w:val="clear" w:color="auto" w:fill="auto"/>
                  <w:noWrap w:val="0"/>
                  <w:vAlign w:val="center"/>
                </w:tcPr>
                <w:p w14:paraId="2EFA053F">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b/>
                      <w:bCs/>
                      <w:color w:val="auto"/>
                      <w:sz w:val="21"/>
                      <w:szCs w:val="22"/>
                      <w:lang w:val="en-US" w:eastAsia="zh-CN" w:bidi="ar-SA"/>
                    </w:rPr>
                  </w:pPr>
                  <w:r>
                    <w:rPr>
                      <w:rFonts w:hint="default" w:ascii="Times New Roman" w:hAnsi="Times New Roman" w:eastAsia="宋体" w:cs="Times New Roman"/>
                      <w:b/>
                      <w:bCs/>
                      <w:color w:val="auto"/>
                      <w:lang w:val="en-US" w:eastAsia="zh-CN"/>
                    </w:rPr>
                    <w:t>排放量t/a</w:t>
                  </w:r>
                </w:p>
              </w:tc>
              <w:tc>
                <w:tcPr>
                  <w:tcW w:w="554" w:type="pct"/>
                  <w:shd w:val="clear" w:color="auto" w:fill="auto"/>
                  <w:noWrap w:val="0"/>
                  <w:vAlign w:val="center"/>
                </w:tcPr>
                <w:p w14:paraId="4AD857E8">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b/>
                      <w:bCs/>
                      <w:color w:val="auto"/>
                      <w:sz w:val="21"/>
                      <w:szCs w:val="22"/>
                      <w:lang w:val="en-US" w:eastAsia="zh-CN" w:bidi="ar-SA"/>
                    </w:rPr>
                  </w:pPr>
                  <w:r>
                    <w:rPr>
                      <w:rFonts w:hint="default" w:ascii="Times New Roman" w:hAnsi="Times New Roman" w:eastAsia="宋体" w:cs="Times New Roman"/>
                      <w:b/>
                      <w:bCs/>
                      <w:color w:val="auto"/>
                      <w:lang w:val="en-US" w:eastAsia="zh-CN"/>
                    </w:rPr>
                    <w:t>速率kg/h</w:t>
                  </w:r>
                </w:p>
              </w:tc>
              <w:tc>
                <w:tcPr>
                  <w:tcW w:w="471" w:type="pct"/>
                  <w:shd w:val="clear" w:color="auto" w:fill="auto"/>
                  <w:noWrap w:val="0"/>
                  <w:vAlign w:val="center"/>
                </w:tcPr>
                <w:p w14:paraId="640D6604">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b/>
                      <w:bCs/>
                      <w:color w:val="auto"/>
                      <w:sz w:val="21"/>
                      <w:szCs w:val="22"/>
                      <w:lang w:val="en-US" w:eastAsia="zh-CN" w:bidi="ar-SA"/>
                    </w:rPr>
                  </w:pPr>
                  <w:r>
                    <w:rPr>
                      <w:rFonts w:hint="default" w:ascii="Times New Roman" w:hAnsi="Times New Roman" w:eastAsia="宋体" w:cs="Times New Roman"/>
                      <w:b/>
                      <w:bCs/>
                      <w:color w:val="auto"/>
                      <w:lang w:val="en-US" w:eastAsia="zh-CN"/>
                    </w:rPr>
                    <w:t>浓度mg/m</w:t>
                  </w:r>
                  <w:r>
                    <w:rPr>
                      <w:rFonts w:hint="default" w:ascii="Times New Roman" w:hAnsi="Times New Roman" w:eastAsia="宋体" w:cs="Times New Roman"/>
                      <w:b/>
                      <w:bCs/>
                      <w:color w:val="auto"/>
                      <w:vertAlign w:val="superscript"/>
                      <w:lang w:val="en-US" w:eastAsia="zh-CN"/>
                    </w:rPr>
                    <w:t>3</w:t>
                  </w:r>
                </w:p>
              </w:tc>
              <w:tc>
                <w:tcPr>
                  <w:tcW w:w="369" w:type="pct"/>
                  <w:vMerge w:val="continue"/>
                  <w:shd w:val="clear" w:color="auto" w:fill="auto"/>
                  <w:noWrap w:val="0"/>
                  <w:vAlign w:val="center"/>
                </w:tcPr>
                <w:p w14:paraId="79B0AF81">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p>
              </w:tc>
              <w:tc>
                <w:tcPr>
                  <w:tcW w:w="369" w:type="pct"/>
                  <w:shd w:val="clear" w:color="auto" w:fill="auto"/>
                  <w:noWrap w:val="0"/>
                  <w:vAlign w:val="center"/>
                </w:tcPr>
                <w:p w14:paraId="439330D4">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p>
              </w:tc>
            </w:tr>
            <w:tr w14:paraId="50FEF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6" w:type="pct"/>
                  <w:vMerge w:val="restart"/>
                  <w:noWrap w:val="0"/>
                  <w:vAlign w:val="center"/>
                </w:tcPr>
                <w:p w14:paraId="402EB6F2">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转载点</w:t>
                  </w:r>
                </w:p>
              </w:tc>
              <w:tc>
                <w:tcPr>
                  <w:tcW w:w="247" w:type="pct"/>
                  <w:noWrap w:val="0"/>
                  <w:vAlign w:val="center"/>
                </w:tcPr>
                <w:p w14:paraId="66B3218C">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有组织</w:t>
                  </w:r>
                </w:p>
              </w:tc>
              <w:tc>
                <w:tcPr>
                  <w:tcW w:w="636" w:type="dxa"/>
                  <w:noWrap w:val="0"/>
                  <w:vAlign w:val="center"/>
                </w:tcPr>
                <w:p w14:paraId="6CFB185E">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6000</w:t>
                  </w:r>
                </w:p>
              </w:tc>
              <w:tc>
                <w:tcPr>
                  <w:tcW w:w="601" w:type="dxa"/>
                  <w:noWrap w:val="0"/>
                  <w:vAlign w:val="center"/>
                </w:tcPr>
                <w:p w14:paraId="470B4F86">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8.10 </w:t>
                  </w:r>
                </w:p>
              </w:tc>
              <w:tc>
                <w:tcPr>
                  <w:tcW w:w="558" w:type="dxa"/>
                  <w:noWrap w:val="0"/>
                  <w:vAlign w:val="center"/>
                </w:tcPr>
                <w:p w14:paraId="26793A8F">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1.36 </w:t>
                  </w:r>
                </w:p>
              </w:tc>
              <w:tc>
                <w:tcPr>
                  <w:tcW w:w="1052" w:type="dxa"/>
                  <w:noWrap w:val="0"/>
                  <w:vAlign w:val="center"/>
                </w:tcPr>
                <w:p w14:paraId="7E450623">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227.27 </w:t>
                  </w:r>
                </w:p>
              </w:tc>
              <w:tc>
                <w:tcPr>
                  <w:tcW w:w="473" w:type="pct"/>
                  <w:noWrap w:val="0"/>
                  <w:vAlign w:val="center"/>
                </w:tcPr>
                <w:p w14:paraId="517B9B73">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除尘洗气机+15m</w:t>
                  </w:r>
                </w:p>
                <w:p w14:paraId="53BFEFC9">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排气筒（P3）</w:t>
                  </w:r>
                </w:p>
              </w:tc>
              <w:tc>
                <w:tcPr>
                  <w:tcW w:w="851" w:type="dxa"/>
                  <w:noWrap w:val="0"/>
                  <w:vAlign w:val="center"/>
                </w:tcPr>
                <w:p w14:paraId="32EDDDAD">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0.32 </w:t>
                  </w:r>
                </w:p>
              </w:tc>
              <w:tc>
                <w:tcPr>
                  <w:tcW w:w="905" w:type="dxa"/>
                  <w:noWrap w:val="0"/>
                  <w:vAlign w:val="center"/>
                </w:tcPr>
                <w:p w14:paraId="17AF054A">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0.05 </w:t>
                  </w:r>
                </w:p>
              </w:tc>
              <w:tc>
                <w:tcPr>
                  <w:tcW w:w="769" w:type="dxa"/>
                  <w:noWrap w:val="0"/>
                  <w:vAlign w:val="center"/>
                </w:tcPr>
                <w:p w14:paraId="255218C7">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9.09 </w:t>
                  </w:r>
                </w:p>
              </w:tc>
              <w:tc>
                <w:tcPr>
                  <w:tcW w:w="369" w:type="pct"/>
                  <w:noWrap w:val="0"/>
                  <w:vAlign w:val="center"/>
                </w:tcPr>
                <w:p w14:paraId="156D0C9C">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5940</w:t>
                  </w:r>
                </w:p>
              </w:tc>
              <w:tc>
                <w:tcPr>
                  <w:tcW w:w="369" w:type="pct"/>
                  <w:noWrap w:val="0"/>
                  <w:vAlign w:val="center"/>
                </w:tcPr>
                <w:p w14:paraId="41F834C9">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color w:val="auto"/>
                      <w:lang w:val="en-US" w:eastAsia="zh-CN"/>
                    </w:rPr>
                  </w:pPr>
                </w:p>
              </w:tc>
            </w:tr>
            <w:tr w14:paraId="1CF2F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6" w:type="pct"/>
                  <w:vMerge w:val="continue"/>
                  <w:noWrap w:val="0"/>
                  <w:vAlign w:val="center"/>
                </w:tcPr>
                <w:p w14:paraId="4D6BAFD4">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p>
              </w:tc>
              <w:tc>
                <w:tcPr>
                  <w:tcW w:w="247" w:type="pct"/>
                  <w:noWrap w:val="0"/>
                  <w:vAlign w:val="center"/>
                </w:tcPr>
                <w:p w14:paraId="66577E4D">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无组织</w:t>
                  </w:r>
                </w:p>
              </w:tc>
              <w:tc>
                <w:tcPr>
                  <w:tcW w:w="389" w:type="pct"/>
                  <w:noWrap w:val="0"/>
                  <w:vAlign w:val="center"/>
                </w:tcPr>
                <w:p w14:paraId="2B5E51E1">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601" w:type="dxa"/>
                  <w:noWrap w:val="0"/>
                  <w:vAlign w:val="center"/>
                </w:tcPr>
                <w:p w14:paraId="4D6A1503">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0.9</w:t>
                  </w:r>
                </w:p>
              </w:tc>
              <w:tc>
                <w:tcPr>
                  <w:tcW w:w="558" w:type="dxa"/>
                  <w:noWrap w:val="0"/>
                  <w:vAlign w:val="center"/>
                </w:tcPr>
                <w:p w14:paraId="32FDC0F3">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0.15 </w:t>
                  </w:r>
                </w:p>
              </w:tc>
              <w:tc>
                <w:tcPr>
                  <w:tcW w:w="645" w:type="pct"/>
                  <w:noWrap w:val="0"/>
                  <w:vAlign w:val="center"/>
                </w:tcPr>
                <w:p w14:paraId="1B387505">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473" w:type="pct"/>
                  <w:noWrap w:val="0"/>
                  <w:vAlign w:val="center"/>
                </w:tcPr>
                <w:p w14:paraId="1A7CE01C">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车间阻隔</w:t>
                  </w:r>
                </w:p>
              </w:tc>
              <w:tc>
                <w:tcPr>
                  <w:tcW w:w="851" w:type="dxa"/>
                  <w:noWrap w:val="0"/>
                  <w:vAlign w:val="center"/>
                </w:tcPr>
                <w:p w14:paraId="517911C9">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0.09</w:t>
                  </w:r>
                </w:p>
              </w:tc>
              <w:tc>
                <w:tcPr>
                  <w:tcW w:w="905" w:type="dxa"/>
                  <w:noWrap w:val="0"/>
                  <w:vAlign w:val="center"/>
                </w:tcPr>
                <w:p w14:paraId="6F5233E3">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 xml:space="preserve">0.02 </w:t>
                  </w:r>
                </w:p>
              </w:tc>
              <w:tc>
                <w:tcPr>
                  <w:tcW w:w="471" w:type="pct"/>
                  <w:noWrap w:val="0"/>
                  <w:vAlign w:val="center"/>
                </w:tcPr>
                <w:p w14:paraId="12CF7778">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p>
              </w:tc>
              <w:tc>
                <w:tcPr>
                  <w:tcW w:w="369" w:type="pct"/>
                  <w:noWrap w:val="0"/>
                  <w:vAlign w:val="center"/>
                </w:tcPr>
                <w:p w14:paraId="045CE60C">
                  <w:pPr>
                    <w:pStyle w:val="52"/>
                    <w:keepNext w:val="0"/>
                    <w:keepLines w:val="0"/>
                    <w:pageBreakBefore w:val="0"/>
                    <w:widowControl/>
                    <w:kinsoku/>
                    <w:wordWrap/>
                    <w:overflowPunct/>
                    <w:topLinePunct w:val="0"/>
                    <w:autoSpaceDE/>
                    <w:autoSpaceDN/>
                    <w:bidi w:val="0"/>
                    <w:adjustRightInd/>
                    <w:snapToGrid w:val="0"/>
                    <w:spacing w:line="240" w:lineRule="auto"/>
                    <w:ind w:firstLine="0" w:firstLineChars="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5940</w:t>
                  </w:r>
                </w:p>
              </w:tc>
              <w:tc>
                <w:tcPr>
                  <w:tcW w:w="369" w:type="pct"/>
                  <w:noWrap w:val="0"/>
                  <w:vAlign w:val="center"/>
                </w:tcPr>
                <w:p w14:paraId="5A8175D5">
                  <w:pPr>
                    <w:pStyle w:val="52"/>
                    <w:keepNext w:val="0"/>
                    <w:keepLines w:val="0"/>
                    <w:pageBreakBefore w:val="0"/>
                    <w:widowControl/>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color w:val="auto"/>
                      <w:lang w:val="en-US" w:eastAsia="zh-CN"/>
                    </w:rPr>
                  </w:pPr>
                </w:p>
              </w:tc>
            </w:tr>
          </w:tbl>
          <w:p w14:paraId="4D4808B1">
            <w:pPr>
              <w:widowControl w:val="0"/>
              <w:spacing w:line="360" w:lineRule="auto"/>
              <w:ind w:firstLine="480" w:firstLineChars="200"/>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sz w:val="24"/>
                <w:szCs w:val="24"/>
                <w:lang w:bidi="ar"/>
              </w:rPr>
              <w:t>（</w:t>
            </w:r>
            <w:r>
              <w:rPr>
                <w:rFonts w:hint="default" w:ascii="Times New Roman" w:hAnsi="Times New Roman" w:eastAsia="宋体" w:cs="Times New Roman"/>
                <w:bCs/>
                <w:color w:val="auto"/>
                <w:kern w:val="2"/>
                <w:sz w:val="24"/>
                <w:szCs w:val="24"/>
                <w:lang w:val="en-US" w:eastAsia="zh-CN" w:bidi="ar"/>
              </w:rPr>
              <w:t>3</w:t>
            </w:r>
            <w:r>
              <w:rPr>
                <w:rFonts w:hint="default" w:ascii="Times New Roman" w:hAnsi="Times New Roman" w:eastAsia="宋体" w:cs="Times New Roman"/>
                <w:bCs/>
                <w:color w:val="auto"/>
                <w:kern w:val="2"/>
                <w:sz w:val="24"/>
                <w:szCs w:val="24"/>
                <w:lang w:bidi="ar"/>
              </w:rPr>
              <w:t>）</w:t>
            </w:r>
            <w:r>
              <w:rPr>
                <w:rFonts w:hint="default" w:ascii="Times New Roman" w:hAnsi="Times New Roman" w:eastAsia="宋体" w:cs="Times New Roman"/>
                <w:bCs/>
                <w:color w:val="auto"/>
                <w:kern w:val="2"/>
                <w:sz w:val="24"/>
                <w:szCs w:val="24"/>
                <w:lang w:val="en-US" w:eastAsia="zh-CN" w:bidi="ar"/>
              </w:rPr>
              <w:t>球磨机产生的</w:t>
            </w:r>
            <w:r>
              <w:rPr>
                <w:rFonts w:hint="default" w:ascii="Times New Roman" w:hAnsi="Times New Roman" w:eastAsia="宋体" w:cs="Times New Roman"/>
                <w:bCs/>
                <w:color w:val="auto"/>
                <w:kern w:val="2"/>
                <w:sz w:val="24"/>
                <w:szCs w:val="24"/>
                <w:lang w:bidi="ar"/>
              </w:rPr>
              <w:t>粉尘</w:t>
            </w:r>
          </w:p>
          <w:p w14:paraId="71D18F1F">
            <w:pPr>
              <w:widowControl w:val="0"/>
              <w:spacing w:line="360" w:lineRule="auto"/>
              <w:ind w:firstLine="480" w:firstLineChars="200"/>
              <w:rPr>
                <w:rFonts w:hint="default" w:ascii="Times New Roman" w:hAnsi="Times New Roman" w:eastAsia="宋体" w:cs="Times New Roman"/>
                <w:bCs/>
                <w:color w:val="auto"/>
                <w:kern w:val="2"/>
                <w:sz w:val="24"/>
                <w:szCs w:val="24"/>
                <w:lang w:bidi="ar"/>
              </w:rPr>
            </w:pPr>
            <w:r>
              <w:rPr>
                <w:rFonts w:hint="default" w:ascii="Times New Roman" w:hAnsi="Times New Roman" w:eastAsia="宋体" w:cs="Times New Roman"/>
                <w:color w:val="auto"/>
                <w:kern w:val="2"/>
                <w:sz w:val="24"/>
                <w:szCs w:val="24"/>
                <w:highlight w:val="none"/>
                <w:lang w:val="en-US" w:eastAsia="zh-CN"/>
              </w:rPr>
              <w:t>本项目采用湿式溢流型</w:t>
            </w:r>
            <w:r>
              <w:rPr>
                <w:rFonts w:hint="default" w:ascii="Times New Roman" w:hAnsi="Times New Roman" w:eastAsia="宋体" w:cs="Times New Roman"/>
                <w:bCs/>
                <w:color w:val="auto"/>
                <w:kern w:val="2"/>
                <w:sz w:val="24"/>
                <w:szCs w:val="24"/>
                <w:lang w:val="en-US" w:eastAsia="zh-CN" w:bidi="ar"/>
              </w:rPr>
              <w:t>球磨机，在球磨过程中加入水，会抑制颗粒物的产生，因此，该过程产生量较少</w:t>
            </w:r>
            <w:r>
              <w:rPr>
                <w:rFonts w:hint="default" w:ascii="Times New Roman" w:hAnsi="Times New Roman" w:eastAsia="宋体" w:cs="Times New Roman"/>
                <w:bCs/>
                <w:color w:val="auto"/>
                <w:kern w:val="2"/>
                <w:sz w:val="24"/>
                <w:szCs w:val="24"/>
                <w:lang w:bidi="ar"/>
              </w:rPr>
              <w:t>。</w:t>
            </w:r>
          </w:p>
          <w:p w14:paraId="408CCA38">
            <w:pPr>
              <w:widowControl w:val="0"/>
              <w:numPr>
                <w:ilvl w:val="0"/>
                <w:numId w:val="0"/>
              </w:numPr>
              <w:spacing w:line="360" w:lineRule="auto"/>
              <w:ind w:firstLine="480" w:firstLineChars="200"/>
              <w:rPr>
                <w:rFonts w:hint="default" w:ascii="Times New Roman" w:hAnsi="Times New Roman" w:eastAsia="宋体" w:cs="Times New Roman"/>
                <w:bCs/>
                <w:color w:val="auto"/>
                <w:kern w:val="2"/>
                <w:sz w:val="24"/>
                <w:szCs w:val="24"/>
                <w:lang w:bidi="ar"/>
              </w:rPr>
            </w:pPr>
            <w:r>
              <w:rPr>
                <w:rFonts w:hint="default" w:ascii="Times New Roman" w:hAnsi="Times New Roman" w:eastAsia="宋体" w:cs="Times New Roman"/>
                <w:bCs/>
                <w:color w:val="auto"/>
                <w:kern w:val="2"/>
                <w:sz w:val="24"/>
                <w:szCs w:val="24"/>
                <w:lang w:val="en-US" w:eastAsia="zh-CN" w:bidi="ar"/>
              </w:rPr>
              <w:t>（4）未收集无组织</w:t>
            </w:r>
            <w:r>
              <w:rPr>
                <w:rFonts w:hint="default" w:ascii="Times New Roman" w:hAnsi="Times New Roman" w:eastAsia="宋体" w:cs="Times New Roman"/>
                <w:bCs/>
                <w:color w:val="auto"/>
                <w:kern w:val="2"/>
                <w:sz w:val="24"/>
                <w:szCs w:val="24"/>
                <w:lang w:bidi="ar"/>
              </w:rPr>
              <w:t>粉尘</w:t>
            </w:r>
          </w:p>
          <w:bookmarkEnd w:id="29"/>
          <w:bookmarkEnd w:id="30"/>
          <w:bookmarkEnd w:id="31"/>
          <w:bookmarkEnd w:id="32"/>
          <w:bookmarkEnd w:id="33"/>
          <w:bookmarkEnd w:id="34"/>
          <w:bookmarkEnd w:id="35"/>
          <w:bookmarkEnd w:id="36"/>
          <w:p w14:paraId="1DFCA49C">
            <w:pPr>
              <w:widowControl w:val="0"/>
              <w:spacing w:line="360" w:lineRule="auto"/>
              <w:ind w:firstLine="480" w:firstLineChars="200"/>
              <w:rPr>
                <w:rFonts w:hint="default" w:ascii="Times New Roman" w:hAnsi="Times New Roman" w:eastAsia="宋体" w:cs="Times New Roman"/>
                <w:b w:val="0"/>
                <w:bCs w:val="0"/>
                <w:color w:val="auto"/>
                <w:kern w:val="2"/>
                <w:sz w:val="24"/>
                <w:szCs w:val="24"/>
                <w:highlight w:val="none"/>
                <w:lang w:val="en-US" w:eastAsia="zh-CN"/>
              </w:rPr>
            </w:pPr>
            <w:bookmarkStart w:id="37" w:name="_Toc12266873"/>
            <w:r>
              <w:rPr>
                <w:rFonts w:hint="default" w:ascii="Times New Roman" w:hAnsi="Times New Roman" w:eastAsia="宋体" w:cs="Times New Roman"/>
                <w:b w:val="0"/>
                <w:bCs w:val="0"/>
                <w:color w:val="auto"/>
                <w:kern w:val="2"/>
                <w:sz w:val="24"/>
                <w:szCs w:val="24"/>
                <w:highlight w:val="none"/>
                <w:lang w:val="en-US" w:eastAsia="zh-CN"/>
              </w:rPr>
              <w:t>破碎车间及注浆站</w:t>
            </w:r>
            <w:r>
              <w:rPr>
                <w:rFonts w:hint="default" w:ascii="Times New Roman" w:hAnsi="Times New Roman" w:eastAsia="宋体" w:cs="Times New Roman"/>
                <w:bCs/>
                <w:color w:val="auto"/>
                <w:kern w:val="2"/>
                <w:sz w:val="24"/>
                <w:szCs w:val="24"/>
                <w:lang w:val="en-US" w:eastAsia="zh-CN" w:bidi="ar"/>
              </w:rPr>
              <w:t>皮带输送转载</w:t>
            </w:r>
            <w:r>
              <w:rPr>
                <w:rFonts w:hint="default" w:ascii="Times New Roman" w:hAnsi="Times New Roman" w:eastAsia="宋体" w:cs="Times New Roman"/>
                <w:bCs/>
                <w:color w:val="auto"/>
                <w:kern w:val="2"/>
                <w:sz w:val="24"/>
                <w:szCs w:val="24"/>
                <w:lang w:bidi="ar"/>
              </w:rPr>
              <w:t>粉尘</w:t>
            </w:r>
            <w:r>
              <w:rPr>
                <w:rFonts w:hint="default" w:ascii="Times New Roman" w:hAnsi="Times New Roman" w:eastAsia="宋体" w:cs="Times New Roman"/>
                <w:bCs/>
                <w:color w:val="auto"/>
                <w:kern w:val="2"/>
                <w:sz w:val="24"/>
                <w:szCs w:val="24"/>
                <w:lang w:val="en-US" w:eastAsia="zh-CN" w:bidi="ar"/>
              </w:rPr>
              <w:t>共计产生90</w:t>
            </w:r>
            <w:r>
              <w:rPr>
                <w:rFonts w:hint="default" w:ascii="Times New Roman" w:hAnsi="Times New Roman" w:eastAsia="宋体" w:cs="Times New Roman"/>
                <w:b w:val="0"/>
                <w:bCs w:val="0"/>
                <w:color w:val="auto"/>
                <w:kern w:val="2"/>
                <w:sz w:val="24"/>
                <w:szCs w:val="24"/>
                <w:highlight w:val="none"/>
                <w:lang w:val="en-US" w:eastAsia="zh-CN"/>
              </w:rPr>
              <w:t>t/a，集气罩收集效率为90%，未经集气罩无组织粉尘量约为9t/a，破碎车间及注浆站为全封闭结构，飘逸至车间外环境的粉尘极少，不超过1%，无组织粉尘排放量约为0.09t/a（0.02kg/h）。</w:t>
            </w:r>
          </w:p>
          <w:p w14:paraId="1CFDEF62">
            <w:pPr>
              <w:keepNext w:val="0"/>
              <w:keepLines w:val="0"/>
              <w:pageBreakBefore w:val="0"/>
              <w:widowControl/>
              <w:kinsoku/>
              <w:wordWrap/>
              <w:overflowPunct/>
              <w:topLinePunct w:val="0"/>
              <w:autoSpaceDE/>
              <w:autoSpaceDN/>
              <w:bidi w:val="0"/>
              <w:adjustRightInd/>
              <w:snapToGrid/>
              <w:spacing w:line="360" w:lineRule="auto"/>
              <w:ind w:firstLine="480" w:firstLineChars="0"/>
              <w:textAlignment w:val="auto"/>
              <w:rPr>
                <w:rFonts w:hint="default" w:ascii="Times New Roman" w:hAnsi="Times New Roman" w:eastAsia="宋体" w:cs="Times New Roman"/>
                <w:b w:val="0"/>
                <w:bCs w:val="0"/>
                <w:color w:val="auto"/>
                <w:kern w:val="2"/>
                <w:sz w:val="24"/>
                <w:szCs w:val="24"/>
                <w:highlight w:val="none"/>
                <w:lang w:val="en-US" w:eastAsia="zh-CN"/>
              </w:rPr>
            </w:pPr>
            <w:r>
              <w:rPr>
                <w:rFonts w:hint="default" w:ascii="Times New Roman" w:hAnsi="Times New Roman" w:eastAsia="宋体" w:cs="Times New Roman"/>
                <w:b w:val="0"/>
                <w:bCs w:val="0"/>
                <w:color w:val="auto"/>
                <w:kern w:val="2"/>
                <w:sz w:val="24"/>
                <w:szCs w:val="24"/>
                <w:highlight w:val="none"/>
                <w:lang w:val="en-US" w:eastAsia="zh-CN"/>
              </w:rPr>
              <w:t>综上，项目大气污染物产排情况汇总见表4-</w:t>
            </w:r>
            <w:r>
              <w:rPr>
                <w:rFonts w:hint="eastAsia" w:cs="Times New Roman"/>
                <w:b w:val="0"/>
                <w:bCs w:val="0"/>
                <w:color w:val="auto"/>
                <w:kern w:val="2"/>
                <w:sz w:val="24"/>
                <w:szCs w:val="24"/>
                <w:highlight w:val="none"/>
                <w:lang w:val="en-US" w:eastAsia="zh-CN"/>
              </w:rPr>
              <w:t>3</w:t>
            </w:r>
            <w:r>
              <w:rPr>
                <w:rFonts w:hint="default" w:ascii="Times New Roman" w:hAnsi="Times New Roman" w:eastAsia="宋体" w:cs="Times New Roman"/>
                <w:b w:val="0"/>
                <w:bCs w:val="0"/>
                <w:color w:val="auto"/>
                <w:kern w:val="2"/>
                <w:sz w:val="24"/>
                <w:szCs w:val="24"/>
                <w:highlight w:val="none"/>
                <w:lang w:val="en-US" w:eastAsia="zh-CN"/>
              </w:rPr>
              <w:t>。</w:t>
            </w:r>
          </w:p>
          <w:p w14:paraId="2AD55FF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w:t>
            </w:r>
            <w:r>
              <w:rPr>
                <w:rFonts w:hint="default" w:ascii="Times New Roman" w:hAnsi="Times New Roman" w:eastAsia="宋体" w:cs="Times New Roman"/>
                <w:b/>
                <w:color w:val="auto"/>
                <w:kern w:val="2"/>
                <w:sz w:val="24"/>
                <w:szCs w:val="24"/>
                <w:highlight w:val="none"/>
                <w:lang w:val="en-US" w:eastAsia="zh-CN"/>
              </w:rPr>
              <w:t>4-</w:t>
            </w:r>
            <w:r>
              <w:rPr>
                <w:rFonts w:hint="eastAsia" w:cs="Times New Roman"/>
                <w:b/>
                <w:color w:val="auto"/>
                <w:kern w:val="2"/>
                <w:sz w:val="24"/>
                <w:szCs w:val="24"/>
                <w:highlight w:val="none"/>
                <w:lang w:val="en-US" w:eastAsia="zh-CN"/>
              </w:rPr>
              <w:t>4</w:t>
            </w:r>
            <w:r>
              <w:rPr>
                <w:rFonts w:hint="default" w:ascii="Times New Roman" w:hAnsi="Times New Roman" w:eastAsia="宋体" w:cs="Times New Roman"/>
                <w:b/>
                <w:color w:val="auto"/>
                <w:kern w:val="2"/>
                <w:sz w:val="24"/>
                <w:szCs w:val="24"/>
                <w:highlight w:val="none"/>
              </w:rPr>
              <w:t xml:space="preserve">  大气污染物产排情况一览表</w:t>
            </w:r>
          </w:p>
          <w:tbl>
            <w:tblPr>
              <w:tblStyle w:val="25"/>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374"/>
              <w:gridCol w:w="553"/>
              <w:gridCol w:w="746"/>
              <w:gridCol w:w="2318"/>
              <w:gridCol w:w="744"/>
              <w:gridCol w:w="680"/>
              <w:gridCol w:w="680"/>
              <w:gridCol w:w="689"/>
              <w:gridCol w:w="374"/>
            </w:tblGrid>
            <w:tr w14:paraId="29EB5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7" w:type="pct"/>
                  <w:vMerge w:val="restart"/>
                  <w:noWrap w:val="0"/>
                  <w:vAlign w:val="center"/>
                </w:tcPr>
                <w:p w14:paraId="19896D6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类型</w:t>
                  </w:r>
                </w:p>
              </w:tc>
              <w:tc>
                <w:tcPr>
                  <w:tcW w:w="248" w:type="pct"/>
                  <w:vMerge w:val="restart"/>
                  <w:noWrap w:val="0"/>
                  <w:vAlign w:val="center"/>
                </w:tcPr>
                <w:p w14:paraId="75F5727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污染源</w:t>
                  </w:r>
                </w:p>
              </w:tc>
              <w:tc>
                <w:tcPr>
                  <w:tcW w:w="367" w:type="pct"/>
                  <w:vMerge w:val="restart"/>
                  <w:noWrap w:val="0"/>
                  <w:vAlign w:val="center"/>
                </w:tcPr>
                <w:p w14:paraId="070DEA4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495" w:type="pct"/>
                  <w:vMerge w:val="restart"/>
                  <w:noWrap w:val="0"/>
                  <w:vAlign w:val="center"/>
                </w:tcPr>
                <w:p w14:paraId="1E27594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en-US"/>
                    </w:rPr>
                  </w:pPr>
                  <w:r>
                    <w:rPr>
                      <w:rFonts w:hint="default" w:ascii="Times New Roman" w:hAnsi="Times New Roman" w:eastAsia="宋体" w:cs="Times New Roman"/>
                      <w:color w:val="auto"/>
                      <w:kern w:val="0"/>
                      <w:sz w:val="21"/>
                      <w:szCs w:val="21"/>
                      <w:highlight w:val="none"/>
                    </w:rPr>
                    <w:t>产生量（t/a）</w:t>
                  </w:r>
                </w:p>
              </w:tc>
              <w:tc>
                <w:tcPr>
                  <w:tcW w:w="2033" w:type="pct"/>
                  <w:gridSpan w:val="2"/>
                  <w:noWrap w:val="0"/>
                  <w:vAlign w:val="center"/>
                </w:tcPr>
                <w:p w14:paraId="475B38E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治理措施</w:t>
                  </w:r>
                </w:p>
              </w:tc>
              <w:tc>
                <w:tcPr>
                  <w:tcW w:w="1360" w:type="pct"/>
                  <w:gridSpan w:val="3"/>
                  <w:noWrap w:val="0"/>
                  <w:vAlign w:val="center"/>
                </w:tcPr>
                <w:p w14:paraId="2240166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eastAsia="en-US"/>
                    </w:rPr>
                    <w:t>排放</w:t>
                  </w:r>
                  <w:r>
                    <w:rPr>
                      <w:rFonts w:hint="default" w:ascii="Times New Roman" w:hAnsi="Times New Roman" w:eastAsia="宋体" w:cs="Times New Roman"/>
                      <w:color w:val="auto"/>
                      <w:kern w:val="0"/>
                      <w:sz w:val="21"/>
                      <w:szCs w:val="21"/>
                      <w:highlight w:val="none"/>
                      <w:lang w:val="en-US" w:eastAsia="zh-CN"/>
                    </w:rPr>
                    <w:t>情况</w:t>
                  </w:r>
                </w:p>
              </w:tc>
              <w:tc>
                <w:tcPr>
                  <w:tcW w:w="248" w:type="pct"/>
                  <w:vMerge w:val="restart"/>
                  <w:noWrap w:val="0"/>
                  <w:vAlign w:val="center"/>
                </w:tcPr>
                <w:p w14:paraId="14EF281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排放形式</w:t>
                  </w:r>
                </w:p>
              </w:tc>
            </w:tr>
            <w:tr w14:paraId="5D5EF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7" w:type="pct"/>
                  <w:vMerge w:val="continue"/>
                  <w:noWrap w:val="0"/>
                  <w:vAlign w:val="center"/>
                </w:tcPr>
                <w:p w14:paraId="3666DE1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248" w:type="pct"/>
                  <w:vMerge w:val="continue"/>
                  <w:noWrap w:val="0"/>
                  <w:vAlign w:val="center"/>
                </w:tcPr>
                <w:p w14:paraId="3DEADDB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367" w:type="pct"/>
                  <w:vMerge w:val="continue"/>
                  <w:noWrap w:val="0"/>
                  <w:vAlign w:val="center"/>
                </w:tcPr>
                <w:p w14:paraId="16CC336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495" w:type="pct"/>
                  <w:vMerge w:val="continue"/>
                  <w:noWrap w:val="0"/>
                  <w:vAlign w:val="center"/>
                </w:tcPr>
                <w:p w14:paraId="354659D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en-US"/>
                    </w:rPr>
                  </w:pPr>
                </w:p>
              </w:tc>
              <w:tc>
                <w:tcPr>
                  <w:tcW w:w="1539" w:type="pct"/>
                  <w:noWrap w:val="0"/>
                  <w:vAlign w:val="center"/>
                </w:tcPr>
                <w:p w14:paraId="5F0B880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措施</w:t>
                  </w:r>
                </w:p>
              </w:tc>
              <w:tc>
                <w:tcPr>
                  <w:tcW w:w="494" w:type="pct"/>
                  <w:noWrap w:val="0"/>
                  <w:vAlign w:val="center"/>
                </w:tcPr>
                <w:p w14:paraId="1372D15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效率</w:t>
                  </w:r>
                </w:p>
              </w:tc>
              <w:tc>
                <w:tcPr>
                  <w:tcW w:w="451" w:type="pct"/>
                  <w:noWrap w:val="0"/>
                  <w:vAlign w:val="center"/>
                </w:tcPr>
                <w:p w14:paraId="4A21F66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排放量t/a</w:t>
                  </w:r>
                </w:p>
              </w:tc>
              <w:tc>
                <w:tcPr>
                  <w:tcW w:w="451" w:type="pct"/>
                  <w:noWrap w:val="0"/>
                  <w:vAlign w:val="center"/>
                </w:tcPr>
                <w:p w14:paraId="4A0E5AE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排放速率kg/h</w:t>
                  </w:r>
                </w:p>
              </w:tc>
              <w:tc>
                <w:tcPr>
                  <w:tcW w:w="457" w:type="pct"/>
                  <w:noWrap w:val="0"/>
                  <w:vAlign w:val="center"/>
                </w:tcPr>
                <w:p w14:paraId="669A40D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排放浓度mg/m</w:t>
                  </w:r>
                  <w:r>
                    <w:rPr>
                      <w:rFonts w:hint="default" w:ascii="Times New Roman" w:hAnsi="Times New Roman" w:eastAsia="宋体" w:cs="Times New Roman"/>
                      <w:color w:val="auto"/>
                      <w:kern w:val="0"/>
                      <w:sz w:val="21"/>
                      <w:szCs w:val="21"/>
                      <w:highlight w:val="none"/>
                      <w:vertAlign w:val="superscript"/>
                      <w:lang w:val="en-US" w:eastAsia="zh-CN"/>
                    </w:rPr>
                    <w:t>3</w:t>
                  </w:r>
                </w:p>
              </w:tc>
              <w:tc>
                <w:tcPr>
                  <w:tcW w:w="248" w:type="pct"/>
                  <w:vMerge w:val="continue"/>
                  <w:noWrap w:val="0"/>
                  <w:vAlign w:val="center"/>
                </w:tcPr>
                <w:p w14:paraId="61A8A86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r>
            <w:tr w14:paraId="2004B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7" w:type="pct"/>
                  <w:noWrap w:val="0"/>
                  <w:vAlign w:val="center"/>
                </w:tcPr>
                <w:p w14:paraId="1D831D0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248" w:type="pct"/>
                  <w:noWrap w:val="0"/>
                  <w:vAlign w:val="center"/>
                </w:tcPr>
                <w:p w14:paraId="397604F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一级破碎</w:t>
                  </w:r>
                </w:p>
              </w:tc>
              <w:tc>
                <w:tcPr>
                  <w:tcW w:w="367" w:type="pct"/>
                  <w:noWrap w:val="0"/>
                  <w:vAlign w:val="center"/>
                </w:tcPr>
                <w:p w14:paraId="643D513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495" w:type="pct"/>
                  <w:noWrap w:val="0"/>
                  <w:vAlign w:val="center"/>
                </w:tcPr>
                <w:p w14:paraId="63B64EF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8.1</w:t>
                  </w:r>
                </w:p>
              </w:tc>
              <w:tc>
                <w:tcPr>
                  <w:tcW w:w="1539" w:type="pct"/>
                  <w:noWrap w:val="0"/>
                  <w:vAlign w:val="center"/>
                </w:tcPr>
                <w:p w14:paraId="50EDC6A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破碎机进料口设置1个集气罩（集气效率90%），出料口处与皮带密闭连接，连接点设置负压收集风机风量为8000m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/h，收集的废气引入一套湿式除尘洗气机进行处理后通过1根20m高排气筒</w:t>
                  </w:r>
                  <w:r>
                    <w:rPr>
                      <w:rFonts w:hint="default" w:ascii="Times New Roman" w:hAnsi="Times New Roman" w:eastAsia="宋体" w:cs="Times New Roman"/>
                      <w:color w:val="auto"/>
                      <w:kern w:val="0"/>
                      <w:sz w:val="21"/>
                      <w:szCs w:val="21"/>
                      <w:highlight w:val="none"/>
                      <w:lang w:val="en-US" w:eastAsia="en-US"/>
                    </w:rPr>
                    <w:t>（</w:t>
                  </w:r>
                  <w:r>
                    <w:rPr>
                      <w:rFonts w:hint="default" w:ascii="Times New Roman" w:hAnsi="Times New Roman" w:eastAsia="宋体" w:cs="Times New Roman"/>
                      <w:color w:val="auto"/>
                      <w:kern w:val="0"/>
                      <w:sz w:val="21"/>
                      <w:szCs w:val="21"/>
                      <w:highlight w:val="none"/>
                      <w:lang w:val="en-US" w:eastAsia="zh-CN"/>
                    </w:rPr>
                    <w:t>P1</w:t>
                  </w:r>
                  <w:r>
                    <w:rPr>
                      <w:rFonts w:hint="default" w:ascii="Times New Roman" w:hAnsi="Times New Roman" w:eastAsia="宋体" w:cs="Times New Roman"/>
                      <w:color w:val="auto"/>
                      <w:kern w:val="0"/>
                      <w:sz w:val="21"/>
                      <w:szCs w:val="21"/>
                      <w:highlight w:val="none"/>
                      <w:lang w:val="en-US" w:eastAsia="en-US"/>
                    </w:rPr>
                    <w:t>）</w:t>
                  </w:r>
                  <w:r>
                    <w:rPr>
                      <w:rFonts w:hint="default" w:ascii="Times New Roman" w:hAnsi="Times New Roman" w:eastAsia="宋体" w:cs="Times New Roman"/>
                      <w:color w:val="auto"/>
                      <w:kern w:val="0"/>
                      <w:sz w:val="21"/>
                      <w:szCs w:val="21"/>
                      <w:highlight w:val="none"/>
                      <w:lang w:val="en-US" w:eastAsia="zh-CN"/>
                    </w:rPr>
                    <w:t>排放</w:t>
                  </w:r>
                </w:p>
              </w:tc>
              <w:tc>
                <w:tcPr>
                  <w:tcW w:w="494" w:type="pct"/>
                  <w:noWrap w:val="0"/>
                  <w:vAlign w:val="center"/>
                </w:tcPr>
                <w:p w14:paraId="6057AAC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集气罩效率90%，除尘效率96%</w:t>
                  </w:r>
                </w:p>
              </w:tc>
              <w:tc>
                <w:tcPr>
                  <w:tcW w:w="451" w:type="pct"/>
                  <w:noWrap w:val="0"/>
                  <w:vAlign w:val="center"/>
                </w:tcPr>
                <w:p w14:paraId="1685D6C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0.32</w:t>
                  </w:r>
                </w:p>
              </w:tc>
              <w:tc>
                <w:tcPr>
                  <w:tcW w:w="451" w:type="pct"/>
                  <w:noWrap w:val="0"/>
                  <w:vAlign w:val="center"/>
                </w:tcPr>
                <w:p w14:paraId="4CF97B85">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0.05</w:t>
                  </w:r>
                </w:p>
              </w:tc>
              <w:tc>
                <w:tcPr>
                  <w:tcW w:w="457" w:type="pct"/>
                  <w:noWrap w:val="0"/>
                  <w:vAlign w:val="center"/>
                </w:tcPr>
                <w:p w14:paraId="18F9F28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6.82</w:t>
                  </w:r>
                </w:p>
              </w:tc>
              <w:tc>
                <w:tcPr>
                  <w:tcW w:w="248" w:type="pct"/>
                  <w:vMerge w:val="restart"/>
                  <w:noWrap w:val="0"/>
                  <w:vAlign w:val="center"/>
                </w:tcPr>
                <w:p w14:paraId="69D59C3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有组织排放</w:t>
                  </w:r>
                </w:p>
              </w:tc>
            </w:tr>
            <w:tr w14:paraId="329E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7" w:type="pct"/>
                  <w:noWrap w:val="0"/>
                  <w:vAlign w:val="center"/>
                </w:tcPr>
                <w:p w14:paraId="4433598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w:t>
                  </w:r>
                </w:p>
              </w:tc>
              <w:tc>
                <w:tcPr>
                  <w:tcW w:w="248" w:type="pct"/>
                  <w:noWrap w:val="0"/>
                  <w:vAlign w:val="center"/>
                </w:tcPr>
                <w:p w14:paraId="65CBED1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二级破碎</w:t>
                  </w:r>
                </w:p>
              </w:tc>
              <w:tc>
                <w:tcPr>
                  <w:tcW w:w="367" w:type="pct"/>
                  <w:noWrap w:val="0"/>
                  <w:vAlign w:val="center"/>
                </w:tcPr>
                <w:p w14:paraId="2AB2E79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495" w:type="pct"/>
                  <w:noWrap w:val="0"/>
                  <w:vAlign w:val="center"/>
                </w:tcPr>
                <w:p w14:paraId="52FD3BD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64.8</w:t>
                  </w:r>
                </w:p>
              </w:tc>
              <w:tc>
                <w:tcPr>
                  <w:tcW w:w="1539" w:type="pct"/>
                  <w:noWrap w:val="0"/>
                  <w:vAlign w:val="center"/>
                </w:tcPr>
                <w:p w14:paraId="0EC4CFA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破碎机进料口设置1个集气罩（集气效率90%），出料口处与皮带密闭连接，连接点设置负压收集风机风量为15000m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/h，收集的废气引入一套湿式除尘洗气机进行处理后通过1根20m高排气筒</w:t>
                  </w:r>
                  <w:r>
                    <w:rPr>
                      <w:rFonts w:hint="default" w:ascii="Times New Roman" w:hAnsi="Times New Roman" w:eastAsia="宋体" w:cs="Times New Roman"/>
                      <w:color w:val="auto"/>
                      <w:kern w:val="0"/>
                      <w:sz w:val="21"/>
                      <w:szCs w:val="21"/>
                      <w:highlight w:val="none"/>
                      <w:lang w:val="en-US" w:eastAsia="en-US"/>
                    </w:rPr>
                    <w:t>（</w:t>
                  </w:r>
                  <w:r>
                    <w:rPr>
                      <w:rFonts w:hint="default" w:ascii="Times New Roman" w:hAnsi="Times New Roman" w:eastAsia="宋体" w:cs="Times New Roman"/>
                      <w:color w:val="auto"/>
                      <w:kern w:val="0"/>
                      <w:sz w:val="21"/>
                      <w:szCs w:val="21"/>
                      <w:highlight w:val="none"/>
                      <w:lang w:val="en-US" w:eastAsia="zh-CN"/>
                    </w:rPr>
                    <w:t>P2</w:t>
                  </w:r>
                  <w:r>
                    <w:rPr>
                      <w:rFonts w:hint="default" w:ascii="Times New Roman" w:hAnsi="Times New Roman" w:eastAsia="宋体" w:cs="Times New Roman"/>
                      <w:color w:val="auto"/>
                      <w:kern w:val="0"/>
                      <w:sz w:val="21"/>
                      <w:szCs w:val="21"/>
                      <w:highlight w:val="none"/>
                      <w:lang w:val="en-US" w:eastAsia="en-US"/>
                    </w:rPr>
                    <w:t>）</w:t>
                  </w:r>
                  <w:r>
                    <w:rPr>
                      <w:rFonts w:hint="default" w:ascii="Times New Roman" w:hAnsi="Times New Roman" w:eastAsia="宋体" w:cs="Times New Roman"/>
                      <w:color w:val="auto"/>
                      <w:kern w:val="0"/>
                      <w:sz w:val="21"/>
                      <w:szCs w:val="21"/>
                      <w:highlight w:val="none"/>
                      <w:lang w:val="en-US" w:eastAsia="zh-CN"/>
                    </w:rPr>
                    <w:t>排放</w:t>
                  </w:r>
                </w:p>
              </w:tc>
              <w:tc>
                <w:tcPr>
                  <w:tcW w:w="494" w:type="pct"/>
                  <w:noWrap w:val="0"/>
                  <w:vAlign w:val="center"/>
                </w:tcPr>
                <w:p w14:paraId="323A3E2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集气罩效率90%，除尘效率96%</w:t>
                  </w:r>
                </w:p>
              </w:tc>
              <w:tc>
                <w:tcPr>
                  <w:tcW w:w="681" w:type="dxa"/>
                  <w:noWrap w:val="0"/>
                  <w:vAlign w:val="center"/>
                </w:tcPr>
                <w:p w14:paraId="78AE974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2.59 </w:t>
                  </w:r>
                </w:p>
              </w:tc>
              <w:tc>
                <w:tcPr>
                  <w:tcW w:w="681" w:type="dxa"/>
                  <w:noWrap w:val="0"/>
                  <w:vAlign w:val="center"/>
                </w:tcPr>
                <w:p w14:paraId="0BC3F3C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0.44 </w:t>
                  </w:r>
                </w:p>
              </w:tc>
              <w:tc>
                <w:tcPr>
                  <w:tcW w:w="690" w:type="dxa"/>
                  <w:noWrap w:val="0"/>
                  <w:vAlign w:val="center"/>
                </w:tcPr>
                <w:p w14:paraId="13DA476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 xml:space="preserve">29.09 </w:t>
                  </w:r>
                </w:p>
              </w:tc>
              <w:tc>
                <w:tcPr>
                  <w:tcW w:w="248" w:type="pct"/>
                  <w:vMerge w:val="continue"/>
                  <w:noWrap w:val="0"/>
                  <w:vAlign w:val="center"/>
                </w:tcPr>
                <w:p w14:paraId="4F71F63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14:paraId="71D81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7" w:type="pct"/>
                  <w:noWrap w:val="0"/>
                  <w:vAlign w:val="center"/>
                </w:tcPr>
                <w:p w14:paraId="603B2E4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w:t>
                  </w:r>
                </w:p>
              </w:tc>
              <w:tc>
                <w:tcPr>
                  <w:tcW w:w="248" w:type="pct"/>
                  <w:noWrap w:val="0"/>
                  <w:vAlign w:val="center"/>
                </w:tcPr>
                <w:p w14:paraId="7C0DE24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注浆站皮带输送转载粉尘</w:t>
                  </w:r>
                </w:p>
              </w:tc>
              <w:tc>
                <w:tcPr>
                  <w:tcW w:w="367" w:type="pct"/>
                  <w:noWrap w:val="0"/>
                  <w:vAlign w:val="center"/>
                </w:tcPr>
                <w:p w14:paraId="4A4AFA5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495" w:type="pct"/>
                  <w:noWrap w:val="0"/>
                  <w:vAlign w:val="center"/>
                </w:tcPr>
                <w:p w14:paraId="3699B00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w:t>
                  </w:r>
                </w:p>
              </w:tc>
              <w:tc>
                <w:tcPr>
                  <w:tcW w:w="1539" w:type="pct"/>
                  <w:noWrap w:val="0"/>
                  <w:vAlign w:val="center"/>
                </w:tcPr>
                <w:p w14:paraId="2E92CAB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配料皮带设置1个集气罩（集气效率90%），出料口处与皮带密闭连接，连接点设置负压收集风机风量为6000m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/h，收集的废气引入一套湿式除尘洗气机进行处理后通过1根20m高排气筒</w:t>
                  </w:r>
                  <w:r>
                    <w:rPr>
                      <w:rFonts w:hint="default" w:ascii="Times New Roman" w:hAnsi="Times New Roman" w:eastAsia="宋体" w:cs="Times New Roman"/>
                      <w:color w:val="auto"/>
                      <w:kern w:val="0"/>
                      <w:sz w:val="21"/>
                      <w:szCs w:val="21"/>
                      <w:highlight w:val="none"/>
                      <w:lang w:val="en-US" w:eastAsia="en-US"/>
                    </w:rPr>
                    <w:t>（</w:t>
                  </w:r>
                  <w:r>
                    <w:rPr>
                      <w:rFonts w:hint="default" w:ascii="Times New Roman" w:hAnsi="Times New Roman" w:eastAsia="宋体" w:cs="Times New Roman"/>
                      <w:color w:val="auto"/>
                      <w:kern w:val="0"/>
                      <w:sz w:val="21"/>
                      <w:szCs w:val="21"/>
                      <w:highlight w:val="none"/>
                      <w:lang w:val="en-US" w:eastAsia="zh-CN"/>
                    </w:rPr>
                    <w:t>P3</w:t>
                  </w:r>
                  <w:r>
                    <w:rPr>
                      <w:rFonts w:hint="default" w:ascii="Times New Roman" w:hAnsi="Times New Roman" w:eastAsia="宋体" w:cs="Times New Roman"/>
                      <w:color w:val="auto"/>
                      <w:kern w:val="0"/>
                      <w:sz w:val="21"/>
                      <w:szCs w:val="21"/>
                      <w:highlight w:val="none"/>
                      <w:lang w:val="en-US" w:eastAsia="en-US"/>
                    </w:rPr>
                    <w:t>）</w:t>
                  </w:r>
                  <w:r>
                    <w:rPr>
                      <w:rFonts w:hint="default" w:ascii="Times New Roman" w:hAnsi="Times New Roman" w:eastAsia="宋体" w:cs="Times New Roman"/>
                      <w:color w:val="auto"/>
                      <w:kern w:val="0"/>
                      <w:sz w:val="21"/>
                      <w:szCs w:val="21"/>
                      <w:highlight w:val="none"/>
                      <w:lang w:val="en-US" w:eastAsia="zh-CN"/>
                    </w:rPr>
                    <w:t>排放</w:t>
                  </w:r>
                </w:p>
              </w:tc>
              <w:tc>
                <w:tcPr>
                  <w:tcW w:w="494" w:type="pct"/>
                  <w:noWrap w:val="0"/>
                  <w:vAlign w:val="center"/>
                </w:tcPr>
                <w:p w14:paraId="1B5639A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集气罩效率90%，除尘效率96%</w:t>
                  </w:r>
                </w:p>
              </w:tc>
              <w:tc>
                <w:tcPr>
                  <w:tcW w:w="681" w:type="dxa"/>
                  <w:noWrap w:val="0"/>
                  <w:vAlign w:val="center"/>
                </w:tcPr>
                <w:p w14:paraId="0006045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0.32</w:t>
                  </w:r>
                </w:p>
              </w:tc>
              <w:tc>
                <w:tcPr>
                  <w:tcW w:w="681" w:type="dxa"/>
                  <w:noWrap w:val="0"/>
                  <w:vAlign w:val="center"/>
                </w:tcPr>
                <w:p w14:paraId="1FF6580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0.05</w:t>
                  </w:r>
                </w:p>
              </w:tc>
              <w:tc>
                <w:tcPr>
                  <w:tcW w:w="690" w:type="dxa"/>
                  <w:noWrap w:val="0"/>
                  <w:vAlign w:val="center"/>
                </w:tcPr>
                <w:p w14:paraId="0CB30D4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6.82</w:t>
                  </w:r>
                </w:p>
              </w:tc>
              <w:tc>
                <w:tcPr>
                  <w:tcW w:w="248" w:type="pct"/>
                  <w:vMerge w:val="continue"/>
                  <w:noWrap w:val="0"/>
                  <w:vAlign w:val="center"/>
                </w:tcPr>
                <w:p w14:paraId="593042F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14:paraId="1FC02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47" w:type="pct"/>
                  <w:noWrap w:val="0"/>
                  <w:vAlign w:val="center"/>
                </w:tcPr>
                <w:p w14:paraId="44C7F04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w:t>
                  </w:r>
                </w:p>
              </w:tc>
              <w:tc>
                <w:tcPr>
                  <w:tcW w:w="248" w:type="pct"/>
                  <w:noWrap w:val="0"/>
                  <w:vAlign w:val="center"/>
                </w:tcPr>
                <w:p w14:paraId="5A2B052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未收集粉尘</w:t>
                  </w:r>
                </w:p>
              </w:tc>
              <w:tc>
                <w:tcPr>
                  <w:tcW w:w="367" w:type="pct"/>
                  <w:noWrap w:val="0"/>
                  <w:vAlign w:val="center"/>
                </w:tcPr>
                <w:p w14:paraId="7B25B5F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495" w:type="pct"/>
                  <w:noWrap w:val="0"/>
                  <w:vAlign w:val="center"/>
                </w:tcPr>
                <w:p w14:paraId="0DC55A0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w:t>
                  </w:r>
                </w:p>
              </w:tc>
              <w:tc>
                <w:tcPr>
                  <w:tcW w:w="1539" w:type="pct"/>
                  <w:noWrap w:val="0"/>
                  <w:vAlign w:val="center"/>
                </w:tcPr>
                <w:p w14:paraId="04910BA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全封闭并喷雾洒水抑尘</w:t>
                  </w:r>
                </w:p>
              </w:tc>
              <w:tc>
                <w:tcPr>
                  <w:tcW w:w="494" w:type="pct"/>
                  <w:noWrap w:val="0"/>
                  <w:vAlign w:val="center"/>
                </w:tcPr>
                <w:p w14:paraId="6DF1B12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99%</w:t>
                  </w:r>
                </w:p>
              </w:tc>
              <w:tc>
                <w:tcPr>
                  <w:tcW w:w="451" w:type="pct"/>
                  <w:noWrap w:val="0"/>
                  <w:vAlign w:val="center"/>
                </w:tcPr>
                <w:p w14:paraId="460803F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0.09</w:t>
                  </w:r>
                </w:p>
              </w:tc>
              <w:tc>
                <w:tcPr>
                  <w:tcW w:w="451" w:type="pct"/>
                  <w:noWrap w:val="0"/>
                  <w:vAlign w:val="center"/>
                </w:tcPr>
                <w:p w14:paraId="17282A9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0.02</w:t>
                  </w:r>
                </w:p>
              </w:tc>
              <w:tc>
                <w:tcPr>
                  <w:tcW w:w="457" w:type="pct"/>
                  <w:noWrap w:val="0"/>
                  <w:vAlign w:val="center"/>
                </w:tcPr>
                <w:p w14:paraId="7714034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248" w:type="pct"/>
                  <w:noWrap w:val="0"/>
                  <w:vAlign w:val="center"/>
                </w:tcPr>
                <w:p w14:paraId="091F3C6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无组织排放</w:t>
                  </w:r>
                </w:p>
              </w:tc>
            </w:tr>
            <w:tr w14:paraId="4F729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862" w:type="pct"/>
                  <w:gridSpan w:val="3"/>
                  <w:noWrap w:val="0"/>
                  <w:vAlign w:val="center"/>
                </w:tcPr>
                <w:p w14:paraId="3419895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合计</w:t>
                  </w:r>
                </w:p>
              </w:tc>
              <w:tc>
                <w:tcPr>
                  <w:tcW w:w="747" w:type="dxa"/>
                  <w:noWrap w:val="0"/>
                  <w:vAlign w:val="center"/>
                </w:tcPr>
                <w:p w14:paraId="466DE93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89.9</w:t>
                  </w:r>
                </w:p>
              </w:tc>
              <w:tc>
                <w:tcPr>
                  <w:tcW w:w="2321" w:type="dxa"/>
                  <w:noWrap w:val="0"/>
                  <w:vAlign w:val="center"/>
                </w:tcPr>
                <w:p w14:paraId="032371D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745" w:type="dxa"/>
                  <w:noWrap w:val="0"/>
                  <w:vAlign w:val="center"/>
                </w:tcPr>
                <w:p w14:paraId="6503560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681" w:type="dxa"/>
                  <w:noWrap w:val="0"/>
                  <w:vAlign w:val="center"/>
                </w:tcPr>
                <w:p w14:paraId="0891793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3.32</w:t>
                  </w:r>
                </w:p>
              </w:tc>
              <w:tc>
                <w:tcPr>
                  <w:tcW w:w="681" w:type="dxa"/>
                  <w:noWrap w:val="0"/>
                  <w:vAlign w:val="center"/>
                </w:tcPr>
                <w:p w14:paraId="0774C91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0.56</w:t>
                  </w:r>
                </w:p>
              </w:tc>
              <w:tc>
                <w:tcPr>
                  <w:tcW w:w="690" w:type="dxa"/>
                  <w:noWrap w:val="0"/>
                  <w:vAlign w:val="center"/>
                </w:tcPr>
                <w:p w14:paraId="2980F45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c>
                <w:tcPr>
                  <w:tcW w:w="374" w:type="dxa"/>
                  <w:noWrap w:val="0"/>
                  <w:vAlign w:val="center"/>
                </w:tcPr>
                <w:p w14:paraId="4A33D12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w:t>
                  </w:r>
                </w:p>
              </w:tc>
            </w:tr>
          </w:tbl>
          <w:p w14:paraId="1243C97C">
            <w:pPr>
              <w:widowControl w:val="0"/>
              <w:spacing w:line="360" w:lineRule="auto"/>
              <w:ind w:firstLine="482" w:firstLineChars="200"/>
              <w:rPr>
                <w:rFonts w:hint="default" w:ascii="Times New Roman" w:hAnsi="Times New Roman" w:eastAsia="宋体" w:cs="Times New Roman"/>
                <w:b/>
                <w:bCs/>
                <w:color w:val="auto"/>
                <w:kern w:val="2"/>
                <w:sz w:val="24"/>
                <w:szCs w:val="24"/>
                <w:highlight w:val="none"/>
                <w:lang w:val="en-US" w:eastAsia="zh-CN" w:bidi="ar"/>
              </w:rPr>
            </w:pPr>
            <w:r>
              <w:rPr>
                <w:rFonts w:hint="default" w:ascii="Times New Roman" w:hAnsi="Times New Roman" w:eastAsia="宋体" w:cs="Times New Roman"/>
                <w:b/>
                <w:bCs/>
                <w:color w:val="auto"/>
                <w:kern w:val="2"/>
                <w:sz w:val="24"/>
                <w:szCs w:val="24"/>
                <w:highlight w:val="none"/>
                <w:lang w:val="en-US" w:eastAsia="zh-CN" w:bidi="ar"/>
              </w:rPr>
              <w:t>2、项目废气排放口基本情况详见表4-</w:t>
            </w:r>
            <w:r>
              <w:rPr>
                <w:rFonts w:hint="eastAsia" w:cs="Times New Roman"/>
                <w:b/>
                <w:bCs/>
                <w:color w:val="auto"/>
                <w:kern w:val="2"/>
                <w:sz w:val="24"/>
                <w:szCs w:val="24"/>
                <w:highlight w:val="none"/>
                <w:lang w:val="en-US" w:eastAsia="zh-CN" w:bidi="ar"/>
              </w:rPr>
              <w:t>4</w:t>
            </w:r>
            <w:r>
              <w:rPr>
                <w:rFonts w:hint="default" w:ascii="Times New Roman" w:hAnsi="Times New Roman" w:eastAsia="宋体" w:cs="Times New Roman"/>
                <w:b/>
                <w:bCs/>
                <w:color w:val="auto"/>
                <w:kern w:val="2"/>
                <w:sz w:val="24"/>
                <w:szCs w:val="24"/>
                <w:highlight w:val="none"/>
                <w:lang w:val="en-US" w:eastAsia="zh-CN" w:bidi="ar"/>
              </w:rPr>
              <w:t>。</w:t>
            </w:r>
          </w:p>
          <w:p w14:paraId="7896C310">
            <w:pPr>
              <w:widowControl w:val="0"/>
              <w:spacing w:line="360" w:lineRule="auto"/>
              <w:ind w:firstLine="0" w:firstLineChars="0"/>
              <w:jc w:val="center"/>
              <w:rPr>
                <w:rFonts w:hint="default" w:ascii="Times New Roman" w:hAnsi="Times New Roman" w:eastAsia="宋体" w:cs="Times New Roman"/>
                <w:b/>
                <w:color w:val="auto"/>
                <w:kern w:val="2"/>
                <w:sz w:val="24"/>
                <w:szCs w:val="24"/>
                <w:highlight w:val="none"/>
              </w:rPr>
            </w:pPr>
            <w:r>
              <w:rPr>
                <w:rFonts w:hint="default" w:ascii="Times New Roman" w:hAnsi="Times New Roman" w:eastAsia="宋体" w:cs="Times New Roman"/>
                <w:b/>
                <w:color w:val="auto"/>
                <w:kern w:val="2"/>
                <w:sz w:val="24"/>
                <w:szCs w:val="24"/>
                <w:highlight w:val="none"/>
              </w:rPr>
              <w:t>表4-</w:t>
            </w:r>
            <w:r>
              <w:rPr>
                <w:rFonts w:hint="eastAsia" w:cs="Times New Roman"/>
                <w:b/>
                <w:color w:val="auto"/>
                <w:kern w:val="2"/>
                <w:sz w:val="24"/>
                <w:szCs w:val="24"/>
                <w:highlight w:val="none"/>
                <w:lang w:val="en-US" w:eastAsia="zh-CN"/>
              </w:rPr>
              <w:t>4</w:t>
            </w:r>
            <w:r>
              <w:rPr>
                <w:rFonts w:hint="default" w:ascii="Times New Roman" w:hAnsi="Times New Roman" w:eastAsia="宋体" w:cs="Times New Roman"/>
                <w:b/>
                <w:color w:val="auto"/>
                <w:kern w:val="2"/>
                <w:sz w:val="24"/>
                <w:szCs w:val="24"/>
                <w:highlight w:val="none"/>
              </w:rPr>
              <w:t xml:space="preserve">   排放口基本情况一览表</w:t>
            </w:r>
          </w:p>
          <w:tbl>
            <w:tblPr>
              <w:tblStyle w:val="25"/>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3"/>
              <w:gridCol w:w="311"/>
              <w:gridCol w:w="1082"/>
              <w:gridCol w:w="1082"/>
              <w:gridCol w:w="693"/>
              <w:gridCol w:w="1139"/>
              <w:gridCol w:w="933"/>
              <w:gridCol w:w="1188"/>
              <w:gridCol w:w="711"/>
            </w:tblGrid>
            <w:tr w14:paraId="36699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267" w:type="pct"/>
                  <w:vMerge w:val="restart"/>
                  <w:tcBorders>
                    <w:tl2br w:val="nil"/>
                    <w:tr2bl w:val="nil"/>
                  </w:tcBorders>
                  <w:noWrap/>
                  <w:vAlign w:val="center"/>
                </w:tcPr>
                <w:p w14:paraId="2946F2C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编号</w:t>
                  </w:r>
                </w:p>
              </w:tc>
              <w:tc>
                <w:tcPr>
                  <w:tcW w:w="206" w:type="pct"/>
                  <w:vMerge w:val="restart"/>
                  <w:tcBorders>
                    <w:tl2br w:val="nil"/>
                    <w:tr2bl w:val="nil"/>
                  </w:tcBorders>
                  <w:noWrap/>
                  <w:vAlign w:val="center"/>
                </w:tcPr>
                <w:p w14:paraId="43D8A4C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名称</w:t>
                  </w:r>
                </w:p>
              </w:tc>
              <w:tc>
                <w:tcPr>
                  <w:tcW w:w="1434" w:type="pct"/>
                  <w:gridSpan w:val="2"/>
                  <w:tcBorders>
                    <w:tl2br w:val="nil"/>
                    <w:tr2bl w:val="nil"/>
                  </w:tcBorders>
                  <w:noWrap/>
                  <w:vAlign w:val="center"/>
                </w:tcPr>
                <w:p w14:paraId="08808FB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排气筒底部中心坐标</w:t>
                  </w:r>
                </w:p>
              </w:tc>
              <w:tc>
                <w:tcPr>
                  <w:tcW w:w="459" w:type="pct"/>
                  <w:vMerge w:val="restart"/>
                  <w:tcBorders>
                    <w:tl2br w:val="nil"/>
                    <w:tr2bl w:val="nil"/>
                  </w:tcBorders>
                  <w:noWrap/>
                  <w:vAlign w:val="center"/>
                </w:tcPr>
                <w:p w14:paraId="73AA099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排气筒高度/m</w:t>
                  </w:r>
                </w:p>
              </w:tc>
              <w:tc>
                <w:tcPr>
                  <w:tcW w:w="755" w:type="pct"/>
                  <w:vMerge w:val="restart"/>
                  <w:tcBorders>
                    <w:tl2br w:val="nil"/>
                    <w:tr2bl w:val="nil"/>
                  </w:tcBorders>
                  <w:noWrap/>
                  <w:vAlign w:val="center"/>
                </w:tcPr>
                <w:p w14:paraId="14AA154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排气筒出口内径/m</w:t>
                  </w:r>
                </w:p>
              </w:tc>
              <w:tc>
                <w:tcPr>
                  <w:tcW w:w="618" w:type="pct"/>
                  <w:vMerge w:val="restart"/>
                  <w:tcBorders>
                    <w:tl2br w:val="nil"/>
                    <w:tr2bl w:val="nil"/>
                  </w:tcBorders>
                  <w:noWrap/>
                  <w:vAlign w:val="center"/>
                </w:tcPr>
                <w:p w14:paraId="527AC2B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烟气温度/℃</w:t>
                  </w:r>
                </w:p>
              </w:tc>
              <w:tc>
                <w:tcPr>
                  <w:tcW w:w="787" w:type="pct"/>
                  <w:vMerge w:val="restart"/>
                  <w:tcBorders>
                    <w:tl2br w:val="nil"/>
                    <w:tr2bl w:val="nil"/>
                  </w:tcBorders>
                  <w:noWrap/>
                  <w:vAlign w:val="center"/>
                </w:tcPr>
                <w:p w14:paraId="06D9D46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年排放小时数/h</w:t>
                  </w:r>
                </w:p>
              </w:tc>
              <w:tc>
                <w:tcPr>
                  <w:tcW w:w="471" w:type="pct"/>
                  <w:vMerge w:val="restart"/>
                  <w:tcBorders>
                    <w:tl2br w:val="nil"/>
                    <w:tr2bl w:val="nil"/>
                  </w:tcBorders>
                  <w:noWrap/>
                  <w:vAlign w:val="center"/>
                </w:tcPr>
                <w:p w14:paraId="5470527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排放工况</w:t>
                  </w:r>
                </w:p>
              </w:tc>
            </w:tr>
            <w:tr w14:paraId="399EA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267" w:type="pct"/>
                  <w:vMerge w:val="continue"/>
                  <w:tcBorders>
                    <w:tl2br w:val="nil"/>
                    <w:tr2bl w:val="nil"/>
                  </w:tcBorders>
                  <w:noWrap/>
                  <w:vAlign w:val="center"/>
                </w:tcPr>
                <w:p w14:paraId="40F5803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206" w:type="pct"/>
                  <w:vMerge w:val="continue"/>
                  <w:tcBorders>
                    <w:tl2br w:val="nil"/>
                    <w:tr2bl w:val="nil"/>
                  </w:tcBorders>
                  <w:noWrap/>
                  <w:vAlign w:val="center"/>
                </w:tcPr>
                <w:p w14:paraId="47455C0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717" w:type="pct"/>
                  <w:tcBorders>
                    <w:tl2br w:val="nil"/>
                    <w:tr2bl w:val="nil"/>
                  </w:tcBorders>
                  <w:noWrap/>
                  <w:vAlign w:val="center"/>
                </w:tcPr>
                <w:p w14:paraId="5076B1CB">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经度</w:t>
                  </w:r>
                </w:p>
              </w:tc>
              <w:tc>
                <w:tcPr>
                  <w:tcW w:w="717" w:type="pct"/>
                  <w:tcBorders>
                    <w:tl2br w:val="nil"/>
                    <w:tr2bl w:val="nil"/>
                  </w:tcBorders>
                  <w:noWrap/>
                  <w:vAlign w:val="center"/>
                </w:tcPr>
                <w:p w14:paraId="09C4367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纬度</w:t>
                  </w:r>
                </w:p>
              </w:tc>
              <w:tc>
                <w:tcPr>
                  <w:tcW w:w="459" w:type="pct"/>
                  <w:vMerge w:val="continue"/>
                  <w:tcBorders>
                    <w:tl2br w:val="nil"/>
                    <w:tr2bl w:val="nil"/>
                  </w:tcBorders>
                  <w:noWrap/>
                  <w:vAlign w:val="center"/>
                </w:tcPr>
                <w:p w14:paraId="61BFC86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755" w:type="pct"/>
                  <w:vMerge w:val="continue"/>
                  <w:tcBorders>
                    <w:tl2br w:val="nil"/>
                    <w:tr2bl w:val="nil"/>
                  </w:tcBorders>
                  <w:noWrap/>
                  <w:vAlign w:val="center"/>
                </w:tcPr>
                <w:p w14:paraId="4E338FA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618" w:type="pct"/>
                  <w:vMerge w:val="continue"/>
                  <w:tcBorders>
                    <w:tl2br w:val="nil"/>
                    <w:tr2bl w:val="nil"/>
                  </w:tcBorders>
                  <w:noWrap/>
                  <w:vAlign w:val="center"/>
                </w:tcPr>
                <w:p w14:paraId="51D0EEF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787" w:type="pct"/>
                  <w:vMerge w:val="continue"/>
                  <w:tcBorders>
                    <w:tl2br w:val="nil"/>
                    <w:tr2bl w:val="nil"/>
                  </w:tcBorders>
                  <w:noWrap/>
                  <w:vAlign w:val="center"/>
                </w:tcPr>
                <w:p w14:paraId="5CC3C8F1">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c>
                <w:tcPr>
                  <w:tcW w:w="471" w:type="pct"/>
                  <w:vMerge w:val="continue"/>
                  <w:tcBorders>
                    <w:tl2br w:val="nil"/>
                    <w:tr2bl w:val="nil"/>
                  </w:tcBorders>
                  <w:noWrap/>
                  <w:vAlign w:val="center"/>
                </w:tcPr>
                <w:p w14:paraId="61D4B49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p>
              </w:tc>
            </w:tr>
            <w:tr w14:paraId="57515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trPr>
              <w:tc>
                <w:tcPr>
                  <w:tcW w:w="267" w:type="pct"/>
                  <w:tcBorders>
                    <w:tl2br w:val="nil"/>
                    <w:tr2bl w:val="nil"/>
                  </w:tcBorders>
                  <w:noWrap/>
                  <w:vAlign w:val="center"/>
                </w:tcPr>
                <w:p w14:paraId="57CBF58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P1</w:t>
                  </w:r>
                </w:p>
              </w:tc>
              <w:tc>
                <w:tcPr>
                  <w:tcW w:w="206" w:type="pct"/>
                  <w:tcBorders>
                    <w:tl2br w:val="nil"/>
                    <w:tr2bl w:val="nil"/>
                  </w:tcBorders>
                  <w:noWrap/>
                  <w:vAlign w:val="center"/>
                </w:tcPr>
                <w:p w14:paraId="441459C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1#排气筒</w:t>
                  </w:r>
                </w:p>
              </w:tc>
              <w:tc>
                <w:tcPr>
                  <w:tcW w:w="717" w:type="pct"/>
                  <w:tcBorders>
                    <w:tl2br w:val="nil"/>
                    <w:tr2bl w:val="nil"/>
                  </w:tcBorders>
                  <w:noWrap/>
                  <w:vAlign w:val="center"/>
                </w:tcPr>
                <w:p w14:paraId="70EC6AFD">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108.944291091</w:t>
                  </w:r>
                </w:p>
              </w:tc>
              <w:tc>
                <w:tcPr>
                  <w:tcW w:w="717" w:type="pct"/>
                  <w:tcBorders>
                    <w:tl2br w:val="nil"/>
                    <w:tr2bl w:val="nil"/>
                  </w:tcBorders>
                  <w:noWrap/>
                  <w:vAlign w:val="center"/>
                </w:tcPr>
                <w:p w14:paraId="0080423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38.361926929</w:t>
                  </w:r>
                </w:p>
              </w:tc>
              <w:tc>
                <w:tcPr>
                  <w:tcW w:w="459" w:type="pct"/>
                  <w:tcBorders>
                    <w:tl2br w:val="nil"/>
                    <w:tr2bl w:val="nil"/>
                  </w:tcBorders>
                  <w:noWrap/>
                  <w:vAlign w:val="center"/>
                </w:tcPr>
                <w:p w14:paraId="47D914C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55" w:type="pct"/>
                  <w:tcBorders>
                    <w:tl2br w:val="nil"/>
                    <w:tr2bl w:val="nil"/>
                  </w:tcBorders>
                  <w:noWrap/>
                  <w:vAlign w:val="center"/>
                </w:tcPr>
                <w:p w14:paraId="06CF3C54">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0.40</w:t>
                  </w:r>
                </w:p>
              </w:tc>
              <w:tc>
                <w:tcPr>
                  <w:tcW w:w="618" w:type="pct"/>
                  <w:tcBorders>
                    <w:tl2br w:val="nil"/>
                    <w:tr2bl w:val="nil"/>
                  </w:tcBorders>
                  <w:noWrap/>
                  <w:vAlign w:val="center"/>
                </w:tcPr>
                <w:p w14:paraId="63CA693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87" w:type="pct"/>
                  <w:tcBorders>
                    <w:tl2br w:val="nil"/>
                    <w:tr2bl w:val="nil"/>
                  </w:tcBorders>
                  <w:noWrap/>
                  <w:vAlign w:val="center"/>
                </w:tcPr>
                <w:p w14:paraId="526A5BE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5940</w:t>
                  </w:r>
                </w:p>
              </w:tc>
              <w:tc>
                <w:tcPr>
                  <w:tcW w:w="471" w:type="pct"/>
                  <w:tcBorders>
                    <w:tl2br w:val="nil"/>
                    <w:tr2bl w:val="nil"/>
                  </w:tcBorders>
                  <w:noWrap/>
                  <w:vAlign w:val="center"/>
                </w:tcPr>
                <w:p w14:paraId="7D82002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正常</w:t>
                  </w:r>
                </w:p>
              </w:tc>
            </w:tr>
            <w:tr w14:paraId="00754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trPr>
              <w:tc>
                <w:tcPr>
                  <w:tcW w:w="267" w:type="pct"/>
                  <w:tcBorders>
                    <w:tl2br w:val="nil"/>
                    <w:tr2bl w:val="nil"/>
                  </w:tcBorders>
                  <w:noWrap/>
                  <w:vAlign w:val="center"/>
                </w:tcPr>
                <w:p w14:paraId="2F71584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P2</w:t>
                  </w:r>
                </w:p>
              </w:tc>
              <w:tc>
                <w:tcPr>
                  <w:tcW w:w="206" w:type="pct"/>
                  <w:tcBorders>
                    <w:tl2br w:val="nil"/>
                    <w:tr2bl w:val="nil"/>
                  </w:tcBorders>
                  <w:noWrap/>
                  <w:vAlign w:val="center"/>
                </w:tcPr>
                <w:p w14:paraId="3B9E6D2A">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2#排气筒</w:t>
                  </w:r>
                </w:p>
              </w:tc>
              <w:tc>
                <w:tcPr>
                  <w:tcW w:w="717" w:type="pct"/>
                  <w:tcBorders>
                    <w:tl2br w:val="nil"/>
                    <w:tr2bl w:val="nil"/>
                  </w:tcBorders>
                  <w:noWrap/>
                  <w:vAlign w:val="center"/>
                </w:tcPr>
                <w:p w14:paraId="0988D62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108.944296455</w:t>
                  </w:r>
                </w:p>
              </w:tc>
              <w:tc>
                <w:tcPr>
                  <w:tcW w:w="717" w:type="pct"/>
                  <w:tcBorders>
                    <w:tl2br w:val="nil"/>
                    <w:tr2bl w:val="nil"/>
                  </w:tcBorders>
                  <w:noWrap/>
                  <w:vAlign w:val="center"/>
                </w:tcPr>
                <w:p w14:paraId="612DAF3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38.361857192</w:t>
                  </w:r>
                </w:p>
              </w:tc>
              <w:tc>
                <w:tcPr>
                  <w:tcW w:w="459" w:type="pct"/>
                  <w:tcBorders>
                    <w:tl2br w:val="nil"/>
                    <w:tr2bl w:val="nil"/>
                  </w:tcBorders>
                  <w:noWrap/>
                  <w:vAlign w:val="center"/>
                </w:tcPr>
                <w:p w14:paraId="70F59500">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55" w:type="pct"/>
                  <w:tcBorders>
                    <w:tl2br w:val="nil"/>
                    <w:tr2bl w:val="nil"/>
                  </w:tcBorders>
                  <w:noWrap/>
                  <w:vAlign w:val="center"/>
                </w:tcPr>
                <w:p w14:paraId="7331DD0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0.6</w:t>
                  </w:r>
                </w:p>
              </w:tc>
              <w:tc>
                <w:tcPr>
                  <w:tcW w:w="618" w:type="pct"/>
                  <w:tcBorders>
                    <w:tl2br w:val="nil"/>
                    <w:tr2bl w:val="nil"/>
                  </w:tcBorders>
                  <w:noWrap/>
                  <w:vAlign w:val="center"/>
                </w:tcPr>
                <w:p w14:paraId="24EDCAD3">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87" w:type="pct"/>
                  <w:tcBorders>
                    <w:tl2br w:val="nil"/>
                    <w:tr2bl w:val="nil"/>
                  </w:tcBorders>
                  <w:noWrap/>
                  <w:vAlign w:val="center"/>
                </w:tcPr>
                <w:p w14:paraId="3D9239E9">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5940</w:t>
                  </w:r>
                </w:p>
              </w:tc>
              <w:tc>
                <w:tcPr>
                  <w:tcW w:w="471" w:type="pct"/>
                  <w:tcBorders>
                    <w:tl2br w:val="nil"/>
                    <w:tr2bl w:val="nil"/>
                  </w:tcBorders>
                  <w:noWrap/>
                  <w:vAlign w:val="center"/>
                </w:tcPr>
                <w:p w14:paraId="2F1C0CC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正常</w:t>
                  </w:r>
                </w:p>
              </w:tc>
            </w:tr>
            <w:tr w14:paraId="40289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5" w:hRule="atLeast"/>
              </w:trPr>
              <w:tc>
                <w:tcPr>
                  <w:tcW w:w="267" w:type="pct"/>
                  <w:tcBorders>
                    <w:tl2br w:val="nil"/>
                    <w:tr2bl w:val="nil"/>
                  </w:tcBorders>
                  <w:noWrap/>
                  <w:vAlign w:val="center"/>
                </w:tcPr>
                <w:p w14:paraId="5942872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P3</w:t>
                  </w:r>
                </w:p>
              </w:tc>
              <w:tc>
                <w:tcPr>
                  <w:tcW w:w="206" w:type="pct"/>
                  <w:tcBorders>
                    <w:tl2br w:val="nil"/>
                    <w:tr2bl w:val="nil"/>
                  </w:tcBorders>
                  <w:noWrap/>
                  <w:vAlign w:val="center"/>
                </w:tcPr>
                <w:p w14:paraId="1847A507">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3#排气筒</w:t>
                  </w:r>
                </w:p>
              </w:tc>
              <w:tc>
                <w:tcPr>
                  <w:tcW w:w="717" w:type="pct"/>
                  <w:tcBorders>
                    <w:tl2br w:val="nil"/>
                    <w:tr2bl w:val="nil"/>
                  </w:tcBorders>
                  <w:noWrap/>
                  <w:vAlign w:val="center"/>
                </w:tcPr>
                <w:p w14:paraId="36EEBA4E">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108.942633486</w:t>
                  </w:r>
                </w:p>
              </w:tc>
              <w:tc>
                <w:tcPr>
                  <w:tcW w:w="717" w:type="pct"/>
                  <w:tcBorders>
                    <w:tl2br w:val="nil"/>
                    <w:tr2bl w:val="nil"/>
                  </w:tcBorders>
                  <w:noWrap/>
                  <w:vAlign w:val="center"/>
                </w:tcPr>
                <w:p w14:paraId="0325D4E8">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38.362125412</w:t>
                  </w:r>
                </w:p>
              </w:tc>
              <w:tc>
                <w:tcPr>
                  <w:tcW w:w="459" w:type="pct"/>
                  <w:tcBorders>
                    <w:tl2br w:val="nil"/>
                    <w:tr2bl w:val="nil"/>
                  </w:tcBorders>
                  <w:noWrap/>
                  <w:vAlign w:val="center"/>
                </w:tcPr>
                <w:p w14:paraId="4F8C37D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55" w:type="pct"/>
                  <w:tcBorders>
                    <w:tl2br w:val="nil"/>
                    <w:tr2bl w:val="nil"/>
                  </w:tcBorders>
                  <w:noWrap/>
                  <w:vAlign w:val="center"/>
                </w:tcPr>
                <w:p w14:paraId="04605FA2">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0.35</w:t>
                  </w:r>
                </w:p>
              </w:tc>
              <w:tc>
                <w:tcPr>
                  <w:tcW w:w="618" w:type="pct"/>
                  <w:tcBorders>
                    <w:tl2br w:val="nil"/>
                    <w:tr2bl w:val="nil"/>
                  </w:tcBorders>
                  <w:noWrap/>
                  <w:vAlign w:val="center"/>
                </w:tcPr>
                <w:p w14:paraId="124635FF">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20</w:t>
                  </w:r>
                </w:p>
              </w:tc>
              <w:tc>
                <w:tcPr>
                  <w:tcW w:w="787" w:type="pct"/>
                  <w:tcBorders>
                    <w:tl2br w:val="nil"/>
                    <w:tr2bl w:val="nil"/>
                  </w:tcBorders>
                  <w:noWrap/>
                  <w:vAlign w:val="center"/>
                </w:tcPr>
                <w:p w14:paraId="1AFAC64C">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5940</w:t>
                  </w:r>
                </w:p>
              </w:tc>
              <w:tc>
                <w:tcPr>
                  <w:tcW w:w="471" w:type="pct"/>
                  <w:tcBorders>
                    <w:tl2br w:val="nil"/>
                    <w:tr2bl w:val="nil"/>
                  </w:tcBorders>
                  <w:noWrap/>
                  <w:vAlign w:val="center"/>
                </w:tcPr>
                <w:p w14:paraId="7EBF0796">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正常</w:t>
                  </w:r>
                </w:p>
              </w:tc>
            </w:tr>
          </w:tbl>
          <w:p w14:paraId="3B61C09F">
            <w:pPr>
              <w:widowControl w:val="0"/>
              <w:spacing w:line="360" w:lineRule="auto"/>
              <w:ind w:firstLine="482" w:firstLineChars="200"/>
              <w:rPr>
                <w:rFonts w:hint="default" w:ascii="Times New Roman" w:hAnsi="Times New Roman" w:eastAsia="宋体" w:cs="Times New Roman"/>
                <w:b/>
                <w:bCs/>
                <w:color w:val="auto"/>
                <w:kern w:val="2"/>
                <w:sz w:val="24"/>
                <w:szCs w:val="20"/>
                <w:lang w:bidi="ar"/>
              </w:rPr>
            </w:pPr>
            <w:r>
              <w:rPr>
                <w:rFonts w:hint="default" w:ascii="Times New Roman" w:hAnsi="Times New Roman" w:eastAsia="宋体" w:cs="Times New Roman"/>
                <w:b/>
                <w:bCs/>
                <w:color w:val="auto"/>
                <w:kern w:val="2"/>
                <w:sz w:val="24"/>
                <w:szCs w:val="20"/>
                <w:lang w:val="en-US" w:eastAsia="zh-CN" w:bidi="ar"/>
              </w:rPr>
              <w:t>3</w:t>
            </w:r>
            <w:r>
              <w:rPr>
                <w:rFonts w:hint="default" w:ascii="Times New Roman" w:hAnsi="Times New Roman" w:eastAsia="宋体" w:cs="Times New Roman"/>
                <w:b/>
                <w:bCs/>
                <w:color w:val="auto"/>
                <w:kern w:val="2"/>
                <w:sz w:val="24"/>
                <w:szCs w:val="20"/>
                <w:lang w:bidi="ar"/>
              </w:rPr>
              <w:t>.运营期废气污染防治措施及其可行性分析</w:t>
            </w:r>
          </w:p>
          <w:p w14:paraId="717C2720">
            <w:pPr>
              <w:widowControl w:val="0"/>
              <w:spacing w:line="360" w:lineRule="auto"/>
              <w:ind w:firstLine="480" w:firstLineChars="200"/>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一级破碎粉尘排放速率为0.05kg/h，排放浓度为6.82mg/m</w:t>
            </w:r>
            <w:r>
              <w:rPr>
                <w:rFonts w:hint="default" w:ascii="Times New Roman" w:hAnsi="Times New Roman" w:eastAsia="宋体" w:cs="Times New Roman"/>
                <w:color w:val="auto"/>
                <w:kern w:val="2"/>
                <w:sz w:val="24"/>
                <w:szCs w:val="24"/>
                <w:vertAlign w:val="superscript"/>
                <w:lang w:val="en-US" w:eastAsia="zh-CN" w:bidi="ar"/>
              </w:rPr>
              <w:t>3</w:t>
            </w:r>
            <w:r>
              <w:rPr>
                <w:rFonts w:hint="default" w:ascii="Times New Roman" w:hAnsi="Times New Roman" w:eastAsia="宋体" w:cs="Times New Roman"/>
                <w:color w:val="auto"/>
                <w:kern w:val="2"/>
                <w:sz w:val="24"/>
                <w:szCs w:val="24"/>
                <w:lang w:val="en-US" w:eastAsia="zh-CN" w:bidi="ar"/>
              </w:rPr>
              <w:t>，由1个20m高排气筒（P1）排放，</w:t>
            </w:r>
            <w:r>
              <w:rPr>
                <w:rFonts w:hint="default" w:ascii="Times New Roman" w:hAnsi="Times New Roman" w:eastAsia="宋体" w:cs="Times New Roman"/>
                <w:color w:val="auto"/>
                <w:kern w:val="2"/>
                <w:sz w:val="24"/>
                <w:szCs w:val="24"/>
                <w:highlight w:val="none"/>
                <w:vertAlign w:val="baseline"/>
                <w:lang w:val="en-US" w:eastAsia="zh-CN" w:bidi="ar"/>
              </w:rPr>
              <w:t>满足《煤炭工业污染物排放标准》（GB20426-2006）大气污染物排放浓度限值要求。</w:t>
            </w:r>
          </w:p>
          <w:p w14:paraId="2873BD1C">
            <w:pPr>
              <w:widowControl w:val="0"/>
              <w:spacing w:line="360" w:lineRule="auto"/>
              <w:ind w:firstLine="480" w:firstLineChars="200"/>
              <w:rPr>
                <w:rFonts w:hint="default" w:ascii="Times New Roman" w:hAnsi="Times New Roman" w:eastAsia="宋体" w:cs="Times New Roman"/>
                <w:color w:val="auto"/>
                <w:kern w:val="2"/>
                <w:sz w:val="24"/>
                <w:szCs w:val="24"/>
                <w:lang w:bidi="ar"/>
              </w:rPr>
            </w:pPr>
            <w:r>
              <w:rPr>
                <w:rFonts w:hint="default" w:ascii="Times New Roman" w:hAnsi="Times New Roman" w:eastAsia="宋体" w:cs="Times New Roman"/>
                <w:color w:val="auto"/>
                <w:kern w:val="2"/>
                <w:sz w:val="24"/>
                <w:szCs w:val="24"/>
                <w:lang w:bidi="ar"/>
              </w:rPr>
              <w:t>二级破碎的排放速率为</w:t>
            </w:r>
            <w:r>
              <w:rPr>
                <w:rFonts w:hint="default" w:ascii="Times New Roman" w:hAnsi="Times New Roman" w:eastAsia="宋体" w:cs="Times New Roman"/>
                <w:color w:val="auto"/>
                <w:kern w:val="2"/>
                <w:sz w:val="24"/>
                <w:szCs w:val="24"/>
                <w:lang w:val="en-US" w:eastAsia="zh-CN" w:bidi="ar"/>
              </w:rPr>
              <w:t>0.44</w:t>
            </w:r>
            <w:r>
              <w:rPr>
                <w:rFonts w:hint="default" w:ascii="Times New Roman" w:hAnsi="Times New Roman" w:eastAsia="宋体" w:cs="Times New Roman"/>
                <w:color w:val="auto"/>
                <w:kern w:val="2"/>
                <w:sz w:val="24"/>
                <w:szCs w:val="24"/>
                <w:lang w:bidi="ar"/>
              </w:rPr>
              <w:t>kg/h，排放浓度为</w:t>
            </w:r>
            <w:r>
              <w:rPr>
                <w:rFonts w:hint="default" w:ascii="Times New Roman" w:hAnsi="Times New Roman" w:eastAsia="宋体" w:cs="Times New Roman"/>
                <w:color w:val="auto"/>
                <w:kern w:val="2"/>
                <w:sz w:val="24"/>
                <w:szCs w:val="24"/>
                <w:lang w:val="en-US" w:eastAsia="zh-CN" w:bidi="ar"/>
              </w:rPr>
              <w:t>29.09</w:t>
            </w:r>
            <w:r>
              <w:rPr>
                <w:rFonts w:hint="default" w:ascii="Times New Roman" w:hAnsi="Times New Roman" w:eastAsia="宋体" w:cs="Times New Roman"/>
                <w:color w:val="auto"/>
                <w:kern w:val="2"/>
                <w:sz w:val="24"/>
                <w:szCs w:val="24"/>
                <w:lang w:bidi="ar"/>
              </w:rPr>
              <w:t>mg/m</w:t>
            </w:r>
            <w:r>
              <w:rPr>
                <w:rFonts w:hint="default" w:ascii="Times New Roman" w:hAnsi="Times New Roman" w:eastAsia="宋体" w:cs="Times New Roman"/>
                <w:color w:val="auto"/>
                <w:kern w:val="2"/>
                <w:sz w:val="24"/>
                <w:szCs w:val="24"/>
                <w:vertAlign w:val="superscript"/>
                <w:lang w:bidi="ar"/>
              </w:rPr>
              <w:t>3</w:t>
            </w:r>
            <w:r>
              <w:rPr>
                <w:rFonts w:hint="default" w:ascii="Times New Roman" w:hAnsi="Times New Roman" w:eastAsia="宋体" w:cs="Times New Roman"/>
                <w:color w:val="auto"/>
                <w:kern w:val="2"/>
                <w:sz w:val="24"/>
                <w:szCs w:val="24"/>
                <w:lang w:bidi="ar"/>
              </w:rPr>
              <w:t>。由</w:t>
            </w:r>
            <w:r>
              <w:rPr>
                <w:rFonts w:hint="default"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bidi="ar"/>
              </w:rPr>
              <w:t>个</w:t>
            </w:r>
            <w:r>
              <w:rPr>
                <w:rFonts w:hint="default" w:ascii="Times New Roman" w:hAnsi="Times New Roman" w:eastAsia="宋体" w:cs="Times New Roman"/>
                <w:color w:val="auto"/>
                <w:kern w:val="2"/>
                <w:sz w:val="24"/>
                <w:szCs w:val="24"/>
                <w:lang w:val="en-US" w:eastAsia="zh-CN" w:bidi="ar"/>
              </w:rPr>
              <w:t>20m</w:t>
            </w:r>
            <w:r>
              <w:rPr>
                <w:rFonts w:hint="default" w:ascii="Times New Roman" w:hAnsi="Times New Roman" w:eastAsia="宋体" w:cs="Times New Roman"/>
                <w:color w:val="auto"/>
                <w:kern w:val="2"/>
                <w:sz w:val="24"/>
                <w:szCs w:val="24"/>
                <w:lang w:bidi="ar"/>
              </w:rPr>
              <w:t>高排气筒（P2）排放</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highlight w:val="none"/>
                <w:vertAlign w:val="baseline"/>
                <w:lang w:val="en-US" w:eastAsia="zh-CN" w:bidi="ar"/>
              </w:rPr>
              <w:t>满足《煤炭工业污染物排放标准》（GB20426-2006）大气污染物排放浓度限值要求。</w:t>
            </w:r>
          </w:p>
          <w:p w14:paraId="0A7F8633">
            <w:pPr>
              <w:widowControl w:val="0"/>
              <w:spacing w:line="360" w:lineRule="auto"/>
              <w:ind w:firstLine="480" w:firstLineChars="200"/>
              <w:rPr>
                <w:rFonts w:hint="default" w:ascii="Times New Roman" w:hAnsi="Times New Roman" w:eastAsia="宋体" w:cs="Times New Roman"/>
                <w:color w:val="auto"/>
                <w:kern w:val="2"/>
                <w:sz w:val="24"/>
                <w:szCs w:val="24"/>
                <w:lang w:bidi="ar"/>
              </w:rPr>
            </w:pPr>
            <w:r>
              <w:rPr>
                <w:rFonts w:hint="default" w:ascii="Times New Roman" w:hAnsi="Times New Roman" w:eastAsia="宋体" w:cs="Times New Roman"/>
                <w:color w:val="auto"/>
                <w:kern w:val="2"/>
                <w:sz w:val="24"/>
                <w:szCs w:val="24"/>
                <w:lang w:bidi="ar"/>
              </w:rPr>
              <w:t>注浆站皮带输送转载粉尘的排放速率为</w:t>
            </w:r>
            <w:r>
              <w:rPr>
                <w:rFonts w:hint="default" w:ascii="Times New Roman" w:hAnsi="Times New Roman" w:eastAsia="宋体" w:cs="Times New Roman"/>
                <w:color w:val="auto"/>
                <w:kern w:val="2"/>
                <w:sz w:val="24"/>
                <w:szCs w:val="24"/>
                <w:lang w:val="en-US" w:eastAsia="zh-CN" w:bidi="ar"/>
              </w:rPr>
              <w:t>0.05</w:t>
            </w:r>
            <w:r>
              <w:rPr>
                <w:rFonts w:hint="default" w:ascii="Times New Roman" w:hAnsi="Times New Roman" w:eastAsia="宋体" w:cs="Times New Roman"/>
                <w:color w:val="auto"/>
                <w:kern w:val="2"/>
                <w:sz w:val="24"/>
                <w:szCs w:val="24"/>
                <w:lang w:bidi="ar"/>
              </w:rPr>
              <w:t>kg/h，排放浓度为</w:t>
            </w:r>
            <w:r>
              <w:rPr>
                <w:rFonts w:hint="default" w:ascii="Times New Roman" w:hAnsi="Times New Roman" w:eastAsia="宋体" w:cs="Times New Roman"/>
                <w:color w:val="auto"/>
                <w:kern w:val="2"/>
                <w:sz w:val="24"/>
                <w:szCs w:val="24"/>
                <w:lang w:val="en-US" w:eastAsia="zh-CN" w:bidi="ar"/>
              </w:rPr>
              <w:t>9.09</w:t>
            </w:r>
            <w:r>
              <w:rPr>
                <w:rFonts w:hint="default" w:ascii="Times New Roman" w:hAnsi="Times New Roman" w:eastAsia="宋体" w:cs="Times New Roman"/>
                <w:color w:val="auto"/>
                <w:kern w:val="2"/>
                <w:sz w:val="24"/>
                <w:szCs w:val="24"/>
                <w:lang w:bidi="ar"/>
              </w:rPr>
              <w:t>mg/m</w:t>
            </w:r>
            <w:r>
              <w:rPr>
                <w:rFonts w:hint="default" w:ascii="Times New Roman" w:hAnsi="Times New Roman" w:eastAsia="宋体" w:cs="Times New Roman"/>
                <w:color w:val="auto"/>
                <w:kern w:val="2"/>
                <w:sz w:val="24"/>
                <w:szCs w:val="24"/>
                <w:vertAlign w:val="superscript"/>
                <w:lang w:bidi="ar"/>
              </w:rPr>
              <w:t>3</w:t>
            </w:r>
            <w:r>
              <w:rPr>
                <w:rFonts w:hint="default" w:ascii="Times New Roman" w:hAnsi="Times New Roman" w:eastAsia="宋体" w:cs="Times New Roman"/>
                <w:color w:val="auto"/>
                <w:kern w:val="2"/>
                <w:sz w:val="24"/>
                <w:szCs w:val="24"/>
                <w:lang w:bidi="ar"/>
              </w:rPr>
              <w:t>。由</w:t>
            </w:r>
            <w:r>
              <w:rPr>
                <w:rFonts w:hint="default"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bidi="ar"/>
              </w:rPr>
              <w:t>个</w:t>
            </w:r>
            <w:r>
              <w:rPr>
                <w:rFonts w:hint="default" w:ascii="Times New Roman" w:hAnsi="Times New Roman" w:eastAsia="宋体" w:cs="Times New Roman"/>
                <w:color w:val="auto"/>
                <w:kern w:val="2"/>
                <w:sz w:val="24"/>
                <w:szCs w:val="24"/>
                <w:lang w:val="en-US" w:eastAsia="zh-CN" w:bidi="ar"/>
              </w:rPr>
              <w:t>20m</w:t>
            </w:r>
            <w:r>
              <w:rPr>
                <w:rFonts w:hint="default" w:ascii="Times New Roman" w:hAnsi="Times New Roman" w:eastAsia="宋体" w:cs="Times New Roman"/>
                <w:color w:val="auto"/>
                <w:kern w:val="2"/>
                <w:sz w:val="24"/>
                <w:szCs w:val="24"/>
                <w:lang w:bidi="ar"/>
              </w:rPr>
              <w:t>高排气筒（P</w:t>
            </w:r>
            <w:r>
              <w:rPr>
                <w:rFonts w:hint="default" w:ascii="Times New Roman" w:hAnsi="Times New Roman" w:eastAsia="宋体" w:cs="Times New Roman"/>
                <w:color w:val="auto"/>
                <w:kern w:val="2"/>
                <w:sz w:val="24"/>
                <w:szCs w:val="24"/>
                <w:lang w:val="en-US" w:eastAsia="zh-CN" w:bidi="ar"/>
              </w:rPr>
              <w:t>3</w:t>
            </w:r>
            <w:r>
              <w:rPr>
                <w:rFonts w:hint="default" w:ascii="Times New Roman" w:hAnsi="Times New Roman" w:eastAsia="宋体" w:cs="Times New Roman"/>
                <w:color w:val="auto"/>
                <w:kern w:val="2"/>
                <w:sz w:val="24"/>
                <w:szCs w:val="24"/>
                <w:lang w:bidi="ar"/>
              </w:rPr>
              <w:t>）排放</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highlight w:val="none"/>
                <w:vertAlign w:val="baseline"/>
                <w:lang w:val="en-US" w:eastAsia="zh-CN" w:bidi="ar"/>
              </w:rPr>
              <w:t>满足《煤炭工业污染物排放标准》（GB20426-2006）大气污染物排放浓度限值要求。</w:t>
            </w:r>
          </w:p>
          <w:p w14:paraId="476538A0">
            <w:pPr>
              <w:widowControl w:val="0"/>
              <w:spacing w:line="360" w:lineRule="auto"/>
              <w:ind w:firstLine="480" w:firstLineChars="200"/>
              <w:rPr>
                <w:rFonts w:hint="default" w:ascii="Times New Roman" w:hAnsi="Times New Roman" w:eastAsia="宋体" w:cs="Times New Roman"/>
                <w:color w:val="auto"/>
                <w:kern w:val="2"/>
                <w:sz w:val="24"/>
                <w:szCs w:val="20"/>
                <w:lang w:bidi="ar"/>
              </w:rPr>
            </w:pPr>
            <w:r>
              <w:rPr>
                <w:rFonts w:hint="default" w:ascii="Times New Roman" w:hAnsi="Times New Roman" w:eastAsia="宋体" w:cs="Times New Roman"/>
                <w:color w:val="auto"/>
                <w:kern w:val="2"/>
                <w:sz w:val="24"/>
                <w:szCs w:val="20"/>
                <w:lang w:bidi="ar"/>
              </w:rPr>
              <w:t>经上述污染防治措施治理后，本项目</w:t>
            </w:r>
            <w:r>
              <w:rPr>
                <w:rFonts w:hint="default" w:ascii="Times New Roman" w:hAnsi="Times New Roman" w:eastAsia="宋体" w:cs="Times New Roman"/>
                <w:color w:val="auto"/>
                <w:kern w:val="2"/>
                <w:sz w:val="24"/>
                <w:szCs w:val="20"/>
                <w:lang w:eastAsia="zh-CN" w:bidi="ar"/>
              </w:rPr>
              <w:t>注浆站</w:t>
            </w:r>
            <w:r>
              <w:rPr>
                <w:rFonts w:hint="default" w:ascii="Times New Roman" w:hAnsi="Times New Roman" w:eastAsia="宋体" w:cs="Times New Roman"/>
                <w:color w:val="auto"/>
                <w:kern w:val="2"/>
                <w:sz w:val="24"/>
                <w:szCs w:val="20"/>
                <w:lang w:bidi="ar"/>
              </w:rPr>
              <w:t>破碎等起尘量较小，对环境影响轻微。</w:t>
            </w:r>
          </w:p>
          <w:p w14:paraId="48D83437">
            <w:pPr>
              <w:widowControl w:val="0"/>
              <w:spacing w:line="360" w:lineRule="auto"/>
              <w:ind w:firstLine="480" w:firstLineChars="200"/>
              <w:rPr>
                <w:rFonts w:hint="default" w:ascii="Times New Roman" w:hAnsi="Times New Roman" w:eastAsia="宋体" w:cs="Times New Roman"/>
                <w:color w:val="auto"/>
                <w:kern w:val="2"/>
                <w:sz w:val="24"/>
                <w:szCs w:val="20"/>
                <w:lang w:eastAsia="zh-CN" w:bidi="ar"/>
              </w:rPr>
            </w:pPr>
            <w:r>
              <w:rPr>
                <w:rFonts w:hint="default" w:ascii="Times New Roman" w:hAnsi="Times New Roman" w:eastAsia="宋体" w:cs="Times New Roman"/>
                <w:color w:val="auto"/>
                <w:kern w:val="2"/>
                <w:sz w:val="24"/>
                <w:szCs w:val="20"/>
                <w:lang w:bidi="ar"/>
              </w:rPr>
              <w:t>由此可见，本环评提出的大气污染防治措施可行</w:t>
            </w:r>
            <w:bookmarkEnd w:id="37"/>
            <w:r>
              <w:rPr>
                <w:rFonts w:hint="default" w:ascii="Times New Roman" w:hAnsi="Times New Roman" w:eastAsia="宋体" w:cs="Times New Roman"/>
                <w:color w:val="auto"/>
                <w:kern w:val="2"/>
                <w:sz w:val="24"/>
                <w:szCs w:val="20"/>
                <w:lang w:eastAsia="zh-CN" w:bidi="ar"/>
              </w:rPr>
              <w:t>。</w:t>
            </w:r>
          </w:p>
          <w:p w14:paraId="3899ABB6">
            <w:pPr>
              <w:widowControl w:val="0"/>
              <w:numPr>
                <w:ilvl w:val="0"/>
                <w:numId w:val="0"/>
              </w:numPr>
              <w:spacing w:line="360" w:lineRule="auto"/>
              <w:ind w:firstLine="482" w:firstLineChars="200"/>
              <w:rPr>
                <w:rFonts w:hint="default" w:ascii="Times New Roman" w:hAnsi="Times New Roman" w:eastAsia="宋体" w:cs="Times New Roman"/>
                <w:b/>
                <w:bCs/>
                <w:color w:val="auto"/>
                <w:kern w:val="2"/>
                <w:sz w:val="24"/>
                <w:szCs w:val="24"/>
                <w:highlight w:val="none"/>
                <w:lang w:val="en-US" w:eastAsia="zh-CN" w:bidi="ar"/>
              </w:rPr>
            </w:pPr>
            <w:r>
              <w:rPr>
                <w:rFonts w:hint="default" w:ascii="Times New Roman" w:hAnsi="Times New Roman" w:eastAsia="宋体" w:cs="Times New Roman"/>
                <w:b/>
                <w:bCs/>
                <w:color w:val="auto"/>
                <w:kern w:val="2"/>
                <w:sz w:val="24"/>
                <w:szCs w:val="24"/>
                <w:lang w:val="en-US" w:eastAsia="zh-CN" w:bidi="ar"/>
              </w:rPr>
              <w:t>4、</w:t>
            </w:r>
            <w:r>
              <w:rPr>
                <w:rFonts w:hint="default" w:ascii="Times New Roman" w:hAnsi="Times New Roman" w:eastAsia="宋体" w:cs="Times New Roman"/>
                <w:b/>
                <w:bCs/>
                <w:color w:val="auto"/>
                <w:kern w:val="2"/>
                <w:sz w:val="24"/>
                <w:szCs w:val="24"/>
                <w:highlight w:val="none"/>
                <w:lang w:val="en-US" w:eastAsia="zh-CN" w:bidi="ar"/>
              </w:rPr>
              <w:t>废气监测要求</w:t>
            </w:r>
          </w:p>
          <w:p w14:paraId="5BE93F5C">
            <w:pPr>
              <w:bidi w:val="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lang w:val="en-US" w:eastAsia="zh-CN"/>
              </w:rPr>
              <w:t>根据</w:t>
            </w:r>
            <w:r>
              <w:rPr>
                <w:rFonts w:hint="default" w:ascii="Times New Roman" w:hAnsi="Times New Roman" w:eastAsia="宋体" w:cs="Times New Roman"/>
                <w:color w:val="auto"/>
                <w:kern w:val="0"/>
                <w:sz w:val="24"/>
                <w:szCs w:val="22"/>
                <w:lang w:bidi="en-US"/>
              </w:rPr>
              <w:t>《排污单位自行监测技术指南  总则》（HJ819-2017）</w:t>
            </w:r>
            <w:r>
              <w:rPr>
                <w:rFonts w:hint="default" w:ascii="Times New Roman" w:hAnsi="Times New Roman" w:eastAsia="宋体" w:cs="Times New Roman"/>
                <w:color w:val="auto"/>
                <w:kern w:val="0"/>
                <w:sz w:val="24"/>
                <w:szCs w:val="22"/>
                <w:lang w:eastAsia="zh-CN" w:bidi="en-US"/>
              </w:rPr>
              <w:t>，</w:t>
            </w:r>
            <w:r>
              <w:rPr>
                <w:rFonts w:hint="default" w:ascii="Times New Roman" w:hAnsi="Times New Roman" w:eastAsia="宋体" w:cs="Times New Roman"/>
                <w:color w:val="auto"/>
                <w:kern w:val="2"/>
                <w:sz w:val="24"/>
                <w:szCs w:val="24"/>
                <w:highlight w:val="none"/>
              </w:rPr>
              <w:t>本项目营运期废气监测计划详见下表。</w:t>
            </w:r>
          </w:p>
          <w:p w14:paraId="3AD0F7B8">
            <w:pPr>
              <w:widowControl w:val="0"/>
              <w:tabs>
                <w:tab w:val="left" w:pos="1716"/>
              </w:tabs>
              <w:spacing w:after="4" w:line="360" w:lineRule="auto"/>
              <w:ind w:left="860" w:firstLine="0" w:firstLineChars="0"/>
              <w:jc w:val="center"/>
              <w:rPr>
                <w:rFonts w:hint="default" w:ascii="Times New Roman" w:hAnsi="Times New Roman" w:eastAsia="宋体" w:cs="Times New Roman"/>
                <w:b/>
                <w:color w:val="auto"/>
                <w:kern w:val="2"/>
                <w:sz w:val="24"/>
                <w:szCs w:val="32"/>
                <w:highlight w:val="none"/>
              </w:rPr>
            </w:pPr>
            <w:r>
              <w:rPr>
                <w:rFonts w:hint="default" w:ascii="Times New Roman" w:hAnsi="Times New Roman" w:eastAsia="宋体" w:cs="Times New Roman"/>
                <w:b/>
                <w:color w:val="auto"/>
                <w:kern w:val="2"/>
                <w:sz w:val="24"/>
                <w:szCs w:val="32"/>
                <w:highlight w:val="none"/>
              </w:rPr>
              <w:t>表4-</w:t>
            </w:r>
            <w:r>
              <w:rPr>
                <w:rFonts w:hint="eastAsia" w:cs="Times New Roman"/>
                <w:b/>
                <w:color w:val="auto"/>
                <w:kern w:val="2"/>
                <w:sz w:val="24"/>
                <w:szCs w:val="32"/>
                <w:highlight w:val="none"/>
                <w:lang w:val="en-US" w:eastAsia="zh-CN"/>
              </w:rPr>
              <w:t xml:space="preserve">5  </w:t>
            </w:r>
            <w:r>
              <w:rPr>
                <w:rFonts w:hint="default" w:ascii="Times New Roman" w:hAnsi="Times New Roman" w:eastAsia="宋体" w:cs="Times New Roman"/>
                <w:b/>
                <w:color w:val="auto"/>
                <w:kern w:val="2"/>
                <w:sz w:val="24"/>
                <w:szCs w:val="32"/>
                <w:highlight w:val="none"/>
              </w:rPr>
              <w:t>废气监测计划一览表</w:t>
            </w:r>
          </w:p>
          <w:tbl>
            <w:tblPr>
              <w:tblStyle w:val="25"/>
              <w:tblW w:w="4984"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65"/>
              <w:gridCol w:w="754"/>
              <w:gridCol w:w="1289"/>
              <w:gridCol w:w="4713"/>
            </w:tblGrid>
            <w:tr w14:paraId="134B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08" w:type="pct"/>
                  <w:tcBorders>
                    <w:tl2br w:val="nil"/>
                    <w:tr2bl w:val="nil"/>
                  </w:tcBorders>
                  <w:noWrap/>
                  <w:vAlign w:val="center"/>
                </w:tcPr>
                <w:p w14:paraId="19F09A5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监测点位</w:t>
                  </w:r>
                </w:p>
              </w:tc>
              <w:tc>
                <w:tcPr>
                  <w:tcW w:w="501" w:type="pct"/>
                  <w:tcBorders>
                    <w:tl2br w:val="nil"/>
                    <w:tr2bl w:val="nil"/>
                  </w:tcBorders>
                  <w:noWrap/>
                  <w:vAlign w:val="center"/>
                </w:tcPr>
                <w:p w14:paraId="30B0222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监测指标</w:t>
                  </w:r>
                </w:p>
              </w:tc>
              <w:tc>
                <w:tcPr>
                  <w:tcW w:w="856" w:type="pct"/>
                  <w:tcBorders>
                    <w:tl2br w:val="nil"/>
                    <w:tr2bl w:val="nil"/>
                  </w:tcBorders>
                  <w:noWrap/>
                  <w:vAlign w:val="center"/>
                </w:tcPr>
                <w:p w14:paraId="70EE7F6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监测频次</w:t>
                  </w:r>
                </w:p>
              </w:tc>
              <w:tc>
                <w:tcPr>
                  <w:tcW w:w="3133" w:type="pct"/>
                  <w:tcBorders>
                    <w:tl2br w:val="nil"/>
                    <w:tr2bl w:val="nil"/>
                  </w:tcBorders>
                  <w:noWrap/>
                  <w:vAlign w:val="center"/>
                </w:tcPr>
                <w:p w14:paraId="458C13B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执行排放标准</w:t>
                  </w:r>
                </w:p>
              </w:tc>
            </w:tr>
            <w:tr w14:paraId="66002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08" w:type="pct"/>
                  <w:tcBorders>
                    <w:tl2br w:val="nil"/>
                    <w:tr2bl w:val="nil"/>
                  </w:tcBorders>
                  <w:noWrap/>
                  <w:vAlign w:val="center"/>
                </w:tcPr>
                <w:p w14:paraId="72E046D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厂界</w:t>
                  </w:r>
                </w:p>
              </w:tc>
              <w:tc>
                <w:tcPr>
                  <w:tcW w:w="501" w:type="pct"/>
                  <w:tcBorders>
                    <w:tl2br w:val="nil"/>
                    <w:tr2bl w:val="nil"/>
                  </w:tcBorders>
                  <w:noWrap/>
                  <w:vAlign w:val="center"/>
                </w:tcPr>
                <w:p w14:paraId="4654E4A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856" w:type="pct"/>
                  <w:tcBorders>
                    <w:tl2br w:val="nil"/>
                    <w:tr2bl w:val="nil"/>
                  </w:tcBorders>
                  <w:noWrap/>
                  <w:vAlign w:val="center"/>
                </w:tcPr>
                <w:p w14:paraId="15714AD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每年一次</w:t>
                  </w:r>
                </w:p>
              </w:tc>
              <w:tc>
                <w:tcPr>
                  <w:tcW w:w="3133" w:type="pct"/>
                  <w:tcBorders>
                    <w:tl2br w:val="nil"/>
                    <w:tr2bl w:val="nil"/>
                  </w:tcBorders>
                  <w:noWrap/>
                  <w:vAlign w:val="center"/>
                </w:tcPr>
                <w:p w14:paraId="5849607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《煤炭工业污染物排放标准》（GB20426-2006）表5排放限值</w:t>
                  </w:r>
                </w:p>
              </w:tc>
            </w:tr>
            <w:tr w14:paraId="34AAE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08" w:type="pct"/>
                  <w:tcBorders>
                    <w:tl2br w:val="nil"/>
                    <w:tr2bl w:val="nil"/>
                  </w:tcBorders>
                  <w:noWrap/>
                  <w:vAlign w:val="center"/>
                </w:tcPr>
                <w:p w14:paraId="18B27BD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P1</w:t>
                  </w:r>
                </w:p>
              </w:tc>
              <w:tc>
                <w:tcPr>
                  <w:tcW w:w="501" w:type="pct"/>
                  <w:tcBorders>
                    <w:tl2br w:val="nil"/>
                    <w:tr2bl w:val="nil"/>
                  </w:tcBorders>
                  <w:noWrap/>
                  <w:vAlign w:val="center"/>
                </w:tcPr>
                <w:p w14:paraId="13F5505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856" w:type="pct"/>
                  <w:tcBorders>
                    <w:tl2br w:val="nil"/>
                    <w:tr2bl w:val="nil"/>
                  </w:tcBorders>
                  <w:noWrap/>
                  <w:vAlign w:val="center"/>
                </w:tcPr>
                <w:p w14:paraId="19F5593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每半年一次</w:t>
                  </w:r>
                </w:p>
              </w:tc>
              <w:tc>
                <w:tcPr>
                  <w:tcW w:w="3133" w:type="pct"/>
                  <w:tcBorders>
                    <w:tl2br w:val="nil"/>
                    <w:tr2bl w:val="nil"/>
                  </w:tcBorders>
                  <w:noWrap/>
                  <w:vAlign w:val="center"/>
                </w:tcPr>
                <w:p w14:paraId="73AB13B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《煤炭工业污染物排放标准》（GB20426-2006）表4排放限值</w:t>
                  </w:r>
                </w:p>
              </w:tc>
            </w:tr>
            <w:tr w14:paraId="2C3F6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08" w:type="pct"/>
                  <w:tcBorders>
                    <w:tl2br w:val="nil"/>
                    <w:tr2bl w:val="nil"/>
                  </w:tcBorders>
                  <w:noWrap/>
                  <w:vAlign w:val="center"/>
                </w:tcPr>
                <w:p w14:paraId="270108F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P2</w:t>
                  </w:r>
                </w:p>
              </w:tc>
              <w:tc>
                <w:tcPr>
                  <w:tcW w:w="501" w:type="pct"/>
                  <w:tcBorders>
                    <w:tl2br w:val="nil"/>
                    <w:tr2bl w:val="nil"/>
                  </w:tcBorders>
                  <w:noWrap/>
                  <w:vAlign w:val="center"/>
                </w:tcPr>
                <w:p w14:paraId="2D12FC3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856" w:type="pct"/>
                  <w:tcBorders>
                    <w:tl2br w:val="nil"/>
                    <w:tr2bl w:val="nil"/>
                  </w:tcBorders>
                  <w:noWrap/>
                  <w:vAlign w:val="center"/>
                </w:tcPr>
                <w:p w14:paraId="3B27D28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每半年一次</w:t>
                  </w:r>
                </w:p>
              </w:tc>
              <w:tc>
                <w:tcPr>
                  <w:tcW w:w="3133" w:type="pct"/>
                  <w:tcBorders>
                    <w:tl2br w:val="nil"/>
                    <w:tr2bl w:val="nil"/>
                  </w:tcBorders>
                  <w:noWrap/>
                  <w:vAlign w:val="center"/>
                </w:tcPr>
                <w:p w14:paraId="53F234D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《煤炭工业污染物排放标准》（GB20426-2006）表4排放限值</w:t>
                  </w:r>
                </w:p>
              </w:tc>
            </w:tr>
            <w:tr w14:paraId="523EC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508" w:type="pct"/>
                  <w:tcBorders>
                    <w:tl2br w:val="nil"/>
                    <w:tr2bl w:val="nil"/>
                  </w:tcBorders>
                  <w:noWrap/>
                  <w:vAlign w:val="center"/>
                </w:tcPr>
                <w:p w14:paraId="43A5040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P3</w:t>
                  </w:r>
                </w:p>
              </w:tc>
              <w:tc>
                <w:tcPr>
                  <w:tcW w:w="501" w:type="pct"/>
                  <w:tcBorders>
                    <w:tl2br w:val="nil"/>
                    <w:tr2bl w:val="nil"/>
                  </w:tcBorders>
                  <w:noWrap/>
                  <w:vAlign w:val="center"/>
                </w:tcPr>
                <w:p w14:paraId="0A9FCCC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颗粒物</w:t>
                  </w:r>
                </w:p>
              </w:tc>
              <w:tc>
                <w:tcPr>
                  <w:tcW w:w="856" w:type="pct"/>
                  <w:tcBorders>
                    <w:tl2br w:val="nil"/>
                    <w:tr2bl w:val="nil"/>
                  </w:tcBorders>
                  <w:noWrap/>
                  <w:vAlign w:val="center"/>
                </w:tcPr>
                <w:p w14:paraId="71CD509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每半年一次</w:t>
                  </w:r>
                </w:p>
              </w:tc>
              <w:tc>
                <w:tcPr>
                  <w:tcW w:w="3133" w:type="pct"/>
                  <w:tcBorders>
                    <w:tl2br w:val="nil"/>
                    <w:tr2bl w:val="nil"/>
                  </w:tcBorders>
                  <w:noWrap/>
                  <w:vAlign w:val="center"/>
                </w:tcPr>
                <w:p w14:paraId="092FCC8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《煤炭工业污染物排放标准》（GB20426-2006）表4排放限值</w:t>
                  </w:r>
                </w:p>
              </w:tc>
            </w:tr>
          </w:tbl>
          <w:p w14:paraId="3EF3F1B3">
            <w:pPr>
              <w:numPr>
                <w:ilvl w:val="0"/>
                <w:numId w:val="5"/>
              </w:numPr>
              <w:spacing w:line="360" w:lineRule="auto"/>
              <w:ind w:firstLine="482" w:firstLineChars="200"/>
              <w:rPr>
                <w:rFonts w:hint="default" w:ascii="Times New Roman" w:hAnsi="Times New Roman" w:eastAsia="宋体" w:cs="Times New Roman"/>
                <w:b/>
                <w:bCs/>
                <w:color w:val="auto"/>
              </w:rPr>
            </w:pPr>
            <w:r>
              <w:rPr>
                <w:rFonts w:hint="default" w:ascii="Times New Roman" w:hAnsi="Times New Roman" w:eastAsia="宋体" w:cs="Times New Roman"/>
                <w:b/>
                <w:bCs/>
                <w:color w:val="auto"/>
                <w:sz w:val="24"/>
                <w:lang w:bidi="ar"/>
              </w:rPr>
              <w:t>水环境影响分析与保护措施</w:t>
            </w:r>
          </w:p>
          <w:p w14:paraId="43FCE16A">
            <w:pPr>
              <w:numPr>
                <w:ilvl w:val="0"/>
                <w:numId w:val="0"/>
              </w:numPr>
              <w:spacing w:line="360" w:lineRule="auto"/>
              <w:ind w:firstLine="482" w:firstLineChars="200"/>
              <w:rPr>
                <w:rFonts w:hint="default" w:ascii="Times New Roman" w:hAnsi="Times New Roman" w:eastAsia="宋体" w:cs="Times New Roman"/>
                <w:b/>
                <w:bCs/>
                <w:color w:val="auto"/>
              </w:rPr>
            </w:pPr>
            <w:r>
              <w:rPr>
                <w:rFonts w:hint="default" w:ascii="Times New Roman" w:hAnsi="Times New Roman" w:eastAsia="宋体" w:cs="Times New Roman"/>
                <w:b/>
                <w:bCs/>
                <w:color w:val="auto"/>
              </w:rPr>
              <w:t>1</w:t>
            </w:r>
            <w:r>
              <w:rPr>
                <w:rFonts w:hint="default" w:ascii="Times New Roman" w:hAnsi="Times New Roman" w:eastAsia="宋体" w:cs="Times New Roman"/>
                <w:b/>
                <w:bCs/>
                <w:color w:val="auto"/>
                <w:lang w:eastAsia="zh-CN"/>
              </w:rPr>
              <w:t>、</w:t>
            </w:r>
            <w:r>
              <w:rPr>
                <w:rFonts w:hint="default" w:ascii="Times New Roman" w:hAnsi="Times New Roman" w:eastAsia="宋体" w:cs="Times New Roman"/>
                <w:b/>
                <w:bCs/>
                <w:color w:val="auto"/>
              </w:rPr>
              <w:t>水环境影响</w:t>
            </w:r>
          </w:p>
          <w:p w14:paraId="73D156CB">
            <w:pPr>
              <w:spacing w:line="396"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本项目废水主要为日常生活污水</w:t>
            </w:r>
            <w:r>
              <w:rPr>
                <w:rFonts w:hint="default" w:ascii="Times New Roman" w:hAnsi="Times New Roman" w:eastAsia="宋体" w:cs="Times New Roman"/>
                <w:color w:val="auto"/>
                <w:sz w:val="24"/>
                <w:lang w:eastAsia="zh-CN" w:bidi="ar"/>
              </w:rPr>
              <w:t>、室内地面冲洗废水、注浆管道冲洗废水</w:t>
            </w:r>
            <w:r>
              <w:rPr>
                <w:rFonts w:hint="default" w:ascii="Times New Roman" w:hAnsi="Times New Roman" w:eastAsia="宋体" w:cs="Times New Roman"/>
                <w:color w:val="auto"/>
                <w:sz w:val="24"/>
                <w:lang w:bidi="ar"/>
              </w:rPr>
              <w:t>。</w:t>
            </w:r>
          </w:p>
          <w:p w14:paraId="511477C3">
            <w:pPr>
              <w:widowControl w:val="0"/>
              <w:spacing w:line="360" w:lineRule="auto"/>
              <w:ind w:firstLine="482" w:firstLineChars="0"/>
              <w:rPr>
                <w:rFonts w:hint="default" w:ascii="Times New Roman" w:hAnsi="Times New Roman" w:eastAsia="宋体" w:cs="Times New Roman"/>
                <w:color w:val="auto"/>
                <w:kern w:val="2"/>
                <w:sz w:val="24"/>
                <w:szCs w:val="24"/>
                <w:lang w:eastAsia="zh-CN"/>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1）生活</w:t>
            </w:r>
            <w:r>
              <w:rPr>
                <w:rFonts w:hint="default" w:ascii="Times New Roman" w:hAnsi="Times New Roman" w:eastAsia="宋体" w:cs="Times New Roman"/>
                <w:color w:val="auto"/>
                <w:kern w:val="2"/>
                <w:sz w:val="24"/>
                <w:szCs w:val="24"/>
                <w:lang w:val="en-US" w:eastAsia="zh-CN"/>
              </w:rPr>
              <w:t>污水</w:t>
            </w:r>
          </w:p>
          <w:p w14:paraId="2F16D284">
            <w:pPr>
              <w:widowControl w:val="0"/>
              <w:spacing w:line="360" w:lineRule="auto"/>
              <w:ind w:firstLine="482"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0"/>
                <w:sz w:val="24"/>
                <w:szCs w:val="24"/>
              </w:rPr>
              <w:t>本项目新增劳动定员56人，项目全年实际生产天数为330天。根据《内蒙古自治区行业用水定额》（DB15/T385-2020），工作人员生活用水按60L/（人·d），用水量为3.36m³/d，即1108.8m³/a</w:t>
            </w:r>
            <w:r>
              <w:rPr>
                <w:rFonts w:hint="default" w:ascii="Times New Roman" w:hAnsi="Times New Roman" w:eastAsia="宋体" w:cs="Times New Roman"/>
                <w:color w:val="auto"/>
                <w:kern w:val="2"/>
                <w:sz w:val="24"/>
                <w:szCs w:val="24"/>
              </w:rPr>
              <w:t>。生活污水产生量按用水量的80%计，则生活污水产量为2.6</w:t>
            </w:r>
            <w:r>
              <w:rPr>
                <w:rFonts w:hint="default" w:ascii="Times New Roman" w:hAnsi="Times New Roman" w:eastAsia="宋体" w:cs="Times New Roman"/>
                <w:color w:val="auto"/>
                <w:kern w:val="2"/>
                <w:sz w:val="24"/>
                <w:szCs w:val="24"/>
                <w:lang w:val="en-US" w:eastAsia="zh-CN"/>
              </w:rPr>
              <w:t>9</w:t>
            </w:r>
            <w:r>
              <w:rPr>
                <w:rFonts w:hint="default" w:ascii="Times New Roman" w:hAnsi="Times New Roman" w:eastAsia="宋体" w:cs="Times New Roman"/>
                <w:color w:val="auto"/>
                <w:kern w:val="2"/>
                <w:sz w:val="24"/>
                <w:szCs w:val="24"/>
              </w:rPr>
              <w:t>m³/d，即887.04m³/a，依托现有</w:t>
            </w:r>
            <w:r>
              <w:rPr>
                <w:rFonts w:hint="default" w:ascii="Times New Roman" w:hAnsi="Times New Roman" w:eastAsia="宋体" w:cs="Times New Roman"/>
                <w:color w:val="auto"/>
                <w:kern w:val="2"/>
                <w:sz w:val="24"/>
                <w:szCs w:val="24"/>
                <w:lang w:eastAsia="zh-CN"/>
              </w:rPr>
              <w:t>白家海子</w:t>
            </w:r>
            <w:r>
              <w:rPr>
                <w:rFonts w:hint="default" w:ascii="Times New Roman" w:hAnsi="Times New Roman" w:eastAsia="宋体" w:cs="Times New Roman"/>
                <w:color w:val="auto"/>
                <w:kern w:val="2"/>
                <w:sz w:val="24"/>
                <w:szCs w:val="24"/>
              </w:rPr>
              <w:t>煤矿工业场地生活污水处理站处理达标后用于绿化和降尘洒水等。</w:t>
            </w:r>
          </w:p>
          <w:p w14:paraId="4F5D80F2">
            <w:pPr>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2</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sz w:val="24"/>
                <w:szCs w:val="24"/>
                <w:lang w:val="en-US" w:eastAsia="zh-CN" w:bidi="ar-SA"/>
              </w:rPr>
              <w:t>室内地面冲洗废水</w:t>
            </w:r>
          </w:p>
          <w:p w14:paraId="5B4799E5">
            <w:pPr>
              <w:widowControl w:val="0"/>
              <w:spacing w:line="360" w:lineRule="auto"/>
              <w:ind w:firstLine="482"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冲洗面积为776.76m</w:t>
            </w:r>
            <w:r>
              <w:rPr>
                <w:rFonts w:hint="default" w:ascii="Times New Roman" w:hAnsi="Times New Roman" w:eastAsia="宋体" w:cs="Times New Roman"/>
                <w:color w:val="auto"/>
                <w:kern w:val="2"/>
                <w:sz w:val="24"/>
                <w:szCs w:val="24"/>
                <w:vertAlign w:val="superscript"/>
                <w:lang w:val="en-US" w:eastAsia="zh-CN"/>
              </w:rPr>
              <w:t>2</w:t>
            </w:r>
            <w:r>
              <w:rPr>
                <w:rFonts w:hint="default" w:ascii="Times New Roman" w:hAnsi="Times New Roman" w:eastAsia="宋体" w:cs="Times New Roman"/>
                <w:color w:val="auto"/>
                <w:kern w:val="2"/>
                <w:sz w:val="24"/>
                <w:szCs w:val="24"/>
                <w:lang w:val="en-US" w:eastAsia="zh-CN"/>
              </w:rPr>
              <w:t>，用水标准为5L/m</w:t>
            </w:r>
            <w:r>
              <w:rPr>
                <w:rFonts w:hint="default" w:ascii="Times New Roman" w:hAnsi="Times New Roman" w:eastAsia="宋体" w:cs="Times New Roman"/>
                <w:color w:val="auto"/>
                <w:kern w:val="2"/>
                <w:sz w:val="24"/>
                <w:szCs w:val="24"/>
                <w:vertAlign w:val="superscript"/>
                <w:lang w:val="en-US" w:eastAsia="zh-CN"/>
              </w:rPr>
              <w:t>2</w:t>
            </w:r>
            <w:r>
              <w:rPr>
                <w:rFonts w:hint="default" w:ascii="Times New Roman" w:hAnsi="Times New Roman" w:eastAsia="宋体" w:cs="Times New Roman"/>
                <w:color w:val="auto"/>
                <w:kern w:val="2"/>
                <w:sz w:val="24"/>
                <w:szCs w:val="24"/>
                <w:lang w:val="en-US" w:eastAsia="zh-CN"/>
              </w:rPr>
              <w:t>/d，则</w:t>
            </w:r>
            <w:r>
              <w:rPr>
                <w:rFonts w:hint="default" w:ascii="Times New Roman" w:hAnsi="Times New Roman" w:eastAsia="宋体" w:cs="Times New Roman"/>
                <w:color w:val="auto"/>
                <w:kern w:val="2"/>
                <w:sz w:val="24"/>
                <w:szCs w:val="24"/>
              </w:rPr>
              <w:t>地面冲洗用水总量为</w:t>
            </w:r>
            <w:r>
              <w:rPr>
                <w:rFonts w:hint="default" w:ascii="Times New Roman" w:hAnsi="Times New Roman" w:eastAsia="宋体" w:cs="Times New Roman"/>
                <w:color w:val="auto"/>
                <w:kern w:val="2"/>
                <w:sz w:val="24"/>
                <w:szCs w:val="24"/>
                <w:lang w:val="en-US" w:eastAsia="zh-CN"/>
              </w:rPr>
              <w:t>3.88</w:t>
            </w:r>
            <w:r>
              <w:rPr>
                <w:rFonts w:hint="default" w:ascii="Times New Roman" w:hAnsi="Times New Roman" w:eastAsia="宋体" w:cs="Times New Roman"/>
                <w:color w:val="auto"/>
                <w:kern w:val="2"/>
                <w:sz w:val="24"/>
                <w:szCs w:val="24"/>
              </w:rPr>
              <w:t>m³/d（</w:t>
            </w:r>
            <w:r>
              <w:rPr>
                <w:rFonts w:hint="default" w:ascii="Times New Roman" w:hAnsi="Times New Roman" w:eastAsia="宋体" w:cs="Times New Roman"/>
                <w:color w:val="auto"/>
                <w:kern w:val="2"/>
                <w:sz w:val="24"/>
                <w:szCs w:val="24"/>
                <w:lang w:val="en-US" w:eastAsia="zh-CN"/>
              </w:rPr>
              <w:t>1281.65</w:t>
            </w:r>
            <w:r>
              <w:rPr>
                <w:rFonts w:hint="default" w:ascii="Times New Roman" w:hAnsi="Times New Roman" w:eastAsia="宋体" w:cs="Times New Roman"/>
                <w:color w:val="auto"/>
                <w:kern w:val="2"/>
                <w:sz w:val="24"/>
                <w:szCs w:val="24"/>
              </w:rPr>
              <w:t>m</w:t>
            </w:r>
            <w:r>
              <w:rPr>
                <w:rFonts w:hint="default" w:ascii="Times New Roman" w:hAnsi="Times New Roman" w:eastAsia="宋体" w:cs="Times New Roman"/>
                <w:color w:val="auto"/>
                <w:kern w:val="2"/>
                <w:sz w:val="24"/>
                <w:szCs w:val="24"/>
                <w:vertAlign w:val="superscript"/>
              </w:rPr>
              <w:t>3</w:t>
            </w:r>
            <w:r>
              <w:rPr>
                <w:rFonts w:hint="default" w:ascii="Times New Roman" w:hAnsi="Times New Roman" w:eastAsia="宋体" w:cs="Times New Roman"/>
                <w:color w:val="auto"/>
                <w:kern w:val="2"/>
                <w:sz w:val="24"/>
                <w:szCs w:val="24"/>
              </w:rPr>
              <w:t>/a）。产生量按用水量的</w:t>
            </w:r>
            <w:r>
              <w:rPr>
                <w:rFonts w:hint="default" w:ascii="Times New Roman" w:hAnsi="Times New Roman" w:eastAsia="宋体" w:cs="Times New Roman"/>
                <w:color w:val="auto"/>
                <w:kern w:val="2"/>
                <w:sz w:val="24"/>
                <w:szCs w:val="24"/>
                <w:lang w:val="en-US" w:eastAsia="zh-CN"/>
              </w:rPr>
              <w:t>8</w:t>
            </w:r>
            <w:r>
              <w:rPr>
                <w:rFonts w:hint="default" w:ascii="Times New Roman" w:hAnsi="Times New Roman" w:eastAsia="宋体" w:cs="Times New Roman"/>
                <w:color w:val="auto"/>
                <w:kern w:val="2"/>
                <w:sz w:val="24"/>
                <w:szCs w:val="24"/>
              </w:rPr>
              <w:t>0%计算，</w:t>
            </w:r>
            <w:r>
              <w:rPr>
                <w:rFonts w:hint="default" w:ascii="Times New Roman" w:hAnsi="Times New Roman" w:eastAsia="宋体" w:cs="Times New Roman"/>
                <w:color w:val="auto"/>
                <w:kern w:val="2"/>
                <w:sz w:val="24"/>
                <w:szCs w:val="24"/>
                <w:lang w:val="en-US" w:eastAsia="zh-CN"/>
              </w:rPr>
              <w:t>产生</w:t>
            </w:r>
            <w:r>
              <w:rPr>
                <w:rFonts w:hint="default" w:ascii="Times New Roman" w:hAnsi="Times New Roman" w:eastAsia="宋体" w:cs="Times New Roman"/>
                <w:color w:val="auto"/>
                <w:kern w:val="2"/>
                <w:sz w:val="24"/>
                <w:szCs w:val="24"/>
              </w:rPr>
              <w:t>污水量为</w:t>
            </w:r>
            <w:r>
              <w:rPr>
                <w:rFonts w:hint="default" w:ascii="Times New Roman" w:hAnsi="Times New Roman" w:eastAsia="宋体" w:cs="Times New Roman"/>
                <w:color w:val="auto"/>
                <w:kern w:val="2"/>
                <w:sz w:val="24"/>
                <w:szCs w:val="24"/>
                <w:lang w:val="en-US" w:eastAsia="zh-CN"/>
              </w:rPr>
              <w:t>3.11</w:t>
            </w:r>
            <w:r>
              <w:rPr>
                <w:rFonts w:hint="default" w:ascii="Times New Roman" w:hAnsi="Times New Roman" w:eastAsia="宋体" w:cs="Times New Roman"/>
                <w:color w:val="auto"/>
                <w:kern w:val="2"/>
                <w:sz w:val="24"/>
                <w:szCs w:val="24"/>
              </w:rPr>
              <w:t>m³/d，</w:t>
            </w:r>
            <w:r>
              <w:rPr>
                <w:rFonts w:hint="default" w:ascii="Times New Roman" w:hAnsi="Times New Roman" w:eastAsia="宋体" w:cs="Times New Roman"/>
                <w:color w:val="auto"/>
                <w:kern w:val="2"/>
                <w:sz w:val="24"/>
                <w:szCs w:val="24"/>
                <w:lang w:val="en-US" w:eastAsia="zh-CN"/>
              </w:rPr>
              <w:t>1025.32</w:t>
            </w:r>
            <w:r>
              <w:rPr>
                <w:rFonts w:hint="default" w:ascii="Times New Roman" w:hAnsi="Times New Roman" w:eastAsia="宋体" w:cs="Times New Roman"/>
                <w:color w:val="auto"/>
                <w:kern w:val="2"/>
                <w:sz w:val="24"/>
                <w:szCs w:val="24"/>
              </w:rPr>
              <w:t>m³/a，经收集池收集后回用于</w:t>
            </w:r>
            <w:r>
              <w:rPr>
                <w:rFonts w:hint="default" w:ascii="Times New Roman" w:hAnsi="Times New Roman" w:eastAsia="宋体" w:cs="Times New Roman"/>
                <w:color w:val="auto"/>
                <w:kern w:val="2"/>
                <w:sz w:val="24"/>
                <w:szCs w:val="24"/>
                <w:lang w:eastAsia="zh-CN"/>
              </w:rPr>
              <w:t>球磨</w:t>
            </w:r>
            <w:r>
              <w:rPr>
                <w:rFonts w:hint="default" w:ascii="Times New Roman" w:hAnsi="Times New Roman" w:eastAsia="宋体" w:cs="Times New Roman"/>
                <w:color w:val="auto"/>
                <w:kern w:val="2"/>
                <w:sz w:val="24"/>
                <w:szCs w:val="24"/>
              </w:rPr>
              <w:t>工序。</w:t>
            </w:r>
          </w:p>
          <w:p w14:paraId="107DA7A1">
            <w:pPr>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3</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sz w:val="24"/>
                <w:szCs w:val="24"/>
                <w:lang w:val="en-US" w:eastAsia="zh-CN" w:bidi="ar-SA"/>
              </w:rPr>
              <w:t>注浆管道冲洗废水</w:t>
            </w:r>
          </w:p>
          <w:p w14:paraId="16FD8F94">
            <w:pPr>
              <w:spacing w:line="396"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2"/>
                <w:sz w:val="24"/>
                <w:szCs w:val="24"/>
                <w:highlight w:val="none"/>
                <w:lang w:val="en-US" w:eastAsia="zh-CN"/>
              </w:rPr>
              <w:t>注浆管道冲洗用水</w:t>
            </w:r>
            <w:r>
              <w:rPr>
                <w:rFonts w:hint="default" w:ascii="Times New Roman" w:hAnsi="Times New Roman" w:eastAsia="宋体" w:cs="Times New Roman"/>
                <w:color w:val="auto"/>
                <w:kern w:val="2"/>
                <w:sz w:val="24"/>
                <w:szCs w:val="24"/>
                <w:highlight w:val="none"/>
              </w:rPr>
              <w:t>总量为</w:t>
            </w:r>
            <w:r>
              <w:rPr>
                <w:rFonts w:hint="default" w:ascii="Times New Roman" w:hAnsi="Times New Roman" w:eastAsia="宋体" w:cs="Times New Roman"/>
                <w:color w:val="auto"/>
                <w:kern w:val="2"/>
                <w:sz w:val="24"/>
                <w:szCs w:val="24"/>
                <w:highlight w:val="none"/>
                <w:lang w:val="en-US" w:eastAsia="zh-CN"/>
              </w:rPr>
              <w:t>149</w:t>
            </w:r>
            <w:r>
              <w:rPr>
                <w:rFonts w:hint="default" w:ascii="Times New Roman" w:hAnsi="Times New Roman" w:eastAsia="宋体" w:cs="Times New Roman"/>
                <w:color w:val="auto"/>
                <w:kern w:val="2"/>
                <w:sz w:val="24"/>
                <w:szCs w:val="24"/>
                <w:highlight w:val="none"/>
              </w:rPr>
              <w:t>m³/d，（</w:t>
            </w:r>
            <w:r>
              <w:rPr>
                <w:rFonts w:hint="default" w:ascii="Times New Roman" w:hAnsi="Times New Roman" w:eastAsia="宋体" w:cs="Times New Roman"/>
                <w:color w:val="auto"/>
                <w:kern w:val="2"/>
                <w:sz w:val="24"/>
                <w:szCs w:val="24"/>
                <w:highlight w:val="none"/>
                <w:lang w:val="en-US" w:eastAsia="zh-CN"/>
              </w:rPr>
              <w:t>49170</w:t>
            </w:r>
            <w:r>
              <w:rPr>
                <w:rFonts w:hint="default" w:ascii="Times New Roman" w:hAnsi="Times New Roman" w:eastAsia="宋体" w:cs="Times New Roman"/>
                <w:color w:val="auto"/>
                <w:kern w:val="2"/>
                <w:sz w:val="24"/>
                <w:szCs w:val="24"/>
                <w:highlight w:val="none"/>
              </w:rPr>
              <w:t>m</w:t>
            </w:r>
            <w:r>
              <w:rPr>
                <w:rFonts w:hint="default" w:ascii="Times New Roman" w:hAnsi="Times New Roman" w:eastAsia="宋体" w:cs="Times New Roman"/>
                <w:color w:val="auto"/>
                <w:kern w:val="2"/>
                <w:sz w:val="24"/>
                <w:szCs w:val="24"/>
                <w:highlight w:val="none"/>
                <w:vertAlign w:val="superscript"/>
              </w:rPr>
              <w:t>3</w:t>
            </w:r>
            <w:r>
              <w:rPr>
                <w:rFonts w:hint="default" w:ascii="Times New Roman" w:hAnsi="Times New Roman" w:eastAsia="宋体" w:cs="Times New Roman"/>
                <w:color w:val="auto"/>
                <w:kern w:val="2"/>
                <w:sz w:val="24"/>
                <w:szCs w:val="24"/>
                <w:highlight w:val="none"/>
              </w:rPr>
              <w:t>/a）。</w:t>
            </w:r>
            <w:r>
              <w:rPr>
                <w:rFonts w:hint="default" w:ascii="Times New Roman" w:hAnsi="Times New Roman" w:eastAsia="宋体" w:cs="Times New Roman"/>
                <w:color w:val="auto"/>
                <w:sz w:val="24"/>
                <w:szCs w:val="24"/>
                <w:highlight w:val="none"/>
                <w:lang w:val="en-US" w:eastAsia="zh-CN"/>
              </w:rPr>
              <w:t>全部</w:t>
            </w:r>
            <w:r>
              <w:rPr>
                <w:rFonts w:hint="default" w:ascii="Times New Roman" w:hAnsi="Times New Roman" w:eastAsia="宋体" w:cs="Times New Roman"/>
                <w:color w:val="auto"/>
                <w:sz w:val="24"/>
                <w:szCs w:val="24"/>
                <w:highlight w:val="none"/>
              </w:rPr>
              <w:t>进入注浆管道随矸石浆液充填井下</w:t>
            </w:r>
            <w:r>
              <w:rPr>
                <w:rFonts w:hint="default" w:ascii="Times New Roman" w:hAnsi="Times New Roman" w:eastAsia="宋体" w:cs="Times New Roman"/>
                <w:color w:val="auto"/>
                <w:sz w:val="24"/>
                <w:highlight w:val="none"/>
                <w:lang w:bidi="ar"/>
              </w:rPr>
              <w:t>。</w:t>
            </w:r>
          </w:p>
          <w:p w14:paraId="73A10718">
            <w:pPr>
              <w:spacing w:line="396" w:lineRule="auto"/>
              <w:ind w:firstLine="482"/>
              <w:rPr>
                <w:rFonts w:hint="default" w:ascii="Times New Roman" w:hAnsi="Times New Roman" w:eastAsia="宋体" w:cs="Times New Roman"/>
                <w:color w:val="auto"/>
                <w:sz w:val="24"/>
                <w:szCs w:val="21"/>
              </w:rPr>
            </w:pPr>
            <w:r>
              <w:rPr>
                <w:rFonts w:hint="default" w:ascii="Times New Roman" w:hAnsi="Times New Roman" w:eastAsia="宋体" w:cs="Times New Roman"/>
                <w:color w:val="auto"/>
                <w:sz w:val="24"/>
                <w:szCs w:val="21"/>
                <w:lang w:bidi="ar"/>
              </w:rPr>
              <w:t>本项目废水污染物排放量具体见表</w:t>
            </w:r>
            <w:r>
              <w:rPr>
                <w:rFonts w:hint="default" w:ascii="Times New Roman" w:hAnsi="Times New Roman" w:eastAsia="宋体" w:cs="Times New Roman"/>
                <w:color w:val="auto"/>
                <w:sz w:val="24"/>
                <w:szCs w:val="21"/>
                <w:lang w:val="en-US" w:eastAsia="zh-CN" w:bidi="ar"/>
              </w:rPr>
              <w:t>4-</w:t>
            </w:r>
            <w:r>
              <w:rPr>
                <w:rFonts w:hint="eastAsia" w:cs="Times New Roman"/>
                <w:color w:val="auto"/>
                <w:sz w:val="24"/>
                <w:szCs w:val="21"/>
                <w:lang w:val="en-US" w:eastAsia="zh-CN" w:bidi="ar"/>
              </w:rPr>
              <w:t>6</w:t>
            </w:r>
            <w:r>
              <w:rPr>
                <w:rFonts w:hint="default" w:ascii="Times New Roman" w:hAnsi="Times New Roman" w:eastAsia="宋体" w:cs="Times New Roman"/>
                <w:color w:val="auto"/>
                <w:sz w:val="24"/>
                <w:szCs w:val="21"/>
                <w:lang w:bidi="ar"/>
              </w:rPr>
              <w:t>。</w:t>
            </w:r>
          </w:p>
          <w:p w14:paraId="68D483E5">
            <w:pPr>
              <w:autoSpaceDE w:val="0"/>
              <w:autoSpaceDN w:val="0"/>
              <w:adjustRightInd w:val="0"/>
              <w:jc w:val="center"/>
              <w:rPr>
                <w:rFonts w:hint="default" w:ascii="Times New Roman" w:hAnsi="Times New Roman" w:eastAsia="宋体" w:cs="Times New Roman"/>
                <w:b/>
                <w:bCs/>
                <w:color w:val="auto"/>
                <w:kern w:val="0"/>
                <w:sz w:val="24"/>
                <w:szCs w:val="28"/>
                <w:lang w:bidi="ar"/>
              </w:rPr>
            </w:pPr>
            <w:r>
              <w:rPr>
                <w:rFonts w:hint="default" w:ascii="Times New Roman" w:hAnsi="Times New Roman" w:eastAsia="宋体" w:cs="Times New Roman"/>
                <w:b/>
                <w:bCs/>
                <w:color w:val="auto"/>
                <w:kern w:val="0"/>
                <w:sz w:val="24"/>
                <w:szCs w:val="28"/>
                <w:lang w:bidi="ar"/>
              </w:rPr>
              <w:t>表</w:t>
            </w:r>
            <w:r>
              <w:rPr>
                <w:rFonts w:hint="default" w:ascii="Times New Roman" w:hAnsi="Times New Roman" w:eastAsia="宋体" w:cs="Times New Roman"/>
                <w:b/>
                <w:bCs/>
                <w:color w:val="auto"/>
                <w:kern w:val="0"/>
                <w:sz w:val="24"/>
                <w:szCs w:val="28"/>
                <w:lang w:val="en-US" w:eastAsia="zh-CN" w:bidi="ar"/>
              </w:rPr>
              <w:t>4-</w:t>
            </w:r>
            <w:r>
              <w:rPr>
                <w:rFonts w:hint="eastAsia" w:cs="Times New Roman"/>
                <w:b/>
                <w:bCs/>
                <w:color w:val="auto"/>
                <w:kern w:val="0"/>
                <w:sz w:val="24"/>
                <w:szCs w:val="28"/>
                <w:lang w:val="en-US" w:eastAsia="zh-CN" w:bidi="ar"/>
              </w:rPr>
              <w:t>6</w:t>
            </w:r>
            <w:r>
              <w:rPr>
                <w:rFonts w:hint="default" w:ascii="Times New Roman" w:hAnsi="Times New Roman" w:eastAsia="宋体" w:cs="Times New Roman"/>
                <w:b/>
                <w:bCs/>
                <w:color w:val="auto"/>
                <w:kern w:val="0"/>
                <w:sz w:val="24"/>
                <w:szCs w:val="28"/>
                <w:lang w:bidi="ar"/>
              </w:rPr>
              <w:t xml:space="preserve">    本项目主要废水产排情况一览表</w:t>
            </w:r>
          </w:p>
          <w:tbl>
            <w:tblPr>
              <w:tblStyle w:val="25"/>
              <w:tblW w:w="755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2"/>
              <w:gridCol w:w="845"/>
              <w:gridCol w:w="822"/>
              <w:gridCol w:w="822"/>
              <w:gridCol w:w="846"/>
              <w:gridCol w:w="822"/>
              <w:gridCol w:w="822"/>
              <w:gridCol w:w="850"/>
              <w:gridCol w:w="901"/>
            </w:tblGrid>
            <w:tr w14:paraId="2C895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5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BC0276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种类</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10614C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废水量m</w:t>
                  </w:r>
                  <w:r>
                    <w:rPr>
                      <w:rFonts w:hint="default" w:ascii="Times New Roman" w:hAnsi="Times New Roman" w:eastAsia="宋体" w:cs="Times New Roman"/>
                      <w:bCs/>
                      <w:color w:val="auto"/>
                      <w:sz w:val="21"/>
                      <w:szCs w:val="21"/>
                      <w:highlight w:val="none"/>
                      <w:vertAlign w:val="superscript"/>
                      <w:lang w:val="en-US" w:eastAsia="zh-CN" w:bidi="ar-SA"/>
                    </w:rPr>
                    <w:t>3</w:t>
                  </w:r>
                  <w:r>
                    <w:rPr>
                      <w:rFonts w:hint="default" w:ascii="Times New Roman" w:hAnsi="Times New Roman" w:eastAsia="宋体" w:cs="Times New Roman"/>
                      <w:bCs/>
                      <w:color w:val="auto"/>
                      <w:sz w:val="21"/>
                      <w:szCs w:val="21"/>
                      <w:highlight w:val="none"/>
                      <w:lang w:val="en-US" w:eastAsia="zh-CN" w:bidi="ar-SA"/>
                    </w:rPr>
                    <w:t>/a</w:t>
                  </w:r>
                </w:p>
              </w:tc>
              <w:tc>
                <w:tcPr>
                  <w:tcW w:w="5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95E2330">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污染物</w:t>
                  </w:r>
                </w:p>
              </w:tc>
              <w:tc>
                <w:tcPr>
                  <w:tcW w:w="110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99CF20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污染物产生情况</w:t>
                  </w:r>
                </w:p>
              </w:tc>
              <w:tc>
                <w:tcPr>
                  <w:tcW w:w="5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CF19B2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治理设施</w:t>
                  </w:r>
                </w:p>
              </w:tc>
              <w:tc>
                <w:tcPr>
                  <w:tcW w:w="110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83F119B">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排放情况</w:t>
                  </w:r>
                </w:p>
              </w:tc>
              <w:tc>
                <w:tcPr>
                  <w:tcW w:w="59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2704D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排放去向</w:t>
                  </w:r>
                </w:p>
              </w:tc>
            </w:tr>
            <w:tr w14:paraId="7D39D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EFDFDCB">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2A5F6F4">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7F970BF">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A9E4B">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浓度mg/L</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FCBC7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产生量t/a</w:t>
                  </w:r>
                </w:p>
              </w:tc>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9A896E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3BB57D">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浓度mg/L</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C7FF5B">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排放量t/a</w:t>
                  </w:r>
                </w:p>
              </w:tc>
              <w:tc>
                <w:tcPr>
                  <w:tcW w:w="59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FFA1AB3">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r>
            <w:tr w14:paraId="22D0D7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5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976D91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生活污水</w:t>
                  </w:r>
                </w:p>
              </w:tc>
              <w:tc>
                <w:tcPr>
                  <w:tcW w:w="55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02C757">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887.04</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98455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CODcr</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0CBD74">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350</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061D47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0.31 </w:t>
                  </w:r>
                </w:p>
              </w:tc>
              <w:tc>
                <w:tcPr>
                  <w:tcW w:w="54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BCC1F1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现有煤矿生活处理设备处理</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8EA153">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80</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BD2BA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0.07 </w:t>
                  </w:r>
                </w:p>
              </w:tc>
              <w:tc>
                <w:tcPr>
                  <w:tcW w:w="59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F4CCB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用于绿化和降尘洒水等，不外排</w:t>
                  </w:r>
                </w:p>
              </w:tc>
            </w:tr>
            <w:tr w14:paraId="026F1E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59FAF1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A6098B">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D4E5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BOD</w:t>
                  </w:r>
                  <w:r>
                    <w:rPr>
                      <w:rFonts w:hint="default" w:ascii="Times New Roman" w:hAnsi="Times New Roman" w:eastAsia="宋体" w:cs="Times New Roman"/>
                      <w:bCs/>
                      <w:color w:val="auto"/>
                      <w:sz w:val="21"/>
                      <w:szCs w:val="21"/>
                      <w:highlight w:val="none"/>
                      <w:vertAlign w:val="subscript"/>
                      <w:lang w:val="en-US" w:eastAsia="zh-CN" w:bidi="ar-SA"/>
                    </w:rPr>
                    <w:t>5</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950624">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200</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4DD3D7">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0.18 </w:t>
                  </w:r>
                </w:p>
              </w:tc>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543148">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3D12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8</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F2402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0.01 </w:t>
                  </w:r>
                </w:p>
              </w:tc>
              <w:tc>
                <w:tcPr>
                  <w:tcW w:w="59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094721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r>
            <w:tr w14:paraId="160AED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FD0D96">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DA7990">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1532B0">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NH</w:t>
                  </w:r>
                  <w:r>
                    <w:rPr>
                      <w:rFonts w:hint="default" w:ascii="Times New Roman" w:hAnsi="Times New Roman" w:eastAsia="宋体" w:cs="Times New Roman"/>
                      <w:bCs/>
                      <w:color w:val="auto"/>
                      <w:sz w:val="21"/>
                      <w:szCs w:val="21"/>
                      <w:highlight w:val="none"/>
                      <w:vertAlign w:val="subscript"/>
                      <w:lang w:val="en-US" w:eastAsia="zh-CN" w:bidi="ar-SA"/>
                    </w:rPr>
                    <w:t>3</w:t>
                  </w:r>
                  <w:r>
                    <w:rPr>
                      <w:rFonts w:hint="default" w:ascii="Times New Roman" w:hAnsi="Times New Roman" w:eastAsia="宋体" w:cs="Times New Roman"/>
                      <w:bCs/>
                      <w:color w:val="auto"/>
                      <w:sz w:val="21"/>
                      <w:szCs w:val="21"/>
                      <w:highlight w:val="none"/>
                      <w:lang w:val="en-US" w:eastAsia="zh-CN" w:bidi="ar-SA"/>
                    </w:rPr>
                    <w:t>-N</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BBC37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30</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C8050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0.03 </w:t>
                  </w:r>
                </w:p>
              </w:tc>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88617">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D87702">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6</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3BA80">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0.01 </w:t>
                  </w:r>
                </w:p>
              </w:tc>
              <w:tc>
                <w:tcPr>
                  <w:tcW w:w="59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022567">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r>
            <w:tr w14:paraId="18F2AC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3C4453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5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67B70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4C9054">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SS</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CBDD9FC">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300</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3C7174">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0.27 </w:t>
                  </w:r>
                </w:p>
              </w:tc>
              <w:tc>
                <w:tcPr>
                  <w:tcW w:w="54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5AD70D">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3EB62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45</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800E6">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0.04 </w:t>
                  </w:r>
                </w:p>
              </w:tc>
              <w:tc>
                <w:tcPr>
                  <w:tcW w:w="59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E1BAFA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p>
              </w:tc>
            </w:tr>
            <w:tr w14:paraId="731F49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0A881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注浆站冲洗废水</w:t>
                  </w:r>
                </w:p>
              </w:tc>
              <w:tc>
                <w:tcPr>
                  <w:tcW w:w="5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A14AC7">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1025.32 </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55C06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SS</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E1BB96">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3000</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5F2161">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3.08 </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F0AF95">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D153CE">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1DD84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0.00 </w:t>
                  </w:r>
                </w:p>
              </w:tc>
              <w:tc>
                <w:tcPr>
                  <w:tcW w:w="5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5B64CA">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通过收集池收集后回用于球磨工序</w:t>
                  </w:r>
                </w:p>
              </w:tc>
            </w:tr>
            <w:tr w14:paraId="4ECFE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592F86">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注浆管道冲洗废水</w:t>
                  </w:r>
                </w:p>
              </w:tc>
              <w:tc>
                <w:tcPr>
                  <w:tcW w:w="55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053722">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49170</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F54C4">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SS</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163FA9">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3000</w:t>
                  </w:r>
                </w:p>
              </w:tc>
              <w:tc>
                <w:tcPr>
                  <w:tcW w:w="56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F1A511">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147.51 </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A1DFEF">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w:t>
                  </w:r>
                </w:p>
              </w:tc>
              <w:tc>
                <w:tcPr>
                  <w:tcW w:w="5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F1CD13">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3000</w:t>
                  </w:r>
                </w:p>
              </w:tc>
              <w:tc>
                <w:tcPr>
                  <w:tcW w:w="56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2A41E25">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 xml:space="preserve">147.51 </w:t>
                  </w:r>
                </w:p>
              </w:tc>
              <w:tc>
                <w:tcPr>
                  <w:tcW w:w="5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530FB1">
                  <w:pPr>
                    <w:adjustRightInd w:val="0"/>
                    <w:snapToGrid w:val="0"/>
                    <w:spacing w:line="240" w:lineRule="atLeast"/>
                    <w:ind w:left="0" w:leftChars="0" w:firstLine="0" w:firstLine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进入注浆管道随矸石浆液充填井下</w:t>
                  </w:r>
                </w:p>
              </w:tc>
            </w:tr>
          </w:tbl>
          <w:p w14:paraId="2E8E140B">
            <w:pPr>
              <w:spacing w:line="360" w:lineRule="auto"/>
              <w:ind w:firstLine="482" w:firstLineChars="200"/>
              <w:outlineLvl w:val="3"/>
              <w:rPr>
                <w:rFonts w:hint="default" w:ascii="Times New Roman" w:hAnsi="Times New Roman" w:eastAsia="宋体" w:cs="Times New Roman"/>
                <w:b/>
                <w:color w:val="auto"/>
                <w:sz w:val="24"/>
              </w:rPr>
            </w:pPr>
            <w:r>
              <w:rPr>
                <w:rFonts w:hint="default" w:ascii="Times New Roman" w:hAnsi="Times New Roman" w:eastAsia="宋体" w:cs="Times New Roman"/>
                <w:b/>
                <w:bCs/>
                <w:color w:val="auto"/>
                <w:kern w:val="0"/>
                <w:sz w:val="24"/>
                <w:szCs w:val="20"/>
                <w:lang w:bidi="ar"/>
              </w:rPr>
              <w:t>2</w:t>
            </w:r>
            <w:r>
              <w:rPr>
                <w:rFonts w:hint="default" w:ascii="Times New Roman" w:hAnsi="Times New Roman" w:eastAsia="宋体" w:cs="Times New Roman"/>
                <w:b/>
                <w:bCs/>
                <w:color w:val="auto"/>
                <w:kern w:val="0"/>
                <w:sz w:val="24"/>
                <w:szCs w:val="20"/>
                <w:lang w:eastAsia="zh-CN" w:bidi="ar"/>
              </w:rPr>
              <w:t>、</w:t>
            </w:r>
            <w:r>
              <w:rPr>
                <w:rFonts w:hint="default" w:ascii="Times New Roman" w:hAnsi="Times New Roman" w:eastAsia="宋体" w:cs="Times New Roman"/>
                <w:b/>
                <w:color w:val="auto"/>
                <w:sz w:val="24"/>
                <w:lang w:bidi="ar"/>
              </w:rPr>
              <w:t>废水处理措施</w:t>
            </w:r>
          </w:p>
          <w:p w14:paraId="2EC29276">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本项目运营期废水主要为职工日常生活污水</w:t>
            </w:r>
            <w:r>
              <w:rPr>
                <w:rFonts w:hint="default" w:ascii="Times New Roman" w:hAnsi="Times New Roman" w:eastAsia="宋体" w:cs="Times New Roman"/>
                <w:color w:val="auto"/>
                <w:sz w:val="24"/>
                <w:lang w:eastAsia="zh-CN" w:bidi="ar"/>
              </w:rPr>
              <w:t>、</w:t>
            </w:r>
            <w:r>
              <w:rPr>
                <w:rFonts w:hint="default" w:ascii="Times New Roman" w:hAnsi="Times New Roman" w:eastAsia="宋体" w:cs="Times New Roman"/>
                <w:color w:val="auto"/>
                <w:sz w:val="24"/>
                <w:lang w:val="en-US" w:eastAsia="zh-CN" w:bidi="ar"/>
              </w:rPr>
              <w:t>注浆站地面</w:t>
            </w:r>
            <w:r>
              <w:rPr>
                <w:rFonts w:hint="default" w:ascii="Times New Roman" w:hAnsi="Times New Roman" w:eastAsia="宋体" w:cs="Times New Roman"/>
                <w:color w:val="auto"/>
                <w:sz w:val="24"/>
                <w:lang w:bidi="ar"/>
              </w:rPr>
              <w:t>冲洗</w:t>
            </w:r>
            <w:r>
              <w:rPr>
                <w:rFonts w:hint="default" w:ascii="Times New Roman" w:hAnsi="Times New Roman" w:eastAsia="宋体" w:cs="Times New Roman"/>
                <w:color w:val="auto"/>
                <w:sz w:val="24"/>
                <w:lang w:val="en-US" w:eastAsia="zh-CN" w:bidi="ar"/>
              </w:rPr>
              <w:t>废</w:t>
            </w:r>
            <w:r>
              <w:rPr>
                <w:rFonts w:hint="default" w:ascii="Times New Roman" w:hAnsi="Times New Roman" w:eastAsia="宋体" w:cs="Times New Roman"/>
                <w:color w:val="auto"/>
                <w:sz w:val="24"/>
                <w:lang w:bidi="ar"/>
              </w:rPr>
              <w:t>水</w:t>
            </w:r>
            <w:r>
              <w:rPr>
                <w:rFonts w:hint="default" w:ascii="Times New Roman" w:hAnsi="Times New Roman" w:eastAsia="宋体" w:cs="Times New Roman"/>
                <w:color w:val="auto"/>
                <w:sz w:val="24"/>
                <w:lang w:eastAsia="zh-CN" w:bidi="ar"/>
              </w:rPr>
              <w:t>、注浆管道冲洗废水</w:t>
            </w:r>
            <w:r>
              <w:rPr>
                <w:rFonts w:hint="default" w:ascii="Times New Roman" w:hAnsi="Times New Roman" w:eastAsia="宋体" w:cs="Times New Roman"/>
                <w:color w:val="auto"/>
                <w:sz w:val="24"/>
                <w:lang w:bidi="ar"/>
              </w:rPr>
              <w:t>。</w:t>
            </w:r>
          </w:p>
          <w:p w14:paraId="2DBFA302">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本项目职工住宿依托现有生活办公区办公室和宿舍楼，因此生活污水经现有</w:t>
            </w:r>
            <w:r>
              <w:rPr>
                <w:rFonts w:hint="default" w:ascii="Times New Roman" w:hAnsi="Times New Roman" w:eastAsia="宋体" w:cs="Times New Roman"/>
                <w:color w:val="auto"/>
                <w:lang w:val="en-US" w:eastAsia="zh-CN"/>
              </w:rPr>
              <w:t>白家海子</w:t>
            </w:r>
            <w:r>
              <w:rPr>
                <w:rFonts w:hint="default" w:ascii="Times New Roman" w:hAnsi="Times New Roman" w:eastAsia="宋体" w:cs="Times New Roman"/>
                <w:color w:val="auto"/>
                <w:sz w:val="24"/>
                <w:szCs w:val="24"/>
              </w:rPr>
              <w:t>煤矿工业场地生活污水处理站处理</w:t>
            </w:r>
            <w:r>
              <w:rPr>
                <w:rFonts w:hint="default" w:ascii="Times New Roman" w:hAnsi="Times New Roman" w:eastAsia="宋体" w:cs="Times New Roman"/>
                <w:color w:val="auto"/>
                <w:sz w:val="24"/>
                <w:szCs w:val="21"/>
                <w:lang w:bidi="ar"/>
              </w:rPr>
              <w:t>达到《城市污水再生利用 城市杂用水水质》(GB/T 18920-2020)标准</w:t>
            </w:r>
            <w:r>
              <w:rPr>
                <w:rFonts w:hint="default" w:ascii="Times New Roman" w:hAnsi="Times New Roman" w:eastAsia="宋体" w:cs="Times New Roman"/>
                <w:color w:val="auto"/>
                <w:sz w:val="24"/>
                <w:szCs w:val="24"/>
              </w:rPr>
              <w:t>后用于绿化和降尘洒水等</w:t>
            </w:r>
            <w:r>
              <w:rPr>
                <w:rFonts w:hint="default" w:ascii="Times New Roman" w:hAnsi="Times New Roman" w:eastAsia="宋体" w:cs="Times New Roman"/>
                <w:color w:val="auto"/>
                <w:sz w:val="24"/>
                <w:lang w:bidi="ar"/>
              </w:rPr>
              <w:t>。</w:t>
            </w:r>
          </w:p>
          <w:p w14:paraId="46060A45">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bidi="ar"/>
              </w:rPr>
              <w:t>本项目</w:t>
            </w:r>
            <w:r>
              <w:rPr>
                <w:rFonts w:hint="default" w:ascii="Times New Roman" w:hAnsi="Times New Roman" w:eastAsia="宋体" w:cs="Times New Roman"/>
                <w:color w:val="auto"/>
                <w:sz w:val="24"/>
                <w:szCs w:val="24"/>
                <w:lang w:val="en-US" w:eastAsia="zh-CN" w:bidi="ar"/>
              </w:rPr>
              <w:t>注浆站</w:t>
            </w:r>
            <w:r>
              <w:rPr>
                <w:rFonts w:hint="default" w:ascii="Times New Roman" w:hAnsi="Times New Roman" w:eastAsia="宋体" w:cs="Times New Roman"/>
                <w:color w:val="auto"/>
                <w:sz w:val="24"/>
                <w:szCs w:val="24"/>
              </w:rPr>
              <w:t>地面冲洗</w:t>
            </w:r>
            <w:r>
              <w:rPr>
                <w:rFonts w:hint="default" w:ascii="Times New Roman" w:hAnsi="Times New Roman" w:eastAsia="宋体" w:cs="Times New Roman"/>
                <w:color w:val="auto"/>
                <w:sz w:val="24"/>
                <w:szCs w:val="24"/>
                <w:lang w:val="en-US" w:eastAsia="zh-CN"/>
              </w:rPr>
              <w:t>废水</w:t>
            </w:r>
            <w:r>
              <w:rPr>
                <w:rFonts w:hint="default" w:ascii="Times New Roman" w:hAnsi="Times New Roman" w:eastAsia="宋体" w:cs="Times New Roman"/>
                <w:color w:val="auto"/>
                <w:sz w:val="24"/>
                <w:szCs w:val="24"/>
              </w:rPr>
              <w:t>通过</w:t>
            </w:r>
            <w:r>
              <w:rPr>
                <w:rFonts w:hint="default" w:ascii="Times New Roman" w:hAnsi="Times New Roman" w:eastAsia="宋体" w:cs="Times New Roman"/>
                <w:color w:val="auto"/>
                <w:sz w:val="24"/>
                <w:szCs w:val="24"/>
                <w:lang w:val="en-US" w:eastAsia="zh-CN"/>
              </w:rPr>
              <w:t>收集池收集后回用于球磨工序，注浆管道冲洗废水</w:t>
            </w:r>
            <w:r>
              <w:rPr>
                <w:rFonts w:hint="default" w:ascii="Times New Roman" w:hAnsi="Times New Roman" w:eastAsia="宋体" w:cs="Times New Roman"/>
                <w:color w:val="auto"/>
                <w:sz w:val="24"/>
                <w:szCs w:val="24"/>
              </w:rPr>
              <w:t>随矸石浆液充填井下。</w:t>
            </w:r>
          </w:p>
          <w:p w14:paraId="1F3BC3FF">
            <w:pPr>
              <w:adjustRightInd w:val="0"/>
              <w:snapToGrid w:val="0"/>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因此本项目</w:t>
            </w:r>
            <w:r>
              <w:rPr>
                <w:rFonts w:hint="default" w:ascii="Times New Roman" w:hAnsi="Times New Roman" w:eastAsia="宋体" w:cs="Times New Roman"/>
                <w:color w:val="auto"/>
                <w:sz w:val="24"/>
                <w:szCs w:val="24"/>
              </w:rPr>
              <w:t>废水</w:t>
            </w:r>
            <w:r>
              <w:rPr>
                <w:rFonts w:hint="default" w:ascii="Times New Roman" w:hAnsi="Times New Roman" w:eastAsia="宋体" w:cs="Times New Roman"/>
                <w:color w:val="auto"/>
                <w:sz w:val="24"/>
                <w:szCs w:val="24"/>
                <w:lang w:val="en-US" w:eastAsia="zh-CN"/>
              </w:rPr>
              <w:t>措施</w:t>
            </w:r>
            <w:r>
              <w:rPr>
                <w:rFonts w:hint="default" w:ascii="Times New Roman" w:hAnsi="Times New Roman" w:eastAsia="宋体" w:cs="Times New Roman"/>
                <w:color w:val="auto"/>
                <w:sz w:val="24"/>
                <w:szCs w:val="24"/>
              </w:rPr>
              <w:t>可行</w:t>
            </w:r>
            <w:r>
              <w:rPr>
                <w:rFonts w:hint="default" w:ascii="Times New Roman" w:hAnsi="Times New Roman" w:eastAsia="宋体" w:cs="Times New Roman"/>
                <w:color w:val="auto"/>
                <w:sz w:val="24"/>
                <w:szCs w:val="24"/>
                <w:lang w:eastAsia="zh-CN"/>
              </w:rPr>
              <w:t>。</w:t>
            </w:r>
          </w:p>
          <w:p w14:paraId="07F7D79D">
            <w:pPr>
              <w:widowControl w:val="0"/>
              <w:topLinePunct/>
              <w:spacing w:before="0" w:beforeAutospacing="0" w:after="0" w:afterAutospacing="0" w:line="360" w:lineRule="auto"/>
              <w:ind w:firstLine="482" w:firstLineChars="200"/>
              <w:jc w:val="both"/>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
              </w:rPr>
              <w:t>（三）声环境影响与评价</w:t>
            </w:r>
          </w:p>
          <w:bookmarkEnd w:id="27"/>
          <w:bookmarkEnd w:id="28"/>
          <w:p w14:paraId="02ADE9B3">
            <w:pPr>
              <w:bidi w:val="0"/>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lang w:val="en-US" w:eastAsia="zh-CN"/>
              </w:rPr>
              <w:t>1、</w:t>
            </w:r>
            <w:r>
              <w:rPr>
                <w:rFonts w:hint="default" w:ascii="Times New Roman" w:hAnsi="Times New Roman" w:eastAsia="宋体" w:cs="Times New Roman"/>
                <w:b/>
                <w:bCs/>
                <w:color w:val="auto"/>
              </w:rPr>
              <w:t>噪声</w:t>
            </w:r>
            <w:r>
              <w:rPr>
                <w:rFonts w:hint="default" w:ascii="Times New Roman" w:hAnsi="Times New Roman" w:eastAsia="宋体" w:cs="Times New Roman"/>
                <w:b/>
                <w:bCs/>
                <w:color w:val="auto"/>
                <w:lang w:val="en-US" w:eastAsia="zh-CN"/>
              </w:rPr>
              <w:t>源强</w:t>
            </w:r>
          </w:p>
          <w:p w14:paraId="362DDD14">
            <w:pPr>
              <w:widowControl/>
              <w:jc w:val="left"/>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lang w:val="en-US" w:eastAsia="zh-CN" w:bidi="ar"/>
              </w:rPr>
              <w:t>项目噪声主要为皮带输送机、破碎机、制砂机、球磨机、振动筛、泥浆泵、湿式除尘洗气机等设备运行噪声，噪声源强在75-85dB（A），企业采取</w:t>
            </w:r>
            <w:r>
              <w:rPr>
                <w:rFonts w:hint="default" w:ascii="Times New Roman" w:hAnsi="Times New Roman" w:eastAsia="宋体" w:cs="Times New Roman"/>
                <w:color w:val="auto"/>
              </w:rPr>
              <w:t>选用低噪声设备</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bidi="ar"/>
              </w:rPr>
              <w:t>基础减振、设备在车间内厂房隔声等措施。设备噪声产生具体情况及治理措施见下表。</w:t>
            </w:r>
          </w:p>
        </w:tc>
      </w:tr>
    </w:tbl>
    <w:p w14:paraId="5B1E4497">
      <w:pPr>
        <w:ind w:firstLine="0" w:firstLineChars="0"/>
        <w:jc w:val="center"/>
        <w:rPr>
          <w:rFonts w:hint="default" w:ascii="Times New Roman" w:hAnsi="Times New Roman" w:eastAsia="宋体" w:cs="Times New Roman"/>
          <w:bCs/>
          <w:color w:val="auto"/>
          <w:szCs w:val="21"/>
        </w:rPr>
        <w:sectPr>
          <w:pgSz w:w="11906" w:h="16838"/>
          <w:pgMar w:top="1440" w:right="1800" w:bottom="1440" w:left="1800" w:header="992" w:footer="992" w:gutter="0"/>
          <w:pgBorders>
            <w:top w:val="none" w:sz="0" w:space="0"/>
            <w:left w:val="none" w:sz="0" w:space="0"/>
            <w:bottom w:val="none" w:sz="0" w:space="0"/>
            <w:right w:val="none" w:sz="0" w:space="0"/>
          </w:pgBorders>
          <w:cols w:space="425" w:num="1"/>
          <w:docGrid w:type="lines"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1E8F9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14:paraId="1FBC0D70">
            <w:pPr>
              <w:pStyle w:val="37"/>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szCs w:val="24"/>
                <w:lang w:val="en-US" w:eastAsia="zh-CN"/>
              </w:rPr>
              <w:t>表4-</w:t>
            </w:r>
            <w:r>
              <w:rPr>
                <w:rFonts w:hint="eastAsia" w:cs="Times New Roman"/>
                <w:color w:val="auto"/>
                <w:sz w:val="24"/>
                <w:szCs w:val="24"/>
                <w:lang w:val="en-US" w:eastAsia="zh-CN"/>
              </w:rPr>
              <w:t>7</w:t>
            </w:r>
            <w:r>
              <w:rPr>
                <w:rFonts w:hint="default" w:ascii="Times New Roman" w:hAnsi="Times New Roman" w:eastAsia="宋体" w:cs="Times New Roman"/>
                <w:color w:val="auto"/>
                <w:sz w:val="24"/>
                <w:szCs w:val="24"/>
                <w:lang w:eastAsia="zh-CN"/>
              </w:rPr>
              <w:t>运营期设备噪声源强一览表</w:t>
            </w:r>
          </w:p>
          <w:tbl>
            <w:tblPr>
              <w:tblStyle w:val="26"/>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712"/>
              <w:gridCol w:w="846"/>
              <w:gridCol w:w="1182"/>
              <w:gridCol w:w="1109"/>
              <w:gridCol w:w="1159"/>
              <w:gridCol w:w="1282"/>
              <w:gridCol w:w="1182"/>
              <w:gridCol w:w="1182"/>
              <w:gridCol w:w="1182"/>
              <w:gridCol w:w="1182"/>
              <w:gridCol w:w="1182"/>
            </w:tblGrid>
            <w:tr w14:paraId="37AA1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269" w:type="pct"/>
                  <w:vMerge w:val="restart"/>
                  <w:tcBorders>
                    <w:tl2br w:val="nil"/>
                    <w:tr2bl w:val="nil"/>
                  </w:tcBorders>
                  <w:vAlign w:val="center"/>
                </w:tcPr>
                <w:p w14:paraId="152EAF13">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613" w:type="pct"/>
                  <w:vMerge w:val="restart"/>
                  <w:tcBorders>
                    <w:tl2br w:val="nil"/>
                    <w:tr2bl w:val="nil"/>
                  </w:tcBorders>
                  <w:vAlign w:val="center"/>
                </w:tcPr>
                <w:p w14:paraId="2F1A24D0">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声源名称</w:t>
                  </w:r>
                </w:p>
              </w:tc>
              <w:tc>
                <w:tcPr>
                  <w:tcW w:w="303" w:type="pct"/>
                  <w:vMerge w:val="restart"/>
                  <w:tcBorders>
                    <w:tl2br w:val="nil"/>
                    <w:tr2bl w:val="nil"/>
                  </w:tcBorders>
                  <w:vAlign w:val="center"/>
                </w:tcPr>
                <w:p w14:paraId="2968F6DF">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c>
                <w:tcPr>
                  <w:tcW w:w="423" w:type="pct"/>
                  <w:vMerge w:val="restart"/>
                  <w:tcBorders>
                    <w:tl2br w:val="nil"/>
                    <w:tr2bl w:val="nil"/>
                  </w:tcBorders>
                  <w:vAlign w:val="center"/>
                </w:tcPr>
                <w:p w14:paraId="39BD6017">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治理前dB（A）</w:t>
                  </w:r>
                </w:p>
              </w:tc>
              <w:tc>
                <w:tcPr>
                  <w:tcW w:w="1271" w:type="pct"/>
                  <w:gridSpan w:val="3"/>
                  <w:tcBorders>
                    <w:tl2br w:val="nil"/>
                    <w:tr2bl w:val="nil"/>
                  </w:tcBorders>
                  <w:vAlign w:val="center"/>
                </w:tcPr>
                <w:p w14:paraId="5E28039C">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相对空间位置</w:t>
                  </w:r>
                </w:p>
              </w:tc>
              <w:tc>
                <w:tcPr>
                  <w:tcW w:w="423" w:type="pct"/>
                  <w:vMerge w:val="restart"/>
                  <w:tcBorders>
                    <w:tl2br w:val="nil"/>
                    <w:tr2bl w:val="nil"/>
                  </w:tcBorders>
                  <w:vAlign w:val="center"/>
                </w:tcPr>
                <w:p w14:paraId="36D5C37D">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声源控制措施</w:t>
                  </w:r>
                </w:p>
              </w:tc>
              <w:tc>
                <w:tcPr>
                  <w:tcW w:w="423" w:type="pct"/>
                  <w:vMerge w:val="restart"/>
                  <w:tcBorders>
                    <w:tl2br w:val="nil"/>
                    <w:tr2bl w:val="nil"/>
                  </w:tcBorders>
                  <w:vAlign w:val="center"/>
                </w:tcPr>
                <w:p w14:paraId="61ACC90E">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噪声性质</w:t>
                  </w:r>
                </w:p>
              </w:tc>
              <w:tc>
                <w:tcPr>
                  <w:tcW w:w="423" w:type="pct"/>
                  <w:vMerge w:val="restart"/>
                  <w:tcBorders>
                    <w:tl2br w:val="nil"/>
                    <w:tr2bl w:val="nil"/>
                  </w:tcBorders>
                  <w:vAlign w:val="center"/>
                </w:tcPr>
                <w:p w14:paraId="17E3486B">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运行时段</w:t>
                  </w:r>
                </w:p>
              </w:tc>
              <w:tc>
                <w:tcPr>
                  <w:tcW w:w="423" w:type="pct"/>
                  <w:vMerge w:val="restart"/>
                  <w:tcBorders>
                    <w:tl2br w:val="nil"/>
                    <w:tr2bl w:val="nil"/>
                  </w:tcBorders>
                  <w:vAlign w:val="center"/>
                </w:tcPr>
                <w:p w14:paraId="62A0E0C9">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建筑插入损失dB（A）</w:t>
                  </w:r>
                </w:p>
              </w:tc>
              <w:tc>
                <w:tcPr>
                  <w:tcW w:w="423" w:type="pct"/>
                  <w:vMerge w:val="restart"/>
                  <w:tcBorders>
                    <w:tl2br w:val="nil"/>
                    <w:tr2bl w:val="nil"/>
                  </w:tcBorders>
                  <w:vAlign w:val="center"/>
                </w:tcPr>
                <w:p w14:paraId="3BC6D81D">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治理后dB（A）</w:t>
                  </w:r>
                </w:p>
              </w:tc>
            </w:tr>
            <w:tr w14:paraId="25497B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269" w:type="pct"/>
                  <w:vMerge w:val="continue"/>
                  <w:tcBorders>
                    <w:tl2br w:val="nil"/>
                    <w:tr2bl w:val="nil"/>
                  </w:tcBorders>
                  <w:vAlign w:val="center"/>
                </w:tcPr>
                <w:p w14:paraId="39E501A9">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rPr>
                  </w:pPr>
                </w:p>
              </w:tc>
              <w:tc>
                <w:tcPr>
                  <w:tcW w:w="613" w:type="pct"/>
                  <w:vMerge w:val="continue"/>
                  <w:tcBorders>
                    <w:tl2br w:val="nil"/>
                    <w:tr2bl w:val="nil"/>
                  </w:tcBorders>
                  <w:vAlign w:val="center"/>
                </w:tcPr>
                <w:p w14:paraId="0EBFF46E">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rPr>
                  </w:pPr>
                </w:p>
              </w:tc>
              <w:tc>
                <w:tcPr>
                  <w:tcW w:w="303" w:type="pct"/>
                  <w:vMerge w:val="continue"/>
                  <w:tcBorders>
                    <w:tl2br w:val="nil"/>
                    <w:tr2bl w:val="nil"/>
                  </w:tcBorders>
                  <w:vAlign w:val="center"/>
                </w:tcPr>
                <w:p w14:paraId="0478C951">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rPr>
                  </w:pPr>
                </w:p>
              </w:tc>
              <w:tc>
                <w:tcPr>
                  <w:tcW w:w="423" w:type="pct"/>
                  <w:vMerge w:val="continue"/>
                  <w:tcBorders>
                    <w:tl2br w:val="nil"/>
                    <w:tr2bl w:val="nil"/>
                  </w:tcBorders>
                  <w:vAlign w:val="center"/>
                </w:tcPr>
                <w:p w14:paraId="7D851780">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rPr>
                  </w:pPr>
                </w:p>
              </w:tc>
              <w:tc>
                <w:tcPr>
                  <w:tcW w:w="397" w:type="pct"/>
                  <w:tcBorders>
                    <w:tl2br w:val="nil"/>
                    <w:tr2bl w:val="nil"/>
                  </w:tcBorders>
                  <w:vAlign w:val="center"/>
                </w:tcPr>
                <w:p w14:paraId="37CD666B">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X</w:t>
                  </w:r>
                </w:p>
              </w:tc>
              <w:tc>
                <w:tcPr>
                  <w:tcW w:w="415" w:type="pct"/>
                  <w:tcBorders>
                    <w:tl2br w:val="nil"/>
                    <w:tr2bl w:val="nil"/>
                  </w:tcBorders>
                  <w:vAlign w:val="center"/>
                </w:tcPr>
                <w:p w14:paraId="3C346969">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Y</w:t>
                  </w:r>
                </w:p>
              </w:tc>
              <w:tc>
                <w:tcPr>
                  <w:tcW w:w="458" w:type="pct"/>
                  <w:tcBorders>
                    <w:tl2br w:val="nil"/>
                    <w:tr2bl w:val="nil"/>
                  </w:tcBorders>
                  <w:vAlign w:val="center"/>
                </w:tcPr>
                <w:p w14:paraId="1FBF9296">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w:t>
                  </w:r>
                </w:p>
              </w:tc>
              <w:tc>
                <w:tcPr>
                  <w:tcW w:w="423" w:type="pct"/>
                  <w:vMerge w:val="continue"/>
                  <w:tcBorders>
                    <w:tl2br w:val="nil"/>
                    <w:tr2bl w:val="nil"/>
                  </w:tcBorders>
                  <w:vAlign w:val="center"/>
                </w:tcPr>
                <w:p w14:paraId="0B82A1B9">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5DF24CE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D31EEB0">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0FCF5349">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D75C5C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r>
            <w:tr w14:paraId="2C7908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69" w:type="pct"/>
                  <w:tcBorders>
                    <w:tl2br w:val="nil"/>
                    <w:tr2bl w:val="nil"/>
                  </w:tcBorders>
                  <w:vAlign w:val="center"/>
                </w:tcPr>
                <w:p w14:paraId="33E845A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613" w:type="pct"/>
                  <w:tcBorders>
                    <w:tl2br w:val="nil"/>
                    <w:tr2bl w:val="nil"/>
                  </w:tcBorders>
                  <w:vAlign w:val="center"/>
                </w:tcPr>
                <w:p w14:paraId="2F2CEBDE">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皮带输送机</w:t>
                  </w:r>
                </w:p>
              </w:tc>
              <w:tc>
                <w:tcPr>
                  <w:tcW w:w="303" w:type="pct"/>
                  <w:tcBorders>
                    <w:tl2br w:val="nil"/>
                    <w:tr2bl w:val="nil"/>
                  </w:tcBorders>
                  <w:vAlign w:val="center"/>
                </w:tcPr>
                <w:p w14:paraId="7CA37B77">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2台</w:t>
                  </w:r>
                </w:p>
              </w:tc>
              <w:tc>
                <w:tcPr>
                  <w:tcW w:w="423" w:type="pct"/>
                  <w:tcBorders>
                    <w:tl2br w:val="nil"/>
                    <w:tr2bl w:val="nil"/>
                  </w:tcBorders>
                  <w:vAlign w:val="center"/>
                </w:tcPr>
                <w:p w14:paraId="36CD05EB">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75</w:t>
                  </w:r>
                </w:p>
              </w:tc>
              <w:tc>
                <w:tcPr>
                  <w:tcW w:w="397" w:type="pct"/>
                  <w:tcBorders>
                    <w:tl2br w:val="nil"/>
                    <w:tr2bl w:val="nil"/>
                  </w:tcBorders>
                  <w:vAlign w:val="center"/>
                </w:tcPr>
                <w:p w14:paraId="7B52CB1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150</w:t>
                  </w:r>
                </w:p>
              </w:tc>
              <w:tc>
                <w:tcPr>
                  <w:tcW w:w="415" w:type="pct"/>
                  <w:tcBorders>
                    <w:tl2br w:val="nil"/>
                    <w:tr2bl w:val="nil"/>
                  </w:tcBorders>
                  <w:vAlign w:val="center"/>
                </w:tcPr>
                <w:p w14:paraId="14A91CF9">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458" w:type="pct"/>
                  <w:tcBorders>
                    <w:tl2br w:val="nil"/>
                    <w:tr2bl w:val="nil"/>
                  </w:tcBorders>
                  <w:vAlign w:val="center"/>
                </w:tcPr>
                <w:p w14:paraId="36F0F974">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restart"/>
                  <w:tcBorders>
                    <w:tl2br w:val="nil"/>
                    <w:tr2bl w:val="nil"/>
                  </w:tcBorders>
                  <w:vAlign w:val="center"/>
                </w:tcPr>
                <w:p w14:paraId="4BD054E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选用低噪设备，基础减振，厂房隔声</w:t>
                  </w:r>
                </w:p>
              </w:tc>
              <w:tc>
                <w:tcPr>
                  <w:tcW w:w="423" w:type="pct"/>
                  <w:vMerge w:val="restart"/>
                  <w:tcBorders>
                    <w:tl2br w:val="nil"/>
                    <w:tr2bl w:val="nil"/>
                  </w:tcBorders>
                  <w:vAlign w:val="center"/>
                </w:tcPr>
                <w:p w14:paraId="194084A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连续性</w:t>
                  </w:r>
                </w:p>
              </w:tc>
              <w:tc>
                <w:tcPr>
                  <w:tcW w:w="423" w:type="pct"/>
                  <w:vMerge w:val="restart"/>
                  <w:tcBorders>
                    <w:tl2br w:val="nil"/>
                    <w:tr2bl w:val="nil"/>
                  </w:tcBorders>
                  <w:vAlign w:val="center"/>
                </w:tcPr>
                <w:p w14:paraId="2F44A77B">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昼间</w:t>
                  </w:r>
                </w:p>
              </w:tc>
              <w:tc>
                <w:tcPr>
                  <w:tcW w:w="423" w:type="pct"/>
                  <w:vMerge w:val="restart"/>
                  <w:tcBorders>
                    <w:tl2br w:val="nil"/>
                    <w:tr2bl w:val="nil"/>
                  </w:tcBorders>
                  <w:vAlign w:val="center"/>
                </w:tcPr>
                <w:p w14:paraId="3CBAFF9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423" w:type="pct"/>
                  <w:tcBorders>
                    <w:tl2br w:val="nil"/>
                    <w:tr2bl w:val="nil"/>
                  </w:tcBorders>
                  <w:vAlign w:val="center"/>
                </w:tcPr>
                <w:p w14:paraId="60E5ED0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w:t>
                  </w:r>
                </w:p>
              </w:tc>
            </w:tr>
            <w:tr w14:paraId="5A8902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shd w:val="clear" w:color="auto" w:fill="auto"/>
                  <w:vAlign w:val="center"/>
                </w:tcPr>
                <w:p w14:paraId="0BE47DDF">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613" w:type="pct"/>
                  <w:tcBorders>
                    <w:tl2br w:val="nil"/>
                    <w:tr2bl w:val="nil"/>
                  </w:tcBorders>
                  <w:vAlign w:val="center"/>
                </w:tcPr>
                <w:p w14:paraId="1DF515A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仓下带式给煤机</w:t>
                  </w:r>
                </w:p>
              </w:tc>
              <w:tc>
                <w:tcPr>
                  <w:tcW w:w="303" w:type="pct"/>
                  <w:tcBorders>
                    <w:tl2br w:val="nil"/>
                    <w:tr2bl w:val="nil"/>
                  </w:tcBorders>
                  <w:vAlign w:val="center"/>
                </w:tcPr>
                <w:p w14:paraId="77299DE2">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423" w:type="pct"/>
                  <w:tcBorders>
                    <w:tl2br w:val="nil"/>
                    <w:tr2bl w:val="nil"/>
                  </w:tcBorders>
                  <w:shd w:val="clear" w:color="auto" w:fill="auto"/>
                  <w:vAlign w:val="center"/>
                </w:tcPr>
                <w:p w14:paraId="6BB5977E">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75</w:t>
                  </w:r>
                </w:p>
              </w:tc>
              <w:tc>
                <w:tcPr>
                  <w:tcW w:w="397" w:type="pct"/>
                  <w:tcBorders>
                    <w:tl2br w:val="nil"/>
                    <w:tr2bl w:val="nil"/>
                  </w:tcBorders>
                  <w:shd w:val="clear" w:color="auto" w:fill="auto"/>
                  <w:vAlign w:val="center"/>
                </w:tcPr>
                <w:p w14:paraId="64FE802C">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150</w:t>
                  </w:r>
                </w:p>
              </w:tc>
              <w:tc>
                <w:tcPr>
                  <w:tcW w:w="415" w:type="pct"/>
                  <w:tcBorders>
                    <w:tl2br w:val="nil"/>
                    <w:tr2bl w:val="nil"/>
                  </w:tcBorders>
                  <w:shd w:val="clear" w:color="auto" w:fill="auto"/>
                  <w:vAlign w:val="center"/>
                </w:tcPr>
                <w:p w14:paraId="0839679D">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20</w:t>
                  </w:r>
                </w:p>
              </w:tc>
              <w:tc>
                <w:tcPr>
                  <w:tcW w:w="458" w:type="pct"/>
                  <w:tcBorders>
                    <w:tl2br w:val="nil"/>
                    <w:tr2bl w:val="nil"/>
                  </w:tcBorders>
                  <w:shd w:val="clear" w:color="auto" w:fill="auto"/>
                  <w:vAlign w:val="center"/>
                </w:tcPr>
                <w:p w14:paraId="04EB9A1E">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32393D3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AB2636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A98097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764688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686EF1A0">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55</w:t>
                  </w:r>
                </w:p>
              </w:tc>
            </w:tr>
            <w:tr w14:paraId="0CF554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shd w:val="clear" w:color="auto" w:fill="auto"/>
                  <w:vAlign w:val="center"/>
                </w:tcPr>
                <w:p w14:paraId="74F0A697">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613" w:type="pct"/>
                  <w:tcBorders>
                    <w:tl2br w:val="nil"/>
                    <w:tr2bl w:val="nil"/>
                  </w:tcBorders>
                  <w:vAlign w:val="center"/>
                </w:tcPr>
                <w:p w14:paraId="48BD3D69">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反击式破碎机</w:t>
                  </w:r>
                </w:p>
              </w:tc>
              <w:tc>
                <w:tcPr>
                  <w:tcW w:w="303" w:type="pct"/>
                  <w:tcBorders>
                    <w:tl2br w:val="nil"/>
                    <w:tr2bl w:val="nil"/>
                  </w:tcBorders>
                  <w:vAlign w:val="center"/>
                </w:tcPr>
                <w:p w14:paraId="51F8D815">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423" w:type="pct"/>
                  <w:tcBorders>
                    <w:tl2br w:val="nil"/>
                    <w:tr2bl w:val="nil"/>
                  </w:tcBorders>
                  <w:vAlign w:val="center"/>
                </w:tcPr>
                <w:p w14:paraId="17CFAD5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397" w:type="pct"/>
                  <w:tcBorders>
                    <w:tl2br w:val="nil"/>
                    <w:tr2bl w:val="nil"/>
                  </w:tcBorders>
                  <w:vAlign w:val="center"/>
                </w:tcPr>
                <w:p w14:paraId="52B89386">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152</w:t>
                  </w:r>
                </w:p>
              </w:tc>
              <w:tc>
                <w:tcPr>
                  <w:tcW w:w="415" w:type="pct"/>
                  <w:tcBorders>
                    <w:tl2br w:val="nil"/>
                    <w:tr2bl w:val="nil"/>
                  </w:tcBorders>
                  <w:vAlign w:val="center"/>
                </w:tcPr>
                <w:p w14:paraId="2DCB5EAC">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22</w:t>
                  </w:r>
                </w:p>
              </w:tc>
              <w:tc>
                <w:tcPr>
                  <w:tcW w:w="458" w:type="pct"/>
                  <w:tcBorders>
                    <w:tl2br w:val="nil"/>
                    <w:tr2bl w:val="nil"/>
                  </w:tcBorders>
                  <w:vAlign w:val="center"/>
                </w:tcPr>
                <w:p w14:paraId="2A477F26">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36B6BB8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6257E5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3DAD95E7">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746CCC1E">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54334B04">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r w14:paraId="4FD18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shd w:val="clear" w:color="auto" w:fill="auto"/>
                  <w:vAlign w:val="center"/>
                </w:tcPr>
                <w:p w14:paraId="7D543E78">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613" w:type="pct"/>
                  <w:tcBorders>
                    <w:tl2br w:val="nil"/>
                    <w:tr2bl w:val="nil"/>
                  </w:tcBorders>
                  <w:vAlign w:val="center"/>
                </w:tcPr>
                <w:p w14:paraId="19B8064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对辊制砂机</w:t>
                  </w:r>
                </w:p>
              </w:tc>
              <w:tc>
                <w:tcPr>
                  <w:tcW w:w="303" w:type="pct"/>
                  <w:tcBorders>
                    <w:tl2br w:val="nil"/>
                    <w:tr2bl w:val="nil"/>
                  </w:tcBorders>
                  <w:vAlign w:val="center"/>
                </w:tcPr>
                <w:p w14:paraId="019ED56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423" w:type="pct"/>
                  <w:tcBorders>
                    <w:tl2br w:val="nil"/>
                    <w:tr2bl w:val="nil"/>
                  </w:tcBorders>
                  <w:vAlign w:val="center"/>
                </w:tcPr>
                <w:p w14:paraId="5850C80E">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397" w:type="pct"/>
                  <w:tcBorders>
                    <w:tl2br w:val="nil"/>
                    <w:tr2bl w:val="nil"/>
                  </w:tcBorders>
                  <w:vAlign w:val="center"/>
                </w:tcPr>
                <w:p w14:paraId="7EE085E8">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153</w:t>
                  </w:r>
                </w:p>
              </w:tc>
              <w:tc>
                <w:tcPr>
                  <w:tcW w:w="415" w:type="pct"/>
                  <w:tcBorders>
                    <w:tl2br w:val="nil"/>
                    <w:tr2bl w:val="nil"/>
                  </w:tcBorders>
                  <w:vAlign w:val="center"/>
                </w:tcPr>
                <w:p w14:paraId="74958F1C">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23</w:t>
                  </w:r>
                </w:p>
              </w:tc>
              <w:tc>
                <w:tcPr>
                  <w:tcW w:w="458" w:type="pct"/>
                  <w:tcBorders>
                    <w:tl2br w:val="nil"/>
                    <w:tr2bl w:val="nil"/>
                  </w:tcBorders>
                  <w:vAlign w:val="center"/>
                </w:tcPr>
                <w:p w14:paraId="49B136FF">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1A15B9F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59FDDF65">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30527592">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50CC3E61">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437D2830">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r w14:paraId="58C2F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shd w:val="clear" w:color="auto" w:fill="auto"/>
                  <w:vAlign w:val="center"/>
                </w:tcPr>
                <w:p w14:paraId="6696F6B3">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613" w:type="pct"/>
                  <w:tcBorders>
                    <w:tl2br w:val="nil"/>
                    <w:tr2bl w:val="nil"/>
                  </w:tcBorders>
                  <w:vAlign w:val="center"/>
                </w:tcPr>
                <w:p w14:paraId="51734F8B">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湿式溢流型球磨机</w:t>
                  </w:r>
                </w:p>
              </w:tc>
              <w:tc>
                <w:tcPr>
                  <w:tcW w:w="303" w:type="pct"/>
                  <w:tcBorders>
                    <w:tl2br w:val="nil"/>
                    <w:tr2bl w:val="nil"/>
                  </w:tcBorders>
                  <w:vAlign w:val="center"/>
                </w:tcPr>
                <w:p w14:paraId="57D0D5D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2台</w:t>
                  </w:r>
                </w:p>
              </w:tc>
              <w:tc>
                <w:tcPr>
                  <w:tcW w:w="423" w:type="pct"/>
                  <w:tcBorders>
                    <w:tl2br w:val="nil"/>
                    <w:tr2bl w:val="nil"/>
                  </w:tcBorders>
                  <w:vAlign w:val="center"/>
                </w:tcPr>
                <w:p w14:paraId="292717D5">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397" w:type="pct"/>
                  <w:tcBorders>
                    <w:tl2br w:val="nil"/>
                    <w:tr2bl w:val="nil"/>
                  </w:tcBorders>
                  <w:vAlign w:val="center"/>
                </w:tcPr>
                <w:p w14:paraId="3A4FECE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415" w:type="pct"/>
                  <w:tcBorders>
                    <w:tl2br w:val="nil"/>
                    <w:tr2bl w:val="nil"/>
                  </w:tcBorders>
                  <w:vAlign w:val="center"/>
                </w:tcPr>
                <w:p w14:paraId="5F2CF3F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w:t>
                  </w:r>
                </w:p>
              </w:tc>
              <w:tc>
                <w:tcPr>
                  <w:tcW w:w="458" w:type="pct"/>
                  <w:tcBorders>
                    <w:tl2br w:val="nil"/>
                    <w:tr2bl w:val="nil"/>
                  </w:tcBorders>
                  <w:vAlign w:val="center"/>
                </w:tcPr>
                <w:p w14:paraId="2451197F">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09F91F41">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148C3835">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0CD873B7">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269C492">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7AEF7641">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r>
            <w:tr w14:paraId="7B4C7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shd w:val="clear" w:color="auto" w:fill="auto"/>
                  <w:vAlign w:val="center"/>
                </w:tcPr>
                <w:p w14:paraId="4838D38E">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6</w:t>
                  </w:r>
                </w:p>
              </w:tc>
              <w:tc>
                <w:tcPr>
                  <w:tcW w:w="613" w:type="pct"/>
                  <w:tcBorders>
                    <w:tl2br w:val="nil"/>
                    <w:tr2bl w:val="nil"/>
                  </w:tcBorders>
                  <w:vAlign w:val="center"/>
                </w:tcPr>
                <w:p w14:paraId="1BBE348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振动筛</w:t>
                  </w:r>
                </w:p>
              </w:tc>
              <w:tc>
                <w:tcPr>
                  <w:tcW w:w="303" w:type="pct"/>
                  <w:tcBorders>
                    <w:tl2br w:val="nil"/>
                    <w:tr2bl w:val="nil"/>
                  </w:tcBorders>
                  <w:vAlign w:val="center"/>
                </w:tcPr>
                <w:p w14:paraId="38D9A86E">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423" w:type="pct"/>
                  <w:tcBorders>
                    <w:tl2br w:val="nil"/>
                    <w:tr2bl w:val="nil"/>
                  </w:tcBorders>
                  <w:vAlign w:val="center"/>
                </w:tcPr>
                <w:p w14:paraId="5F99726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397" w:type="pct"/>
                  <w:tcBorders>
                    <w:tl2br w:val="nil"/>
                    <w:tr2bl w:val="nil"/>
                  </w:tcBorders>
                  <w:vAlign w:val="center"/>
                </w:tcPr>
                <w:p w14:paraId="59C19330">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5" w:type="pct"/>
                  <w:tcBorders>
                    <w:tl2br w:val="nil"/>
                    <w:tr2bl w:val="nil"/>
                  </w:tcBorders>
                  <w:vAlign w:val="center"/>
                </w:tcPr>
                <w:p w14:paraId="1253FA4D">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35</w:t>
                  </w:r>
                </w:p>
              </w:tc>
              <w:tc>
                <w:tcPr>
                  <w:tcW w:w="458" w:type="pct"/>
                  <w:tcBorders>
                    <w:tl2br w:val="nil"/>
                    <w:tr2bl w:val="nil"/>
                  </w:tcBorders>
                  <w:vAlign w:val="center"/>
                </w:tcPr>
                <w:p w14:paraId="1327DAE7">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0C38807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1B2692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65316D6">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064F74A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31C40392">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r>
            <w:tr w14:paraId="227289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shd w:val="clear" w:color="auto" w:fill="auto"/>
                  <w:vAlign w:val="center"/>
                </w:tcPr>
                <w:p w14:paraId="17628D78">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613" w:type="pct"/>
                  <w:tcBorders>
                    <w:tl2br w:val="nil"/>
                    <w:tr2bl w:val="nil"/>
                  </w:tcBorders>
                  <w:vAlign w:val="center"/>
                </w:tcPr>
                <w:p w14:paraId="4162AD4D">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泥浆泵</w:t>
                  </w:r>
                </w:p>
              </w:tc>
              <w:tc>
                <w:tcPr>
                  <w:tcW w:w="303" w:type="pct"/>
                  <w:tcBorders>
                    <w:tl2br w:val="nil"/>
                    <w:tr2bl w:val="nil"/>
                  </w:tcBorders>
                  <w:vAlign w:val="center"/>
                </w:tcPr>
                <w:p w14:paraId="3BAC9020">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c>
                <w:tcPr>
                  <w:tcW w:w="423" w:type="pct"/>
                  <w:tcBorders>
                    <w:tl2br w:val="nil"/>
                    <w:tr2bl w:val="nil"/>
                  </w:tcBorders>
                  <w:vAlign w:val="center"/>
                </w:tcPr>
                <w:p w14:paraId="2D4C3CA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85</w:t>
                  </w:r>
                </w:p>
              </w:tc>
              <w:tc>
                <w:tcPr>
                  <w:tcW w:w="397" w:type="pct"/>
                  <w:tcBorders>
                    <w:tl2br w:val="nil"/>
                    <w:tr2bl w:val="nil"/>
                  </w:tcBorders>
                  <w:vAlign w:val="center"/>
                </w:tcPr>
                <w:p w14:paraId="1D7470D4">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15" w:type="pct"/>
                  <w:tcBorders>
                    <w:tl2br w:val="nil"/>
                    <w:tr2bl w:val="nil"/>
                  </w:tcBorders>
                  <w:vAlign w:val="center"/>
                </w:tcPr>
                <w:p w14:paraId="21C01EA3">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w:t>
                  </w:r>
                </w:p>
              </w:tc>
              <w:tc>
                <w:tcPr>
                  <w:tcW w:w="458" w:type="pct"/>
                  <w:tcBorders>
                    <w:tl2br w:val="nil"/>
                    <w:tr2bl w:val="nil"/>
                  </w:tcBorders>
                  <w:vAlign w:val="center"/>
                </w:tcPr>
                <w:p w14:paraId="53654DBC">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46DA8FB4">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3D9DFEE4">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6AFE79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30A286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5EC308A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p>
              </w:tc>
            </w:tr>
            <w:tr w14:paraId="67889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tcBorders>
                    <w:tl2br w:val="nil"/>
                    <w:tr2bl w:val="nil"/>
                  </w:tcBorders>
                  <w:vAlign w:val="center"/>
                </w:tcPr>
                <w:p w14:paraId="710EACBF">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613" w:type="pct"/>
                  <w:tcBorders>
                    <w:tl2br w:val="nil"/>
                    <w:tr2bl w:val="nil"/>
                  </w:tcBorders>
                  <w:shd w:val="clear" w:color="auto" w:fill="auto"/>
                  <w:vAlign w:val="center"/>
                </w:tcPr>
                <w:p w14:paraId="39EAFF7B">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防爆湿式除尘洗气机</w:t>
                  </w:r>
                </w:p>
              </w:tc>
              <w:tc>
                <w:tcPr>
                  <w:tcW w:w="303" w:type="pct"/>
                  <w:tcBorders>
                    <w:tl2br w:val="nil"/>
                    <w:tr2bl w:val="nil"/>
                  </w:tcBorders>
                  <w:shd w:val="clear" w:color="auto" w:fill="auto"/>
                  <w:vAlign w:val="center"/>
                </w:tcPr>
                <w:p w14:paraId="520E66C5">
                  <w:pPr>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3台</w:t>
                  </w:r>
                </w:p>
              </w:tc>
              <w:tc>
                <w:tcPr>
                  <w:tcW w:w="423" w:type="pct"/>
                  <w:tcBorders>
                    <w:tl2br w:val="nil"/>
                    <w:tr2bl w:val="nil"/>
                  </w:tcBorders>
                  <w:vAlign w:val="center"/>
                </w:tcPr>
                <w:p w14:paraId="19D0DF18">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397" w:type="pct"/>
                  <w:tcBorders>
                    <w:tl2br w:val="nil"/>
                    <w:tr2bl w:val="nil"/>
                  </w:tcBorders>
                  <w:vAlign w:val="center"/>
                </w:tcPr>
                <w:p w14:paraId="4AA2723C">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150</w:t>
                  </w:r>
                </w:p>
              </w:tc>
              <w:tc>
                <w:tcPr>
                  <w:tcW w:w="415" w:type="pct"/>
                  <w:tcBorders>
                    <w:tl2br w:val="nil"/>
                    <w:tr2bl w:val="nil"/>
                  </w:tcBorders>
                  <w:vAlign w:val="center"/>
                </w:tcPr>
                <w:p w14:paraId="6E51CEEE">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458" w:type="pct"/>
                  <w:tcBorders>
                    <w:tl2br w:val="nil"/>
                    <w:tr2bl w:val="nil"/>
                  </w:tcBorders>
                  <w:vAlign w:val="center"/>
                </w:tcPr>
                <w:p w14:paraId="26B44579">
                  <w:pPr>
                    <w:pStyle w:val="51"/>
                    <w:keepNext w:val="0"/>
                    <w:keepLines w:val="0"/>
                    <w:pageBreakBefore w:val="0"/>
                    <w:kinsoku/>
                    <w:wordWrap/>
                    <w:overflowPunct/>
                    <w:topLinePunct w:val="0"/>
                    <w:autoSpaceDE/>
                    <w:autoSpaceDN/>
                    <w:bidi w:val="0"/>
                    <w:snapToGrid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23" w:type="pct"/>
                  <w:vMerge w:val="continue"/>
                  <w:tcBorders>
                    <w:tl2br w:val="nil"/>
                    <w:tr2bl w:val="nil"/>
                  </w:tcBorders>
                  <w:vAlign w:val="center"/>
                </w:tcPr>
                <w:p w14:paraId="44D06A85">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07F4AF3">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4145141A">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vMerge w:val="continue"/>
                  <w:tcBorders>
                    <w:tl2br w:val="nil"/>
                    <w:tr2bl w:val="nil"/>
                  </w:tcBorders>
                  <w:vAlign w:val="center"/>
                </w:tcPr>
                <w:p w14:paraId="2BC5426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p>
              </w:tc>
              <w:tc>
                <w:tcPr>
                  <w:tcW w:w="423" w:type="pct"/>
                  <w:tcBorders>
                    <w:tl2br w:val="nil"/>
                    <w:tr2bl w:val="nil"/>
                  </w:tcBorders>
                  <w:vAlign w:val="center"/>
                </w:tcPr>
                <w:p w14:paraId="23FF30BC">
                  <w:pPr>
                    <w:pStyle w:val="51"/>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r>
          </w:tbl>
          <w:p w14:paraId="0272EDD6">
            <w:pPr>
              <w:jc w:val="center"/>
              <w:rPr>
                <w:rFonts w:hint="default" w:ascii="Times New Roman" w:hAnsi="Times New Roman" w:eastAsia="宋体" w:cs="Times New Roman"/>
                <w:bCs/>
                <w:color w:val="auto"/>
                <w:szCs w:val="21"/>
                <w:vertAlign w:val="baseline"/>
                <w:lang w:val="en-US" w:eastAsia="zh-CN"/>
              </w:rPr>
            </w:pPr>
          </w:p>
        </w:tc>
      </w:tr>
    </w:tbl>
    <w:p w14:paraId="0F58777F">
      <w:pPr>
        <w:ind w:firstLine="0" w:firstLineChars="0"/>
        <w:jc w:val="center"/>
        <w:rPr>
          <w:rFonts w:hint="default" w:ascii="Times New Roman" w:hAnsi="Times New Roman" w:eastAsia="宋体" w:cs="Times New Roman"/>
          <w:bCs/>
          <w:color w:val="auto"/>
          <w:szCs w:val="21"/>
        </w:rPr>
        <w:sectPr>
          <w:pgSz w:w="16838" w:h="11906" w:orient="landscape"/>
          <w:pgMar w:top="1800" w:right="1440" w:bottom="1800" w:left="1440" w:header="992" w:footer="992" w:gutter="0"/>
          <w:pgBorders>
            <w:top w:val="none" w:sz="0" w:space="0"/>
            <w:left w:val="none" w:sz="0" w:space="0"/>
            <w:bottom w:val="none" w:sz="0" w:space="0"/>
            <w:right w:val="none" w:sz="0" w:space="0"/>
          </w:pgBorders>
          <w:cols w:space="425" w:num="1"/>
          <w:docGrid w:type="lines"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0"/>
        <w:gridCol w:w="8002"/>
      </w:tblGrid>
      <w:tr w14:paraId="0B0BC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6" w:hRule="atLeast"/>
        </w:trPr>
        <w:tc>
          <w:tcPr>
            <w:tcW w:w="520" w:type="dxa"/>
          </w:tcPr>
          <w:p w14:paraId="695E7EDF">
            <w:pPr>
              <w:jc w:val="center"/>
              <w:rPr>
                <w:rFonts w:hint="default" w:ascii="Times New Roman" w:hAnsi="Times New Roman" w:eastAsia="宋体" w:cs="Times New Roman"/>
                <w:bCs/>
                <w:color w:val="auto"/>
                <w:szCs w:val="21"/>
                <w:vertAlign w:val="baseline"/>
              </w:rPr>
            </w:pPr>
          </w:p>
        </w:tc>
        <w:tc>
          <w:tcPr>
            <w:tcW w:w="8002" w:type="dxa"/>
          </w:tcPr>
          <w:p w14:paraId="6AEB2B28">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2、噪声预测</w:t>
            </w:r>
          </w:p>
          <w:p w14:paraId="5E572A6E">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采用《环境影响评价技术导则 声环境》（HJ2.4-2021）中工业噪声预测模式。在进行噪声预测时，采用声源的倍频带声功率级，A声功率级或靠近源某一位置的倍频带声压级、A声级来预测计算不同距离的声级。本项目采用工业声源室内声源预测模式进行计算。室内声源等效室外声源声功率级计算：</w:t>
            </w:r>
          </w:p>
          <w:p w14:paraId="7280222E">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声源位于室内，室内声源可采用等效室外声源声功率级法进行计算。设靠近开口处（或窗户）室内、室外某倍频带的声压级分别为Lp</w:t>
            </w:r>
            <w:r>
              <w:rPr>
                <w:rFonts w:hint="default" w:ascii="Times New Roman" w:hAnsi="Times New Roman" w:eastAsia="宋体" w:cs="Times New Roman"/>
                <w:color w:val="auto"/>
                <w:kern w:val="2"/>
                <w:sz w:val="24"/>
                <w:szCs w:val="24"/>
                <w:highlight w:val="none"/>
                <w:vertAlign w:val="subscript"/>
              </w:rPr>
              <w:t>1</w:t>
            </w:r>
            <w:r>
              <w:rPr>
                <w:rFonts w:hint="default" w:ascii="Times New Roman" w:hAnsi="Times New Roman" w:eastAsia="宋体" w:cs="Times New Roman"/>
                <w:color w:val="auto"/>
                <w:kern w:val="2"/>
                <w:sz w:val="24"/>
                <w:szCs w:val="24"/>
                <w:highlight w:val="none"/>
              </w:rPr>
              <w:t>和Lp</w:t>
            </w:r>
            <w:r>
              <w:rPr>
                <w:rFonts w:hint="default" w:ascii="Times New Roman" w:hAnsi="Times New Roman" w:eastAsia="宋体" w:cs="Times New Roman"/>
                <w:color w:val="auto"/>
                <w:kern w:val="2"/>
                <w:sz w:val="24"/>
                <w:szCs w:val="24"/>
                <w:highlight w:val="none"/>
                <w:vertAlign w:val="subscript"/>
              </w:rPr>
              <w:t>2</w:t>
            </w:r>
            <w:r>
              <w:rPr>
                <w:rFonts w:hint="default" w:ascii="Times New Roman" w:hAnsi="Times New Roman" w:eastAsia="宋体" w:cs="Times New Roman"/>
                <w:color w:val="auto"/>
                <w:kern w:val="2"/>
                <w:sz w:val="24"/>
                <w:szCs w:val="24"/>
                <w:highlight w:val="none"/>
              </w:rPr>
              <w:t>。若声源所在室内声场为近似扩散声场，则室外的倍频带声压级可近似求出：</w:t>
            </w:r>
          </w:p>
          <w:p w14:paraId="196DE9AB">
            <w:pPr>
              <w:widowControl w:val="0"/>
              <w:spacing w:before="120" w:beforeLines="5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1514475" cy="295275"/>
                  <wp:effectExtent l="0" t="0" r="9525" b="7620"/>
                  <wp:docPr id="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
                          <pic:cNvPicPr>
                            <a:picLocks noChangeAspect="1"/>
                          </pic:cNvPicPr>
                        </pic:nvPicPr>
                        <pic:blipFill>
                          <a:blip r:embed="rId56"/>
                          <a:stretch>
                            <a:fillRect/>
                          </a:stretch>
                        </pic:blipFill>
                        <pic:spPr>
                          <a:xfrm>
                            <a:off x="0" y="0"/>
                            <a:ext cx="1514475" cy="295275"/>
                          </a:xfrm>
                          <a:prstGeom prst="rect">
                            <a:avLst/>
                          </a:prstGeom>
                          <a:noFill/>
                          <a:ln>
                            <a:noFill/>
                          </a:ln>
                        </pic:spPr>
                      </pic:pic>
                    </a:graphicData>
                  </a:graphic>
                </wp:inline>
              </w:drawing>
            </w:r>
          </w:p>
          <w:p w14:paraId="7684F7AD">
            <w:pPr>
              <w:widowControl w:val="0"/>
              <w:spacing w:line="360" w:lineRule="auto"/>
              <w:ind w:firstLine="0" w:firstLineChars="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w:t>
            </w:r>
            <w:r>
              <w:rPr>
                <w:rFonts w:hint="default" w:ascii="Times New Roman" w:hAnsi="Times New Roman" w:eastAsia="宋体" w:cs="Times New Roman"/>
                <w:i/>
                <w:color w:val="auto"/>
                <w:kern w:val="2"/>
                <w:sz w:val="24"/>
                <w:szCs w:val="24"/>
                <w:highlight w:val="none"/>
              </w:rPr>
              <w:t>TL—</w:t>
            </w:r>
            <w:r>
              <w:rPr>
                <w:rFonts w:hint="default" w:ascii="Times New Roman" w:hAnsi="Times New Roman" w:eastAsia="宋体" w:cs="Times New Roman"/>
                <w:color w:val="auto"/>
                <w:kern w:val="2"/>
                <w:sz w:val="24"/>
                <w:szCs w:val="24"/>
                <w:highlight w:val="none"/>
              </w:rPr>
              <w:t>隔墙（或窗户）倍频带的隔声量，dB。</w:t>
            </w:r>
          </w:p>
          <w:p w14:paraId="48BD82D7">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某一室内声源靠近围护结构处产生的倍频带声压级：</w:t>
            </w:r>
          </w:p>
          <w:p w14:paraId="04D6693C">
            <w:pPr>
              <w:widowControl w:val="0"/>
              <w:spacing w:before="240" w:beforeLines="10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1695450" cy="457200"/>
                  <wp:effectExtent l="0" t="0" r="0" b="0"/>
                  <wp:docPr id="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pic:cNvPicPr>
                            <a:picLocks noChangeAspect="1"/>
                          </pic:cNvPicPr>
                        </pic:nvPicPr>
                        <pic:blipFill>
                          <a:blip r:embed="rId57"/>
                          <a:srcRect b="8749"/>
                          <a:stretch>
                            <a:fillRect/>
                          </a:stretch>
                        </pic:blipFill>
                        <pic:spPr>
                          <a:xfrm>
                            <a:off x="0" y="0"/>
                            <a:ext cx="1695450" cy="457200"/>
                          </a:xfrm>
                          <a:prstGeom prst="rect">
                            <a:avLst/>
                          </a:prstGeom>
                          <a:noFill/>
                          <a:ln>
                            <a:noFill/>
                          </a:ln>
                        </pic:spPr>
                      </pic:pic>
                    </a:graphicData>
                  </a:graphic>
                </wp:inline>
              </w:drawing>
            </w:r>
          </w:p>
          <w:p w14:paraId="5F35892B">
            <w:pPr>
              <w:widowControl w:val="0"/>
              <w:spacing w:line="360" w:lineRule="auto"/>
              <w:ind w:firstLine="0" w:firstLineChars="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式中：Lp</w:t>
            </w:r>
            <w:r>
              <w:rPr>
                <w:rFonts w:hint="default" w:ascii="Times New Roman" w:hAnsi="Times New Roman" w:eastAsia="宋体" w:cs="Times New Roman"/>
                <w:color w:val="auto"/>
                <w:kern w:val="2"/>
                <w:sz w:val="24"/>
                <w:szCs w:val="24"/>
                <w:highlight w:val="none"/>
                <w:vertAlign w:val="subscript"/>
              </w:rPr>
              <w:t>1</w:t>
            </w:r>
            <w:r>
              <w:rPr>
                <w:rFonts w:hint="default" w:ascii="Times New Roman" w:hAnsi="Times New Roman" w:eastAsia="宋体" w:cs="Times New Roman"/>
                <w:color w:val="auto"/>
                <w:kern w:val="2"/>
                <w:sz w:val="24"/>
                <w:szCs w:val="24"/>
                <w:highlight w:val="none"/>
              </w:rPr>
              <w:t>—某个室内声源在靠近围护结构处产生的倍频带声压级；</w:t>
            </w:r>
          </w:p>
          <w:p w14:paraId="614BF33F">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Lw</w:t>
            </w:r>
            <w:r>
              <w:rPr>
                <w:rFonts w:hint="default" w:ascii="Times New Roman" w:hAnsi="Times New Roman" w:eastAsia="宋体" w:cs="Times New Roman"/>
                <w:color w:val="auto"/>
                <w:kern w:val="2"/>
                <w:sz w:val="24"/>
                <w:szCs w:val="24"/>
                <w:highlight w:val="none"/>
              </w:rPr>
              <w:t>—某个声源的倍频带声功率级；</w:t>
            </w:r>
          </w:p>
          <w:p w14:paraId="21023B71">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r</w:t>
            </w:r>
            <w:r>
              <w:rPr>
                <w:rFonts w:hint="default" w:ascii="Times New Roman" w:hAnsi="Times New Roman" w:eastAsia="宋体" w:cs="Times New Roman"/>
                <w:i/>
                <w:color w:val="auto"/>
                <w:kern w:val="2"/>
                <w:sz w:val="24"/>
                <w:szCs w:val="24"/>
                <w:highlight w:val="none"/>
                <w:vertAlign w:val="subscript"/>
              </w:rPr>
              <w:t>1</w:t>
            </w:r>
            <w:r>
              <w:rPr>
                <w:rFonts w:hint="default" w:ascii="Times New Roman" w:hAnsi="Times New Roman" w:eastAsia="宋体" w:cs="Times New Roman"/>
                <w:color w:val="auto"/>
                <w:kern w:val="2"/>
                <w:sz w:val="24"/>
                <w:szCs w:val="24"/>
                <w:highlight w:val="none"/>
              </w:rPr>
              <w:t>—室内某个声源与靠近结构围护处的距离（m）；</w:t>
            </w:r>
          </w:p>
          <w:p w14:paraId="682E9312">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R</w:t>
            </w:r>
            <w:r>
              <w:rPr>
                <w:rFonts w:hint="default" w:ascii="Times New Roman" w:hAnsi="Times New Roman" w:eastAsia="宋体" w:cs="Times New Roman"/>
                <w:color w:val="auto"/>
                <w:kern w:val="2"/>
                <w:sz w:val="24"/>
                <w:szCs w:val="24"/>
                <w:highlight w:val="none"/>
              </w:rPr>
              <w:t>—房间常数；</w:t>
            </w:r>
          </w:p>
          <w:p w14:paraId="1CEFE287">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Q</w:t>
            </w:r>
            <w:r>
              <w:rPr>
                <w:rFonts w:hint="default" w:ascii="Times New Roman" w:hAnsi="Times New Roman" w:eastAsia="宋体" w:cs="Times New Roman"/>
                <w:color w:val="auto"/>
                <w:kern w:val="2"/>
                <w:sz w:val="24"/>
                <w:szCs w:val="24"/>
                <w:highlight w:val="none"/>
              </w:rPr>
              <w:t>—方向性因子。</w:t>
            </w:r>
          </w:p>
          <w:p w14:paraId="6485F6CE">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计算出所有室内声源在靠近围护结构处产生的总倍频带声压级：</w:t>
            </w:r>
          </w:p>
          <w:p w14:paraId="58688CC4">
            <w:pPr>
              <w:widowControl w:val="0"/>
              <w:spacing w:before="240" w:beforeLines="10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1743075" cy="390525"/>
                  <wp:effectExtent l="0" t="0" r="0" b="8890"/>
                  <wp:docPr id="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0"/>
                          <pic:cNvPicPr>
                            <a:picLocks noChangeAspect="1"/>
                          </pic:cNvPicPr>
                        </pic:nvPicPr>
                        <pic:blipFill>
                          <a:blip r:embed="rId58"/>
                          <a:stretch>
                            <a:fillRect/>
                          </a:stretch>
                        </pic:blipFill>
                        <pic:spPr>
                          <a:xfrm>
                            <a:off x="0" y="0"/>
                            <a:ext cx="1743075" cy="390525"/>
                          </a:xfrm>
                          <a:prstGeom prst="rect">
                            <a:avLst/>
                          </a:prstGeom>
                          <a:noFill/>
                          <a:ln>
                            <a:noFill/>
                          </a:ln>
                        </pic:spPr>
                      </pic:pic>
                    </a:graphicData>
                  </a:graphic>
                </wp:inline>
              </w:drawing>
            </w:r>
          </w:p>
          <w:p w14:paraId="0DB370D9">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计算出室外靠近围护结构处的声压级：</w:t>
            </w:r>
          </w:p>
          <w:p w14:paraId="7743BE03">
            <w:pPr>
              <w:widowControl w:val="0"/>
              <w:spacing w:before="120" w:beforeLines="5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2085975" cy="247650"/>
                  <wp:effectExtent l="0" t="0" r="9525" b="0"/>
                  <wp:docPr id="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1"/>
                          <pic:cNvPicPr>
                            <a:picLocks noChangeAspect="1"/>
                          </pic:cNvPicPr>
                        </pic:nvPicPr>
                        <pic:blipFill>
                          <a:blip r:embed="rId59"/>
                          <a:stretch>
                            <a:fillRect/>
                          </a:stretch>
                        </pic:blipFill>
                        <pic:spPr>
                          <a:xfrm>
                            <a:off x="0" y="0"/>
                            <a:ext cx="2085975" cy="247650"/>
                          </a:xfrm>
                          <a:prstGeom prst="rect">
                            <a:avLst/>
                          </a:prstGeom>
                          <a:noFill/>
                          <a:ln>
                            <a:noFill/>
                          </a:ln>
                        </pic:spPr>
                      </pic:pic>
                    </a:graphicData>
                  </a:graphic>
                </wp:inline>
              </w:drawing>
            </w:r>
          </w:p>
          <w:p w14:paraId="72D903D1">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将室外声级</w:t>
            </w:r>
            <w:r>
              <w:rPr>
                <w:rFonts w:hint="default" w:ascii="Times New Roman" w:hAnsi="Times New Roman" w:eastAsia="宋体" w:cs="Times New Roman"/>
                <w:i/>
                <w:color w:val="auto"/>
                <w:kern w:val="2"/>
                <w:sz w:val="24"/>
                <w:szCs w:val="24"/>
                <w:highlight w:val="none"/>
              </w:rPr>
              <w:t>Lp</w:t>
            </w:r>
            <w:r>
              <w:rPr>
                <w:rFonts w:hint="default" w:ascii="Times New Roman" w:hAnsi="Times New Roman" w:eastAsia="宋体" w:cs="Times New Roman"/>
                <w:i/>
                <w:color w:val="auto"/>
                <w:kern w:val="2"/>
                <w:sz w:val="24"/>
                <w:szCs w:val="24"/>
                <w:highlight w:val="none"/>
                <w:vertAlign w:val="subscript"/>
              </w:rPr>
              <w:t>2</w:t>
            </w:r>
            <w:r>
              <w:rPr>
                <w:rFonts w:hint="default" w:ascii="Times New Roman" w:hAnsi="Times New Roman" w:eastAsia="宋体" w:cs="Times New Roman"/>
                <w:i/>
                <w:color w:val="auto"/>
                <w:kern w:val="2"/>
                <w:sz w:val="24"/>
                <w:szCs w:val="24"/>
                <w:highlight w:val="none"/>
              </w:rPr>
              <w:t>（T）</w:t>
            </w:r>
            <w:r>
              <w:rPr>
                <w:rFonts w:hint="default" w:ascii="Times New Roman" w:hAnsi="Times New Roman" w:eastAsia="宋体" w:cs="Times New Roman"/>
                <w:color w:val="auto"/>
                <w:kern w:val="2"/>
                <w:sz w:val="24"/>
                <w:szCs w:val="24"/>
                <w:highlight w:val="none"/>
              </w:rPr>
              <w:t>和透声面积换算成等效的室外声源，计算出等效声源倍频带的声功率级Lw：</w:t>
            </w:r>
          </w:p>
          <w:p w14:paraId="69BEC77F">
            <w:pPr>
              <w:widowControl w:val="0"/>
              <w:spacing w:before="120" w:beforeLines="5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1733550" cy="257175"/>
                  <wp:effectExtent l="0" t="0" r="0" b="8255"/>
                  <wp:docPr id="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2"/>
                          <pic:cNvPicPr>
                            <a:picLocks noChangeAspect="1"/>
                          </pic:cNvPicPr>
                        </pic:nvPicPr>
                        <pic:blipFill>
                          <a:blip r:embed="rId60"/>
                          <a:stretch>
                            <a:fillRect/>
                          </a:stretch>
                        </pic:blipFill>
                        <pic:spPr>
                          <a:xfrm>
                            <a:off x="0" y="0"/>
                            <a:ext cx="1733550" cy="257175"/>
                          </a:xfrm>
                          <a:prstGeom prst="rect">
                            <a:avLst/>
                          </a:prstGeom>
                          <a:noFill/>
                          <a:ln>
                            <a:noFill/>
                          </a:ln>
                        </pic:spPr>
                      </pic:pic>
                    </a:graphicData>
                  </a:graphic>
                </wp:inline>
              </w:drawing>
            </w:r>
          </w:p>
          <w:p w14:paraId="3EFA19B4">
            <w:pPr>
              <w:widowControl w:val="0"/>
              <w:spacing w:line="360" w:lineRule="auto"/>
              <w:ind w:firstLine="0" w:firstLineChars="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式中：S—透声面积，m</w:t>
            </w:r>
            <w:r>
              <w:rPr>
                <w:rFonts w:hint="default" w:ascii="Times New Roman" w:hAnsi="Times New Roman" w:eastAsia="宋体" w:cs="Times New Roman"/>
                <w:color w:val="auto"/>
                <w:kern w:val="2"/>
                <w:sz w:val="24"/>
                <w:szCs w:val="24"/>
                <w:highlight w:val="none"/>
                <w:vertAlign w:val="superscript"/>
              </w:rPr>
              <w:t>2</w:t>
            </w:r>
            <w:r>
              <w:rPr>
                <w:rFonts w:hint="default" w:ascii="Times New Roman" w:hAnsi="Times New Roman" w:eastAsia="宋体" w:cs="Times New Roman"/>
                <w:color w:val="auto"/>
                <w:kern w:val="2"/>
                <w:sz w:val="24"/>
                <w:szCs w:val="24"/>
                <w:highlight w:val="none"/>
              </w:rPr>
              <w:t>。</w:t>
            </w:r>
          </w:p>
          <w:p w14:paraId="18C643CB">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然后按室外声源预测方法计算预测点的A声级。</w:t>
            </w:r>
          </w:p>
          <w:p w14:paraId="316253DB">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③计算噪声贡献值</w:t>
            </w:r>
          </w:p>
          <w:p w14:paraId="29BB6A32">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设第i个室外声源在预测点产生的A声级为LAi，在T时间内该声源工作时间为ti；第j个等效室外声源在预测点产生的A声级为LAj，在T时间内该声源工作时间为tj，则预测点产生的贡献值为：</w:t>
            </w:r>
          </w:p>
          <w:p w14:paraId="4364E219">
            <w:pPr>
              <w:widowControl w:val="0"/>
              <w:spacing w:before="240" w:beforeLines="10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2295525" cy="381000"/>
                  <wp:effectExtent l="0" t="0" r="9525" b="0"/>
                  <wp:docPr id="3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3"/>
                          <pic:cNvPicPr>
                            <a:picLocks noChangeAspect="1"/>
                          </pic:cNvPicPr>
                        </pic:nvPicPr>
                        <pic:blipFill>
                          <a:blip r:embed="rId61"/>
                          <a:stretch>
                            <a:fillRect/>
                          </a:stretch>
                        </pic:blipFill>
                        <pic:spPr>
                          <a:xfrm>
                            <a:off x="0" y="0"/>
                            <a:ext cx="2295525" cy="381000"/>
                          </a:xfrm>
                          <a:prstGeom prst="rect">
                            <a:avLst/>
                          </a:prstGeom>
                          <a:noFill/>
                          <a:ln>
                            <a:noFill/>
                          </a:ln>
                        </pic:spPr>
                      </pic:pic>
                    </a:graphicData>
                  </a:graphic>
                </wp:inline>
              </w:drawing>
            </w:r>
          </w:p>
          <w:p w14:paraId="22E06DC6">
            <w:pPr>
              <w:widowControl w:val="0"/>
              <w:spacing w:line="360" w:lineRule="auto"/>
              <w:ind w:firstLine="0" w:firstLineChars="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w:t>
            </w:r>
            <w:r>
              <w:rPr>
                <w:rFonts w:hint="default" w:ascii="Times New Roman" w:hAnsi="Times New Roman" w:eastAsia="宋体" w:cs="Times New Roman"/>
                <w:i/>
                <w:color w:val="auto"/>
                <w:kern w:val="2"/>
                <w:sz w:val="24"/>
                <w:szCs w:val="24"/>
                <w:highlight w:val="none"/>
              </w:rPr>
              <w:t>T—</w:t>
            </w:r>
            <w:r>
              <w:rPr>
                <w:rFonts w:hint="default" w:ascii="Times New Roman" w:hAnsi="Times New Roman" w:eastAsia="宋体" w:cs="Times New Roman"/>
                <w:color w:val="auto"/>
                <w:kern w:val="2"/>
                <w:sz w:val="24"/>
                <w:szCs w:val="24"/>
                <w:highlight w:val="none"/>
              </w:rPr>
              <w:t>计算等效声级的时间；</w:t>
            </w:r>
          </w:p>
          <w:p w14:paraId="183760C4">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N—</w:t>
            </w:r>
            <w:r>
              <w:rPr>
                <w:rFonts w:hint="default" w:ascii="Times New Roman" w:hAnsi="Times New Roman" w:eastAsia="宋体" w:cs="Times New Roman"/>
                <w:color w:val="auto"/>
                <w:kern w:val="2"/>
                <w:sz w:val="24"/>
                <w:szCs w:val="24"/>
                <w:highlight w:val="none"/>
              </w:rPr>
              <w:t>室外声源个数；</w:t>
            </w:r>
          </w:p>
          <w:p w14:paraId="0D2DDB55">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M—</w:t>
            </w:r>
            <w:r>
              <w:rPr>
                <w:rFonts w:hint="default" w:ascii="Times New Roman" w:hAnsi="Times New Roman" w:eastAsia="宋体" w:cs="Times New Roman"/>
                <w:color w:val="auto"/>
                <w:kern w:val="2"/>
                <w:sz w:val="24"/>
                <w:szCs w:val="24"/>
                <w:highlight w:val="none"/>
              </w:rPr>
              <w:t>等效室外声源个数。</w:t>
            </w:r>
          </w:p>
          <w:p w14:paraId="68A132F7">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④预测值计算</w:t>
            </w:r>
          </w:p>
          <w:p w14:paraId="7DC4FA52">
            <w:pPr>
              <w:widowControl w:val="0"/>
              <w:spacing w:line="360" w:lineRule="auto"/>
              <w:ind w:firstLine="480" w:firstLineChars="2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预测点的预测等效声级（Leq）计算公式：</w:t>
            </w:r>
          </w:p>
          <w:p w14:paraId="0A2D6156">
            <w:pPr>
              <w:widowControl w:val="0"/>
              <w:spacing w:before="120" w:beforeLines="50" w:line="360" w:lineRule="auto"/>
              <w:ind w:firstLine="0" w:firstLineChars="0"/>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drawing>
                <wp:inline distT="0" distB="0" distL="114300" distR="114300">
                  <wp:extent cx="1971675" cy="295275"/>
                  <wp:effectExtent l="0" t="0" r="9525" b="8255"/>
                  <wp:docPr id="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pic:cNvPicPr>
                            <a:picLocks noChangeAspect="1"/>
                          </pic:cNvPicPr>
                        </pic:nvPicPr>
                        <pic:blipFill>
                          <a:blip r:embed="rId62"/>
                          <a:stretch>
                            <a:fillRect/>
                          </a:stretch>
                        </pic:blipFill>
                        <pic:spPr>
                          <a:xfrm>
                            <a:off x="0" y="0"/>
                            <a:ext cx="1971675" cy="295275"/>
                          </a:xfrm>
                          <a:prstGeom prst="rect">
                            <a:avLst/>
                          </a:prstGeom>
                          <a:noFill/>
                          <a:ln>
                            <a:noFill/>
                          </a:ln>
                        </pic:spPr>
                      </pic:pic>
                    </a:graphicData>
                  </a:graphic>
                </wp:inline>
              </w:drawing>
            </w:r>
          </w:p>
          <w:p w14:paraId="53169A67">
            <w:pPr>
              <w:widowControl w:val="0"/>
              <w:spacing w:line="360" w:lineRule="auto"/>
              <w:ind w:firstLine="0" w:firstLineChars="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式中：</w:t>
            </w:r>
            <w:r>
              <w:rPr>
                <w:rFonts w:hint="default" w:ascii="Times New Roman" w:hAnsi="Times New Roman" w:eastAsia="宋体" w:cs="Times New Roman"/>
                <w:i/>
                <w:color w:val="auto"/>
                <w:kern w:val="2"/>
                <w:sz w:val="24"/>
                <w:szCs w:val="24"/>
                <w:highlight w:val="none"/>
              </w:rPr>
              <w:t>Leqg</w:t>
            </w:r>
            <w:r>
              <w:rPr>
                <w:rFonts w:hint="default" w:ascii="Times New Roman" w:hAnsi="Times New Roman" w:eastAsia="宋体" w:cs="Times New Roman"/>
                <w:color w:val="auto"/>
                <w:kern w:val="2"/>
                <w:sz w:val="24"/>
                <w:szCs w:val="24"/>
                <w:highlight w:val="none"/>
              </w:rPr>
              <w:t>—建设项目声源在预测点的等效声级贡献值，dB（A）；</w:t>
            </w:r>
          </w:p>
          <w:p w14:paraId="213A362C">
            <w:pPr>
              <w:widowControl w:val="0"/>
              <w:spacing w:line="360" w:lineRule="auto"/>
              <w:ind w:firstLine="720" w:firstLineChars="300"/>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i/>
                <w:color w:val="auto"/>
                <w:kern w:val="2"/>
                <w:sz w:val="24"/>
                <w:szCs w:val="24"/>
                <w:highlight w:val="none"/>
              </w:rPr>
              <w:t>Leqb</w:t>
            </w:r>
            <w:r>
              <w:rPr>
                <w:rFonts w:hint="default" w:ascii="Times New Roman" w:hAnsi="Times New Roman" w:eastAsia="宋体" w:cs="Times New Roman"/>
                <w:color w:val="auto"/>
                <w:kern w:val="2"/>
                <w:sz w:val="24"/>
                <w:szCs w:val="24"/>
                <w:highlight w:val="none"/>
              </w:rPr>
              <w:t>—预测点的背景值，dB（A）。</w:t>
            </w:r>
          </w:p>
          <w:p w14:paraId="101B9A37">
            <w:pPr>
              <w:widowControl w:val="0"/>
              <w:adjustRightInd w:val="0"/>
              <w:snapToGrid w:val="0"/>
              <w:spacing w:line="360" w:lineRule="auto"/>
              <w:ind w:firstLine="480" w:firstLineChars="200"/>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bidi="ar"/>
              </w:rPr>
              <w:t>项目运营期噪声主要来自工艺设备运行噪声，其等效声级≤90dB(A)。采用设备基础</w:t>
            </w:r>
            <w:r>
              <w:rPr>
                <w:rFonts w:hint="eastAsia" w:cs="Times New Roman"/>
                <w:color w:val="auto"/>
                <w:kern w:val="2"/>
                <w:sz w:val="24"/>
                <w:szCs w:val="24"/>
                <w:lang w:eastAsia="zh-CN" w:bidi="ar"/>
              </w:rPr>
              <w:t>减振</w:t>
            </w:r>
            <w:r>
              <w:rPr>
                <w:rFonts w:hint="default" w:ascii="Times New Roman" w:hAnsi="Times New Roman" w:eastAsia="宋体" w:cs="Times New Roman"/>
                <w:color w:val="auto"/>
                <w:kern w:val="2"/>
                <w:sz w:val="24"/>
                <w:szCs w:val="24"/>
                <w:lang w:bidi="ar"/>
              </w:rPr>
              <w:t>处理，采用低噪设备，放置室内，利用封闭厂房隔声降低环境噪声源强度。</w:t>
            </w:r>
            <w:r>
              <w:rPr>
                <w:rFonts w:hint="default" w:ascii="Times New Roman" w:hAnsi="Times New Roman" w:eastAsia="宋体" w:cs="Times New Roman"/>
                <w:color w:val="auto"/>
                <w:kern w:val="2"/>
                <w:sz w:val="24"/>
                <w:szCs w:val="24"/>
                <w:lang w:val="en-US" w:eastAsia="zh-CN" w:bidi="ar"/>
              </w:rPr>
              <w:t>预测结果见表4-</w:t>
            </w:r>
            <w:r>
              <w:rPr>
                <w:rFonts w:hint="eastAsia" w:cs="Times New Roman"/>
                <w:color w:val="auto"/>
                <w:kern w:val="2"/>
                <w:sz w:val="24"/>
                <w:szCs w:val="24"/>
                <w:lang w:val="en-US" w:eastAsia="zh-CN" w:bidi="ar"/>
              </w:rPr>
              <w:t>8</w:t>
            </w:r>
            <w:r>
              <w:rPr>
                <w:rFonts w:hint="default" w:ascii="Times New Roman" w:hAnsi="Times New Roman" w:eastAsia="宋体" w:cs="Times New Roman"/>
                <w:color w:val="auto"/>
                <w:kern w:val="2"/>
                <w:sz w:val="24"/>
                <w:szCs w:val="24"/>
                <w:lang w:val="en-US" w:eastAsia="zh-CN" w:bidi="ar"/>
              </w:rPr>
              <w:t>。</w:t>
            </w:r>
          </w:p>
          <w:p w14:paraId="110B0E48">
            <w:pPr>
              <w:widowControl/>
              <w:adjustRightInd w:val="0"/>
              <w:snapToGrid w:val="0"/>
              <w:spacing w:before="0" w:beforeLines="0" w:after="0" w:afterLines="0" w:line="240" w:lineRule="auto"/>
              <w:ind w:firstLine="0" w:firstLineChars="0"/>
              <w:jc w:val="center"/>
              <w:rPr>
                <w:rFonts w:hint="default" w:ascii="Times New Roman" w:hAnsi="Times New Roman" w:eastAsia="宋体" w:cs="Times New Roman"/>
                <w:b/>
                <w:bCs w:val="0"/>
                <w:color w:val="auto"/>
                <w:kern w:val="2"/>
                <w:sz w:val="24"/>
                <w:szCs w:val="24"/>
                <w:highlight w:val="none"/>
              </w:rPr>
            </w:pPr>
            <w:r>
              <w:rPr>
                <w:rFonts w:hint="default" w:ascii="Times New Roman" w:hAnsi="Times New Roman" w:eastAsia="宋体" w:cs="Times New Roman"/>
                <w:b/>
                <w:bCs w:val="0"/>
                <w:color w:val="auto"/>
                <w:kern w:val="2"/>
                <w:sz w:val="24"/>
                <w:szCs w:val="24"/>
                <w:highlight w:val="none"/>
              </w:rPr>
              <w:t>表4-</w:t>
            </w:r>
            <w:r>
              <w:rPr>
                <w:rFonts w:hint="eastAsia" w:cs="Times New Roman"/>
                <w:b/>
                <w:bCs w:val="0"/>
                <w:color w:val="auto"/>
                <w:kern w:val="2"/>
                <w:sz w:val="24"/>
                <w:szCs w:val="24"/>
                <w:highlight w:val="none"/>
                <w:lang w:val="en-US" w:eastAsia="zh-CN"/>
              </w:rPr>
              <w:t>8</w:t>
            </w:r>
            <w:r>
              <w:rPr>
                <w:rFonts w:hint="default" w:ascii="Times New Roman" w:hAnsi="Times New Roman" w:eastAsia="宋体" w:cs="Times New Roman"/>
                <w:b/>
                <w:bCs w:val="0"/>
                <w:color w:val="auto"/>
                <w:kern w:val="2"/>
                <w:sz w:val="24"/>
                <w:szCs w:val="24"/>
                <w:highlight w:val="none"/>
              </w:rPr>
              <w:t xml:space="preserve">   项目噪声预测结果   单位：dB（A）</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9"/>
              <w:gridCol w:w="2868"/>
              <w:gridCol w:w="1222"/>
              <w:gridCol w:w="1228"/>
              <w:gridCol w:w="1643"/>
            </w:tblGrid>
            <w:tr w14:paraId="214F6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0" w:hRule="atLeast"/>
                <w:jc w:val="center"/>
              </w:trPr>
              <w:tc>
                <w:tcPr>
                  <w:tcW w:w="521" w:type="pct"/>
                  <w:vMerge w:val="restart"/>
                  <w:noWrap w:val="0"/>
                  <w:tcMar>
                    <w:top w:w="28" w:type="dxa"/>
                    <w:left w:w="28" w:type="dxa"/>
                    <w:bottom w:w="28" w:type="dxa"/>
                    <w:right w:w="28" w:type="dxa"/>
                  </w:tcMar>
                  <w:vAlign w:val="center"/>
                </w:tcPr>
                <w:p w14:paraId="743F777D">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编号</w:t>
                  </w:r>
                </w:p>
              </w:tc>
              <w:tc>
                <w:tcPr>
                  <w:tcW w:w="1844" w:type="pct"/>
                  <w:vMerge w:val="restart"/>
                  <w:noWrap w:val="0"/>
                  <w:tcMar>
                    <w:top w:w="28" w:type="dxa"/>
                    <w:left w:w="28" w:type="dxa"/>
                    <w:bottom w:w="28" w:type="dxa"/>
                    <w:right w:w="28" w:type="dxa"/>
                  </w:tcMar>
                  <w:vAlign w:val="center"/>
                </w:tcPr>
                <w:p w14:paraId="237667D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测点方位</w:t>
                  </w:r>
                </w:p>
              </w:tc>
              <w:tc>
                <w:tcPr>
                  <w:tcW w:w="786" w:type="pct"/>
                  <w:noWrap w:val="0"/>
                  <w:tcMar>
                    <w:top w:w="28" w:type="dxa"/>
                    <w:left w:w="28" w:type="dxa"/>
                    <w:bottom w:w="28" w:type="dxa"/>
                    <w:right w:w="28" w:type="dxa"/>
                  </w:tcMar>
                  <w:vAlign w:val="center"/>
                </w:tcPr>
                <w:p w14:paraId="07A5844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昼间</w:t>
                  </w:r>
                </w:p>
              </w:tc>
              <w:tc>
                <w:tcPr>
                  <w:tcW w:w="790" w:type="pct"/>
                  <w:noWrap w:val="0"/>
                  <w:tcMar>
                    <w:top w:w="28" w:type="dxa"/>
                    <w:left w:w="28" w:type="dxa"/>
                    <w:bottom w:w="28" w:type="dxa"/>
                    <w:right w:w="28" w:type="dxa"/>
                  </w:tcMar>
                  <w:vAlign w:val="center"/>
                </w:tcPr>
                <w:p w14:paraId="2150835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夜间</w:t>
                  </w:r>
                </w:p>
              </w:tc>
              <w:tc>
                <w:tcPr>
                  <w:tcW w:w="1057" w:type="pct"/>
                  <w:vMerge w:val="restart"/>
                  <w:noWrap w:val="0"/>
                  <w:tcMar>
                    <w:top w:w="28" w:type="dxa"/>
                    <w:left w:w="28" w:type="dxa"/>
                    <w:bottom w:w="28" w:type="dxa"/>
                    <w:right w:w="28" w:type="dxa"/>
                  </w:tcMar>
                  <w:vAlign w:val="center"/>
                </w:tcPr>
                <w:p w14:paraId="4554EDDD">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达标情况</w:t>
                  </w:r>
                </w:p>
              </w:tc>
            </w:tr>
            <w:tr w14:paraId="3C3B9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521" w:type="pct"/>
                  <w:vMerge w:val="continue"/>
                  <w:noWrap w:val="0"/>
                  <w:tcMar>
                    <w:top w:w="28" w:type="dxa"/>
                    <w:left w:w="28" w:type="dxa"/>
                    <w:bottom w:w="28" w:type="dxa"/>
                    <w:right w:w="28" w:type="dxa"/>
                  </w:tcMar>
                  <w:vAlign w:val="center"/>
                </w:tcPr>
                <w:p w14:paraId="260B3B4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p>
              </w:tc>
              <w:tc>
                <w:tcPr>
                  <w:tcW w:w="1844" w:type="pct"/>
                  <w:vMerge w:val="continue"/>
                  <w:noWrap w:val="0"/>
                  <w:tcMar>
                    <w:top w:w="28" w:type="dxa"/>
                    <w:left w:w="28" w:type="dxa"/>
                    <w:bottom w:w="28" w:type="dxa"/>
                    <w:right w:w="28" w:type="dxa"/>
                  </w:tcMar>
                  <w:vAlign w:val="center"/>
                </w:tcPr>
                <w:p w14:paraId="2F6767C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p>
              </w:tc>
              <w:tc>
                <w:tcPr>
                  <w:tcW w:w="786" w:type="pct"/>
                  <w:noWrap w:val="0"/>
                  <w:tcMar>
                    <w:top w:w="28" w:type="dxa"/>
                    <w:left w:w="28" w:type="dxa"/>
                    <w:bottom w:w="28" w:type="dxa"/>
                    <w:right w:w="28" w:type="dxa"/>
                  </w:tcMar>
                  <w:vAlign w:val="center"/>
                </w:tcPr>
                <w:p w14:paraId="5898681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贡献值</w:t>
                  </w:r>
                </w:p>
              </w:tc>
              <w:tc>
                <w:tcPr>
                  <w:tcW w:w="790" w:type="pct"/>
                  <w:shd w:val="clear" w:color="auto" w:fill="auto"/>
                  <w:noWrap w:val="0"/>
                  <w:tcMar>
                    <w:top w:w="28" w:type="dxa"/>
                    <w:left w:w="28" w:type="dxa"/>
                    <w:bottom w:w="28" w:type="dxa"/>
                    <w:right w:w="28" w:type="dxa"/>
                  </w:tcMar>
                  <w:vAlign w:val="center"/>
                </w:tcPr>
                <w:p w14:paraId="264E148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贡献值</w:t>
                  </w:r>
                </w:p>
              </w:tc>
              <w:tc>
                <w:tcPr>
                  <w:tcW w:w="1057" w:type="pct"/>
                  <w:vMerge w:val="continue"/>
                  <w:noWrap w:val="0"/>
                  <w:tcMar>
                    <w:top w:w="28" w:type="dxa"/>
                    <w:left w:w="28" w:type="dxa"/>
                    <w:bottom w:w="28" w:type="dxa"/>
                    <w:right w:w="28" w:type="dxa"/>
                  </w:tcMar>
                  <w:vAlign w:val="center"/>
                </w:tcPr>
                <w:p w14:paraId="6AD71F5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p>
              </w:tc>
            </w:tr>
            <w:tr w14:paraId="3EB9C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521" w:type="pct"/>
                  <w:noWrap w:val="0"/>
                  <w:tcMar>
                    <w:top w:w="28" w:type="dxa"/>
                    <w:left w:w="28" w:type="dxa"/>
                    <w:bottom w:w="28" w:type="dxa"/>
                    <w:right w:w="28" w:type="dxa"/>
                  </w:tcMar>
                  <w:vAlign w:val="center"/>
                </w:tcPr>
                <w:p w14:paraId="1734AA6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1</w:t>
                  </w:r>
                </w:p>
              </w:tc>
              <w:tc>
                <w:tcPr>
                  <w:tcW w:w="1844" w:type="pct"/>
                  <w:noWrap w:val="0"/>
                  <w:tcMar>
                    <w:top w:w="28" w:type="dxa"/>
                    <w:left w:w="28" w:type="dxa"/>
                    <w:bottom w:w="28" w:type="dxa"/>
                    <w:right w:w="28" w:type="dxa"/>
                  </w:tcMar>
                  <w:vAlign w:val="center"/>
                </w:tcPr>
                <w:p w14:paraId="5EFF583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工业场地</w:t>
                  </w:r>
                  <w:r>
                    <w:rPr>
                      <w:rFonts w:hint="default" w:ascii="Times New Roman" w:hAnsi="Times New Roman" w:eastAsia="宋体" w:cs="Times New Roman"/>
                      <w:color w:val="auto"/>
                      <w:kern w:val="2"/>
                      <w:sz w:val="21"/>
                      <w:szCs w:val="21"/>
                      <w:highlight w:val="none"/>
                    </w:rPr>
                    <w:t>东侧边界</w:t>
                  </w:r>
                </w:p>
              </w:tc>
              <w:tc>
                <w:tcPr>
                  <w:tcW w:w="786" w:type="pct"/>
                  <w:noWrap w:val="0"/>
                  <w:tcMar>
                    <w:top w:w="28" w:type="dxa"/>
                    <w:left w:w="28" w:type="dxa"/>
                    <w:bottom w:w="28" w:type="dxa"/>
                    <w:right w:w="28" w:type="dxa"/>
                  </w:tcMar>
                  <w:vAlign w:val="center"/>
                </w:tcPr>
                <w:p w14:paraId="3C37047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w:t>
                  </w:r>
                  <w:r>
                    <w:rPr>
                      <w:rFonts w:hint="default" w:ascii="Times New Roman" w:hAnsi="Times New Roman" w:eastAsia="宋体" w:cs="Times New Roman"/>
                      <w:color w:val="auto"/>
                      <w:kern w:val="2"/>
                      <w:sz w:val="21"/>
                      <w:szCs w:val="21"/>
                      <w:highlight w:val="none"/>
                      <w:lang w:val="en-US" w:eastAsia="zh-CN"/>
                    </w:rPr>
                    <w:t>.29</w:t>
                  </w:r>
                </w:p>
              </w:tc>
              <w:tc>
                <w:tcPr>
                  <w:tcW w:w="1228" w:type="dxa"/>
                  <w:shd w:val="clear" w:color="auto" w:fill="auto"/>
                  <w:noWrap w:val="0"/>
                  <w:tcMar>
                    <w:top w:w="28" w:type="dxa"/>
                    <w:left w:w="28" w:type="dxa"/>
                    <w:bottom w:w="28" w:type="dxa"/>
                    <w:right w:w="28" w:type="dxa"/>
                  </w:tcMar>
                  <w:vAlign w:val="center"/>
                </w:tcPr>
                <w:p w14:paraId="54A1DEA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rPr>
                    <w:t>30</w:t>
                  </w:r>
                  <w:r>
                    <w:rPr>
                      <w:rFonts w:hint="default" w:ascii="Times New Roman" w:hAnsi="Times New Roman" w:eastAsia="宋体" w:cs="Times New Roman"/>
                      <w:color w:val="auto"/>
                      <w:kern w:val="2"/>
                      <w:sz w:val="21"/>
                      <w:szCs w:val="21"/>
                      <w:highlight w:val="none"/>
                      <w:lang w:val="en-US" w:eastAsia="zh-CN"/>
                    </w:rPr>
                    <w:t>.29</w:t>
                  </w:r>
                </w:p>
              </w:tc>
              <w:tc>
                <w:tcPr>
                  <w:tcW w:w="1057" w:type="pct"/>
                  <w:noWrap w:val="0"/>
                  <w:tcMar>
                    <w:top w:w="28" w:type="dxa"/>
                    <w:left w:w="28" w:type="dxa"/>
                    <w:bottom w:w="28" w:type="dxa"/>
                    <w:right w:w="28" w:type="dxa"/>
                  </w:tcMar>
                  <w:vAlign w:val="center"/>
                </w:tcPr>
                <w:p w14:paraId="500E282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14:paraId="49CB2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521" w:type="pct"/>
                  <w:noWrap w:val="0"/>
                  <w:tcMar>
                    <w:top w:w="28" w:type="dxa"/>
                    <w:left w:w="28" w:type="dxa"/>
                    <w:bottom w:w="28" w:type="dxa"/>
                    <w:right w:w="28" w:type="dxa"/>
                  </w:tcMar>
                  <w:vAlign w:val="center"/>
                </w:tcPr>
                <w:p w14:paraId="103CEB2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2</w:t>
                  </w:r>
                </w:p>
              </w:tc>
              <w:tc>
                <w:tcPr>
                  <w:tcW w:w="1844" w:type="pct"/>
                  <w:noWrap w:val="0"/>
                  <w:tcMar>
                    <w:top w:w="28" w:type="dxa"/>
                    <w:left w:w="28" w:type="dxa"/>
                    <w:bottom w:w="28" w:type="dxa"/>
                    <w:right w:w="28" w:type="dxa"/>
                  </w:tcMar>
                  <w:vAlign w:val="center"/>
                </w:tcPr>
                <w:p w14:paraId="3334640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工业场地</w:t>
                  </w:r>
                  <w:r>
                    <w:rPr>
                      <w:rFonts w:hint="default" w:ascii="Times New Roman" w:hAnsi="Times New Roman" w:eastAsia="宋体" w:cs="Times New Roman"/>
                      <w:color w:val="auto"/>
                      <w:kern w:val="2"/>
                      <w:sz w:val="21"/>
                      <w:szCs w:val="21"/>
                      <w:highlight w:val="none"/>
                    </w:rPr>
                    <w:t>南侧边界</w:t>
                  </w:r>
                </w:p>
              </w:tc>
              <w:tc>
                <w:tcPr>
                  <w:tcW w:w="786" w:type="pct"/>
                  <w:noWrap w:val="0"/>
                  <w:tcMar>
                    <w:top w:w="28" w:type="dxa"/>
                    <w:left w:w="28" w:type="dxa"/>
                    <w:bottom w:w="28" w:type="dxa"/>
                    <w:right w:w="28" w:type="dxa"/>
                  </w:tcMar>
                  <w:vAlign w:val="center"/>
                </w:tcPr>
                <w:p w14:paraId="4E74664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35.93</w:t>
                  </w:r>
                </w:p>
              </w:tc>
              <w:tc>
                <w:tcPr>
                  <w:tcW w:w="1228" w:type="dxa"/>
                  <w:shd w:val="clear" w:color="auto" w:fill="auto"/>
                  <w:noWrap w:val="0"/>
                  <w:tcMar>
                    <w:top w:w="28" w:type="dxa"/>
                    <w:left w:w="28" w:type="dxa"/>
                    <w:bottom w:w="28" w:type="dxa"/>
                    <w:right w:w="28" w:type="dxa"/>
                  </w:tcMar>
                  <w:vAlign w:val="center"/>
                </w:tcPr>
                <w:p w14:paraId="67FA1BE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rPr>
                    <w:t>35.93</w:t>
                  </w:r>
                </w:p>
              </w:tc>
              <w:tc>
                <w:tcPr>
                  <w:tcW w:w="1057" w:type="pct"/>
                  <w:noWrap w:val="0"/>
                  <w:tcMar>
                    <w:top w:w="28" w:type="dxa"/>
                    <w:left w:w="28" w:type="dxa"/>
                    <w:bottom w:w="28" w:type="dxa"/>
                    <w:right w:w="28" w:type="dxa"/>
                  </w:tcMar>
                  <w:vAlign w:val="center"/>
                </w:tcPr>
                <w:p w14:paraId="62CFE4F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14:paraId="6FB43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521" w:type="pct"/>
                  <w:noWrap w:val="0"/>
                  <w:tcMar>
                    <w:top w:w="28" w:type="dxa"/>
                    <w:left w:w="28" w:type="dxa"/>
                    <w:bottom w:w="28" w:type="dxa"/>
                    <w:right w:w="28" w:type="dxa"/>
                  </w:tcMar>
                  <w:vAlign w:val="center"/>
                </w:tcPr>
                <w:p w14:paraId="6DBE72E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3</w:t>
                  </w:r>
                </w:p>
              </w:tc>
              <w:tc>
                <w:tcPr>
                  <w:tcW w:w="1844" w:type="pct"/>
                  <w:noWrap w:val="0"/>
                  <w:tcMar>
                    <w:top w:w="28" w:type="dxa"/>
                    <w:left w:w="28" w:type="dxa"/>
                    <w:bottom w:w="28" w:type="dxa"/>
                    <w:right w:w="28" w:type="dxa"/>
                  </w:tcMar>
                  <w:vAlign w:val="center"/>
                </w:tcPr>
                <w:p w14:paraId="1CEEBB9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工业场地</w:t>
                  </w:r>
                  <w:r>
                    <w:rPr>
                      <w:rFonts w:hint="default" w:ascii="Times New Roman" w:hAnsi="Times New Roman" w:eastAsia="宋体" w:cs="Times New Roman"/>
                      <w:color w:val="auto"/>
                      <w:kern w:val="2"/>
                      <w:sz w:val="21"/>
                      <w:szCs w:val="21"/>
                      <w:highlight w:val="none"/>
                    </w:rPr>
                    <w:t>西侧</w:t>
                  </w:r>
                  <w:r>
                    <w:rPr>
                      <w:rFonts w:hint="default" w:ascii="Times New Roman" w:hAnsi="Times New Roman" w:eastAsia="宋体" w:cs="Times New Roman"/>
                      <w:color w:val="auto"/>
                      <w:kern w:val="2"/>
                      <w:sz w:val="21"/>
                      <w:szCs w:val="21"/>
                      <w:highlight w:val="none"/>
                      <w:lang w:val="en-US" w:eastAsia="zh-CN"/>
                    </w:rPr>
                    <w:t>边界</w:t>
                  </w:r>
                </w:p>
              </w:tc>
              <w:tc>
                <w:tcPr>
                  <w:tcW w:w="786" w:type="pct"/>
                  <w:noWrap w:val="0"/>
                  <w:tcMar>
                    <w:top w:w="28" w:type="dxa"/>
                    <w:left w:w="28" w:type="dxa"/>
                    <w:bottom w:w="28" w:type="dxa"/>
                    <w:right w:w="28" w:type="dxa"/>
                  </w:tcMar>
                  <w:vAlign w:val="center"/>
                </w:tcPr>
                <w:p w14:paraId="2B07B23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33.72</w:t>
                  </w:r>
                </w:p>
              </w:tc>
              <w:tc>
                <w:tcPr>
                  <w:tcW w:w="1228" w:type="dxa"/>
                  <w:shd w:val="clear" w:color="auto" w:fill="auto"/>
                  <w:noWrap w:val="0"/>
                  <w:tcMar>
                    <w:top w:w="28" w:type="dxa"/>
                    <w:left w:w="28" w:type="dxa"/>
                    <w:bottom w:w="28" w:type="dxa"/>
                    <w:right w:w="28" w:type="dxa"/>
                  </w:tcMar>
                  <w:vAlign w:val="center"/>
                </w:tcPr>
                <w:p w14:paraId="1C43E2D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rPr>
                    <w:t>33.72</w:t>
                  </w:r>
                </w:p>
              </w:tc>
              <w:tc>
                <w:tcPr>
                  <w:tcW w:w="1057" w:type="pct"/>
                  <w:noWrap w:val="0"/>
                  <w:tcMar>
                    <w:top w:w="28" w:type="dxa"/>
                    <w:left w:w="28" w:type="dxa"/>
                    <w:bottom w:w="28" w:type="dxa"/>
                    <w:right w:w="28" w:type="dxa"/>
                  </w:tcMar>
                  <w:vAlign w:val="center"/>
                </w:tcPr>
                <w:p w14:paraId="4368B1C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14:paraId="3DF80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521" w:type="pct"/>
                  <w:noWrap w:val="0"/>
                  <w:tcMar>
                    <w:top w:w="28" w:type="dxa"/>
                    <w:left w:w="28" w:type="dxa"/>
                    <w:bottom w:w="28" w:type="dxa"/>
                    <w:right w:w="28" w:type="dxa"/>
                  </w:tcMar>
                  <w:vAlign w:val="center"/>
                </w:tcPr>
                <w:p w14:paraId="35E4ADB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4</w:t>
                  </w:r>
                </w:p>
              </w:tc>
              <w:tc>
                <w:tcPr>
                  <w:tcW w:w="1844" w:type="pct"/>
                  <w:noWrap w:val="0"/>
                  <w:tcMar>
                    <w:top w:w="28" w:type="dxa"/>
                    <w:left w:w="28" w:type="dxa"/>
                    <w:bottom w:w="28" w:type="dxa"/>
                    <w:right w:w="28" w:type="dxa"/>
                  </w:tcMar>
                  <w:vAlign w:val="center"/>
                </w:tcPr>
                <w:p w14:paraId="177893CA">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工业场地</w:t>
                  </w:r>
                  <w:r>
                    <w:rPr>
                      <w:rFonts w:hint="default" w:ascii="Times New Roman" w:hAnsi="Times New Roman" w:eastAsia="宋体" w:cs="Times New Roman"/>
                      <w:color w:val="auto"/>
                      <w:kern w:val="2"/>
                      <w:sz w:val="21"/>
                      <w:szCs w:val="21"/>
                      <w:highlight w:val="none"/>
                    </w:rPr>
                    <w:t>北侧边界</w:t>
                  </w:r>
                </w:p>
              </w:tc>
              <w:tc>
                <w:tcPr>
                  <w:tcW w:w="786" w:type="pct"/>
                  <w:noWrap w:val="0"/>
                  <w:tcMar>
                    <w:top w:w="28" w:type="dxa"/>
                    <w:left w:w="28" w:type="dxa"/>
                    <w:bottom w:w="28" w:type="dxa"/>
                    <w:right w:w="28" w:type="dxa"/>
                  </w:tcMar>
                  <w:vAlign w:val="center"/>
                </w:tcPr>
                <w:p w14:paraId="4E6142A1">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25</w:t>
                  </w:r>
                  <w:r>
                    <w:rPr>
                      <w:rFonts w:hint="default" w:ascii="Times New Roman" w:hAnsi="Times New Roman" w:eastAsia="宋体" w:cs="Times New Roman"/>
                      <w:color w:val="auto"/>
                      <w:kern w:val="2"/>
                      <w:sz w:val="21"/>
                      <w:szCs w:val="21"/>
                      <w:highlight w:val="none"/>
                      <w:lang w:val="en-US" w:eastAsia="zh-CN"/>
                    </w:rPr>
                    <w:t>.78</w:t>
                  </w:r>
                </w:p>
              </w:tc>
              <w:tc>
                <w:tcPr>
                  <w:tcW w:w="1228" w:type="dxa"/>
                  <w:shd w:val="clear" w:color="auto" w:fill="auto"/>
                  <w:noWrap w:val="0"/>
                  <w:tcMar>
                    <w:top w:w="28" w:type="dxa"/>
                    <w:left w:w="28" w:type="dxa"/>
                    <w:bottom w:w="28" w:type="dxa"/>
                    <w:right w:w="28" w:type="dxa"/>
                  </w:tcMar>
                  <w:vAlign w:val="center"/>
                </w:tcPr>
                <w:p w14:paraId="5BD3E3DD">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rPr>
                    <w:t>25</w:t>
                  </w:r>
                  <w:r>
                    <w:rPr>
                      <w:rFonts w:hint="default" w:ascii="Times New Roman" w:hAnsi="Times New Roman" w:eastAsia="宋体" w:cs="Times New Roman"/>
                      <w:color w:val="auto"/>
                      <w:kern w:val="2"/>
                      <w:sz w:val="21"/>
                      <w:szCs w:val="21"/>
                      <w:highlight w:val="none"/>
                      <w:lang w:val="en-US" w:eastAsia="zh-CN"/>
                    </w:rPr>
                    <w:t>.78</w:t>
                  </w:r>
                </w:p>
              </w:tc>
              <w:tc>
                <w:tcPr>
                  <w:tcW w:w="1057" w:type="pct"/>
                  <w:noWrap w:val="0"/>
                  <w:tcMar>
                    <w:top w:w="28" w:type="dxa"/>
                    <w:left w:w="28" w:type="dxa"/>
                    <w:bottom w:w="28" w:type="dxa"/>
                    <w:right w:w="28" w:type="dxa"/>
                  </w:tcMar>
                  <w:vAlign w:val="center"/>
                </w:tcPr>
                <w:p w14:paraId="55D8373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tc>
            </w:tr>
            <w:tr w14:paraId="583AC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2366" w:type="pct"/>
                  <w:gridSpan w:val="2"/>
                  <w:noWrap w:val="0"/>
                  <w:tcMar>
                    <w:top w:w="28" w:type="dxa"/>
                    <w:left w:w="28" w:type="dxa"/>
                    <w:bottom w:w="28" w:type="dxa"/>
                    <w:right w:w="28" w:type="dxa"/>
                  </w:tcMar>
                  <w:vAlign w:val="center"/>
                </w:tcPr>
                <w:p w14:paraId="357EE10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标准值</w:t>
                  </w:r>
                </w:p>
              </w:tc>
              <w:tc>
                <w:tcPr>
                  <w:tcW w:w="786" w:type="pct"/>
                  <w:noWrap w:val="0"/>
                  <w:tcMar>
                    <w:top w:w="28" w:type="dxa"/>
                    <w:left w:w="28" w:type="dxa"/>
                    <w:bottom w:w="28" w:type="dxa"/>
                    <w:right w:w="28" w:type="dxa"/>
                  </w:tcMar>
                  <w:vAlign w:val="center"/>
                </w:tcPr>
                <w:p w14:paraId="0022F277">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6</w:t>
                  </w:r>
                  <w:r>
                    <w:rPr>
                      <w:rFonts w:hint="default" w:ascii="Times New Roman" w:hAnsi="Times New Roman" w:eastAsia="宋体" w:cs="Times New Roman"/>
                      <w:color w:val="auto"/>
                      <w:kern w:val="2"/>
                      <w:sz w:val="21"/>
                      <w:szCs w:val="21"/>
                      <w:highlight w:val="none"/>
                      <w:lang w:val="en-US" w:eastAsia="zh-CN"/>
                    </w:rPr>
                    <w:t>0</w:t>
                  </w:r>
                </w:p>
              </w:tc>
              <w:tc>
                <w:tcPr>
                  <w:tcW w:w="790" w:type="pct"/>
                  <w:noWrap w:val="0"/>
                  <w:tcMar>
                    <w:top w:w="28" w:type="dxa"/>
                    <w:left w:w="28" w:type="dxa"/>
                    <w:bottom w:w="28" w:type="dxa"/>
                    <w:right w:w="28" w:type="dxa"/>
                  </w:tcMar>
                  <w:vAlign w:val="center"/>
                </w:tcPr>
                <w:p w14:paraId="517864DD">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5</w:t>
                  </w:r>
                  <w:r>
                    <w:rPr>
                      <w:rFonts w:hint="default" w:ascii="Times New Roman" w:hAnsi="Times New Roman" w:eastAsia="宋体" w:cs="Times New Roman"/>
                      <w:color w:val="auto"/>
                      <w:kern w:val="2"/>
                      <w:sz w:val="21"/>
                      <w:szCs w:val="21"/>
                      <w:highlight w:val="none"/>
                      <w:lang w:val="en-US" w:eastAsia="zh-CN"/>
                    </w:rPr>
                    <w:t>0</w:t>
                  </w:r>
                </w:p>
              </w:tc>
              <w:tc>
                <w:tcPr>
                  <w:tcW w:w="1057" w:type="pct"/>
                  <w:noWrap w:val="0"/>
                  <w:tcMar>
                    <w:top w:w="28" w:type="dxa"/>
                    <w:left w:w="28" w:type="dxa"/>
                    <w:bottom w:w="28" w:type="dxa"/>
                    <w:right w:w="28" w:type="dxa"/>
                  </w:tcMar>
                  <w:vAlign w:val="center"/>
                </w:tcPr>
                <w:p w14:paraId="74E6CFF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r>
          </w:tbl>
          <w:p w14:paraId="5A3C272B">
            <w:pPr>
              <w:widowControl w:val="0"/>
              <w:adjustRightInd w:val="0"/>
              <w:snapToGrid w:val="0"/>
              <w:spacing w:line="360" w:lineRule="auto"/>
              <w:ind w:firstLine="480" w:firstLineChars="200"/>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4"/>
                <w:szCs w:val="24"/>
                <w:lang w:val="en-US" w:eastAsia="zh-CN" w:bidi="ar"/>
              </w:rPr>
              <w:t>由表4-</w:t>
            </w:r>
            <w:r>
              <w:rPr>
                <w:rFonts w:hint="eastAsia" w:cs="Times New Roman"/>
                <w:color w:val="auto"/>
                <w:kern w:val="2"/>
                <w:sz w:val="24"/>
                <w:szCs w:val="24"/>
                <w:lang w:val="en-US" w:eastAsia="zh-CN" w:bidi="ar"/>
              </w:rPr>
              <w:t>8</w:t>
            </w:r>
            <w:r>
              <w:rPr>
                <w:rFonts w:hint="default" w:ascii="Times New Roman" w:hAnsi="Times New Roman" w:eastAsia="宋体" w:cs="Times New Roman"/>
                <w:color w:val="auto"/>
                <w:kern w:val="2"/>
                <w:sz w:val="24"/>
                <w:szCs w:val="24"/>
                <w:lang w:val="en-US" w:eastAsia="zh-CN" w:bidi="ar"/>
              </w:rPr>
              <w:t>可知，本项目建成运营后厂界</w:t>
            </w:r>
            <w:r>
              <w:rPr>
                <w:rFonts w:hint="default" w:ascii="Times New Roman" w:hAnsi="Times New Roman" w:eastAsia="宋体" w:cs="Times New Roman"/>
                <w:color w:val="auto"/>
                <w:kern w:val="2"/>
                <w:sz w:val="24"/>
                <w:szCs w:val="24"/>
              </w:rPr>
              <w:t>噪声值均能满足《工业企业厂界环境噪声排放标准》（GB12348-2008）中的2类标准，采取措施后噪声影响较小。</w:t>
            </w:r>
          </w:p>
          <w:p w14:paraId="209C136B">
            <w:pPr>
              <w:bidi w:val="0"/>
              <w:rPr>
                <w:rFonts w:hint="default" w:ascii="Times New Roman" w:hAnsi="Times New Roman" w:eastAsia="宋体" w:cs="Times New Roman"/>
                <w:b/>
                <w:bCs/>
                <w:color w:val="auto"/>
                <w:kern w:val="0"/>
                <w:sz w:val="24"/>
                <w:szCs w:val="20"/>
                <w:lang w:val="en-US" w:eastAsia="zh-CN" w:bidi="ar"/>
              </w:rPr>
            </w:pPr>
            <w:r>
              <w:rPr>
                <w:rFonts w:hint="default" w:ascii="Times New Roman" w:hAnsi="Times New Roman" w:eastAsia="宋体" w:cs="Times New Roman"/>
                <w:b/>
                <w:bCs/>
                <w:color w:val="auto"/>
                <w:kern w:val="0"/>
                <w:sz w:val="24"/>
                <w:szCs w:val="20"/>
                <w:lang w:val="en-US" w:eastAsia="zh-CN" w:bidi="ar"/>
              </w:rPr>
              <w:t>3、运营期噪声环境保护措施及其可行性分析</w:t>
            </w:r>
          </w:p>
          <w:p w14:paraId="7316F183">
            <w:pPr>
              <w:widowControl w:val="0"/>
              <w:spacing w:line="360" w:lineRule="auto"/>
              <w:ind w:firstLine="480" w:firstLineChars="200"/>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lang w:bidi="ar"/>
              </w:rPr>
              <w:t>项目运营期噪声主要来自破碎机、筛分机、</w:t>
            </w:r>
            <w:r>
              <w:rPr>
                <w:rFonts w:hint="default" w:ascii="Times New Roman" w:hAnsi="Times New Roman" w:eastAsia="宋体" w:cs="Times New Roman"/>
                <w:color w:val="auto"/>
                <w:kern w:val="2"/>
                <w:sz w:val="24"/>
                <w:szCs w:val="20"/>
                <w:lang w:val="en-US" w:eastAsia="zh-CN" w:bidi="ar"/>
              </w:rPr>
              <w:t>球磨机</w:t>
            </w:r>
            <w:r>
              <w:rPr>
                <w:rFonts w:hint="default" w:ascii="Times New Roman" w:hAnsi="Times New Roman" w:eastAsia="宋体" w:cs="Times New Roman"/>
                <w:color w:val="auto"/>
                <w:kern w:val="2"/>
                <w:sz w:val="24"/>
                <w:szCs w:val="20"/>
                <w:lang w:bidi="ar"/>
              </w:rPr>
              <w:t>等工艺设备以及动力泵等设备运行噪声，尽量选用低噪声设备，并考虑一定的消声、隔声及减</w:t>
            </w:r>
            <w:r>
              <w:rPr>
                <w:rFonts w:hint="default" w:ascii="Times New Roman" w:hAnsi="Times New Roman" w:eastAsia="宋体" w:cs="Times New Roman"/>
                <w:color w:val="auto"/>
                <w:kern w:val="2"/>
                <w:sz w:val="24"/>
                <w:szCs w:val="20"/>
                <w:lang w:val="en-US" w:eastAsia="zh-CN" w:bidi="ar"/>
              </w:rPr>
              <w:t>振</w:t>
            </w:r>
            <w:r>
              <w:rPr>
                <w:rFonts w:hint="default" w:ascii="Times New Roman" w:hAnsi="Times New Roman" w:eastAsia="宋体" w:cs="Times New Roman"/>
                <w:color w:val="auto"/>
                <w:kern w:val="2"/>
                <w:sz w:val="24"/>
                <w:szCs w:val="20"/>
                <w:lang w:bidi="ar"/>
              </w:rPr>
              <w:t>等措施，以降低噪声的传播。主要防治措施如下：</w:t>
            </w:r>
          </w:p>
          <w:p w14:paraId="191B5DAA">
            <w:pPr>
              <w:widowControl w:val="0"/>
              <w:spacing w:line="360" w:lineRule="auto"/>
              <w:ind w:firstLine="480" w:firstLineChars="200"/>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lang w:bidi="ar"/>
              </w:rPr>
              <w:t>（1）在总体布置时已考虑了各设备噪声源的特点。工程设计时将设备均设于车间内，车间起到隔声的作用。</w:t>
            </w:r>
          </w:p>
          <w:p w14:paraId="199033C9">
            <w:pPr>
              <w:widowControl w:val="0"/>
              <w:spacing w:line="360" w:lineRule="auto"/>
              <w:ind w:firstLine="480" w:firstLineChars="200"/>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lang w:bidi="ar"/>
              </w:rPr>
              <w:t>（2）对各种机电产品选用时，除考虑满足生产工艺技术要求外，选型还必须考虑产品具备良好的声学特性（高效低噪），向供货制造设备厂方提出限制噪声要求。对于噪声较高的设备应与厂方协商提供相配套的降噪设施。</w:t>
            </w:r>
          </w:p>
          <w:p w14:paraId="2DB6C497">
            <w:pPr>
              <w:widowControl w:val="0"/>
              <w:spacing w:line="360" w:lineRule="auto"/>
              <w:ind w:firstLine="480" w:firstLineChars="200"/>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lang w:bidi="ar"/>
              </w:rPr>
              <w:t>（3）将各生产设备安装在固定的减振基座上，同时置于室内，能有效起到隔声降噪作用。</w:t>
            </w:r>
          </w:p>
          <w:p w14:paraId="530883CF">
            <w:pPr>
              <w:widowControl w:val="0"/>
              <w:spacing w:line="360" w:lineRule="auto"/>
              <w:ind w:firstLine="480" w:firstLineChars="200"/>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lang w:bidi="ar"/>
              </w:rPr>
              <w:t>（4）为保证设备正常运转，在生产期间应定期维护设备，维持设备处于良好的运转状态，避免由于运转不正常而</w:t>
            </w:r>
            <w:r>
              <w:rPr>
                <w:rFonts w:hint="eastAsia" w:cs="Times New Roman"/>
                <w:color w:val="auto"/>
                <w:kern w:val="2"/>
                <w:sz w:val="24"/>
                <w:szCs w:val="20"/>
                <w:lang w:eastAsia="zh-CN" w:bidi="ar"/>
              </w:rPr>
              <w:t>产生</w:t>
            </w:r>
            <w:r>
              <w:rPr>
                <w:rFonts w:hint="default" w:ascii="Times New Roman" w:hAnsi="Times New Roman" w:eastAsia="宋体" w:cs="Times New Roman"/>
                <w:color w:val="auto"/>
                <w:kern w:val="2"/>
                <w:sz w:val="24"/>
                <w:szCs w:val="20"/>
                <w:lang w:bidi="ar"/>
              </w:rPr>
              <w:t>噪声。</w:t>
            </w:r>
          </w:p>
          <w:p w14:paraId="478E9A62">
            <w:pPr>
              <w:widowControl w:val="0"/>
              <w:spacing w:line="360" w:lineRule="auto"/>
              <w:ind w:firstLine="480" w:firstLineChars="200"/>
              <w:rPr>
                <w:rFonts w:hint="default" w:ascii="Times New Roman" w:hAnsi="Times New Roman" w:eastAsia="宋体" w:cs="Times New Roman"/>
                <w:color w:val="auto"/>
                <w:kern w:val="2"/>
                <w:sz w:val="24"/>
                <w:szCs w:val="20"/>
              </w:rPr>
            </w:pPr>
            <w:r>
              <w:rPr>
                <w:rFonts w:hint="default" w:ascii="Times New Roman" w:hAnsi="Times New Roman" w:eastAsia="宋体" w:cs="Times New Roman"/>
                <w:color w:val="auto"/>
                <w:kern w:val="2"/>
                <w:sz w:val="24"/>
                <w:szCs w:val="20"/>
                <w:lang w:bidi="ar"/>
              </w:rPr>
              <w:t>（5）加强</w:t>
            </w:r>
            <w:r>
              <w:rPr>
                <w:rFonts w:hint="default" w:ascii="Times New Roman" w:hAnsi="Times New Roman" w:eastAsia="宋体" w:cs="Times New Roman"/>
                <w:color w:val="auto"/>
                <w:kern w:val="2"/>
                <w:sz w:val="24"/>
                <w:szCs w:val="20"/>
                <w:lang w:eastAsia="zh-CN" w:bidi="ar"/>
              </w:rPr>
              <w:t>注浆站</w:t>
            </w:r>
            <w:r>
              <w:rPr>
                <w:rFonts w:hint="eastAsia" w:cs="Times New Roman"/>
                <w:color w:val="auto"/>
                <w:kern w:val="2"/>
                <w:sz w:val="24"/>
                <w:szCs w:val="20"/>
                <w:lang w:val="en-US" w:eastAsia="zh-CN" w:bidi="ar"/>
              </w:rPr>
              <w:t>周边</w:t>
            </w:r>
            <w:r>
              <w:rPr>
                <w:rFonts w:hint="default" w:ascii="Times New Roman" w:hAnsi="Times New Roman" w:eastAsia="宋体" w:cs="Times New Roman"/>
                <w:color w:val="auto"/>
                <w:kern w:val="2"/>
                <w:sz w:val="24"/>
                <w:szCs w:val="20"/>
                <w:lang w:bidi="ar"/>
              </w:rPr>
              <w:t>绿化，利用建筑物及绿化来阻隔噪声的传播；</w:t>
            </w:r>
          </w:p>
          <w:p w14:paraId="7D110721">
            <w:pPr>
              <w:widowControl w:val="0"/>
              <w:spacing w:line="360" w:lineRule="auto"/>
              <w:ind w:firstLine="480" w:firstLineChars="200"/>
              <w:rPr>
                <w:rFonts w:hint="default" w:ascii="Times New Roman" w:hAnsi="Times New Roman" w:eastAsia="宋体" w:cs="Times New Roman"/>
                <w:color w:val="auto"/>
                <w:kern w:val="2"/>
                <w:sz w:val="24"/>
                <w:szCs w:val="20"/>
                <w:lang w:bidi="ar"/>
              </w:rPr>
            </w:pPr>
            <w:r>
              <w:rPr>
                <w:rFonts w:hint="default" w:ascii="Times New Roman" w:hAnsi="Times New Roman" w:eastAsia="宋体" w:cs="Times New Roman"/>
                <w:color w:val="auto"/>
                <w:kern w:val="2"/>
                <w:sz w:val="24"/>
                <w:szCs w:val="20"/>
                <w:lang w:bidi="ar"/>
              </w:rPr>
              <w:t>通过采取以上降噪、隔声措施可使设备噪声得到有效控制，对周围环境噪声影响可降到最低程度，噪声值符合《工业企业厂界环境噪声排放标准》（GB12348-2008）中2类标准限值。因此，本项目采取的噪声防治措施是可行的。</w:t>
            </w:r>
          </w:p>
          <w:p w14:paraId="5B96B5BE">
            <w:pPr>
              <w:bidi w:val="0"/>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4、噪声排放环境监测要求</w:t>
            </w:r>
          </w:p>
          <w:p w14:paraId="499CE1C8">
            <w:pPr>
              <w:rPr>
                <w:rFonts w:hint="default" w:ascii="Times New Roman" w:hAnsi="Times New Roman" w:eastAsia="宋体" w:cs="Times New Roman"/>
                <w:color w:val="auto"/>
              </w:rPr>
            </w:pPr>
            <w:r>
              <w:rPr>
                <w:rFonts w:hint="default" w:ascii="Times New Roman" w:hAnsi="Times New Roman" w:eastAsia="宋体" w:cs="Times New Roman"/>
                <w:color w:val="auto"/>
              </w:rPr>
              <w:t>根据《排污许可证申请与核发技术规范</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工业噪声》</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HJ1301-2023</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制定本项目噪声监测计划如下。</w:t>
            </w:r>
          </w:p>
          <w:p w14:paraId="689E2D32">
            <w:pPr>
              <w:pStyle w:val="37"/>
              <w:bidi w:val="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表4-</w:t>
            </w:r>
            <w:r>
              <w:rPr>
                <w:rFonts w:hint="eastAsia" w:cs="Times New Roman"/>
                <w:color w:val="auto"/>
                <w:sz w:val="24"/>
                <w:szCs w:val="24"/>
                <w:lang w:val="en-US" w:eastAsia="zh-CN"/>
              </w:rPr>
              <w:t>9</w:t>
            </w:r>
            <w:r>
              <w:rPr>
                <w:rFonts w:hint="default" w:ascii="Times New Roman" w:hAnsi="Times New Roman" w:eastAsia="宋体" w:cs="Times New Roman"/>
                <w:color w:val="auto"/>
                <w:sz w:val="24"/>
                <w:szCs w:val="24"/>
                <w:lang w:val="en-US" w:eastAsia="zh-CN"/>
              </w:rPr>
              <w:t xml:space="preserve"> 噪声监测计划一览表</w:t>
            </w:r>
          </w:p>
          <w:tbl>
            <w:tblPr>
              <w:tblStyle w:val="26"/>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2"/>
              <w:gridCol w:w="1168"/>
              <w:gridCol w:w="1522"/>
              <w:gridCol w:w="1758"/>
              <w:gridCol w:w="2306"/>
            </w:tblGrid>
            <w:tr w14:paraId="3E521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tcBorders>
                    <w:tl2br w:val="nil"/>
                    <w:tr2bl w:val="nil"/>
                  </w:tcBorders>
                  <w:vAlign w:val="center"/>
                </w:tcPr>
                <w:p w14:paraId="218CD047">
                  <w:pPr>
                    <w:pStyle w:val="52"/>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类别</w:t>
                  </w:r>
                </w:p>
              </w:tc>
              <w:tc>
                <w:tcPr>
                  <w:tcW w:w="751" w:type="pct"/>
                  <w:tcBorders>
                    <w:tl2br w:val="nil"/>
                    <w:tr2bl w:val="nil"/>
                  </w:tcBorders>
                  <w:vAlign w:val="center"/>
                </w:tcPr>
                <w:p w14:paraId="2B68642A">
                  <w:pPr>
                    <w:pStyle w:val="52"/>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监测点位</w:t>
                  </w:r>
                </w:p>
              </w:tc>
              <w:tc>
                <w:tcPr>
                  <w:tcW w:w="978" w:type="pct"/>
                  <w:tcBorders>
                    <w:tl2br w:val="nil"/>
                    <w:tr2bl w:val="nil"/>
                  </w:tcBorders>
                  <w:vAlign w:val="center"/>
                </w:tcPr>
                <w:p w14:paraId="13EFE022">
                  <w:pPr>
                    <w:pStyle w:val="52"/>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监测项目</w:t>
                  </w:r>
                </w:p>
              </w:tc>
              <w:tc>
                <w:tcPr>
                  <w:tcW w:w="1130" w:type="pct"/>
                  <w:tcBorders>
                    <w:tl2br w:val="nil"/>
                    <w:tr2bl w:val="nil"/>
                  </w:tcBorders>
                  <w:vAlign w:val="center"/>
                </w:tcPr>
                <w:p w14:paraId="49571063">
                  <w:pPr>
                    <w:pStyle w:val="52"/>
                    <w:bidi w:val="0"/>
                    <w:jc w:val="center"/>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监测频次</w:t>
                  </w:r>
                </w:p>
              </w:tc>
              <w:tc>
                <w:tcPr>
                  <w:tcW w:w="1482" w:type="pct"/>
                  <w:tcBorders>
                    <w:tl2br w:val="nil"/>
                    <w:tr2bl w:val="nil"/>
                  </w:tcBorders>
                  <w:vAlign w:val="center"/>
                </w:tcPr>
                <w:p w14:paraId="658C2C48">
                  <w:pPr>
                    <w:pStyle w:val="52"/>
                    <w:bidi w:val="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执行标准</w:t>
                  </w:r>
                </w:p>
              </w:tc>
            </w:tr>
            <w:tr w14:paraId="77DE1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tcBorders>
                    <w:tl2br w:val="nil"/>
                    <w:tr2bl w:val="nil"/>
                  </w:tcBorders>
                  <w:vAlign w:val="center"/>
                </w:tcPr>
                <w:p w14:paraId="5578F912">
                  <w:pPr>
                    <w:pStyle w:val="52"/>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噪声</w:t>
                  </w:r>
                </w:p>
              </w:tc>
              <w:tc>
                <w:tcPr>
                  <w:tcW w:w="751" w:type="pct"/>
                  <w:tcBorders>
                    <w:tl2br w:val="nil"/>
                    <w:tr2bl w:val="nil"/>
                  </w:tcBorders>
                  <w:vAlign w:val="center"/>
                </w:tcPr>
                <w:p w14:paraId="741B5E4B">
                  <w:pPr>
                    <w:pStyle w:val="52"/>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工业场地厂界四周</w:t>
                  </w:r>
                </w:p>
              </w:tc>
              <w:tc>
                <w:tcPr>
                  <w:tcW w:w="978" w:type="pct"/>
                  <w:tcBorders>
                    <w:tl2br w:val="nil"/>
                    <w:tr2bl w:val="nil"/>
                  </w:tcBorders>
                  <w:vAlign w:val="center"/>
                </w:tcPr>
                <w:p w14:paraId="125055EF">
                  <w:pPr>
                    <w:pStyle w:val="52"/>
                    <w:bidi w:val="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等效A声级</w:t>
                  </w:r>
                </w:p>
              </w:tc>
              <w:tc>
                <w:tcPr>
                  <w:tcW w:w="1130" w:type="pct"/>
                  <w:tcBorders>
                    <w:tl2br w:val="nil"/>
                    <w:tr2bl w:val="nil"/>
                  </w:tcBorders>
                  <w:vAlign w:val="center"/>
                </w:tcPr>
                <w:p w14:paraId="667E6F7C">
                  <w:pPr>
                    <w:pStyle w:val="52"/>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每季度监测1次</w:t>
                  </w:r>
                </w:p>
              </w:tc>
              <w:tc>
                <w:tcPr>
                  <w:tcW w:w="1482" w:type="pct"/>
                  <w:tcBorders>
                    <w:tl2br w:val="nil"/>
                    <w:tr2bl w:val="nil"/>
                  </w:tcBorders>
                  <w:vAlign w:val="center"/>
                </w:tcPr>
                <w:p w14:paraId="6C35BBEF">
                  <w:pPr>
                    <w:pStyle w:val="52"/>
                    <w:ind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t>《工业企业厂界环境噪声排放标准》（GB12348-2008）</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类</w:t>
                  </w:r>
                </w:p>
              </w:tc>
            </w:tr>
          </w:tbl>
          <w:p w14:paraId="3B7FC30C">
            <w:pPr>
              <w:widowControl w:val="0"/>
              <w:topLinePunct/>
              <w:spacing w:before="0" w:beforeAutospacing="0" w:after="0" w:afterAutospacing="0" w:line="360" w:lineRule="auto"/>
              <w:ind w:firstLine="482" w:firstLineChars="200"/>
              <w:jc w:val="both"/>
              <w:rPr>
                <w:rFonts w:hint="default" w:ascii="Times New Roman" w:hAnsi="Times New Roman" w:eastAsia="宋体" w:cs="Times New Roman"/>
                <w:b/>
                <w:bCs/>
                <w:color w:val="auto"/>
                <w:kern w:val="0"/>
                <w:sz w:val="24"/>
                <w:szCs w:val="20"/>
                <w:lang w:val="en-US" w:eastAsia="zh-CN" w:bidi="ar-SA"/>
              </w:rPr>
            </w:pPr>
            <w:r>
              <w:rPr>
                <w:rFonts w:hint="default" w:ascii="Times New Roman" w:hAnsi="Times New Roman" w:eastAsia="宋体" w:cs="Times New Roman"/>
                <w:b/>
                <w:bCs/>
                <w:color w:val="auto"/>
                <w:kern w:val="0"/>
                <w:sz w:val="24"/>
                <w:szCs w:val="20"/>
                <w:lang w:val="en-US" w:eastAsia="zh-CN" w:bidi="ar"/>
              </w:rPr>
              <w:t>（四）固体废物环境影响分析</w:t>
            </w:r>
          </w:p>
          <w:p w14:paraId="4EDA0F8E">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项目运营期固体废物主要是生活垃圾、维修废机油</w:t>
            </w:r>
            <w:r>
              <w:rPr>
                <w:rFonts w:hint="default" w:ascii="Times New Roman" w:hAnsi="Times New Roman" w:eastAsia="宋体" w:cs="Times New Roman"/>
                <w:color w:val="auto"/>
                <w:kern w:val="2"/>
                <w:sz w:val="24"/>
                <w:szCs w:val="24"/>
                <w:lang w:val="en-US" w:eastAsia="zh-CN" w:bidi="ar"/>
              </w:rPr>
              <w:t>及湿式除尘洗气机产生的污泥</w:t>
            </w:r>
            <w:r>
              <w:rPr>
                <w:rFonts w:hint="default" w:ascii="Times New Roman" w:hAnsi="Times New Roman" w:eastAsia="宋体" w:cs="Times New Roman"/>
                <w:color w:val="auto"/>
                <w:kern w:val="2"/>
                <w:sz w:val="24"/>
                <w:szCs w:val="24"/>
                <w:lang w:bidi="ar"/>
              </w:rPr>
              <w:t>。</w:t>
            </w:r>
          </w:p>
          <w:p w14:paraId="2357FA1B">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bidi="ar"/>
              </w:rPr>
              <w:t>生活垃圾</w:t>
            </w:r>
          </w:p>
          <w:p w14:paraId="34673D74">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本项目职工</w:t>
            </w:r>
            <w:r>
              <w:rPr>
                <w:rFonts w:hint="default" w:ascii="Times New Roman" w:hAnsi="Times New Roman" w:eastAsia="宋体" w:cs="Times New Roman"/>
                <w:color w:val="auto"/>
                <w:kern w:val="2"/>
                <w:sz w:val="24"/>
                <w:szCs w:val="24"/>
                <w:lang w:val="en-US" w:eastAsia="zh-CN" w:bidi="ar"/>
              </w:rPr>
              <w:t>56</w:t>
            </w:r>
            <w:r>
              <w:rPr>
                <w:rFonts w:hint="default" w:ascii="Times New Roman" w:hAnsi="Times New Roman" w:eastAsia="宋体" w:cs="Times New Roman"/>
                <w:color w:val="auto"/>
                <w:kern w:val="2"/>
                <w:sz w:val="24"/>
                <w:szCs w:val="24"/>
                <w:lang w:bidi="ar"/>
              </w:rPr>
              <w:t>人，生活垃圾产生量按0.5kg/人•d计，则生活垃圾产生量为</w:t>
            </w:r>
            <w:r>
              <w:rPr>
                <w:rFonts w:hint="default" w:ascii="Times New Roman" w:hAnsi="Times New Roman" w:eastAsia="宋体" w:cs="Times New Roman"/>
                <w:color w:val="auto"/>
                <w:kern w:val="2"/>
                <w:sz w:val="24"/>
                <w:szCs w:val="24"/>
                <w:lang w:val="en-US" w:eastAsia="zh-CN" w:bidi="ar"/>
              </w:rPr>
              <w:t>9.24</w:t>
            </w:r>
            <w:r>
              <w:rPr>
                <w:rFonts w:hint="default" w:ascii="Times New Roman" w:hAnsi="Times New Roman" w:eastAsia="宋体" w:cs="Times New Roman"/>
                <w:color w:val="auto"/>
                <w:kern w:val="2"/>
                <w:sz w:val="24"/>
                <w:szCs w:val="24"/>
                <w:lang w:bidi="ar"/>
              </w:rPr>
              <w:t>t/a，主要成分为食品包装、杂物、纸屑等，集中收集后</w:t>
            </w:r>
            <w:r>
              <w:rPr>
                <w:rFonts w:hint="default" w:ascii="Times New Roman" w:hAnsi="Times New Roman" w:eastAsia="宋体" w:cs="Times New Roman"/>
                <w:color w:val="auto"/>
                <w:kern w:val="2"/>
                <w:sz w:val="24"/>
                <w:szCs w:val="24"/>
                <w:lang w:val="en-US" w:eastAsia="zh-CN" w:bidi="ar"/>
              </w:rPr>
              <w:t>按环卫部门要求统一处理</w:t>
            </w:r>
            <w:r>
              <w:rPr>
                <w:rFonts w:hint="default" w:ascii="Times New Roman" w:hAnsi="Times New Roman" w:eastAsia="宋体" w:cs="Times New Roman"/>
                <w:color w:val="auto"/>
                <w:kern w:val="2"/>
                <w:sz w:val="24"/>
                <w:szCs w:val="24"/>
                <w:lang w:bidi="ar"/>
              </w:rPr>
              <w:t>。</w:t>
            </w:r>
          </w:p>
          <w:p w14:paraId="33ACF9A0">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2、湿式除尘洗气机产生的污泥</w:t>
            </w:r>
          </w:p>
          <w:p w14:paraId="19E91685">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根据计算，</w:t>
            </w: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color w:val="auto"/>
                <w:kern w:val="2"/>
                <w:sz w:val="24"/>
                <w:szCs w:val="24"/>
                <w:lang w:val="en-US" w:eastAsia="zh-CN" w:bidi="ar"/>
              </w:rPr>
              <w:t>湿式除尘洗气机产生的污泥为40.44</w:t>
            </w:r>
            <w:r>
              <w:rPr>
                <w:rFonts w:hint="default" w:ascii="Times New Roman" w:hAnsi="Times New Roman" w:eastAsia="宋体" w:cs="Times New Roman"/>
                <w:color w:val="auto"/>
                <w:kern w:val="2"/>
                <w:sz w:val="24"/>
                <w:szCs w:val="24"/>
                <w:lang w:bidi="ar"/>
              </w:rPr>
              <w:t>t/a，返回</w:t>
            </w:r>
            <w:r>
              <w:rPr>
                <w:rFonts w:hint="default" w:ascii="Times New Roman" w:hAnsi="Times New Roman" w:eastAsia="宋体" w:cs="Times New Roman"/>
                <w:color w:val="auto"/>
                <w:kern w:val="2"/>
                <w:sz w:val="24"/>
                <w:szCs w:val="24"/>
                <w:lang w:val="en-US" w:eastAsia="zh-CN" w:bidi="ar"/>
              </w:rPr>
              <w:t>注浆</w:t>
            </w:r>
            <w:r>
              <w:rPr>
                <w:rFonts w:hint="default" w:ascii="Times New Roman" w:hAnsi="Times New Roman" w:eastAsia="宋体" w:cs="Times New Roman"/>
                <w:color w:val="auto"/>
                <w:kern w:val="2"/>
                <w:sz w:val="24"/>
                <w:szCs w:val="24"/>
                <w:lang w:bidi="ar"/>
              </w:rPr>
              <w:t>工序作为充填原料使用。</w:t>
            </w:r>
          </w:p>
          <w:p w14:paraId="40A593CC">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3、地面清洗废水收集池产生的底泥</w:t>
            </w:r>
          </w:p>
          <w:p w14:paraId="64A885EB">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根据计算，</w:t>
            </w: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color w:val="auto"/>
                <w:kern w:val="2"/>
                <w:sz w:val="24"/>
                <w:szCs w:val="24"/>
                <w:lang w:val="en-US" w:eastAsia="zh-CN" w:bidi="ar"/>
              </w:rPr>
              <w:t>地面清洗废水收集池产生的底泥为8</w:t>
            </w:r>
            <w:r>
              <w:rPr>
                <w:rFonts w:hint="default" w:ascii="Times New Roman" w:hAnsi="Times New Roman" w:eastAsia="宋体" w:cs="Times New Roman"/>
                <w:color w:val="auto"/>
                <w:kern w:val="2"/>
                <w:sz w:val="24"/>
                <w:szCs w:val="24"/>
                <w:lang w:bidi="ar"/>
              </w:rPr>
              <w:t>t/a，返回</w:t>
            </w:r>
            <w:r>
              <w:rPr>
                <w:rFonts w:hint="default" w:ascii="Times New Roman" w:hAnsi="Times New Roman" w:eastAsia="宋体" w:cs="Times New Roman"/>
                <w:color w:val="auto"/>
                <w:kern w:val="2"/>
                <w:sz w:val="24"/>
                <w:szCs w:val="24"/>
                <w:lang w:val="en-US" w:eastAsia="zh-CN" w:bidi="ar"/>
              </w:rPr>
              <w:t>注浆</w:t>
            </w:r>
            <w:r>
              <w:rPr>
                <w:rFonts w:hint="default" w:ascii="Times New Roman" w:hAnsi="Times New Roman" w:eastAsia="宋体" w:cs="Times New Roman"/>
                <w:color w:val="auto"/>
                <w:kern w:val="2"/>
                <w:sz w:val="24"/>
                <w:szCs w:val="24"/>
                <w:lang w:bidi="ar"/>
              </w:rPr>
              <w:t>工序作为充填原料使用。</w:t>
            </w:r>
          </w:p>
          <w:p w14:paraId="3CB8177D">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4、</w:t>
            </w:r>
            <w:r>
              <w:rPr>
                <w:rFonts w:hint="default" w:ascii="Times New Roman" w:hAnsi="Times New Roman" w:eastAsia="宋体" w:cs="Times New Roman"/>
                <w:color w:val="auto"/>
                <w:kern w:val="2"/>
                <w:sz w:val="24"/>
                <w:szCs w:val="24"/>
                <w:lang w:bidi="ar"/>
              </w:rPr>
              <w:t>废机油</w:t>
            </w:r>
          </w:p>
          <w:p w14:paraId="5DEB17E8">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本项目运营期设备检修过程中会产生一定的废机油，产生量约为0.3t/a。根据《国家危险废物名录》（202</w:t>
            </w:r>
            <w:r>
              <w:rPr>
                <w:rFonts w:hint="default" w:ascii="Times New Roman" w:hAnsi="Times New Roman" w:eastAsia="宋体" w:cs="Times New Roman"/>
                <w:color w:val="auto"/>
                <w:kern w:val="2"/>
                <w:sz w:val="24"/>
                <w:szCs w:val="24"/>
                <w:lang w:val="en-US" w:eastAsia="zh-CN" w:bidi="ar"/>
              </w:rPr>
              <w:t>5</w:t>
            </w:r>
            <w:r>
              <w:rPr>
                <w:rFonts w:hint="default" w:ascii="Times New Roman" w:hAnsi="Times New Roman" w:eastAsia="宋体" w:cs="Times New Roman"/>
                <w:color w:val="auto"/>
                <w:kern w:val="2"/>
                <w:sz w:val="24"/>
                <w:szCs w:val="24"/>
                <w:lang w:bidi="ar"/>
              </w:rPr>
              <w:t>年版），废机油属于HW08废矿物油与含矿物油废物“非特定行业”中“900-214-08车辆、轮船及其它机械维修过程中产生的废发动机油、制动器油、自动变速器油、齿轮油等废机油”，属于危险废物，油桶收集后暂存于矿区内已有危废暂存库内，定期委托有资质单位处置。</w:t>
            </w:r>
          </w:p>
          <w:p w14:paraId="2CD851FB">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5、</w:t>
            </w:r>
            <w:r>
              <w:rPr>
                <w:rFonts w:hint="default" w:ascii="Times New Roman" w:hAnsi="Times New Roman" w:eastAsia="宋体" w:cs="Times New Roman"/>
                <w:color w:val="auto"/>
                <w:kern w:val="2"/>
                <w:sz w:val="24"/>
                <w:szCs w:val="24"/>
                <w:lang w:bidi="ar"/>
              </w:rPr>
              <w:t>固废处置措施可行性分析</w:t>
            </w:r>
          </w:p>
          <w:p w14:paraId="3D7B70AC">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本项目固体废物处理措施为国内同行企业的普遍做法，</w:t>
            </w:r>
            <w:r>
              <w:rPr>
                <w:rFonts w:hint="default" w:ascii="Times New Roman" w:hAnsi="Times New Roman" w:eastAsia="宋体" w:cs="Times New Roman"/>
                <w:color w:val="auto"/>
                <w:kern w:val="2"/>
                <w:sz w:val="24"/>
                <w:szCs w:val="24"/>
                <w:lang w:val="en-US" w:eastAsia="zh-CN" w:bidi="ar"/>
              </w:rPr>
              <w:t>参照《门克庆煤矿煤矸石覆岩离层注浆充填项目》等一系列同类项目，项目的固废处置</w:t>
            </w:r>
            <w:r>
              <w:rPr>
                <w:rFonts w:hint="default" w:ascii="Times New Roman" w:hAnsi="Times New Roman" w:eastAsia="宋体" w:cs="Times New Roman"/>
                <w:color w:val="auto"/>
                <w:kern w:val="2"/>
                <w:sz w:val="24"/>
                <w:szCs w:val="24"/>
                <w:lang w:bidi="ar"/>
              </w:rPr>
              <w:t>符合国家和当地实际情况，合理可行；各固体废物均得到了妥善处置。</w:t>
            </w:r>
          </w:p>
          <w:p w14:paraId="68FDE952">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①生活垃圾</w:t>
            </w:r>
          </w:p>
          <w:p w14:paraId="0585A7B1">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主要成分为食品包装、杂物、纸屑等，集中收集后</w:t>
            </w:r>
            <w:r>
              <w:rPr>
                <w:rFonts w:hint="default" w:ascii="Times New Roman" w:hAnsi="Times New Roman" w:eastAsia="宋体" w:cs="Times New Roman"/>
                <w:color w:val="auto"/>
                <w:kern w:val="2"/>
                <w:sz w:val="24"/>
                <w:szCs w:val="24"/>
                <w:lang w:val="en-US" w:eastAsia="zh-CN" w:bidi="ar"/>
              </w:rPr>
              <w:t>按环卫部门要求统一处理</w:t>
            </w:r>
            <w:r>
              <w:rPr>
                <w:rFonts w:hint="default" w:ascii="Times New Roman" w:hAnsi="Times New Roman" w:eastAsia="宋体" w:cs="Times New Roman"/>
                <w:color w:val="auto"/>
                <w:kern w:val="2"/>
                <w:sz w:val="24"/>
                <w:szCs w:val="24"/>
                <w:lang w:bidi="ar"/>
              </w:rPr>
              <w:t>。</w:t>
            </w:r>
          </w:p>
          <w:p w14:paraId="478DC4F9">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②</w:t>
            </w:r>
            <w:r>
              <w:rPr>
                <w:rFonts w:hint="default" w:ascii="Times New Roman" w:hAnsi="Times New Roman" w:eastAsia="宋体" w:cs="Times New Roman"/>
                <w:color w:val="auto"/>
                <w:kern w:val="2"/>
                <w:sz w:val="24"/>
                <w:szCs w:val="24"/>
                <w:lang w:val="en-US" w:eastAsia="zh-CN" w:bidi="ar"/>
              </w:rPr>
              <w:t>湿式除尘洗气机产生的污泥</w:t>
            </w:r>
          </w:p>
          <w:p w14:paraId="4FF1180B">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根据计算，</w:t>
            </w: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color w:val="auto"/>
                <w:kern w:val="2"/>
                <w:sz w:val="24"/>
                <w:szCs w:val="24"/>
                <w:lang w:val="en-US" w:eastAsia="zh-CN" w:bidi="ar"/>
              </w:rPr>
              <w:t>湿式除尘洗气机产生的污泥为40.44</w:t>
            </w:r>
            <w:r>
              <w:rPr>
                <w:rFonts w:hint="default" w:ascii="Times New Roman" w:hAnsi="Times New Roman" w:eastAsia="宋体" w:cs="Times New Roman"/>
                <w:color w:val="auto"/>
                <w:kern w:val="2"/>
                <w:sz w:val="24"/>
                <w:szCs w:val="24"/>
                <w:lang w:bidi="ar"/>
              </w:rPr>
              <w:t>t/a，返回</w:t>
            </w:r>
            <w:r>
              <w:rPr>
                <w:rFonts w:hint="default" w:ascii="Times New Roman" w:hAnsi="Times New Roman" w:eastAsia="宋体" w:cs="Times New Roman"/>
                <w:color w:val="auto"/>
                <w:kern w:val="2"/>
                <w:sz w:val="24"/>
                <w:szCs w:val="24"/>
                <w:lang w:val="en-US" w:eastAsia="zh-CN" w:bidi="ar"/>
              </w:rPr>
              <w:t>注浆</w:t>
            </w:r>
            <w:r>
              <w:rPr>
                <w:rFonts w:hint="default" w:ascii="Times New Roman" w:hAnsi="Times New Roman" w:eastAsia="宋体" w:cs="Times New Roman"/>
                <w:color w:val="auto"/>
                <w:kern w:val="2"/>
                <w:sz w:val="24"/>
                <w:szCs w:val="24"/>
                <w:lang w:bidi="ar"/>
              </w:rPr>
              <w:t>工序作为充填原料使用。</w:t>
            </w:r>
          </w:p>
          <w:p w14:paraId="2729B8CC">
            <w:pPr>
              <w:widowControl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③地面清洗废水收集池产生的底泥</w:t>
            </w:r>
          </w:p>
          <w:p w14:paraId="5A62D133">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根据计算，</w:t>
            </w: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color w:val="auto"/>
                <w:kern w:val="2"/>
                <w:sz w:val="24"/>
                <w:szCs w:val="24"/>
                <w:lang w:val="en-US" w:eastAsia="zh-CN" w:bidi="ar"/>
              </w:rPr>
              <w:t>地面清洗废水收集池产生的底泥为8</w:t>
            </w:r>
            <w:r>
              <w:rPr>
                <w:rFonts w:hint="default" w:ascii="Times New Roman" w:hAnsi="Times New Roman" w:eastAsia="宋体" w:cs="Times New Roman"/>
                <w:color w:val="auto"/>
                <w:kern w:val="2"/>
                <w:sz w:val="24"/>
                <w:szCs w:val="24"/>
                <w:lang w:bidi="ar"/>
              </w:rPr>
              <w:t>t/a，返回</w:t>
            </w:r>
            <w:r>
              <w:rPr>
                <w:rFonts w:hint="default" w:ascii="Times New Roman" w:hAnsi="Times New Roman" w:eastAsia="宋体" w:cs="Times New Roman"/>
                <w:color w:val="auto"/>
                <w:kern w:val="2"/>
                <w:sz w:val="24"/>
                <w:szCs w:val="24"/>
                <w:lang w:val="en-US" w:eastAsia="zh-CN" w:bidi="ar"/>
              </w:rPr>
              <w:t>注浆</w:t>
            </w:r>
            <w:r>
              <w:rPr>
                <w:rFonts w:hint="default" w:ascii="Times New Roman" w:hAnsi="Times New Roman" w:eastAsia="宋体" w:cs="Times New Roman"/>
                <w:color w:val="auto"/>
                <w:kern w:val="2"/>
                <w:sz w:val="24"/>
                <w:szCs w:val="24"/>
                <w:lang w:bidi="ar"/>
              </w:rPr>
              <w:t>工序作为充填原料使用。</w:t>
            </w:r>
          </w:p>
          <w:p w14:paraId="2CA6AAFC">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④</w:t>
            </w:r>
            <w:r>
              <w:rPr>
                <w:rFonts w:hint="default" w:ascii="Times New Roman" w:hAnsi="Times New Roman" w:eastAsia="宋体" w:cs="Times New Roman"/>
                <w:color w:val="auto"/>
                <w:kern w:val="2"/>
                <w:sz w:val="24"/>
                <w:szCs w:val="24"/>
                <w:lang w:bidi="ar"/>
              </w:rPr>
              <w:t>危险废物</w:t>
            </w:r>
          </w:p>
          <w:p w14:paraId="3D72EBB6">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本项目产生的废机油量比较少，为0.3t/a，现有危废品暂存库</w:t>
            </w:r>
            <w:r>
              <w:rPr>
                <w:rFonts w:hint="default" w:ascii="Times New Roman" w:hAnsi="Times New Roman" w:eastAsia="宋体" w:cs="Times New Roman"/>
                <w:color w:val="auto"/>
                <w:kern w:val="2"/>
                <w:sz w:val="24"/>
                <w:szCs w:val="24"/>
                <w:lang w:val="en-US" w:eastAsia="zh-CN" w:bidi="ar"/>
              </w:rPr>
              <w:t>位于独立厂房内，占地面积为701.25m</w:t>
            </w:r>
            <w:r>
              <w:rPr>
                <w:rFonts w:hint="default" w:ascii="Times New Roman" w:hAnsi="Times New Roman" w:eastAsia="宋体" w:cs="Times New Roman"/>
                <w:color w:val="auto"/>
                <w:kern w:val="2"/>
                <w:sz w:val="24"/>
                <w:szCs w:val="24"/>
                <w:vertAlign w:val="superscript"/>
                <w:lang w:val="en-US" w:eastAsia="zh-CN" w:bidi="ar"/>
              </w:rPr>
              <w:t>2</w:t>
            </w:r>
            <w:r>
              <w:rPr>
                <w:rFonts w:hint="default" w:ascii="Times New Roman" w:hAnsi="Times New Roman" w:eastAsia="宋体" w:cs="Times New Roman"/>
                <w:color w:val="auto"/>
                <w:kern w:val="2"/>
                <w:sz w:val="24"/>
                <w:szCs w:val="24"/>
                <w:lang w:bidi="ar"/>
              </w:rPr>
              <w:t>，暂存时间加快情况下，完全满足本项目废机油的暂存量。运营期要做好以下管理要求：</w:t>
            </w:r>
          </w:p>
          <w:p w14:paraId="30AB546B">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（1）对危险废物的容器和包装物以及收集、贮存、运输、利用、处置危险废物的设施、场所，应当按照规定设置危险废物识别标志。</w:t>
            </w:r>
          </w:p>
          <w:p w14:paraId="367E6E28">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2）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前款所称危险废物管理计划应当包括减少危险废物产生量和降低危险废物危害性的措施以及危险废物贮存、利用、处置措施。</w:t>
            </w:r>
          </w:p>
          <w:p w14:paraId="52922F4F">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危险废物管理计划应当报产生危险废物的单位所在地生态环境主管部门备案。产生危险废物的单位已经取得排污许可证的，执行排污许可管理制度的规定。</w:t>
            </w:r>
          </w:p>
          <w:p w14:paraId="6B7BEDFB">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（3）产生危险废物的单位，应当按照国家有关规定和环境保护标准要求贮存、利用、处置危险废物，不得擅自倾倒、堆放。</w:t>
            </w:r>
          </w:p>
          <w:p w14:paraId="7AD8B5DC">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（4）禁止无许可证或者未按照许可证规定从事危险废物收集、贮存、利用、处置的经营活动。禁止将危险废物提供或者委托给无许可证的单位或者其他生产经营者从事收集、贮存、利用、处置活动。</w:t>
            </w:r>
          </w:p>
          <w:p w14:paraId="47E9582E">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5）收集、贮存危险废物，应当按照危险废物特性分类进行。禁止混合收集、贮存、运输、处置性质不相容而未经安全性处置的危险废物。贮存危险废物应当采取符合国家环境保护标准的防护措施。禁止将危险废物混入非危险废物中贮存。</w:t>
            </w:r>
          </w:p>
          <w:p w14:paraId="551A991D">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（6）从事收集、贮存、利用、处置危险废物经营活动的单位，贮存危险废物不得超过一年；确需延长期限的，应当报经颁发许可证的生态环境主管部门批准；法律、行政法规另有规定的除外。</w:t>
            </w:r>
          </w:p>
          <w:p w14:paraId="1C7DB299">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（7）转移危险废物的，应当按照国家有关规定填写、运行危险废物电子或者纸质转移联单。</w:t>
            </w:r>
          </w:p>
          <w:p w14:paraId="7D69C256">
            <w:pPr>
              <w:widowControl/>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因此</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本项目危废能够得到合理、有效的处置，满足《危险废物贮存污染控制标准》(GB18597-2023)要求。</w:t>
            </w:r>
          </w:p>
          <w:p w14:paraId="1BFA9251">
            <w:pPr>
              <w:widowControl w:val="0"/>
              <w:topLinePunct/>
              <w:spacing w:before="0" w:beforeAutospacing="0" w:after="0" w:afterAutospacing="0" w:line="360" w:lineRule="auto"/>
              <w:ind w:firstLine="480" w:firstLineChars="200"/>
              <w:jc w:val="both"/>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4"/>
                <w:lang w:val="en-US" w:eastAsia="zh-CN" w:bidi="ar"/>
              </w:rPr>
              <w:t>综上所述，建设单位应进一步做好各固废的堆存保管和防护，并设专人严格管理，防止二次污染。因此，本项目采取的固废防治措施是可行的。</w:t>
            </w:r>
          </w:p>
          <w:p w14:paraId="41464A9D">
            <w:pPr>
              <w:widowControl w:val="0"/>
              <w:spacing w:line="336" w:lineRule="auto"/>
              <w:ind w:firstLine="482" w:firstLineChars="200"/>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bidi="ar"/>
              </w:rPr>
              <w:t>（五）土壤环境</w:t>
            </w:r>
            <w:r>
              <w:rPr>
                <w:rFonts w:hint="default" w:ascii="Times New Roman" w:hAnsi="Times New Roman" w:eastAsia="宋体" w:cs="Times New Roman"/>
                <w:b/>
                <w:bCs/>
                <w:color w:val="auto"/>
                <w:kern w:val="2"/>
                <w:sz w:val="24"/>
                <w:szCs w:val="24"/>
                <w:lang w:val="en-US" w:eastAsia="zh-CN" w:bidi="ar"/>
              </w:rPr>
              <w:t>及地下水环境</w:t>
            </w:r>
            <w:r>
              <w:rPr>
                <w:rFonts w:hint="default" w:ascii="Times New Roman" w:hAnsi="Times New Roman" w:eastAsia="宋体" w:cs="Times New Roman"/>
                <w:b/>
                <w:bCs/>
                <w:color w:val="auto"/>
                <w:kern w:val="2"/>
                <w:sz w:val="24"/>
                <w:szCs w:val="24"/>
                <w:lang w:bidi="ar"/>
              </w:rPr>
              <w:t>污染影响分析</w:t>
            </w:r>
          </w:p>
          <w:p w14:paraId="6BD7DC29">
            <w:pPr>
              <w:widowControl w:val="0"/>
              <w:numPr>
                <w:ilvl w:val="0"/>
                <w:numId w:val="0"/>
              </w:numPr>
              <w:topLinePunct/>
              <w:spacing w:before="0" w:beforeAutospacing="0" w:after="0" w:afterAutospacing="0" w:line="360" w:lineRule="auto"/>
              <w:ind w:firstLine="480" w:firstLineChars="200"/>
              <w:jc w:val="both"/>
              <w:rPr>
                <w:rFonts w:hint="default" w:ascii="Times New Roman" w:hAnsi="Times New Roman" w:eastAsia="宋体" w:cs="Times New Roman"/>
                <w:color w:val="auto"/>
                <w:kern w:val="0"/>
                <w:sz w:val="24"/>
                <w:szCs w:val="20"/>
                <w:lang w:val="en-US" w:eastAsia="zh-CN" w:bidi="ar"/>
              </w:rPr>
            </w:pPr>
            <w:r>
              <w:rPr>
                <w:rFonts w:hint="eastAsia" w:cs="Times New Roman"/>
                <w:color w:val="auto"/>
                <w:kern w:val="0"/>
                <w:sz w:val="24"/>
                <w:szCs w:val="20"/>
                <w:lang w:val="en-US" w:eastAsia="zh-CN" w:bidi="ar"/>
              </w:rPr>
              <w:t>1、</w:t>
            </w:r>
            <w:r>
              <w:rPr>
                <w:rFonts w:hint="default" w:ascii="Times New Roman" w:hAnsi="Times New Roman" w:eastAsia="宋体" w:cs="Times New Roman"/>
                <w:color w:val="auto"/>
                <w:kern w:val="0"/>
                <w:sz w:val="24"/>
                <w:szCs w:val="20"/>
                <w:lang w:val="en-US" w:eastAsia="zh-CN" w:bidi="ar"/>
              </w:rPr>
              <w:t>地面</w:t>
            </w:r>
            <w:r>
              <w:rPr>
                <w:rFonts w:hint="eastAsia" w:cs="Times New Roman"/>
                <w:color w:val="auto"/>
                <w:kern w:val="0"/>
                <w:sz w:val="24"/>
                <w:szCs w:val="20"/>
                <w:lang w:val="en-US" w:eastAsia="zh-CN" w:bidi="ar"/>
              </w:rPr>
              <w:t>注浆站</w:t>
            </w:r>
            <w:r>
              <w:rPr>
                <w:rFonts w:hint="default" w:ascii="Times New Roman" w:hAnsi="Times New Roman" w:eastAsia="宋体" w:cs="Times New Roman"/>
                <w:color w:val="auto"/>
                <w:kern w:val="0"/>
                <w:sz w:val="24"/>
                <w:szCs w:val="20"/>
                <w:lang w:val="en-US" w:eastAsia="zh-CN" w:bidi="ar"/>
              </w:rPr>
              <w:t>影响分析</w:t>
            </w:r>
          </w:p>
          <w:p w14:paraId="1885CE8F">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项目正常情况及事故情况下均无废水直接排放。根据项目特点，按照“源头控制、分区防治、污染监控、应急响应”的地下水污染防治总体原则，从污染物的产生、入渗、扩散、应急响应等方面采取全方位的防治措施。</w:t>
            </w:r>
          </w:p>
          <w:p w14:paraId="64C12C74">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（1）源头控制措施</w:t>
            </w:r>
          </w:p>
          <w:p w14:paraId="708AF42B">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项目产生的废物均进行合理的回用和治理；严格按照国家相关规范要求，完善废水回用输送管网建设和维护工作；车间内设有排水沟接入冲洗水收集池，车间内管道孔四周硬化，将污染物</w:t>
            </w:r>
            <w:r>
              <w:rPr>
                <w:rFonts w:hint="eastAsia" w:cs="Times New Roman"/>
                <w:color w:val="auto"/>
                <w:kern w:val="0"/>
                <w:sz w:val="24"/>
                <w:szCs w:val="24"/>
                <w:lang w:val="en-US" w:eastAsia="zh-CN" w:bidi="ar"/>
              </w:rPr>
              <w:t>泄漏</w:t>
            </w:r>
            <w:r>
              <w:rPr>
                <w:rFonts w:hint="default" w:ascii="Times New Roman" w:hAnsi="Times New Roman" w:eastAsia="宋体" w:cs="Times New Roman"/>
                <w:color w:val="auto"/>
                <w:kern w:val="0"/>
                <w:sz w:val="24"/>
                <w:szCs w:val="24"/>
                <w:lang w:val="en-US" w:eastAsia="zh-CN" w:bidi="ar"/>
              </w:rPr>
              <w:t>的风险降到最低程度。</w:t>
            </w:r>
          </w:p>
          <w:p w14:paraId="6B9AD4A1">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（2）分区防渗措施</w:t>
            </w:r>
          </w:p>
          <w:p w14:paraId="60279F86">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破碎车间、制浆车间地面均采取混凝土硬化防渗措施，地面防渗性能均满足一般防渗要求，即防渗技术要求等效黏土防渗层 Mb≥1.5m，渗透系数≤1.0×10</w:t>
            </w:r>
            <w:r>
              <w:rPr>
                <w:rFonts w:hint="default" w:ascii="Times New Roman" w:hAnsi="Times New Roman" w:eastAsia="宋体" w:cs="Times New Roman"/>
                <w:color w:val="auto"/>
                <w:kern w:val="0"/>
                <w:sz w:val="24"/>
                <w:szCs w:val="24"/>
                <w:vertAlign w:val="superscript"/>
                <w:lang w:val="en-US" w:eastAsia="zh-CN" w:bidi="ar"/>
              </w:rPr>
              <w:t xml:space="preserve">-7 </w:t>
            </w:r>
            <w:r>
              <w:rPr>
                <w:rFonts w:hint="default" w:ascii="Times New Roman" w:hAnsi="Times New Roman" w:eastAsia="宋体" w:cs="Times New Roman"/>
                <w:color w:val="auto"/>
                <w:kern w:val="0"/>
                <w:sz w:val="24"/>
                <w:szCs w:val="24"/>
                <w:lang w:val="en-US" w:eastAsia="zh-CN" w:bidi="ar"/>
              </w:rPr>
              <w:t>cm/s；</w:t>
            </w:r>
            <w:r>
              <w:rPr>
                <w:rFonts w:hint="default" w:ascii="Times New Roman" w:hAnsi="Times New Roman" w:eastAsia="宋体" w:cs="Times New Roman"/>
                <w:color w:val="auto"/>
                <w:kern w:val="0"/>
                <w:sz w:val="24"/>
                <w:szCs w:val="24"/>
                <w:highlight w:val="none"/>
                <w:lang w:val="en-US" w:eastAsia="zh-CN"/>
              </w:rPr>
              <w:t>地面冲洗废水</w:t>
            </w:r>
            <w:r>
              <w:rPr>
                <w:rFonts w:hint="eastAsia" w:cs="Times New Roman"/>
                <w:color w:val="auto"/>
                <w:kern w:val="0"/>
                <w:sz w:val="24"/>
                <w:szCs w:val="24"/>
                <w:highlight w:val="none"/>
                <w:lang w:val="en-US" w:eastAsia="zh-CN"/>
              </w:rPr>
              <w:t>沉淀池</w:t>
            </w:r>
            <w:r>
              <w:rPr>
                <w:rFonts w:hint="default" w:ascii="Times New Roman" w:hAnsi="Times New Roman" w:eastAsia="宋体" w:cs="Times New Roman"/>
                <w:color w:val="auto"/>
                <w:kern w:val="0"/>
                <w:sz w:val="24"/>
                <w:szCs w:val="24"/>
                <w:highlight w:val="none"/>
                <w:lang w:val="en-US" w:eastAsia="zh-CN"/>
              </w:rPr>
              <w:t>、注浆</w:t>
            </w:r>
            <w:r>
              <w:rPr>
                <w:rFonts w:hint="eastAsia" w:cs="Times New Roman"/>
                <w:color w:val="auto"/>
                <w:kern w:val="0"/>
                <w:sz w:val="24"/>
                <w:szCs w:val="24"/>
                <w:highlight w:val="none"/>
                <w:lang w:val="en-US" w:eastAsia="zh-CN"/>
              </w:rPr>
              <w:t>管线</w:t>
            </w:r>
            <w:r>
              <w:rPr>
                <w:rFonts w:hint="default" w:ascii="Times New Roman" w:hAnsi="Times New Roman" w:eastAsia="宋体" w:cs="Times New Roman"/>
                <w:color w:val="auto"/>
                <w:kern w:val="0"/>
                <w:sz w:val="24"/>
                <w:szCs w:val="24"/>
                <w:lang w:val="en-US" w:eastAsia="zh-CN" w:bidi="ar"/>
              </w:rPr>
              <w:t>等采取一般防渗措施，保证浆液制造、污水收集过程中不会发生渗漏。 具体防渗技术要求：地面采用 200mm 厚的防渗混凝土，再进行水泥硬化（水池底部用 60-80mm 的水泥浇底）。</w:t>
            </w:r>
          </w:p>
          <w:p w14:paraId="5BD2F44C">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（3）地下水监测管理</w:t>
            </w:r>
          </w:p>
          <w:p w14:paraId="4389B5B6">
            <w:pPr>
              <w:keepNext w:val="0"/>
              <w:keepLines w:val="0"/>
              <w:widowControl/>
              <w:suppressLineNumbers w:val="0"/>
              <w:jc w:val="left"/>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为保证地下水监测有效、有序管理，须制定相关规定、明确职责。本项目地下水监测管理应纳入全井田统一监管。煤矿已制定地下水监测计划，于井田范围内设置3 口长期水质观测井，丰、枯水期分别监测一次水质。公司环境管理部门派专人负责地下水监测工作，按要求及时分析整理原始资料、监测报告的编写工作。在日常例行监测中，一旦发现地下水水质监测数据异常，应尽快核查数据，确保数据的正确性，及时将核查过的监测数据报告给厂环境保护部门。</w:t>
            </w:r>
          </w:p>
          <w:p w14:paraId="36FA2C32">
            <w:pPr>
              <w:keepNext w:val="0"/>
              <w:keepLines w:val="0"/>
              <w:widowControl/>
              <w:suppressLineNumbers w:val="0"/>
              <w:jc w:val="left"/>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综上所述，本项目在加强管理，强化防渗措施的前提下，污染物渗漏的可 能性较小，不会对评价区地下水产生明显影响。</w:t>
            </w:r>
          </w:p>
          <w:p w14:paraId="14A5755F">
            <w:pPr>
              <w:widowControl w:val="0"/>
              <w:numPr>
                <w:ilvl w:val="0"/>
                <w:numId w:val="0"/>
              </w:numPr>
              <w:topLinePunct/>
              <w:spacing w:before="0" w:beforeAutospacing="0" w:after="0" w:afterAutospacing="0" w:line="360" w:lineRule="auto"/>
              <w:ind w:firstLine="480" w:firstLineChars="200"/>
              <w:jc w:val="both"/>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0"/>
                <w:lang w:val="en-US" w:eastAsia="zh-CN" w:bidi="ar"/>
              </w:rPr>
              <w:t>本项目各车间采取防渗措施后防渗性能强，对土壤污染较轻；</w:t>
            </w:r>
            <w:r>
              <w:rPr>
                <w:rFonts w:hint="default" w:ascii="Times New Roman" w:hAnsi="Times New Roman" w:eastAsia="宋体" w:cs="Times New Roman"/>
                <w:color w:val="auto"/>
                <w:kern w:val="0"/>
                <w:sz w:val="24"/>
                <w:szCs w:val="24"/>
                <w:lang w:val="en-US" w:eastAsia="zh-CN" w:bidi="ar"/>
              </w:rPr>
              <w:t>正常工况下，产生的地面冲洗废水经收集池沉淀后回用，生活污水排放至厂区现有生活污水处理站处理后综合利用，不会对地下水造成影响。</w:t>
            </w:r>
          </w:p>
          <w:p w14:paraId="6D4395D3">
            <w:pPr>
              <w:widowControl/>
              <w:spacing w:line="360" w:lineRule="auto"/>
              <w:ind w:firstLine="480" w:firstLineChars="200"/>
              <w:rPr>
                <w:rFonts w:hint="default" w:ascii="Times New Roman" w:hAnsi="Times New Roman" w:eastAsia="宋体" w:cs="Times New Roman"/>
                <w:snapToGrid w:val="0"/>
                <w:color w:val="auto"/>
                <w:kern w:val="2"/>
                <w:sz w:val="24"/>
                <w:szCs w:val="24"/>
                <w:highlight w:val="none"/>
                <w:lang w:bidi="ar"/>
              </w:rPr>
            </w:pPr>
            <w:r>
              <w:rPr>
                <w:rFonts w:hint="default" w:ascii="Times New Roman" w:hAnsi="Times New Roman" w:eastAsia="宋体" w:cs="Times New Roman"/>
                <w:snapToGrid w:val="0"/>
                <w:color w:val="auto"/>
                <w:kern w:val="2"/>
                <w:sz w:val="24"/>
                <w:szCs w:val="24"/>
                <w:highlight w:val="none"/>
                <w:lang w:val="en-US" w:eastAsia="zh-CN" w:bidi="ar"/>
              </w:rPr>
              <w:t>将</w:t>
            </w:r>
            <w:r>
              <w:rPr>
                <w:rFonts w:hint="default" w:ascii="Times New Roman" w:hAnsi="Times New Roman" w:eastAsia="宋体" w:cs="Times New Roman"/>
                <w:snapToGrid w:val="0"/>
                <w:color w:val="auto"/>
                <w:kern w:val="2"/>
                <w:sz w:val="24"/>
                <w:szCs w:val="24"/>
                <w:highlight w:val="none"/>
                <w:lang w:bidi="ar"/>
              </w:rPr>
              <w:t>项目厂区划分为</w:t>
            </w:r>
            <w:r>
              <w:rPr>
                <w:rFonts w:hint="default" w:ascii="Times New Roman" w:hAnsi="Times New Roman" w:eastAsia="宋体" w:cs="Times New Roman"/>
                <w:snapToGrid w:val="0"/>
                <w:color w:val="auto"/>
                <w:kern w:val="2"/>
                <w:sz w:val="24"/>
                <w:szCs w:val="24"/>
                <w:highlight w:val="none"/>
                <w:lang w:val="en-US" w:eastAsia="zh-CN" w:bidi="ar"/>
              </w:rPr>
              <w:t>一般</w:t>
            </w:r>
            <w:r>
              <w:rPr>
                <w:rFonts w:hint="default" w:ascii="Times New Roman" w:hAnsi="Times New Roman" w:eastAsia="宋体" w:cs="Times New Roman"/>
                <w:snapToGrid w:val="0"/>
                <w:color w:val="auto"/>
                <w:kern w:val="2"/>
                <w:sz w:val="24"/>
                <w:szCs w:val="24"/>
                <w:highlight w:val="none"/>
                <w:lang w:bidi="ar"/>
              </w:rPr>
              <w:t>污染防渗区、简单污染防渗区，具体各防渗区要求见下表。</w:t>
            </w:r>
          </w:p>
          <w:p w14:paraId="6A7DCABD">
            <w:pPr>
              <w:widowControl w:val="0"/>
              <w:spacing w:line="240" w:lineRule="auto"/>
              <w:ind w:firstLine="482" w:firstLineChars="200"/>
              <w:jc w:val="center"/>
              <w:rPr>
                <w:rFonts w:hint="default" w:ascii="Times New Roman" w:hAnsi="Times New Roman" w:eastAsia="宋体" w:cs="Times New Roman"/>
                <w:snapToGrid w:val="0"/>
                <w:color w:val="auto"/>
                <w:kern w:val="2"/>
                <w:sz w:val="24"/>
                <w:szCs w:val="24"/>
                <w:highlight w:val="none"/>
              </w:rPr>
            </w:pPr>
            <w:r>
              <w:rPr>
                <w:rFonts w:hint="default" w:ascii="Times New Roman" w:hAnsi="Times New Roman" w:eastAsia="宋体" w:cs="Times New Roman"/>
                <w:b/>
                <w:color w:val="auto"/>
                <w:kern w:val="0"/>
                <w:sz w:val="24"/>
                <w:szCs w:val="24"/>
                <w:highlight w:val="none"/>
                <w:lang w:bidi="ar"/>
              </w:rPr>
              <w:t>表</w:t>
            </w:r>
            <w:r>
              <w:rPr>
                <w:rFonts w:hint="default" w:ascii="Times New Roman" w:hAnsi="Times New Roman" w:eastAsia="宋体" w:cs="Times New Roman"/>
                <w:b/>
                <w:color w:val="auto"/>
                <w:kern w:val="0"/>
                <w:sz w:val="24"/>
                <w:szCs w:val="24"/>
                <w:highlight w:val="none"/>
                <w:lang w:val="en-US" w:eastAsia="zh-CN" w:bidi="ar"/>
              </w:rPr>
              <w:t>4-</w:t>
            </w:r>
            <w:r>
              <w:rPr>
                <w:rFonts w:hint="eastAsia" w:cs="Times New Roman"/>
                <w:b/>
                <w:color w:val="auto"/>
                <w:kern w:val="0"/>
                <w:sz w:val="24"/>
                <w:szCs w:val="24"/>
                <w:highlight w:val="none"/>
                <w:lang w:val="en-US" w:eastAsia="zh-CN" w:bidi="ar"/>
              </w:rPr>
              <w:t>10</w:t>
            </w:r>
            <w:r>
              <w:rPr>
                <w:rFonts w:hint="default" w:ascii="Times New Roman" w:hAnsi="Times New Roman" w:eastAsia="宋体" w:cs="Times New Roman"/>
                <w:b/>
                <w:color w:val="auto"/>
                <w:kern w:val="0"/>
                <w:sz w:val="24"/>
                <w:szCs w:val="24"/>
                <w:highlight w:val="none"/>
                <w:lang w:bidi="ar"/>
              </w:rPr>
              <w:t xml:space="preserve">    </w:t>
            </w:r>
            <w:r>
              <w:rPr>
                <w:rFonts w:hint="default" w:ascii="Times New Roman" w:hAnsi="Times New Roman" w:eastAsia="宋体" w:cs="Times New Roman"/>
                <w:b/>
                <w:color w:val="auto"/>
                <w:kern w:val="0"/>
                <w:sz w:val="24"/>
                <w:szCs w:val="24"/>
                <w:highlight w:val="none"/>
                <w:lang w:val="en-US" w:eastAsia="zh-CN" w:bidi="ar"/>
              </w:rPr>
              <w:t>防渗</w:t>
            </w:r>
            <w:r>
              <w:rPr>
                <w:rFonts w:hint="default" w:ascii="Times New Roman" w:hAnsi="Times New Roman" w:eastAsia="宋体" w:cs="Times New Roman"/>
                <w:b/>
                <w:color w:val="auto"/>
                <w:kern w:val="0"/>
                <w:sz w:val="24"/>
                <w:szCs w:val="24"/>
                <w:highlight w:val="none"/>
                <w:lang w:bidi="ar"/>
              </w:rPr>
              <w:t>分区一览表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2809"/>
              <w:gridCol w:w="3575"/>
            </w:tblGrid>
            <w:tr w14:paraId="2D33B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95" w:type="pct"/>
                  <w:noWrap w:val="0"/>
                  <w:vAlign w:val="center"/>
                </w:tcPr>
                <w:p w14:paraId="30052C6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防渗分区</w:t>
                  </w:r>
                </w:p>
              </w:tc>
              <w:tc>
                <w:tcPr>
                  <w:tcW w:w="1806" w:type="pct"/>
                  <w:noWrap w:val="0"/>
                  <w:vAlign w:val="center"/>
                </w:tcPr>
                <w:p w14:paraId="7C468CA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功能单元</w:t>
                  </w:r>
                </w:p>
              </w:tc>
              <w:tc>
                <w:tcPr>
                  <w:tcW w:w="2298" w:type="pct"/>
                  <w:noWrap w:val="0"/>
                  <w:vAlign w:val="center"/>
                </w:tcPr>
                <w:p w14:paraId="021B8B8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防渗技术要求</w:t>
                  </w:r>
                </w:p>
              </w:tc>
            </w:tr>
            <w:tr w14:paraId="05C67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95" w:type="pct"/>
                  <w:noWrap w:val="0"/>
                  <w:vAlign w:val="center"/>
                </w:tcPr>
                <w:p w14:paraId="663B695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一般防渗区</w:t>
                  </w:r>
                </w:p>
              </w:tc>
              <w:tc>
                <w:tcPr>
                  <w:tcW w:w="1806" w:type="pct"/>
                  <w:noWrap w:val="0"/>
                  <w:vAlign w:val="center"/>
                </w:tcPr>
                <w:p w14:paraId="7F36BB8E">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4"/>
                    </w:rPr>
                    <w:t>破碎</w:t>
                  </w:r>
                  <w:r>
                    <w:rPr>
                      <w:rFonts w:hint="default" w:ascii="Times New Roman" w:hAnsi="Times New Roman" w:eastAsia="宋体" w:cs="Times New Roman"/>
                      <w:color w:val="auto"/>
                      <w:kern w:val="2"/>
                      <w:sz w:val="21"/>
                      <w:szCs w:val="24"/>
                      <w:lang w:val="en-US" w:eastAsia="zh-CN"/>
                    </w:rPr>
                    <w:t>车间、</w:t>
                  </w:r>
                  <w:r>
                    <w:rPr>
                      <w:rFonts w:hint="eastAsia" w:cs="Times New Roman"/>
                      <w:color w:val="auto"/>
                      <w:kern w:val="2"/>
                      <w:sz w:val="21"/>
                      <w:szCs w:val="24"/>
                      <w:lang w:val="en-US" w:eastAsia="zh-CN"/>
                    </w:rPr>
                    <w:t>制浆车间</w:t>
                  </w:r>
                  <w:r>
                    <w:rPr>
                      <w:rFonts w:hint="default" w:ascii="Times New Roman" w:hAnsi="Times New Roman" w:eastAsia="宋体" w:cs="Times New Roman"/>
                      <w:color w:val="auto"/>
                      <w:kern w:val="2"/>
                      <w:sz w:val="21"/>
                      <w:szCs w:val="24"/>
                      <w:lang w:val="en-US" w:eastAsia="zh-CN"/>
                    </w:rPr>
                    <w:t>、沉淀池</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2"/>
                      <w:sz w:val="21"/>
                      <w:szCs w:val="24"/>
                      <w:lang w:val="en-US" w:eastAsia="zh-CN"/>
                    </w:rPr>
                    <w:t>管线（地埋）</w:t>
                  </w:r>
                </w:p>
              </w:tc>
              <w:tc>
                <w:tcPr>
                  <w:tcW w:w="2298" w:type="pct"/>
                  <w:noWrap w:val="0"/>
                  <w:vAlign w:val="center"/>
                </w:tcPr>
                <w:p w14:paraId="152E374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4"/>
                    </w:rPr>
                    <w:t>破碎</w:t>
                  </w:r>
                  <w:r>
                    <w:rPr>
                      <w:rFonts w:hint="default" w:ascii="Times New Roman" w:hAnsi="Times New Roman" w:eastAsia="宋体" w:cs="Times New Roman"/>
                      <w:color w:val="auto"/>
                      <w:kern w:val="2"/>
                      <w:sz w:val="21"/>
                      <w:szCs w:val="24"/>
                      <w:lang w:val="en-US" w:eastAsia="zh-CN"/>
                    </w:rPr>
                    <w:t>车间、</w:t>
                  </w:r>
                  <w:r>
                    <w:rPr>
                      <w:rFonts w:hint="eastAsia" w:cs="Times New Roman"/>
                      <w:color w:val="auto"/>
                      <w:kern w:val="2"/>
                      <w:sz w:val="21"/>
                      <w:szCs w:val="24"/>
                      <w:lang w:val="en-US" w:eastAsia="zh-CN"/>
                    </w:rPr>
                    <w:t>制浆车间</w:t>
                  </w:r>
                  <w:r>
                    <w:rPr>
                      <w:rFonts w:hint="default" w:ascii="Times New Roman" w:hAnsi="Times New Roman" w:eastAsia="宋体" w:cs="Times New Roman"/>
                      <w:color w:val="auto"/>
                      <w:kern w:val="2"/>
                      <w:sz w:val="21"/>
                      <w:szCs w:val="24"/>
                      <w:lang w:val="en-US" w:eastAsia="zh-CN"/>
                    </w:rPr>
                    <w:t>、沉淀池，</w:t>
                  </w:r>
                  <w:r>
                    <w:rPr>
                      <w:rFonts w:hint="default" w:ascii="Times New Roman" w:hAnsi="Times New Roman" w:eastAsia="宋体" w:cs="Times New Roman"/>
                      <w:color w:val="auto"/>
                      <w:kern w:val="2"/>
                      <w:sz w:val="21"/>
                      <w:szCs w:val="21"/>
                      <w:highlight w:val="none"/>
                    </w:rPr>
                    <w:t>防渗效果至少达到等效黏土防渗层Mb≥1.5m</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1"/>
                      <w:highlight w:val="none"/>
                    </w:rPr>
                    <w:t>K≤1.0×10</w:t>
                  </w:r>
                  <w:r>
                    <w:rPr>
                      <w:rFonts w:hint="default" w:ascii="Times New Roman" w:hAnsi="Times New Roman" w:eastAsia="宋体" w:cs="Times New Roman"/>
                      <w:color w:val="auto"/>
                      <w:kern w:val="2"/>
                      <w:sz w:val="21"/>
                      <w:szCs w:val="21"/>
                      <w:highlight w:val="none"/>
                      <w:vertAlign w:val="superscript"/>
                    </w:rPr>
                    <w:t>-7</w:t>
                  </w:r>
                  <w:r>
                    <w:rPr>
                      <w:rFonts w:hint="default" w:ascii="Times New Roman" w:hAnsi="Times New Roman" w:eastAsia="宋体" w:cs="Times New Roman"/>
                      <w:color w:val="auto"/>
                      <w:kern w:val="2"/>
                      <w:sz w:val="21"/>
                      <w:szCs w:val="21"/>
                      <w:highlight w:val="none"/>
                    </w:rPr>
                    <w:t>cm/s</w:t>
                  </w:r>
                  <w:r>
                    <w:rPr>
                      <w:rFonts w:hint="default" w:ascii="Times New Roman" w:hAnsi="Times New Roman" w:eastAsia="宋体" w:cs="Times New Roman"/>
                      <w:color w:val="auto"/>
                      <w:kern w:val="2"/>
                      <w:sz w:val="21"/>
                      <w:szCs w:val="21"/>
                      <w:highlight w:val="none"/>
                      <w:lang w:eastAsia="zh-CN"/>
                    </w:rPr>
                    <w:t>；</w:t>
                  </w:r>
                  <w:r>
                    <w:rPr>
                      <w:rFonts w:hint="default" w:ascii="Times New Roman" w:hAnsi="Times New Roman" w:eastAsia="宋体" w:cs="Times New Roman"/>
                      <w:color w:val="auto"/>
                      <w:kern w:val="2"/>
                      <w:sz w:val="21"/>
                      <w:szCs w:val="24"/>
                      <w:lang w:val="en-US" w:eastAsia="zh-CN"/>
                    </w:rPr>
                    <w:t>管线（地埋）采用快凝聚合物改性砂浆材料。</w:t>
                  </w:r>
                </w:p>
              </w:tc>
            </w:tr>
            <w:tr w14:paraId="7B896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895" w:type="pct"/>
                  <w:noWrap w:val="0"/>
                  <w:vAlign w:val="center"/>
                </w:tcPr>
                <w:p w14:paraId="52FA7F0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简单防渗区</w:t>
                  </w:r>
                </w:p>
              </w:tc>
              <w:tc>
                <w:tcPr>
                  <w:tcW w:w="1806" w:type="pct"/>
                  <w:noWrap w:val="0"/>
                  <w:vAlign w:val="center"/>
                </w:tcPr>
                <w:p w14:paraId="556825A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配电房</w:t>
                  </w:r>
                </w:p>
              </w:tc>
              <w:tc>
                <w:tcPr>
                  <w:tcW w:w="2298" w:type="pct"/>
                  <w:noWrap w:val="0"/>
                  <w:vAlign w:val="center"/>
                </w:tcPr>
                <w:p w14:paraId="4C538433">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一般地面硬化</w:t>
                  </w:r>
                </w:p>
              </w:tc>
            </w:tr>
          </w:tbl>
          <w:p w14:paraId="7E1D272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2、区域水文地质条件</w:t>
            </w:r>
          </w:p>
          <w:p w14:paraId="30F29979">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（1）区域水文单元划分</w:t>
            </w:r>
          </w:p>
          <w:p w14:paraId="59C89165">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鄂尔多斯市域的地质及水文地质结构，依据含水介质类型，将鄂尔多斯市含水岩系划分为三大含水层系统，即寒武系-奥陶系碳酸盐岩岩溶含水层系统、鄂尔多斯高原第四系-白垩系地下水系统、石炭系-侏罗系碎屑岩裂隙与上覆松散层孔隙含水层系统。地下水系统划分见下表。由图及表可知，并田位于四级地下水系统中的海流图一纳林河（IIa</w:t>
            </w:r>
            <w:r>
              <w:rPr>
                <w:rFonts w:hint="default" w:ascii="Times New Roman" w:hAnsi="Times New Roman" w:eastAsia="宋体" w:cs="Times New Roman"/>
                <w:color w:val="auto"/>
                <w:vertAlign w:val="superscript"/>
                <w:lang w:val="en-US" w:eastAsia="zh-CN"/>
              </w:rPr>
              <w:t>3-3</w:t>
            </w:r>
            <w:r>
              <w:rPr>
                <w:rFonts w:hint="default" w:ascii="Times New Roman" w:hAnsi="Times New Roman" w:eastAsia="宋体" w:cs="Times New Roman"/>
                <w:color w:val="auto"/>
                <w:lang w:val="en-US" w:eastAsia="zh-CN"/>
              </w:rPr>
              <w:t>）地下水水文单元。</w:t>
            </w:r>
          </w:p>
          <w:p w14:paraId="0E5603CB">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60C51057">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713AFDA4">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1B561642">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18E61D0A">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652A1E6D">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449A7B7C">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4B6F17BB">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51324401">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76AE1DB8">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2E5553AD">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4B6E42BC">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28C977A9">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7A2FEF44">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44B9A16E">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672AC0EA">
            <w:pPr>
              <w:widowControl w:val="0"/>
              <w:spacing w:line="240" w:lineRule="auto"/>
              <w:ind w:firstLine="482" w:firstLineChars="200"/>
              <w:jc w:val="both"/>
              <w:rPr>
                <w:rFonts w:hint="default" w:ascii="Times New Roman" w:hAnsi="Times New Roman" w:eastAsia="宋体" w:cs="Times New Roman"/>
                <w:b/>
                <w:color w:val="auto"/>
                <w:kern w:val="0"/>
                <w:sz w:val="24"/>
                <w:szCs w:val="24"/>
                <w:highlight w:val="none"/>
                <w:lang w:bidi="ar"/>
              </w:rPr>
            </w:pPr>
          </w:p>
          <w:p w14:paraId="2018330E">
            <w:pPr>
              <w:widowControl w:val="0"/>
              <w:spacing w:line="240" w:lineRule="auto"/>
              <w:ind w:firstLine="482" w:firstLineChars="20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b/>
                <w:color w:val="auto"/>
                <w:kern w:val="0"/>
                <w:sz w:val="24"/>
                <w:szCs w:val="24"/>
                <w:highlight w:val="none"/>
                <w:lang w:bidi="ar"/>
              </w:rPr>
              <w:t>表</w:t>
            </w:r>
            <w:r>
              <w:rPr>
                <w:rFonts w:hint="default" w:ascii="Times New Roman" w:hAnsi="Times New Roman" w:eastAsia="宋体" w:cs="Times New Roman"/>
                <w:b/>
                <w:color w:val="auto"/>
                <w:kern w:val="0"/>
                <w:sz w:val="24"/>
                <w:szCs w:val="24"/>
                <w:highlight w:val="none"/>
                <w:lang w:val="en-US" w:eastAsia="zh-CN" w:bidi="ar"/>
              </w:rPr>
              <w:t>4-</w:t>
            </w:r>
            <w:r>
              <w:rPr>
                <w:rFonts w:hint="eastAsia" w:cs="Times New Roman"/>
                <w:b/>
                <w:color w:val="auto"/>
                <w:kern w:val="0"/>
                <w:sz w:val="24"/>
                <w:szCs w:val="24"/>
                <w:highlight w:val="none"/>
                <w:lang w:val="en-US" w:eastAsia="zh-CN" w:bidi="ar"/>
              </w:rPr>
              <w:t>11</w:t>
            </w:r>
            <w:r>
              <w:rPr>
                <w:rFonts w:hint="default" w:ascii="Times New Roman" w:hAnsi="Times New Roman" w:eastAsia="宋体" w:cs="Times New Roman"/>
                <w:b/>
                <w:color w:val="auto"/>
                <w:kern w:val="0"/>
                <w:sz w:val="24"/>
                <w:szCs w:val="24"/>
                <w:highlight w:val="none"/>
                <w:lang w:bidi="ar"/>
              </w:rPr>
              <w:t xml:space="preserve">    </w:t>
            </w:r>
            <w:r>
              <w:rPr>
                <w:rFonts w:hint="default" w:ascii="Times New Roman" w:hAnsi="Times New Roman" w:eastAsia="宋体" w:cs="Times New Roman"/>
                <w:b/>
                <w:color w:val="auto"/>
                <w:kern w:val="0"/>
                <w:sz w:val="24"/>
                <w:szCs w:val="24"/>
                <w:highlight w:val="none"/>
                <w:lang w:val="en-US" w:eastAsia="zh-CN" w:bidi="ar"/>
              </w:rPr>
              <w:t>地下水系统划分</w:t>
            </w:r>
          </w:p>
          <w:p w14:paraId="74A303B3">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4486910" cy="4869815"/>
                  <wp:effectExtent l="0" t="0" r="8890" b="698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63"/>
                          <a:stretch>
                            <a:fillRect/>
                          </a:stretch>
                        </pic:blipFill>
                        <pic:spPr>
                          <a:xfrm>
                            <a:off x="0" y="0"/>
                            <a:ext cx="4486910" cy="4869815"/>
                          </a:xfrm>
                          <a:prstGeom prst="rect">
                            <a:avLst/>
                          </a:prstGeom>
                          <a:noFill/>
                          <a:ln>
                            <a:noFill/>
                          </a:ln>
                        </pic:spPr>
                      </pic:pic>
                    </a:graphicData>
                  </a:graphic>
                </wp:inline>
              </w:drawing>
            </w:r>
          </w:p>
          <w:p w14:paraId="4E9CC2FA">
            <w:pPr>
              <w:keepNext w:val="0"/>
              <w:keepLines w:val="0"/>
              <w:pageBreakBefore w:val="0"/>
              <w:widowControl w:val="0"/>
              <w:numPr>
                <w:ilvl w:val="0"/>
                <w:numId w:val="6"/>
              </w:numPr>
              <w:kinsoku/>
              <w:wordWrap/>
              <w:overflowPunct/>
              <w:topLinePunct w:val="0"/>
              <w:autoSpaceDE/>
              <w:autoSpaceDN/>
              <w:bidi w:val="0"/>
              <w:adjustRightInd/>
              <w:snapToGrid w:val="0"/>
              <w:spacing w:line="360" w:lineRule="auto"/>
              <w:ind w:leftChars="0" w:firstLine="480" w:firstLineChars="200"/>
              <w:jc w:val="both"/>
              <w:textAlignment w:val="auto"/>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t>区域地下水类型</w:t>
            </w:r>
          </w:p>
          <w:p w14:paraId="743CA197">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区域水文地质条件受气候、地貌、岩性、地质构造、地表水体、新构造运动及人类活动等因素的综合控制。按区域含水岩类埋藏条件及其水力性质，地下水主要为新生界孔隙潜水和中生界碎屑岩类孔隙裂隙水两类，分述如下:</w:t>
            </w:r>
          </w:p>
          <w:p w14:paraId="3C8CDE53">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1）新生界松散岩类孔隙潜水含水层</w:t>
            </w:r>
          </w:p>
          <w:p w14:paraId="2A3C7E82">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①全新统冲洪积砂砾石层孔隙潜水含水层（Q</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vertAlign w:val="superscript"/>
                <w:lang w:val="en-US" w:eastAsia="zh-CN"/>
              </w:rPr>
              <w:t>al+pl</w:t>
            </w:r>
            <w:r>
              <w:rPr>
                <w:rFonts w:hint="default" w:ascii="Times New Roman" w:hAnsi="Times New Roman" w:eastAsia="宋体" w:cs="Times New Roman"/>
                <w:color w:val="auto"/>
                <w:lang w:val="en-US" w:eastAsia="zh-CN"/>
              </w:rPr>
              <w:t>)</w:t>
            </w:r>
          </w:p>
          <w:p w14:paraId="27B69F7A">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含水层岩性为灰黄色、浅黄色中细砂及砂砾石层，厚度一般5～20m，主要分布在无定河、纳林河的河床、河漫滩及阶地之上。根据《内蒙古自治区乌审旗水文地质普查报告》成果：地下水位埋深1～3m，单位涌水量2.50~5.00L/s.m，溶解性总固体小于1000mg/L，地下水化学类型为 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-Ca.Na及HCO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-Na.Ca型水。含水层的富水性强，透水性能良好，地下水水质良好。该含水层为矿床的间接充水含水层。</w:t>
            </w:r>
          </w:p>
          <w:p w14:paraId="19D1FBBC">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②全新统风积砂层孔隙潜水含水层（Q4""）</w:t>
            </w:r>
          </w:p>
          <w:p w14:paraId="6DE51B2F">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含水层岩性为灰黄色、黄褐色中细砂、粉细砂，结构松散，沉积厚度一般小于30m，遍布全区。根据《内蒙古自治区乌审旗水文地质普查报告》成果：地下水位埋深0.50~3.00m，单位涌水量0.25～1.00L/s-m，溶解性总固体小于1000mg/L，地下水化学类型为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-Ca.Na及HCO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-Na.Ca型水。含水层的富水性中等，透水性能良好，地下水水质良好。该含水层为矿床的间接充水含水层。</w:t>
            </w:r>
          </w:p>
          <w:p w14:paraId="797BBC84">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③上更新统萨拉乌苏组孔隙潜水含水层（Q</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s）</w:t>
            </w:r>
          </w:p>
          <w:p w14:paraId="22C74553">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岩性为黄色、灰黄色、灰绿色冲湖积粉细砂，类黄土状亚砂土，含钙质结核，结构松散，具水平层理和斜层理，全区赋存，厚度一般40～60m，最大130m。根据《内蒙古自治区乌审旗水文地质普查报告》成果：地下水位埋深一般1.00～5.00m，单位涌水量 1.00~5.00L/s·m，溶解性总固体小于1000mg/L，地下水化学类型为HCO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-Ca.Na及HCO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-Na.Ca型水，水质良好。含水层的富水性强，透水性能良好。该含水层为矿床的间接充水含水层。</w:t>
            </w:r>
          </w:p>
          <w:p w14:paraId="437A12EE">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2）中生界碎屑岩类孔隙裂隙含水层</w:t>
            </w:r>
          </w:p>
          <w:p w14:paraId="45B8EFA1">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①风化岩裂隙含水层</w:t>
            </w:r>
          </w:p>
          <w:p w14:paraId="67CD20E7">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中生界碎屑岩基岩顶部，一般都存在风化程度中等～弱的风化岩石，愈顶部风化程度愈严重，风化岩孔隙特别是裂隙甚为发育，是地下水良好的导水、储水空间，在岩性、古地形、地质构造等因素适宜时，常是富水性较强的含水层，且有时会和上覆新近系底部砂砾石层或下伏基岩含水层构成一套含水层，从而增强了其富水性。</w:t>
            </w:r>
          </w:p>
          <w:p w14:paraId="3EFB6480">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②白垩系下统志丹群承压水含水层（K</w:t>
            </w:r>
            <w:r>
              <w:rPr>
                <w:rFonts w:hint="default" w:ascii="Times New Roman" w:hAnsi="Times New Roman" w:eastAsia="宋体" w:cs="Times New Roman"/>
                <w:color w:val="auto"/>
                <w:vertAlign w:val="subscript"/>
                <w:lang w:val="en-US" w:eastAsia="zh-CN"/>
              </w:rPr>
              <w:t>1</w:t>
            </w:r>
            <w:r>
              <w:rPr>
                <w:rFonts w:hint="default" w:ascii="Times New Roman" w:hAnsi="Times New Roman" w:eastAsia="宋体" w:cs="Times New Roman"/>
                <w:color w:val="auto"/>
                <w:lang w:val="en-US" w:eastAsia="zh-CN"/>
              </w:rPr>
              <w:t>zh)</w:t>
            </w:r>
          </w:p>
          <w:p w14:paraId="28D8EE92">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含水层岩性由砾岩、粗粒砂岩、中粒砂岩和细粒砂岩组成，厚度变化较大，一般 40~404m。该含水层静止水位埋深8.30～25.48m，地下水位标高1197～1233m，单位涌水量0.0242～0.421L/s.m，单位涌水量为0.0193～0.283L/s.m，渗透系数为0.0354~0.117m/d，含水层的富水性弱至中等。pH=7.40～7.70</w:t>
            </w:r>
            <w:r>
              <w:rPr>
                <w:rFonts w:hint="eastAsia" w:cs="Times New Roman"/>
                <w:color w:val="auto"/>
                <w:lang w:val="en-US" w:eastAsia="zh-CN"/>
              </w:rPr>
              <w:t>，</w:t>
            </w:r>
            <w:r>
              <w:rPr>
                <w:rFonts w:hint="default" w:ascii="Times New Roman" w:hAnsi="Times New Roman" w:eastAsia="宋体" w:cs="Times New Roman"/>
                <w:color w:val="auto"/>
                <w:lang w:val="en-US" w:eastAsia="zh-CN"/>
              </w:rPr>
              <w:t>地下水化学类型为HCO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～Ca.Mg型，溶解性总固体1058mg/L。该含水层为矿床的间接充水含水层。</w:t>
            </w:r>
          </w:p>
          <w:p w14:paraId="121110B7">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④侏罗系中统（J）碎屑岩类承压水含水层</w:t>
            </w:r>
          </w:p>
          <w:p w14:paraId="3977B5F8">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岩性下部直罗组（Jz）为青灰色、浅黄色中粗粒砂岩，杂色粉砂岩及砂质泥岩，上部安定组（J</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a）为紫红色、灰绿色中粗粒砂岩、砂质泥岩夹粉砂岩及细粒砂岩，分布广泛，在区内地表没有出露。含水层厚度103.84～232.43m。地下水位标高1108.79～1142.55m，水位埋深38.20～+13.56m，钻孔涌水量0.177～1.638L/S，单位涌水量0.00623～0.121L/s·m，渗透系数0.00288～0.0285m/d，pH值7.7～7.9，地下水化学类型为SO</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-Ca或 SO</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-Na型水，水质较差。含水层富水性不均，含水层的富水性弱～中等。含水层与上部含水层有一定水力联系，与下部承压水含水层的水力联系较小。该含水层为矿床的间接充水含水层。</w:t>
            </w:r>
          </w:p>
          <w:p w14:paraId="27C2969E">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④侏罗系中统延安组（J</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y）碎屑岩类承压水含水层</w:t>
            </w:r>
          </w:p>
          <w:p w14:paraId="5F77F091">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岩性主要为浅灰色、灰白色各粒级砂岩，灰色、深灰色砂质泥岩、泥岩及煤层。全区赋存，分布广泛，区内地表没有出露。含水层厚度36.90～209.93m。地下水位埋深+19.50～68.60m，水位标高1074.17～1168.28m，水位降深27.96～105.23m，钻孔涌水量0.046～1.461L/s，单位涌水量0.000437～0.0306L/s-m,渗透系数0.00149~0.0489m/d，pH值7.4～8.6，含水层的富水性弱，地下水化学类型为 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-Ca-Mg、SO</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-Na及SO</w:t>
            </w:r>
            <w:r>
              <w:rPr>
                <w:rFonts w:hint="default" w:ascii="Times New Roman" w:hAnsi="Times New Roman" w:eastAsia="宋体" w:cs="Times New Roman"/>
                <w:color w:val="auto"/>
                <w:vertAlign w:val="subscript"/>
                <w:lang w:val="en-US" w:eastAsia="zh-CN"/>
              </w:rPr>
              <w:t>4.</w:t>
            </w:r>
            <w:r>
              <w:rPr>
                <w:rFonts w:hint="default" w:ascii="Times New Roman" w:hAnsi="Times New Roman" w:eastAsia="宋体" w:cs="Times New Roman"/>
                <w:color w:val="auto"/>
                <w:lang w:val="en-US" w:eastAsia="zh-CN"/>
              </w:rPr>
              <w:t>CI-Na型水。含水层与上伏潜水含水层及大气降水的水力联系均较小。该含水层为矿床的直接充水含水层。</w:t>
            </w:r>
          </w:p>
          <w:p w14:paraId="5752AB2D">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⑤三叠系上统延长组（T</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y）碎屑岩类承压水含水层</w:t>
            </w:r>
          </w:p>
          <w:p w14:paraId="39768E17">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岩性主要为灰绿色中粗粒砂岩、含砾粗粒砂岩，夹细粒砂岩及砂质泥岩。钻孔揭露厚度不全，最大揭露厚度78.02m。地下水位标高1365.70m，水位降深44.75m，钻孔涌水量0.209L/s，单位涌水量0.00467L/s-m，渗透系数0.00586m/d，pH值7.8，地下水化学类型为HCO</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-Ca-Mg型水，水质较好。含水层的富水性弱，透水性能差，与上部含水层的水力联系较小。</w:t>
            </w:r>
          </w:p>
          <w:p w14:paraId="6671F214">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r>
              <w:rPr>
                <w:rFonts w:hint="eastAsia" w:cs="Times New Roman"/>
                <w:color w:val="auto"/>
                <w:lang w:val="en-US" w:eastAsia="zh-CN"/>
              </w:rPr>
              <w:t>地下水环境影响</w:t>
            </w:r>
          </w:p>
          <w:p w14:paraId="48F1733A">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（1）</w:t>
            </w:r>
            <w:r>
              <w:rPr>
                <w:rFonts w:hint="default" w:ascii="Times New Roman" w:hAnsi="Times New Roman" w:eastAsia="宋体" w:cs="Times New Roman"/>
                <w:color w:val="auto"/>
                <w:lang w:val="en-US" w:eastAsia="zh-CN"/>
              </w:rPr>
              <w:t>井下充填浆液影响分析</w:t>
            </w:r>
          </w:p>
          <w:p w14:paraId="76B02977">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lang w:val="en-US"/>
              </w:rPr>
              <w:t>项目离层注浆充填材料为矿井选煤厂洗选产生的矸石，制浆采用经预处理的井下涌水，不加其他添加剂。钻井液主要由黄泥和水按一定比例配制而成。浆液中矸石为Ⅰ类固废，水为井下排水。在注浆过程中，浆体中的水在煤矸石自身泌水特性和压力作用下持续渗入离层围岩。由于离层注浆段岩层含水性弱，不作为供水含水层。同时该含水层上部为多层泥岩隔水层，不会和上部地表水构成水力联系，钻孔采用套管固井对白垩系含水层进行封堵，防止白垩系含水层进入离层空间，同时防止浆液注入白垩系含水层中，避免污染含水层水系，不会对</w:t>
            </w:r>
            <w:r>
              <w:rPr>
                <w:rFonts w:hint="default" w:ascii="Times New Roman" w:hAnsi="Times New Roman" w:eastAsia="宋体" w:cs="Times New Roman"/>
                <w:color w:val="auto"/>
                <w:kern w:val="0"/>
                <w:lang w:val="en-US" w:eastAsia="zh-CN"/>
              </w:rPr>
              <w:t>地下水</w:t>
            </w:r>
            <w:r>
              <w:rPr>
                <w:rFonts w:hint="default" w:ascii="Times New Roman" w:hAnsi="Times New Roman" w:eastAsia="宋体" w:cs="Times New Roman"/>
                <w:color w:val="auto"/>
                <w:kern w:val="0"/>
                <w:lang w:val="en-US"/>
              </w:rPr>
              <w:t>造成影响。离层注浆工程中离层区的浆液属于带压浆液，为保证井下安全生产，浆液不能导通导水裂隙带，故在离层注浆位置和导水裂隙带之间留一定厚度的保护层，</w:t>
            </w:r>
            <w:r>
              <w:rPr>
                <w:rFonts w:hint="default" w:ascii="Times New Roman" w:hAnsi="Times New Roman" w:eastAsia="宋体" w:cs="Times New Roman"/>
                <w:color w:val="auto"/>
                <w:kern w:val="0"/>
                <w:sz w:val="24"/>
                <w:szCs w:val="24"/>
                <w:lang w:val="en-US" w:eastAsia="zh-CN" w:bidi="ar"/>
              </w:rPr>
              <w:t>根据以往离层注浆工程经验，离层区浆液可能与下部煤层存在一定的水力联系，但基本不会增加矿井涌水量，离层中的浆液产生泌水现象后，地压会将水挤入周围及远处岩石孔隙，注浆区域离层空间内最终以沉淀后的矸石为主，呈固态。因此，本项目不考虑浆体泌水产生。</w:t>
            </w:r>
          </w:p>
          <w:p w14:paraId="61B6D21A">
            <w:pPr>
              <w:keepNext w:val="0"/>
              <w:keepLines w:val="0"/>
              <w:pageBreakBefore w:val="0"/>
              <w:widowControl/>
              <w:suppressLineNumbers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本项目对地下水的影响来自充填浆液</w:t>
            </w:r>
            <w:r>
              <w:rPr>
                <w:rFonts w:hint="eastAsia" w:cs="Times New Roman"/>
                <w:color w:val="auto"/>
                <w:kern w:val="0"/>
                <w:sz w:val="24"/>
                <w:szCs w:val="24"/>
                <w:lang w:val="en-US" w:eastAsia="zh-CN" w:bidi="ar"/>
              </w:rPr>
              <w:t>中的水分</w:t>
            </w:r>
            <w:r>
              <w:rPr>
                <w:rFonts w:hint="default" w:ascii="Times New Roman" w:hAnsi="Times New Roman" w:eastAsia="宋体" w:cs="Times New Roman"/>
                <w:color w:val="auto"/>
                <w:kern w:val="0"/>
                <w:sz w:val="24"/>
                <w:szCs w:val="24"/>
                <w:lang w:val="en-US" w:eastAsia="zh-CN" w:bidi="ar"/>
              </w:rPr>
              <w:t>流动扩散，基本不受地表降水的影响。根据项目原辅材料及工艺流程，所用原料仅为搅拌用水和洗选矸石，其中搅拌用水来自处理后的矿井水，矸石为自有煤矿开采并经自有选煤厂分选出的煤矸石，用于搅拌的矿井水也非外来供应。选煤厂生产过程不添加</w:t>
            </w:r>
            <w:r>
              <w:rPr>
                <w:rFonts w:hint="eastAsia" w:cs="Times New Roman"/>
                <w:color w:val="auto"/>
                <w:kern w:val="0"/>
                <w:sz w:val="24"/>
                <w:szCs w:val="24"/>
                <w:lang w:val="en-US" w:eastAsia="zh-CN" w:bidi="ar"/>
              </w:rPr>
              <w:t>其他</w:t>
            </w:r>
            <w:r>
              <w:rPr>
                <w:rFonts w:hint="default" w:ascii="Times New Roman" w:hAnsi="Times New Roman" w:eastAsia="宋体" w:cs="Times New Roman"/>
                <w:color w:val="auto"/>
                <w:kern w:val="0"/>
                <w:sz w:val="24"/>
                <w:szCs w:val="24"/>
                <w:lang w:val="en-US" w:eastAsia="zh-CN" w:bidi="ar"/>
              </w:rPr>
              <w:t>药剂，矿井水处理过程为净化水质而添加絮凝剂等药剂，其目的是水质更加洁净。本项目制浆过程也不添加药剂。</w:t>
            </w:r>
          </w:p>
          <w:p w14:paraId="0F97A616">
            <w:pPr>
              <w:keepNext w:val="0"/>
              <w:keepLines w:val="0"/>
              <w:pageBreakBefore w:val="0"/>
              <w:widowControl/>
              <w:suppressLineNumbers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从以上分析</w:t>
            </w:r>
            <w:r>
              <w:rPr>
                <w:rFonts w:hint="eastAsia" w:cs="Times New Roman"/>
                <w:color w:val="auto"/>
                <w:kern w:val="0"/>
                <w:sz w:val="24"/>
                <w:szCs w:val="24"/>
                <w:lang w:val="en-US" w:eastAsia="zh-CN" w:bidi="ar"/>
              </w:rPr>
              <w:t>可以</w:t>
            </w:r>
            <w:r>
              <w:rPr>
                <w:rFonts w:hint="default" w:ascii="Times New Roman" w:hAnsi="Times New Roman" w:eastAsia="宋体" w:cs="Times New Roman"/>
                <w:color w:val="auto"/>
                <w:kern w:val="0"/>
                <w:sz w:val="24"/>
                <w:szCs w:val="24"/>
                <w:lang w:val="en-US" w:eastAsia="zh-CN" w:bidi="ar"/>
              </w:rPr>
              <w:t>认为，本次充填进入井下离层空间的物质均为含煤地层原有物质，无其它污染物质。</w:t>
            </w:r>
          </w:p>
          <w:p w14:paraId="7D5A7771">
            <w:pPr>
              <w:keepNext w:val="0"/>
              <w:keepLines w:val="0"/>
              <w:pageBreakBefore w:val="0"/>
              <w:widowControl/>
              <w:suppressLineNumbers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根据煤矸石浸出试验分析结果，煤矿矸石硫浸浸出液中各污染物浓度均未超过 GB5085.3-2007《危险废物鉴别标准浸出毒性鉴别》表1标准限值，判定该固体废物是不具有浸出毒性特征的危险废物。水浸浸出液中各污染物浓度均未超过 GB8978-1996《污水综合排放标准》最高允许排放浓度，且 pH 值在 6～9 范围之内，</w:t>
            </w:r>
            <w:r>
              <w:rPr>
                <w:rFonts w:hint="eastAsia" w:cs="Times New Roman"/>
                <w:color w:val="auto"/>
                <w:kern w:val="0"/>
                <w:sz w:val="24"/>
                <w:szCs w:val="24"/>
                <w:lang w:val="en-US" w:eastAsia="zh-CN" w:bidi="ar"/>
              </w:rPr>
              <w:t>属于</w:t>
            </w:r>
            <w:r>
              <w:rPr>
                <w:rFonts w:hint="default" w:ascii="Times New Roman" w:hAnsi="Times New Roman" w:eastAsia="宋体" w:cs="Times New Roman"/>
                <w:color w:val="auto"/>
                <w:kern w:val="0"/>
                <w:sz w:val="24"/>
                <w:szCs w:val="24"/>
                <w:lang w:val="en-US" w:eastAsia="zh-CN" w:bidi="ar"/>
              </w:rPr>
              <w:t xml:space="preserve">第Ⅰ类一般工业固体废物，且矸石淋溶液大部分指标为未检出，故矸石淋溶液不会对地下水环境产生污染影响。 </w:t>
            </w:r>
          </w:p>
          <w:p w14:paraId="0A050DEB">
            <w:pPr>
              <w:keepNext w:val="0"/>
              <w:keepLines w:val="0"/>
              <w:pageBreakBefore w:val="0"/>
              <w:widowControl/>
              <w:suppressLineNumbers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通过上述分析可知，本项目所涉及的矿井水和煤矸石均为待充填区域原有，自采（流）出赋存位置至本项目再将其注浆充填进入原位置的整个过程中无外来污染物进入，仅为物理形态发生变化。基于此，评价分析采用煤矸石充填不会对区域地下水造成污染影响。</w:t>
            </w:r>
          </w:p>
          <w:p w14:paraId="63410754">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firstLine="480" w:firstLineChars="200"/>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（2）亚关键层、软岩层塌陷断裂对导水裂隙带的影响</w:t>
            </w:r>
          </w:p>
          <w:p w14:paraId="73EC1757">
            <w:pPr>
              <w:keepNext w:val="0"/>
              <w:keepLines w:val="0"/>
              <w:pageBreakBefore w:val="0"/>
              <w:widowControl/>
              <w:suppressLineNumbers w:val="0"/>
              <w:kinsoku/>
              <w:wordWrap/>
              <w:overflowPunct/>
              <w:topLinePunct w:val="0"/>
              <w:autoSpaceDE/>
              <w:autoSpaceDN/>
              <w:bidi w:val="0"/>
              <w:adjustRightInd/>
              <w:snapToGrid w:val="0"/>
              <w:spacing w:line="360" w:lineRule="auto"/>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本项目注浆时机选定在关键层</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注浆层上部的地层</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下方开始产生离层时进行注浆，离层注浆充填紧跟回采工作面，保证关键层不断裂。在工作面回采之前提前施工注浆钻孔并连接注浆管线，当注浆钻孔产生离层裂隙时即开始注浆。离层的实时监测主要依靠水压监测，通过水压变化判断离层的产生时机，注浆前进行水压监测，离层发育到注浆钻孔位置时，水压会突降，此时即开始注浆。工程实施前开展覆岩移动规律实测研究，对覆岩运动监测数据进行分析，掌握</w:t>
            </w:r>
            <w:r>
              <w:rPr>
                <w:rFonts w:hint="eastAsia" w:cs="Times New Roman"/>
                <w:color w:val="auto"/>
                <w:kern w:val="0"/>
                <w:sz w:val="24"/>
                <w:szCs w:val="24"/>
                <w:lang w:val="en-US" w:eastAsia="zh-CN" w:bidi="ar"/>
              </w:rPr>
              <w:t>白海子</w:t>
            </w:r>
            <w:r>
              <w:rPr>
                <w:rFonts w:hint="default" w:ascii="Times New Roman" w:hAnsi="Times New Roman" w:eastAsia="宋体" w:cs="Times New Roman"/>
                <w:color w:val="auto"/>
                <w:kern w:val="0"/>
                <w:sz w:val="24"/>
                <w:szCs w:val="24"/>
                <w:lang w:val="en-US" w:eastAsia="zh-CN" w:bidi="ar"/>
              </w:rPr>
              <w:t>煤矿采动覆岩运动规律、离层发育时机及发育层位等数据指导注浆钻孔施工。采取上述措施后，在注浆开始后，由于离层顶部的主关键层有新注入的矸石浆液的顶托作用，可及时抵消下部地层的应力卸荷，从而避免主关键层由于下部地层向上顶托的应力突然消失而发生断裂，避免了白垩系含水层与注浆层之间地层导水裂隙带的产生，从而不会产生向上部串层的导水通道。</w:t>
            </w:r>
          </w:p>
          <w:p w14:paraId="10F34A30">
            <w:pPr>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综上所述</w:t>
            </w:r>
            <w:r>
              <w:rPr>
                <w:rFonts w:hint="eastAsia"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天然状态下，注浆层与白垩系含水层之间的地层无导水裂隙带</w:t>
            </w:r>
            <w:r>
              <w:rPr>
                <w:rFonts w:hint="eastAsia" w:ascii="Times New Roman" w:hAns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在注浆过程中，只要准确把握注浆时机，也不会在注浆层与自垩系含水层之间产生导水裂隙带。</w:t>
            </w:r>
          </w:p>
          <w:p w14:paraId="44CEC95F">
            <w:pPr>
              <w:pageBreakBefore w:val="0"/>
              <w:widowControl w:val="0"/>
              <w:numPr>
                <w:ilvl w:val="0"/>
                <w:numId w:val="7"/>
              </w:numPr>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auto"/>
                <w:kern w:val="2"/>
                <w:sz w:val="24"/>
                <w:szCs w:val="24"/>
                <w:lang w:val="en-US" w:eastAsia="zh-CN" w:bidi="ar"/>
              </w:rPr>
            </w:pPr>
            <w:r>
              <w:rPr>
                <w:rFonts w:hint="default" w:ascii="Times New Roman" w:hAnsi="Times New Roman" w:eastAsia="宋体" w:cs="Times New Roman"/>
                <w:b/>
                <w:bCs/>
                <w:color w:val="auto"/>
                <w:kern w:val="2"/>
                <w:sz w:val="24"/>
                <w:szCs w:val="24"/>
                <w:lang w:val="en-US" w:eastAsia="zh-CN" w:bidi="ar"/>
              </w:rPr>
              <w:t>生态环境</w:t>
            </w:r>
          </w:p>
          <w:p w14:paraId="3DC529B8">
            <w:pPr>
              <w:keepNext w:val="0"/>
              <w:keepLines w:val="0"/>
              <w:widowControl/>
              <w:suppressLineNumbers w:val="0"/>
              <w:jc w:val="both"/>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val="0"/>
                <w:bCs/>
                <w:color w:val="auto"/>
                <w:sz w:val="24"/>
                <w:szCs w:val="24"/>
                <w:lang w:val="en-US" w:eastAsia="zh-CN"/>
              </w:rPr>
              <w:t>本项目运营期生态恢复主要为</w:t>
            </w:r>
            <w:r>
              <w:rPr>
                <w:rFonts w:hint="default" w:ascii="Times New Roman" w:hAnsi="Times New Roman" w:cs="Times New Roman"/>
                <w:b w:val="0"/>
                <w:bCs/>
                <w:color w:val="auto"/>
                <w:sz w:val="24"/>
                <w:szCs w:val="24"/>
                <w:lang w:val="en-US" w:eastAsia="zh-CN"/>
              </w:rPr>
              <w:t>架空管线支架占地恢复和钻孔</w:t>
            </w:r>
            <w:r>
              <w:rPr>
                <w:rFonts w:hint="default" w:ascii="Times New Roman" w:hAnsi="Times New Roman" w:eastAsia="宋体" w:cs="Times New Roman"/>
                <w:b w:val="0"/>
                <w:bCs/>
                <w:color w:val="auto"/>
                <w:sz w:val="24"/>
                <w:szCs w:val="24"/>
                <w:lang w:val="en-US" w:eastAsia="zh-CN"/>
              </w:rPr>
              <w:t>恢复，</w:t>
            </w:r>
            <w:r>
              <w:rPr>
                <w:rFonts w:hint="default" w:ascii="Times New Roman" w:hAnsi="Times New Roman" w:eastAsia="宋体" w:cs="Times New Roman"/>
                <w:color w:val="auto"/>
                <w:kern w:val="0"/>
                <w:sz w:val="24"/>
                <w:szCs w:val="24"/>
                <w:lang w:val="en-US" w:eastAsia="zh-CN" w:bidi="ar"/>
              </w:rPr>
              <w:t>本项目植被恢复面积为7096m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，其中注浆钻孔临时占地植被恢复面积为7000m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，注浆管线支架临时占地植被恢复面积为96m</w:t>
            </w:r>
            <w:r>
              <w:rPr>
                <w:rFonts w:hint="default"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b w:val="0"/>
                <w:bCs/>
                <w:color w:val="auto"/>
                <w:sz w:val="24"/>
                <w:szCs w:val="24"/>
                <w:lang w:val="en-US" w:eastAsia="zh-CN"/>
              </w:rPr>
              <w:t>。</w:t>
            </w:r>
          </w:p>
          <w:p w14:paraId="1D13F9B8">
            <w:pPr>
              <w:widowControl/>
              <w:spacing w:line="240" w:lineRule="auto"/>
              <w:ind w:firstLine="482" w:firstLineChars="200"/>
              <w:jc w:val="center"/>
              <w:rPr>
                <w:rFonts w:hint="eastAsia" w:cs="Times New Roman"/>
                <w:b/>
                <w:bCs/>
                <w:color w:val="auto"/>
                <w:kern w:val="2"/>
                <w:sz w:val="24"/>
                <w:szCs w:val="24"/>
                <w:lang w:val="en-US" w:eastAsia="zh-CN" w:bidi="ar"/>
              </w:rPr>
            </w:pPr>
            <w:r>
              <w:rPr>
                <w:rFonts w:hint="default" w:ascii="Times New Roman" w:hAnsi="Times New Roman" w:eastAsia="宋体" w:cs="Times New Roman"/>
                <w:b/>
                <w:bCs/>
                <w:color w:val="auto"/>
                <w:kern w:val="2"/>
                <w:sz w:val="24"/>
                <w:szCs w:val="24"/>
                <w:lang w:val="zh-CN" w:bidi="ar"/>
              </w:rPr>
              <w:t>表</w:t>
            </w:r>
            <w:r>
              <w:rPr>
                <w:rFonts w:hint="default" w:ascii="Times New Roman" w:hAnsi="Times New Roman" w:eastAsia="宋体" w:cs="Times New Roman"/>
                <w:b/>
                <w:bCs/>
                <w:color w:val="auto"/>
                <w:kern w:val="2"/>
                <w:sz w:val="24"/>
                <w:szCs w:val="24"/>
                <w:lang w:val="en-US" w:eastAsia="zh-CN" w:bidi="ar"/>
              </w:rPr>
              <w:t>4-</w:t>
            </w:r>
            <w:r>
              <w:rPr>
                <w:rFonts w:hint="eastAsia" w:cs="Times New Roman"/>
                <w:b/>
                <w:bCs/>
                <w:color w:val="auto"/>
                <w:kern w:val="2"/>
                <w:sz w:val="24"/>
                <w:szCs w:val="24"/>
                <w:lang w:val="en-US" w:eastAsia="zh-CN" w:bidi="ar"/>
              </w:rPr>
              <w:t>12</w:t>
            </w:r>
            <w:r>
              <w:rPr>
                <w:rFonts w:hint="default" w:ascii="Times New Roman" w:hAnsi="Times New Roman" w:eastAsia="宋体" w:cs="Times New Roman"/>
                <w:b/>
                <w:bCs/>
                <w:color w:val="auto"/>
                <w:kern w:val="2"/>
                <w:sz w:val="24"/>
                <w:szCs w:val="24"/>
                <w:lang w:val="zh-CN" w:bidi="ar"/>
              </w:rPr>
              <w:t xml:space="preserve">   </w:t>
            </w:r>
            <w:r>
              <w:rPr>
                <w:rFonts w:hint="eastAsia" w:cs="Times New Roman"/>
                <w:b/>
                <w:bCs/>
                <w:color w:val="auto"/>
                <w:kern w:val="2"/>
                <w:sz w:val="24"/>
                <w:szCs w:val="24"/>
                <w:lang w:val="en-US" w:eastAsia="zh-CN" w:bidi="ar"/>
              </w:rPr>
              <w:t>生态恢复计划</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3443"/>
              <w:gridCol w:w="1331"/>
              <w:gridCol w:w="1651"/>
            </w:tblGrid>
            <w:tr w14:paraId="7965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tcPr>
                <w:p w14:paraId="5F75C679">
                  <w:pPr>
                    <w:widowControl/>
                    <w:spacing w:line="240" w:lineRule="auto"/>
                    <w:ind w:left="0" w:leftChars="0" w:firstLine="0" w:firstLineChars="0"/>
                    <w:jc w:val="center"/>
                    <w:rPr>
                      <w:rFonts w:hint="default" w:cs="Times New Roman"/>
                      <w:b/>
                      <w:bCs/>
                      <w:color w:val="auto"/>
                      <w:kern w:val="2"/>
                      <w:sz w:val="21"/>
                      <w:szCs w:val="21"/>
                      <w:vertAlign w:val="baseline"/>
                      <w:lang w:val="en-US" w:eastAsia="zh-CN" w:bidi="ar"/>
                    </w:rPr>
                  </w:pPr>
                  <w:r>
                    <w:rPr>
                      <w:rFonts w:hint="eastAsia" w:cs="Times New Roman"/>
                      <w:b/>
                      <w:bCs/>
                      <w:color w:val="auto"/>
                      <w:kern w:val="2"/>
                      <w:sz w:val="21"/>
                      <w:szCs w:val="21"/>
                      <w:vertAlign w:val="baseline"/>
                      <w:lang w:val="en-US" w:eastAsia="zh-CN" w:bidi="ar"/>
                    </w:rPr>
                    <w:t>名称</w:t>
                  </w:r>
                </w:p>
              </w:tc>
              <w:tc>
                <w:tcPr>
                  <w:tcW w:w="2214" w:type="pct"/>
                </w:tcPr>
                <w:p w14:paraId="3FEB2AE0">
                  <w:pPr>
                    <w:widowControl/>
                    <w:spacing w:line="240" w:lineRule="auto"/>
                    <w:ind w:left="0" w:leftChars="0" w:firstLine="0" w:firstLineChars="0"/>
                    <w:jc w:val="center"/>
                    <w:rPr>
                      <w:rFonts w:hint="default" w:cs="Times New Roman"/>
                      <w:b/>
                      <w:bCs/>
                      <w:color w:val="auto"/>
                      <w:kern w:val="2"/>
                      <w:sz w:val="21"/>
                      <w:szCs w:val="21"/>
                      <w:vertAlign w:val="baseline"/>
                      <w:lang w:val="en-US" w:eastAsia="zh-CN" w:bidi="ar"/>
                    </w:rPr>
                  </w:pPr>
                  <w:r>
                    <w:rPr>
                      <w:rFonts w:hint="eastAsia" w:cs="Times New Roman"/>
                      <w:b/>
                      <w:bCs/>
                      <w:color w:val="auto"/>
                      <w:kern w:val="2"/>
                      <w:sz w:val="21"/>
                      <w:szCs w:val="21"/>
                      <w:vertAlign w:val="baseline"/>
                      <w:lang w:val="en-US" w:eastAsia="zh-CN" w:bidi="ar"/>
                    </w:rPr>
                    <w:t>恢复内容</w:t>
                  </w:r>
                </w:p>
              </w:tc>
              <w:tc>
                <w:tcPr>
                  <w:tcW w:w="856" w:type="pct"/>
                </w:tcPr>
                <w:p w14:paraId="4142138E">
                  <w:pPr>
                    <w:widowControl/>
                    <w:spacing w:line="240" w:lineRule="auto"/>
                    <w:ind w:left="0" w:leftChars="0" w:firstLine="0" w:firstLineChars="0"/>
                    <w:jc w:val="center"/>
                    <w:rPr>
                      <w:rFonts w:hint="default" w:cs="Times New Roman"/>
                      <w:b/>
                      <w:bCs/>
                      <w:color w:val="auto"/>
                      <w:kern w:val="2"/>
                      <w:sz w:val="21"/>
                      <w:szCs w:val="21"/>
                      <w:vertAlign w:val="baseline"/>
                      <w:lang w:val="en-US" w:eastAsia="zh-CN" w:bidi="ar"/>
                    </w:rPr>
                  </w:pPr>
                  <w:r>
                    <w:rPr>
                      <w:rFonts w:hint="eastAsia" w:cs="Times New Roman"/>
                      <w:b/>
                      <w:bCs/>
                      <w:color w:val="auto"/>
                      <w:kern w:val="2"/>
                      <w:sz w:val="21"/>
                      <w:szCs w:val="21"/>
                      <w:vertAlign w:val="baseline"/>
                      <w:lang w:val="en-US" w:eastAsia="zh-CN" w:bidi="ar"/>
                    </w:rPr>
                    <w:t>恢复面积</w:t>
                  </w:r>
                </w:p>
              </w:tc>
              <w:tc>
                <w:tcPr>
                  <w:tcW w:w="1062" w:type="pct"/>
                </w:tcPr>
                <w:p w14:paraId="464F394A">
                  <w:pPr>
                    <w:widowControl/>
                    <w:spacing w:line="240" w:lineRule="auto"/>
                    <w:ind w:left="0" w:leftChars="0" w:firstLine="0" w:firstLineChars="0"/>
                    <w:jc w:val="center"/>
                    <w:rPr>
                      <w:rFonts w:hint="default" w:cs="Times New Roman"/>
                      <w:b/>
                      <w:bCs/>
                      <w:color w:val="auto"/>
                      <w:kern w:val="2"/>
                      <w:sz w:val="21"/>
                      <w:szCs w:val="21"/>
                      <w:vertAlign w:val="baseline"/>
                      <w:lang w:val="en-US" w:eastAsia="zh-CN" w:bidi="ar"/>
                    </w:rPr>
                  </w:pPr>
                  <w:r>
                    <w:rPr>
                      <w:rFonts w:hint="eastAsia" w:cs="Times New Roman"/>
                      <w:b/>
                      <w:bCs/>
                      <w:color w:val="auto"/>
                      <w:kern w:val="2"/>
                      <w:sz w:val="21"/>
                      <w:szCs w:val="21"/>
                      <w:vertAlign w:val="baseline"/>
                      <w:lang w:val="en-US" w:eastAsia="zh-CN" w:bidi="ar"/>
                    </w:rPr>
                    <w:t>时间</w:t>
                  </w:r>
                </w:p>
              </w:tc>
            </w:tr>
            <w:tr w14:paraId="2A835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vAlign w:val="center"/>
                </w:tcPr>
                <w:p w14:paraId="297B39C5">
                  <w:pPr>
                    <w:widowControl/>
                    <w:spacing w:line="240" w:lineRule="auto"/>
                    <w:ind w:left="0" w:leftChars="0" w:firstLine="0" w:firstLineChars="0"/>
                    <w:jc w:val="center"/>
                    <w:rPr>
                      <w:rFonts w:hint="eastAsia" w:cs="Times New Roman"/>
                      <w:b w:val="0"/>
                      <w:bCs w:val="0"/>
                      <w:color w:val="auto"/>
                      <w:kern w:val="2"/>
                      <w:sz w:val="21"/>
                      <w:szCs w:val="21"/>
                      <w:vertAlign w:val="baseline"/>
                      <w:lang w:val="en-US" w:eastAsia="zh-CN" w:bidi="ar"/>
                    </w:rPr>
                  </w:pPr>
                  <w:r>
                    <w:rPr>
                      <w:rFonts w:hint="eastAsia" w:cs="Times New Roman"/>
                      <w:b w:val="0"/>
                      <w:bCs w:val="0"/>
                      <w:color w:val="auto"/>
                      <w:kern w:val="2"/>
                      <w:sz w:val="21"/>
                      <w:szCs w:val="21"/>
                      <w:vertAlign w:val="baseline"/>
                      <w:lang w:val="en-US" w:eastAsia="zh-CN" w:bidi="ar"/>
                    </w:rPr>
                    <w:t>架空管线恢复</w:t>
                  </w:r>
                </w:p>
              </w:tc>
              <w:tc>
                <w:tcPr>
                  <w:tcW w:w="2214" w:type="pct"/>
                  <w:vAlign w:val="center"/>
                </w:tcPr>
                <w:p w14:paraId="29F99599">
                  <w:pPr>
                    <w:widowControl/>
                    <w:spacing w:line="240" w:lineRule="auto"/>
                    <w:ind w:left="0" w:leftChars="0" w:firstLine="0" w:firstLineChars="0"/>
                    <w:jc w:val="center"/>
                    <w:rPr>
                      <w:rFonts w:hint="eastAsia" w:cs="Times New Roman"/>
                      <w:b w:val="0"/>
                      <w:bCs w:val="0"/>
                      <w:color w:val="auto"/>
                      <w:kern w:val="2"/>
                      <w:sz w:val="21"/>
                      <w:szCs w:val="21"/>
                      <w:vertAlign w:val="baseline"/>
                      <w:lang w:val="en-US" w:eastAsia="zh-CN" w:bidi="ar"/>
                    </w:rPr>
                  </w:pPr>
                  <w:r>
                    <w:rPr>
                      <w:rFonts w:hint="eastAsia" w:cs="Times New Roman"/>
                      <w:b w:val="0"/>
                      <w:bCs w:val="0"/>
                      <w:color w:val="auto"/>
                      <w:kern w:val="2"/>
                      <w:sz w:val="21"/>
                      <w:szCs w:val="21"/>
                      <w:vertAlign w:val="baseline"/>
                      <w:lang w:val="en-US" w:eastAsia="zh-CN" w:bidi="ar"/>
                    </w:rPr>
                    <w:t>注浆管线注浆结束后，对注浆管线支架临时占用土地进行平整、临时占地按原地类恢复。加强对植被的抚育、补种工作，提高注浆管线支架植被覆盖度，恢复植被覆盖度不低于当地原生植被覆盖度，植被成活率达到95%以上。</w:t>
                  </w:r>
                </w:p>
              </w:tc>
              <w:tc>
                <w:tcPr>
                  <w:tcW w:w="856" w:type="pct"/>
                  <w:vAlign w:val="center"/>
                </w:tcPr>
                <w:p w14:paraId="2C055F9B">
                  <w:pPr>
                    <w:widowControl/>
                    <w:spacing w:line="240" w:lineRule="auto"/>
                    <w:ind w:left="0" w:leftChars="0" w:firstLine="0" w:firstLineChars="0"/>
                    <w:jc w:val="center"/>
                    <w:rPr>
                      <w:rFonts w:hint="default" w:cs="Times New Roman"/>
                      <w:b w:val="0"/>
                      <w:bCs w:val="0"/>
                      <w:color w:val="auto"/>
                      <w:kern w:val="2"/>
                      <w:sz w:val="21"/>
                      <w:szCs w:val="21"/>
                      <w:vertAlign w:val="baseline"/>
                      <w:lang w:val="en-US" w:eastAsia="zh-CN" w:bidi="ar"/>
                    </w:rPr>
                  </w:pPr>
                  <w:r>
                    <w:rPr>
                      <w:rFonts w:hint="eastAsia" w:cs="Times New Roman"/>
                      <w:color w:val="auto"/>
                      <w:sz w:val="21"/>
                      <w:szCs w:val="21"/>
                      <w:lang w:val="en-US" w:eastAsia="zh-CN"/>
                    </w:rPr>
                    <w:t>96</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c>
                <w:tcPr>
                  <w:tcW w:w="1062" w:type="pct"/>
                  <w:vAlign w:val="center"/>
                </w:tcPr>
                <w:p w14:paraId="68D05704">
                  <w:pPr>
                    <w:widowControl/>
                    <w:spacing w:line="240" w:lineRule="auto"/>
                    <w:ind w:left="0" w:leftChars="0" w:firstLine="0" w:firstLineChars="0"/>
                    <w:jc w:val="center"/>
                    <w:rPr>
                      <w:rFonts w:hint="default" w:cs="Times New Roman"/>
                      <w:b w:val="0"/>
                      <w:bCs w:val="0"/>
                      <w:color w:val="auto"/>
                      <w:kern w:val="2"/>
                      <w:sz w:val="21"/>
                      <w:szCs w:val="21"/>
                      <w:vertAlign w:val="baseline"/>
                      <w:lang w:val="en-US" w:eastAsia="zh-CN" w:bidi="ar"/>
                    </w:rPr>
                  </w:pPr>
                  <w:r>
                    <w:rPr>
                      <w:rFonts w:hint="eastAsia" w:cs="Times New Roman"/>
                      <w:b w:val="0"/>
                      <w:bCs w:val="0"/>
                      <w:color w:val="auto"/>
                      <w:kern w:val="2"/>
                      <w:sz w:val="21"/>
                      <w:szCs w:val="21"/>
                      <w:vertAlign w:val="baseline"/>
                      <w:lang w:val="en-US" w:eastAsia="zh-CN" w:bidi="ar"/>
                    </w:rPr>
                    <w:t>注浆结束后，3个月内</w:t>
                  </w:r>
                </w:p>
              </w:tc>
            </w:tr>
            <w:tr w14:paraId="7D0F4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vAlign w:val="center"/>
                </w:tcPr>
                <w:p w14:paraId="7B674B83">
                  <w:pPr>
                    <w:widowControl/>
                    <w:spacing w:line="240" w:lineRule="auto"/>
                    <w:ind w:left="0" w:leftChars="0" w:firstLine="0" w:firstLineChars="0"/>
                    <w:jc w:val="center"/>
                    <w:rPr>
                      <w:rFonts w:hint="eastAsia" w:cs="Times New Roman"/>
                      <w:b w:val="0"/>
                      <w:bCs w:val="0"/>
                      <w:color w:val="auto"/>
                      <w:kern w:val="2"/>
                      <w:sz w:val="21"/>
                      <w:szCs w:val="21"/>
                      <w:vertAlign w:val="baseline"/>
                      <w:lang w:val="en-US" w:eastAsia="zh-CN" w:bidi="ar"/>
                    </w:rPr>
                  </w:pPr>
                  <w:r>
                    <w:rPr>
                      <w:rFonts w:hint="eastAsia" w:cs="Times New Roman"/>
                      <w:b w:val="0"/>
                      <w:bCs w:val="0"/>
                      <w:color w:val="auto"/>
                      <w:kern w:val="2"/>
                      <w:sz w:val="21"/>
                      <w:szCs w:val="21"/>
                      <w:vertAlign w:val="baseline"/>
                      <w:lang w:val="en-US" w:eastAsia="zh-CN" w:bidi="ar"/>
                    </w:rPr>
                    <w:t>钻孔</w:t>
                  </w:r>
                  <w:r>
                    <w:rPr>
                      <w:rFonts w:hint="default" w:cs="Times New Roman"/>
                      <w:b w:val="0"/>
                      <w:bCs w:val="0"/>
                      <w:color w:val="auto"/>
                      <w:kern w:val="2"/>
                      <w:sz w:val="21"/>
                      <w:szCs w:val="21"/>
                      <w:vertAlign w:val="baseline"/>
                      <w:lang w:val="en-US" w:eastAsia="zh-CN" w:bidi="ar"/>
                    </w:rPr>
                    <w:t>恢复</w:t>
                  </w:r>
                </w:p>
              </w:tc>
              <w:tc>
                <w:tcPr>
                  <w:tcW w:w="2214" w:type="pct"/>
                  <w:vAlign w:val="center"/>
                </w:tcPr>
                <w:p w14:paraId="3A87751D">
                  <w:pPr>
                    <w:widowControl/>
                    <w:spacing w:line="240" w:lineRule="auto"/>
                    <w:ind w:left="0" w:leftChars="0" w:firstLine="0" w:firstLineChars="0"/>
                    <w:jc w:val="center"/>
                    <w:rPr>
                      <w:rFonts w:hint="default" w:cs="Times New Roman"/>
                      <w:b w:val="0"/>
                      <w:bCs w:val="0"/>
                      <w:color w:val="auto"/>
                      <w:kern w:val="2"/>
                      <w:sz w:val="21"/>
                      <w:szCs w:val="21"/>
                      <w:vertAlign w:val="baseline"/>
                      <w:lang w:val="en-US" w:eastAsia="zh-CN" w:bidi="ar"/>
                    </w:rPr>
                  </w:pPr>
                  <w:r>
                    <w:rPr>
                      <w:rFonts w:hint="default" w:cs="Times New Roman"/>
                      <w:b w:val="0"/>
                      <w:bCs w:val="0"/>
                      <w:color w:val="auto"/>
                      <w:kern w:val="2"/>
                      <w:sz w:val="21"/>
                      <w:szCs w:val="21"/>
                      <w:vertAlign w:val="baseline"/>
                      <w:lang w:val="en-US" w:eastAsia="zh-CN" w:bidi="ar"/>
                    </w:rPr>
                    <w:t>注浆钻孔</w:t>
                  </w:r>
                  <w:r>
                    <w:rPr>
                      <w:rFonts w:hint="eastAsia" w:cs="Times New Roman"/>
                      <w:b w:val="0"/>
                      <w:bCs w:val="0"/>
                      <w:color w:val="auto"/>
                      <w:kern w:val="2"/>
                      <w:sz w:val="21"/>
                      <w:szCs w:val="21"/>
                      <w:vertAlign w:val="baseline"/>
                      <w:lang w:val="en-US" w:eastAsia="zh-CN" w:bidi="ar"/>
                    </w:rPr>
                    <w:t>70</w:t>
                  </w:r>
                  <w:r>
                    <w:rPr>
                      <w:rFonts w:hint="default" w:cs="Times New Roman"/>
                      <w:b w:val="0"/>
                      <w:bCs w:val="0"/>
                      <w:color w:val="auto"/>
                      <w:kern w:val="2"/>
                      <w:sz w:val="21"/>
                      <w:szCs w:val="21"/>
                      <w:vertAlign w:val="baseline"/>
                      <w:lang w:val="en-US" w:eastAsia="zh-CN" w:bidi="ar"/>
                    </w:rPr>
                    <w:t>个，注浆结束对注浆钻孔进行封孔后，对场地平整、覆土，浆钻孔临时占地</w:t>
                  </w:r>
                  <w:r>
                    <w:rPr>
                      <w:rFonts w:hint="eastAsia" w:cs="Times New Roman"/>
                      <w:b w:val="0"/>
                      <w:bCs w:val="0"/>
                      <w:color w:val="auto"/>
                      <w:kern w:val="2"/>
                      <w:sz w:val="21"/>
                      <w:szCs w:val="21"/>
                      <w:vertAlign w:val="baseline"/>
                      <w:lang w:val="en-US" w:eastAsia="zh-CN" w:bidi="ar"/>
                    </w:rPr>
                    <w:t>按原地类恢复</w:t>
                  </w:r>
                  <w:r>
                    <w:rPr>
                      <w:rFonts w:hint="default" w:cs="Times New Roman"/>
                      <w:b w:val="0"/>
                      <w:bCs w:val="0"/>
                      <w:color w:val="auto"/>
                      <w:kern w:val="2"/>
                      <w:sz w:val="21"/>
                      <w:szCs w:val="21"/>
                      <w:vertAlign w:val="baseline"/>
                      <w:lang w:val="en-US" w:eastAsia="zh-CN" w:bidi="ar"/>
                    </w:rPr>
                    <w:t>。加强对植被的抚育、补种工作，提高注浆钻孔植被覆盖度，恢复植被覆盖度不低于当地原生植被覆盖度，植被成活率达到</w:t>
                  </w:r>
                  <w:r>
                    <w:rPr>
                      <w:rFonts w:hint="eastAsia" w:cs="Times New Roman"/>
                      <w:b w:val="0"/>
                      <w:bCs w:val="0"/>
                      <w:color w:val="auto"/>
                      <w:kern w:val="2"/>
                      <w:sz w:val="21"/>
                      <w:szCs w:val="21"/>
                      <w:vertAlign w:val="baseline"/>
                      <w:lang w:val="en-US" w:eastAsia="zh-CN" w:bidi="ar"/>
                    </w:rPr>
                    <w:t>9</w:t>
                  </w:r>
                  <w:r>
                    <w:rPr>
                      <w:rFonts w:hint="default" w:cs="Times New Roman"/>
                      <w:b w:val="0"/>
                      <w:bCs w:val="0"/>
                      <w:color w:val="auto"/>
                      <w:kern w:val="2"/>
                      <w:sz w:val="21"/>
                      <w:szCs w:val="21"/>
                      <w:vertAlign w:val="baseline"/>
                      <w:lang w:val="en-US" w:eastAsia="zh-CN" w:bidi="ar"/>
                    </w:rPr>
                    <w:t>5%以上。</w:t>
                  </w:r>
                </w:p>
              </w:tc>
              <w:tc>
                <w:tcPr>
                  <w:tcW w:w="856" w:type="pct"/>
                  <w:vAlign w:val="center"/>
                </w:tcPr>
                <w:p w14:paraId="7413FB39">
                  <w:pPr>
                    <w:widowControl/>
                    <w:spacing w:line="240" w:lineRule="auto"/>
                    <w:ind w:left="0" w:leftChars="0" w:firstLine="0" w:firstLineChars="0"/>
                    <w:jc w:val="center"/>
                    <w:rPr>
                      <w:rFonts w:hint="default" w:cs="Times New Roman"/>
                      <w:b w:val="0"/>
                      <w:bCs w:val="0"/>
                      <w:color w:val="auto"/>
                      <w:kern w:val="2"/>
                      <w:sz w:val="21"/>
                      <w:szCs w:val="21"/>
                      <w:vertAlign w:val="baseline"/>
                      <w:lang w:val="en-US" w:eastAsia="zh-CN" w:bidi="ar"/>
                    </w:rPr>
                  </w:pPr>
                  <w:r>
                    <w:rPr>
                      <w:rFonts w:hint="eastAsia" w:cs="Times New Roman"/>
                      <w:b w:val="0"/>
                      <w:bCs w:val="0"/>
                      <w:color w:val="auto"/>
                      <w:kern w:val="2"/>
                      <w:sz w:val="21"/>
                      <w:szCs w:val="21"/>
                      <w:vertAlign w:val="baseline"/>
                      <w:lang w:val="en-US" w:eastAsia="zh-CN" w:bidi="ar"/>
                    </w:rPr>
                    <w:t>7000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p>
              </w:tc>
              <w:tc>
                <w:tcPr>
                  <w:tcW w:w="1062" w:type="pct"/>
                  <w:vAlign w:val="center"/>
                </w:tcPr>
                <w:p w14:paraId="35AE8428">
                  <w:pPr>
                    <w:widowControl/>
                    <w:spacing w:line="240" w:lineRule="auto"/>
                    <w:ind w:left="0" w:leftChars="0" w:firstLine="0" w:firstLineChars="0"/>
                    <w:jc w:val="center"/>
                    <w:rPr>
                      <w:rFonts w:hint="default" w:cs="Times New Roman"/>
                      <w:b w:val="0"/>
                      <w:bCs w:val="0"/>
                      <w:color w:val="auto"/>
                      <w:kern w:val="2"/>
                      <w:sz w:val="21"/>
                      <w:szCs w:val="21"/>
                      <w:vertAlign w:val="baseline"/>
                      <w:lang w:val="en-US" w:eastAsia="zh-CN" w:bidi="ar"/>
                    </w:rPr>
                  </w:pPr>
                  <w:r>
                    <w:rPr>
                      <w:rFonts w:hint="default" w:cs="Times New Roman"/>
                      <w:b w:val="0"/>
                      <w:bCs w:val="0"/>
                      <w:color w:val="auto"/>
                      <w:kern w:val="2"/>
                      <w:sz w:val="21"/>
                      <w:szCs w:val="21"/>
                      <w:vertAlign w:val="baseline"/>
                      <w:lang w:val="en-US" w:eastAsia="zh-CN" w:bidi="ar"/>
                    </w:rPr>
                    <w:t>注浆钻孔进行封孔后</w:t>
                  </w:r>
                  <w:r>
                    <w:rPr>
                      <w:rFonts w:hint="eastAsia" w:cs="Times New Roman"/>
                      <w:b w:val="0"/>
                      <w:bCs/>
                      <w:color w:val="auto"/>
                      <w:sz w:val="21"/>
                      <w:szCs w:val="21"/>
                      <w:lang w:val="en-US" w:eastAsia="zh-CN"/>
                    </w:rPr>
                    <w:t>后</w:t>
                  </w:r>
                  <w:r>
                    <w:rPr>
                      <w:rFonts w:hint="eastAsia" w:cs="Times New Roman"/>
                      <w:b w:val="0"/>
                      <w:bCs w:val="0"/>
                      <w:color w:val="auto"/>
                      <w:kern w:val="2"/>
                      <w:sz w:val="21"/>
                      <w:szCs w:val="21"/>
                      <w:vertAlign w:val="baseline"/>
                      <w:lang w:val="en-US" w:eastAsia="zh-CN" w:bidi="ar"/>
                    </w:rPr>
                    <w:t>3个月内</w:t>
                  </w:r>
                </w:p>
              </w:tc>
            </w:tr>
          </w:tbl>
          <w:p w14:paraId="536374FD">
            <w:pPr>
              <w:keepNext w:val="0"/>
              <w:keepLines w:val="0"/>
              <w:pageBreakBefore w:val="0"/>
              <w:widowControl w:val="0"/>
              <w:kinsoku/>
              <w:wordWrap/>
              <w:overflowPunct/>
              <w:topLinePunct w:val="0"/>
              <w:autoSpaceDE/>
              <w:autoSpaceDN/>
              <w:bidi w:val="0"/>
              <w:snapToGrid w:val="0"/>
              <w:spacing w:line="360" w:lineRule="auto"/>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4"/>
                <w:szCs w:val="24"/>
                <w:lang w:bidi="ar"/>
              </w:rPr>
              <w:t>（</w:t>
            </w:r>
            <w:r>
              <w:rPr>
                <w:rFonts w:hint="default" w:ascii="Times New Roman" w:hAnsi="Times New Roman" w:eastAsia="宋体" w:cs="Times New Roman"/>
                <w:b/>
                <w:bCs/>
                <w:color w:val="auto"/>
                <w:kern w:val="2"/>
                <w:sz w:val="24"/>
                <w:szCs w:val="24"/>
                <w:lang w:val="en-US" w:eastAsia="zh-CN" w:bidi="ar"/>
              </w:rPr>
              <w:t>七</w:t>
            </w:r>
            <w:r>
              <w:rPr>
                <w:rFonts w:hint="default" w:ascii="Times New Roman" w:hAnsi="Times New Roman" w:eastAsia="宋体" w:cs="Times New Roman"/>
                <w:b/>
                <w:bCs/>
                <w:color w:val="auto"/>
                <w:kern w:val="2"/>
                <w:sz w:val="24"/>
                <w:szCs w:val="24"/>
                <w:lang w:bidi="ar"/>
              </w:rPr>
              <w:t>）环境风险分析</w:t>
            </w:r>
          </w:p>
          <w:p w14:paraId="72C63AA4">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1、危险物质分布情况</w:t>
            </w:r>
          </w:p>
          <w:p w14:paraId="513183A9">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bidi="ar"/>
              </w:rPr>
            </w:pPr>
            <w:r>
              <w:rPr>
                <w:rFonts w:hint="default" w:ascii="Times New Roman" w:hAnsi="Times New Roman" w:eastAsia="宋体" w:cs="Times New Roman"/>
                <w:color w:val="auto"/>
                <w:kern w:val="2"/>
                <w:sz w:val="24"/>
                <w:szCs w:val="24"/>
                <w:lang w:bidi="ar"/>
              </w:rPr>
              <w:t>本项目</w:t>
            </w:r>
            <w:r>
              <w:rPr>
                <w:rFonts w:hint="default" w:ascii="Times New Roman" w:hAnsi="Times New Roman" w:eastAsia="宋体" w:cs="Times New Roman"/>
                <w:color w:val="auto"/>
                <w:kern w:val="2"/>
                <w:sz w:val="24"/>
                <w:szCs w:val="24"/>
                <w:lang w:val="en-US" w:eastAsia="zh-CN" w:bidi="ar"/>
              </w:rPr>
              <w:t>涉及的风险物质为危废库内废矿物油</w:t>
            </w:r>
            <w:r>
              <w:rPr>
                <w:rFonts w:hint="default" w:ascii="Times New Roman" w:hAnsi="Times New Roman" w:eastAsia="宋体" w:cs="Times New Roman"/>
                <w:color w:val="auto"/>
                <w:kern w:val="2"/>
                <w:sz w:val="24"/>
                <w:szCs w:val="24"/>
                <w:lang w:bidi="ar"/>
              </w:rPr>
              <w:t>。项目生产原料为煤矸石及水。煤矸石属于第Ⅰ类固体废物。根据《建设项目环境风险评价技术导则》</w:t>
            </w:r>
            <w:r>
              <w:rPr>
                <w:rFonts w:hint="eastAsia"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HJ169-2018</w:t>
            </w:r>
            <w:r>
              <w:rPr>
                <w:rFonts w:hint="eastAsia"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、《危险化学品重大危险源辨识》</w:t>
            </w:r>
            <w:r>
              <w:rPr>
                <w:rFonts w:hint="eastAsia"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GB18218-2018</w:t>
            </w:r>
            <w:r>
              <w:rPr>
                <w:rFonts w:hint="eastAsia"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和《国家危险废物名录》判别，不属于有毒有害和易燃易爆危险物质。</w:t>
            </w:r>
          </w:p>
          <w:p w14:paraId="7B8EFC2A">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2、</w:t>
            </w:r>
            <w:bookmarkStart w:id="38" w:name="_Toc88209803"/>
            <w:r>
              <w:rPr>
                <w:rFonts w:hint="default" w:ascii="Times New Roman" w:hAnsi="Times New Roman" w:eastAsia="宋体" w:cs="Times New Roman"/>
                <w:color w:val="auto"/>
                <w:kern w:val="2"/>
                <w:sz w:val="24"/>
                <w:szCs w:val="24"/>
                <w:lang w:bidi="ar"/>
              </w:rPr>
              <w:t>环境风险防范措施</w:t>
            </w:r>
          </w:p>
          <w:bookmarkEnd w:id="38"/>
          <w:p w14:paraId="629B85F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本项目维修废机油使用油桶暂时贮存，做到完好无损且材质满足相应的强度要求；废物容器外按要求贴有相应的危险警示的标志；并建立危险废物收集、贮存、运输等管理制度，暂时存放于本矿区现有的危废暂存库，最终由有资质的单位回收处置。填充膏体运输管道定期检查维护。</w:t>
            </w:r>
          </w:p>
          <w:p w14:paraId="75AED7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bidi="ar"/>
              </w:rPr>
              <w:t>本项目依托的现有危废暂存库的建设符合《危险废物贮存污染控制标准》（GB18597—2023）要求，地面及裙角、导流槽、集液池进行了防渗，渗透系数≤10</w:t>
            </w:r>
            <w:r>
              <w:rPr>
                <w:rFonts w:hint="default" w:ascii="Times New Roman" w:hAnsi="Times New Roman" w:eastAsia="宋体" w:cs="Times New Roman"/>
                <w:color w:val="auto"/>
                <w:kern w:val="2"/>
                <w:sz w:val="24"/>
                <w:szCs w:val="24"/>
                <w:vertAlign w:val="superscript"/>
                <w:lang w:bidi="ar"/>
              </w:rPr>
              <w:t>-10</w:t>
            </w:r>
            <w:r>
              <w:rPr>
                <w:rFonts w:hint="default" w:ascii="Times New Roman" w:hAnsi="Times New Roman" w:eastAsia="宋体" w:cs="Times New Roman"/>
                <w:color w:val="auto"/>
                <w:kern w:val="2"/>
                <w:sz w:val="24"/>
                <w:szCs w:val="24"/>
                <w:lang w:bidi="ar"/>
              </w:rPr>
              <w:t>cm/s，满足本项目正常运营的要求。</w:t>
            </w:r>
          </w:p>
          <w:p w14:paraId="214F542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val="en-US" w:eastAsia="zh-CN" w:bidi="ar"/>
              </w:rPr>
              <w:t>2</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设立标志，加强巡检，防止</w:t>
            </w:r>
            <w:r>
              <w:rPr>
                <w:rFonts w:hint="default" w:ascii="Times New Roman" w:hAnsi="Times New Roman" w:eastAsia="宋体" w:cs="Times New Roman"/>
                <w:color w:val="auto"/>
                <w:lang w:val="en-US" w:eastAsia="zh-CN"/>
              </w:rPr>
              <w:t>人为</w:t>
            </w:r>
            <w:r>
              <w:rPr>
                <w:rFonts w:hint="default" w:ascii="Times New Roman" w:hAnsi="Times New Roman" w:eastAsia="宋体" w:cs="Times New Roman"/>
                <w:color w:val="auto"/>
                <w:kern w:val="2"/>
                <w:sz w:val="24"/>
                <w:szCs w:val="24"/>
                <w:lang w:bidi="ar"/>
              </w:rPr>
              <w:t>破坏，建成运营后提高操作人员的素质和管理水平，防止或减少事故风险的发生，确保危险废物暂存库正常运行。</w:t>
            </w:r>
          </w:p>
          <w:p w14:paraId="46633D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val="en-US" w:eastAsia="zh-CN" w:bidi="ar"/>
              </w:rPr>
              <w:t>3</w:t>
            </w: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bidi="ar"/>
              </w:rPr>
              <w:t>重视环境管理工作，加强监督，及时发现存在的隐患。</w:t>
            </w:r>
          </w:p>
          <w:p w14:paraId="590DBA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eastAsia="zh-CN" w:bidi="ar"/>
              </w:rPr>
              <w:t>（</w:t>
            </w:r>
            <w:r>
              <w:rPr>
                <w:rFonts w:hint="default" w:ascii="Times New Roman" w:hAnsi="Times New Roman" w:eastAsia="宋体" w:cs="Times New Roman"/>
                <w:color w:val="auto"/>
                <w:kern w:val="2"/>
                <w:sz w:val="24"/>
                <w:szCs w:val="24"/>
                <w:lang w:val="en-US" w:eastAsia="zh-CN" w:bidi="ar"/>
              </w:rPr>
              <w:t>4</w:t>
            </w:r>
            <w:r>
              <w:rPr>
                <w:rFonts w:hint="default" w:ascii="Times New Roman" w:hAnsi="Times New Roman" w:eastAsia="宋体" w:cs="Times New Roman"/>
                <w:color w:val="auto"/>
                <w:kern w:val="2"/>
                <w:sz w:val="24"/>
                <w:szCs w:val="24"/>
                <w:lang w:eastAsia="zh-CN" w:bidi="ar"/>
              </w:rPr>
              <w:t>）注浆站</w:t>
            </w:r>
            <w:r>
              <w:rPr>
                <w:rFonts w:hint="default" w:ascii="Times New Roman" w:hAnsi="Times New Roman" w:eastAsia="宋体" w:cs="Times New Roman"/>
                <w:color w:val="auto"/>
                <w:kern w:val="2"/>
                <w:sz w:val="24"/>
                <w:szCs w:val="24"/>
                <w:lang w:bidi="ar"/>
              </w:rPr>
              <w:t>环境风险防范措施</w:t>
            </w:r>
          </w:p>
          <w:p w14:paraId="414F3C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为了避免充填料浆输送风险对区域环境产生不利影响，在工程营运阶段，加强管道的观察及维护，发现问题及时处理，必要时立即停产进行检查和维修。加强充填料浆输送管道管接头处的检修，管接头泄漏原因主要有两种情况：</w:t>
            </w:r>
          </w:p>
          <w:p w14:paraId="070B12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一种是管接头内部橡胶密封圈严重磨损或老化；另一种是异常推力作用下管接头的扣环变形。因此在具体操作上需做到如下几点防范事故发生：</w:t>
            </w:r>
          </w:p>
          <w:p w14:paraId="518D41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①密封面清理干净，不准有污物。</w:t>
            </w:r>
          </w:p>
          <w:p w14:paraId="61DA43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②密封圈安装位置适当。</w:t>
            </w:r>
          </w:p>
          <w:p w14:paraId="7D3F79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③密封面、卡箍内腔、螺栓的螺纹涂凡士林。</w:t>
            </w:r>
          </w:p>
          <w:p w14:paraId="71BC73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④两端管之间保持一定间隙。</w:t>
            </w:r>
          </w:p>
          <w:p w14:paraId="71BD2C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⑤两管轴线对正，安装卡箍。</w:t>
            </w:r>
          </w:p>
          <w:p w14:paraId="71CB47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⑥装上螺栓，防止密封面被咬伤。上紧螺栓，使各螺栓受力均匀。</w:t>
            </w:r>
          </w:p>
          <w:p w14:paraId="37272C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2、应急预案要求</w:t>
            </w:r>
          </w:p>
          <w:p w14:paraId="34379C20">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环境应急预案，是指企业为了在应对各类事故、自然灾害时，采取紧急措施，避免或最大程度减少污染物或其他有毒有害物质进入厂界外大气、水体、土壤等环境介质，而预先制定的工作方案。建设单位应根据《国家突发环境事件应急预案》（国办函</w:t>
            </w:r>
            <w:r>
              <w:rPr>
                <w:rFonts w:hint="eastAsia" w:cs="Times New Roman"/>
                <w:color w:val="auto"/>
                <w:kern w:val="2"/>
                <w:sz w:val="24"/>
                <w:szCs w:val="24"/>
                <w:lang w:eastAsia="zh-CN" w:bidi="ar"/>
              </w:rPr>
              <w:t>〔2014〕119号</w:t>
            </w:r>
            <w:r>
              <w:rPr>
                <w:rFonts w:hint="default" w:ascii="Times New Roman" w:hAnsi="Times New Roman" w:eastAsia="宋体" w:cs="Times New Roman"/>
                <w:color w:val="auto"/>
                <w:kern w:val="2"/>
                <w:sz w:val="24"/>
                <w:szCs w:val="24"/>
                <w:lang w:bidi="ar"/>
              </w:rPr>
              <w:t>）、《企业事业单位突发环境事件应急预案备案管理办法（试行）》（环发</w:t>
            </w:r>
            <w:r>
              <w:rPr>
                <w:rFonts w:hint="eastAsia" w:cs="Times New Roman"/>
                <w:color w:val="auto"/>
                <w:kern w:val="2"/>
                <w:sz w:val="24"/>
                <w:szCs w:val="24"/>
                <w:lang w:eastAsia="zh-CN" w:bidi="ar"/>
              </w:rPr>
              <w:t>〔2015〕4号</w:t>
            </w:r>
            <w:r>
              <w:rPr>
                <w:rFonts w:hint="default" w:ascii="Times New Roman" w:hAnsi="Times New Roman" w:eastAsia="宋体" w:cs="Times New Roman"/>
                <w:color w:val="auto"/>
                <w:kern w:val="2"/>
                <w:sz w:val="24"/>
                <w:szCs w:val="24"/>
                <w:lang w:bidi="ar"/>
              </w:rPr>
              <w:t>）、《企业突发环境事件风险分级方法》（HJ 941-2018）要求，制定和完善突发环境事件应急预案。</w:t>
            </w:r>
          </w:p>
          <w:p w14:paraId="57FBC055">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bidi="ar"/>
              </w:rPr>
            </w:pPr>
            <w:r>
              <w:rPr>
                <w:rFonts w:hint="default" w:ascii="Times New Roman" w:hAnsi="Times New Roman" w:eastAsia="宋体" w:cs="Times New Roman"/>
                <w:color w:val="auto"/>
                <w:kern w:val="2"/>
                <w:sz w:val="24"/>
                <w:szCs w:val="24"/>
                <w:lang w:bidi="ar"/>
              </w:rPr>
              <w:t>应急预案主要包括预案适用范围、环境事件分类与分级、组织机构与职责、监控和预警、应急响应、应急保障、善后处理、预案管理与演练等内容。相关风险防范要求和应急措施应纳入预案，做好与地方政府及其相关部门等相关应急预案的衔接和联动。应急预案应当在建设项目投入生产或者使用前，向建设项目所在地受理部门备案。严格落实备案后的应急预案，按规定开展必要的培训、宣传和演练，适时进行修订与完善。一旦发生突发环境事件，应立即启动相关预案，妥善应对。</w:t>
            </w:r>
          </w:p>
          <w:p w14:paraId="2F27FAA9">
            <w:pPr>
              <w:keepNext w:val="0"/>
              <w:keepLines w:val="0"/>
              <w:pageBreakBefore w:val="0"/>
              <w:widowControl w:val="0"/>
              <w:kinsoku/>
              <w:wordWrap/>
              <w:overflowPunct/>
              <w:topLinePunct w:val="0"/>
              <w:autoSpaceDE/>
              <w:autoSpaceDN/>
              <w:bidi w:val="0"/>
              <w:snapToGrid w:val="0"/>
              <w:spacing w:line="360" w:lineRule="auto"/>
              <w:ind w:left="0" w:leftChars="0" w:firstLine="482" w:firstLineChars="200"/>
              <w:jc w:val="both"/>
              <w:textAlignment w:val="auto"/>
              <w:rPr>
                <w:rFonts w:hint="default" w:ascii="Times New Roman" w:hAnsi="Times New Roman" w:eastAsia="宋体" w:cs="Times New Roman"/>
                <w:b/>
                <w:bCs/>
                <w:color w:val="auto"/>
                <w:kern w:val="0"/>
                <w:sz w:val="24"/>
                <w:szCs w:val="20"/>
                <w:lang w:val="en-US" w:eastAsia="zh-CN" w:bidi="ar"/>
              </w:rPr>
            </w:pPr>
            <w:r>
              <w:rPr>
                <w:rFonts w:hint="default" w:ascii="Times New Roman" w:hAnsi="Times New Roman" w:eastAsia="宋体" w:cs="Times New Roman"/>
                <w:b/>
                <w:bCs/>
                <w:color w:val="auto"/>
                <w:kern w:val="2"/>
                <w:sz w:val="24"/>
                <w:szCs w:val="24"/>
                <w:lang w:val="en-US" w:eastAsia="zh-CN" w:bidi="ar"/>
              </w:rPr>
              <w:t>（九）环保措施、投资及环保验收</w:t>
            </w:r>
          </w:p>
          <w:p w14:paraId="5787E07E">
            <w:pPr>
              <w:keepNext w:val="0"/>
              <w:keepLines w:val="0"/>
              <w:pageBreakBefore w:val="0"/>
              <w:widowControl/>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color w:val="auto"/>
                <w:kern w:val="2"/>
                <w:sz w:val="24"/>
                <w:szCs w:val="24"/>
                <w:lang w:bidi="ar"/>
              </w:rPr>
            </w:pPr>
            <w:r>
              <w:rPr>
                <w:rFonts w:hint="default" w:ascii="Times New Roman" w:hAnsi="Times New Roman" w:eastAsia="宋体" w:cs="Times New Roman"/>
                <w:color w:val="auto"/>
                <w:kern w:val="2"/>
                <w:sz w:val="24"/>
                <w:szCs w:val="24"/>
                <w:lang w:bidi="ar"/>
              </w:rPr>
              <w:t>本项目总投资4824万元，其中环保投资为</w:t>
            </w:r>
            <w:r>
              <w:rPr>
                <w:rFonts w:hint="default" w:ascii="Times New Roman" w:hAnsi="Times New Roman" w:eastAsia="宋体" w:cs="Times New Roman"/>
                <w:color w:val="auto"/>
                <w:kern w:val="2"/>
                <w:sz w:val="24"/>
                <w:szCs w:val="24"/>
                <w:lang w:val="en-US" w:eastAsia="zh-CN" w:bidi="ar"/>
              </w:rPr>
              <w:t>210</w:t>
            </w:r>
            <w:r>
              <w:rPr>
                <w:rFonts w:hint="default" w:ascii="Times New Roman" w:hAnsi="Times New Roman" w:eastAsia="宋体" w:cs="Times New Roman"/>
                <w:color w:val="auto"/>
                <w:kern w:val="2"/>
                <w:sz w:val="24"/>
                <w:szCs w:val="24"/>
                <w:lang w:bidi="ar"/>
              </w:rPr>
              <w:t>万元，占工程总投资的</w:t>
            </w:r>
            <w:r>
              <w:rPr>
                <w:rFonts w:hint="default" w:ascii="Times New Roman" w:hAnsi="Times New Roman" w:eastAsia="宋体" w:cs="Times New Roman"/>
                <w:color w:val="auto"/>
                <w:kern w:val="2"/>
                <w:sz w:val="24"/>
                <w:szCs w:val="24"/>
                <w:lang w:val="en-US" w:eastAsia="zh-CN" w:bidi="ar"/>
              </w:rPr>
              <w:t>4.35</w:t>
            </w:r>
            <w:r>
              <w:rPr>
                <w:rFonts w:hint="default" w:ascii="Times New Roman" w:hAnsi="Times New Roman" w:eastAsia="宋体" w:cs="Times New Roman"/>
                <w:color w:val="auto"/>
                <w:kern w:val="2"/>
                <w:sz w:val="24"/>
                <w:szCs w:val="24"/>
                <w:lang w:bidi="ar"/>
              </w:rPr>
              <w:t>%。本项目环保投资结果见表</w:t>
            </w:r>
            <w:r>
              <w:rPr>
                <w:rFonts w:hint="default" w:ascii="Times New Roman" w:hAnsi="Times New Roman" w:eastAsia="宋体" w:cs="Times New Roman"/>
                <w:color w:val="auto"/>
                <w:kern w:val="2"/>
                <w:sz w:val="24"/>
                <w:szCs w:val="24"/>
                <w:lang w:val="en-US" w:eastAsia="zh-CN" w:bidi="ar"/>
              </w:rPr>
              <w:t>4-</w:t>
            </w:r>
            <w:r>
              <w:rPr>
                <w:rFonts w:hint="eastAsia" w:cs="Times New Roman"/>
                <w:color w:val="auto"/>
                <w:kern w:val="2"/>
                <w:sz w:val="24"/>
                <w:szCs w:val="24"/>
                <w:lang w:val="en-US" w:eastAsia="zh-CN" w:bidi="ar"/>
              </w:rPr>
              <w:t>13</w:t>
            </w:r>
            <w:r>
              <w:rPr>
                <w:rFonts w:hint="default" w:ascii="Times New Roman" w:hAnsi="Times New Roman" w:eastAsia="宋体" w:cs="Times New Roman"/>
                <w:color w:val="auto"/>
                <w:kern w:val="2"/>
                <w:sz w:val="24"/>
                <w:szCs w:val="24"/>
                <w:lang w:bidi="ar"/>
              </w:rPr>
              <w:t>。</w:t>
            </w:r>
          </w:p>
          <w:p w14:paraId="66790033">
            <w:pPr>
              <w:widowControl/>
              <w:spacing w:line="240" w:lineRule="auto"/>
              <w:ind w:firstLine="482" w:firstLineChars="200"/>
              <w:jc w:val="center"/>
              <w:rPr>
                <w:rFonts w:hint="default" w:ascii="Times New Roman" w:hAnsi="Times New Roman" w:eastAsia="宋体" w:cs="Times New Roman"/>
                <w:b/>
                <w:bCs/>
                <w:color w:val="auto"/>
                <w:kern w:val="2"/>
                <w:sz w:val="24"/>
                <w:szCs w:val="24"/>
                <w:lang w:val="zh-CN" w:bidi="ar"/>
              </w:rPr>
            </w:pPr>
            <w:r>
              <w:rPr>
                <w:rFonts w:hint="default" w:ascii="Times New Roman" w:hAnsi="Times New Roman" w:eastAsia="宋体" w:cs="Times New Roman"/>
                <w:b/>
                <w:bCs/>
                <w:color w:val="auto"/>
                <w:kern w:val="2"/>
                <w:sz w:val="24"/>
                <w:szCs w:val="24"/>
                <w:lang w:val="zh-CN" w:bidi="ar"/>
              </w:rPr>
              <w:t>表</w:t>
            </w:r>
            <w:r>
              <w:rPr>
                <w:rFonts w:hint="default" w:ascii="Times New Roman" w:hAnsi="Times New Roman" w:eastAsia="宋体" w:cs="Times New Roman"/>
                <w:b/>
                <w:bCs/>
                <w:color w:val="auto"/>
                <w:kern w:val="2"/>
                <w:sz w:val="24"/>
                <w:szCs w:val="24"/>
                <w:lang w:val="en-US" w:eastAsia="zh-CN" w:bidi="ar"/>
              </w:rPr>
              <w:t>4-</w:t>
            </w:r>
            <w:r>
              <w:rPr>
                <w:rFonts w:hint="eastAsia" w:cs="Times New Roman"/>
                <w:b/>
                <w:bCs/>
                <w:color w:val="auto"/>
                <w:kern w:val="2"/>
                <w:sz w:val="24"/>
                <w:szCs w:val="24"/>
                <w:lang w:val="en-US" w:eastAsia="zh-CN" w:bidi="ar"/>
              </w:rPr>
              <w:t>13</w:t>
            </w:r>
            <w:r>
              <w:rPr>
                <w:rFonts w:hint="default" w:ascii="Times New Roman" w:hAnsi="Times New Roman" w:eastAsia="宋体" w:cs="Times New Roman"/>
                <w:b/>
                <w:bCs/>
                <w:color w:val="auto"/>
                <w:kern w:val="2"/>
                <w:sz w:val="24"/>
                <w:szCs w:val="24"/>
                <w:lang w:val="zh-CN" w:bidi="ar"/>
              </w:rPr>
              <w:t xml:space="preserve">   环境保护投资表</w:t>
            </w:r>
          </w:p>
          <w:tbl>
            <w:tblPr>
              <w:tblStyle w:val="25"/>
              <w:tblW w:w="497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5"/>
              <w:gridCol w:w="904"/>
              <w:gridCol w:w="904"/>
              <w:gridCol w:w="977"/>
              <w:gridCol w:w="3158"/>
              <w:gridCol w:w="1048"/>
            </w:tblGrid>
            <w:tr w14:paraId="4B85C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blHeader/>
              </w:trPr>
              <w:tc>
                <w:tcPr>
                  <w:tcW w:w="482" w:type="pct"/>
                  <w:tcBorders>
                    <w:top w:val="single" w:color="auto" w:sz="4" w:space="0"/>
                    <w:left w:val="single" w:color="auto" w:sz="4" w:space="0"/>
                    <w:bottom w:val="single" w:color="auto" w:sz="4" w:space="0"/>
                    <w:right w:val="single" w:color="auto" w:sz="4" w:space="0"/>
                  </w:tcBorders>
                  <w:noWrap w:val="0"/>
                  <w:vAlign w:val="center"/>
                </w:tcPr>
                <w:p w14:paraId="513FFF0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项目</w:t>
                  </w:r>
                </w:p>
              </w:tc>
              <w:tc>
                <w:tcPr>
                  <w:tcW w:w="1168" w:type="pct"/>
                  <w:gridSpan w:val="2"/>
                  <w:tcBorders>
                    <w:top w:val="single" w:color="auto" w:sz="4" w:space="0"/>
                    <w:left w:val="single" w:color="auto" w:sz="4" w:space="0"/>
                    <w:bottom w:val="single" w:color="auto" w:sz="4" w:space="0"/>
                    <w:right w:val="single" w:color="auto" w:sz="4" w:space="0"/>
                  </w:tcBorders>
                  <w:noWrap w:val="0"/>
                  <w:vAlign w:val="center"/>
                </w:tcPr>
                <w:p w14:paraId="47D40A9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污染源</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5904F5E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污染物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4F79F48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治理措施</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4D5BA1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投资</w:t>
                  </w:r>
                </w:p>
                <w:p w14:paraId="0C10036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eastAsia" w:cs="Times New Roman"/>
                      <w:color w:val="auto"/>
                      <w:kern w:val="2"/>
                      <w:sz w:val="21"/>
                      <w:szCs w:val="24"/>
                      <w:lang w:eastAsia="zh-CN" w:bidi="ar"/>
                    </w:rPr>
                    <w:t>（</w:t>
                  </w:r>
                  <w:r>
                    <w:rPr>
                      <w:rFonts w:hint="default" w:ascii="Times New Roman" w:hAnsi="Times New Roman" w:eastAsia="宋体" w:cs="Times New Roman"/>
                      <w:color w:val="auto"/>
                      <w:kern w:val="2"/>
                      <w:sz w:val="21"/>
                      <w:szCs w:val="24"/>
                      <w:lang w:bidi="ar"/>
                    </w:rPr>
                    <w:t>万元</w:t>
                  </w:r>
                  <w:r>
                    <w:rPr>
                      <w:rFonts w:hint="eastAsia" w:cs="Times New Roman"/>
                      <w:color w:val="auto"/>
                      <w:kern w:val="2"/>
                      <w:sz w:val="21"/>
                      <w:szCs w:val="24"/>
                      <w:lang w:eastAsia="zh-CN" w:bidi="ar"/>
                    </w:rPr>
                    <w:t>）</w:t>
                  </w:r>
                </w:p>
              </w:tc>
            </w:tr>
            <w:tr w14:paraId="7E6BD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atLeast"/>
                <w:tblHeader/>
              </w:trPr>
              <w:tc>
                <w:tcPr>
                  <w:tcW w:w="482" w:type="pct"/>
                  <w:vMerge w:val="restart"/>
                  <w:tcBorders>
                    <w:top w:val="single" w:color="auto" w:sz="4" w:space="0"/>
                    <w:left w:val="single" w:color="auto" w:sz="4" w:space="0"/>
                    <w:bottom w:val="single" w:color="auto" w:sz="4" w:space="0"/>
                    <w:right w:val="single" w:color="auto" w:sz="4" w:space="0"/>
                  </w:tcBorders>
                  <w:noWrap w:val="0"/>
                  <w:vAlign w:val="center"/>
                </w:tcPr>
                <w:p w14:paraId="631D41B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废气治理措施</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09DBD9D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4"/>
                      <w:lang w:val="en-US" w:eastAsia="zh-CN" w:bidi="ar"/>
                    </w:rPr>
                  </w:pPr>
                  <w:r>
                    <w:rPr>
                      <w:rFonts w:hint="eastAsia" w:cs="Times New Roman"/>
                      <w:color w:val="auto"/>
                      <w:kern w:val="2"/>
                      <w:sz w:val="21"/>
                      <w:szCs w:val="24"/>
                      <w:lang w:val="en-US" w:eastAsia="zh-CN" w:bidi="ar"/>
                    </w:rPr>
                    <w:t>施工期</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1669CA4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rPr>
                  </w:pPr>
                  <w:r>
                    <w:rPr>
                      <w:rFonts w:hint="eastAsia" w:cs="Times New Roman"/>
                      <w:color w:val="auto"/>
                      <w:kern w:val="2"/>
                      <w:sz w:val="21"/>
                      <w:szCs w:val="24"/>
                      <w:lang w:val="en-US" w:eastAsia="zh-CN" w:bidi="ar"/>
                    </w:rPr>
                    <w:t>燃油废气、扬尘</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75A3F40B">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颗粒物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50DDD5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rPr>
                    <w:t>采用节能环保型柴油动力系列设备、提高燃料质量、保证充分燃烧、配置尾气净化装置等措施，能够实现达标排放</w:t>
                  </w:r>
                  <w:r>
                    <w:rPr>
                      <w:rFonts w:hint="default" w:ascii="Times New Roman" w:hAnsi="Times New Roman" w:eastAsia="宋体" w:cs="Times New Roman"/>
                      <w:color w:val="auto"/>
                      <w:kern w:val="0"/>
                      <w:sz w:val="21"/>
                      <w:szCs w:val="21"/>
                      <w:lang w:bidi="ar"/>
                    </w:rPr>
                    <w:t>。</w:t>
                  </w:r>
                </w:p>
                <w:p w14:paraId="41CC4F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2"/>
                      <w:sz w:val="21"/>
                      <w:szCs w:val="21"/>
                    </w:rPr>
                    <w:t>通过洒水、设置围栏、工棚、覆盖遮蔽等措施，减小起尘量。</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F4C703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val="en-US" w:eastAsia="zh-CN" w:bidi="ar"/>
                    </w:rPr>
                    <w:t>8</w:t>
                  </w:r>
                </w:p>
              </w:tc>
            </w:tr>
            <w:tr w14:paraId="1192A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19570163">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restart"/>
                  <w:tcBorders>
                    <w:top w:val="single" w:color="auto" w:sz="4" w:space="0"/>
                    <w:left w:val="single" w:color="auto" w:sz="4" w:space="0"/>
                    <w:right w:val="single" w:color="auto" w:sz="4" w:space="0"/>
                  </w:tcBorders>
                  <w:noWrap w:val="0"/>
                  <w:vAlign w:val="center"/>
                </w:tcPr>
                <w:p w14:paraId="752EC7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运营期</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533376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一级破碎</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667D51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46AB06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一级破碎粉尘采用湿式除尘洗气机（1#）除尘后经20m排气筒排放（P1）</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471F5C3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rPr>
                  </w:pPr>
                  <w:r>
                    <w:rPr>
                      <w:rFonts w:hint="eastAsia" w:cs="Times New Roman"/>
                      <w:color w:val="auto"/>
                      <w:kern w:val="2"/>
                      <w:sz w:val="21"/>
                      <w:szCs w:val="24"/>
                      <w:lang w:val="en-US" w:eastAsia="zh-CN" w:bidi="ar"/>
                    </w:rPr>
                    <w:t>10</w:t>
                  </w:r>
                </w:p>
              </w:tc>
            </w:tr>
            <w:tr w14:paraId="31A61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08488DE7">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right w:val="single" w:color="auto" w:sz="4" w:space="0"/>
                  </w:tcBorders>
                  <w:noWrap w:val="0"/>
                  <w:vAlign w:val="center"/>
                </w:tcPr>
                <w:p w14:paraId="5B1B183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3B2E07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二级破碎</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39440E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5CB601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二级破碎粉尘采用湿式除尘洗气机（2#）除尘后经20m排气筒排放（P2）</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560CCFA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rPr>
                  </w:pPr>
                  <w:r>
                    <w:rPr>
                      <w:rFonts w:hint="eastAsia" w:cs="Times New Roman"/>
                      <w:color w:val="auto"/>
                      <w:kern w:val="2"/>
                      <w:sz w:val="21"/>
                      <w:szCs w:val="24"/>
                      <w:lang w:val="en-US" w:eastAsia="zh-CN" w:bidi="ar"/>
                    </w:rPr>
                    <w:t>10</w:t>
                  </w:r>
                </w:p>
              </w:tc>
            </w:tr>
            <w:tr w14:paraId="32B32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72406C4E">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right w:val="single" w:color="auto" w:sz="4" w:space="0"/>
                  </w:tcBorders>
                  <w:noWrap w:val="0"/>
                  <w:vAlign w:val="center"/>
                </w:tcPr>
                <w:p w14:paraId="18B11C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2411DB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注浆站配料</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00D600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bidi="ar"/>
                    </w:rPr>
                    <w:t>颗粒物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5950C7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一级注浆站配料皮带采用湿式除尘洗气机（3#）除尘后经20m排气筒排放（P3）</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50C96B1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rPr>
                  </w:pPr>
                  <w:r>
                    <w:rPr>
                      <w:rFonts w:hint="eastAsia" w:cs="Times New Roman"/>
                      <w:color w:val="auto"/>
                      <w:kern w:val="2"/>
                      <w:sz w:val="21"/>
                      <w:szCs w:val="24"/>
                      <w:lang w:val="en-US" w:eastAsia="zh-CN" w:bidi="ar"/>
                    </w:rPr>
                    <w:t>10</w:t>
                  </w:r>
                </w:p>
              </w:tc>
            </w:tr>
            <w:tr w14:paraId="6F6B7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1E8AC054">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right w:val="single" w:color="auto" w:sz="4" w:space="0"/>
                  </w:tcBorders>
                  <w:noWrap w:val="0"/>
                  <w:vAlign w:val="center"/>
                </w:tcPr>
                <w:p w14:paraId="595B6E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22CF69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皮带运输粉尘</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73B5530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颗粒物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5F0764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矸石输送采用全封闭式带式输送机并喷雾洒水抑尘。</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0E401B7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
                    </w:rPr>
                  </w:pPr>
                  <w:r>
                    <w:rPr>
                      <w:rFonts w:hint="eastAsia" w:cs="Times New Roman"/>
                      <w:color w:val="auto"/>
                      <w:kern w:val="2"/>
                      <w:sz w:val="21"/>
                      <w:szCs w:val="24"/>
                      <w:lang w:val="en-US" w:eastAsia="zh-CN" w:bidi="ar"/>
                    </w:rPr>
                    <w:t>5</w:t>
                  </w:r>
                </w:p>
              </w:tc>
            </w:tr>
            <w:tr w14:paraId="5089B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058297B8">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bottom w:val="single" w:color="auto" w:sz="4" w:space="0"/>
                    <w:right w:val="single" w:color="auto" w:sz="4" w:space="0"/>
                  </w:tcBorders>
                  <w:noWrap w:val="0"/>
                  <w:vAlign w:val="center"/>
                </w:tcPr>
                <w:p w14:paraId="44FE4A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5F0CAC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bidi="ar"/>
                    </w:rPr>
                  </w:pPr>
                  <w:r>
                    <w:rPr>
                      <w:rFonts w:hint="default" w:ascii="Times New Roman" w:hAnsi="Times New Roman" w:eastAsia="宋体" w:cs="Times New Roman"/>
                      <w:color w:val="auto"/>
                      <w:kern w:val="2"/>
                      <w:sz w:val="21"/>
                      <w:szCs w:val="21"/>
                      <w:lang w:val="en-US" w:eastAsia="zh-CN"/>
                    </w:rPr>
                    <w:t>破碎车间未收集粉尘</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375E52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颗粒物</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61C6DB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rPr>
                    <w:t>破碎车间全封闭并喷雾洒水抑尘。</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4B017D0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
                    </w:rPr>
                  </w:pPr>
                  <w:r>
                    <w:rPr>
                      <w:rFonts w:hint="eastAsia" w:cs="Times New Roman"/>
                      <w:color w:val="auto"/>
                      <w:kern w:val="2"/>
                      <w:sz w:val="21"/>
                      <w:szCs w:val="24"/>
                      <w:lang w:val="en-US" w:eastAsia="zh-CN" w:bidi="ar"/>
                    </w:rPr>
                    <w:t>2</w:t>
                  </w:r>
                </w:p>
              </w:tc>
            </w:tr>
            <w:tr w14:paraId="59F31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restart"/>
                  <w:tcBorders>
                    <w:top w:val="single" w:color="auto" w:sz="4" w:space="0"/>
                    <w:left w:val="single" w:color="auto" w:sz="4" w:space="0"/>
                    <w:right w:val="single" w:color="auto" w:sz="4" w:space="0"/>
                  </w:tcBorders>
                  <w:noWrap w:val="0"/>
                  <w:vAlign w:val="center"/>
                </w:tcPr>
                <w:p w14:paraId="4CDF96B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废水治理措施</w:t>
                  </w:r>
                </w:p>
              </w:tc>
              <w:tc>
                <w:tcPr>
                  <w:tcW w:w="584" w:type="pct"/>
                  <w:vMerge w:val="restart"/>
                  <w:tcBorders>
                    <w:top w:val="single" w:color="auto" w:sz="4" w:space="0"/>
                    <w:left w:val="single" w:color="auto" w:sz="4" w:space="0"/>
                    <w:right w:val="single" w:color="auto" w:sz="4" w:space="0"/>
                  </w:tcBorders>
                  <w:noWrap w:val="0"/>
                  <w:vAlign w:val="center"/>
                </w:tcPr>
                <w:p w14:paraId="229A332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施工期</w:t>
                  </w:r>
                </w:p>
              </w:tc>
              <w:tc>
                <w:tcPr>
                  <w:tcW w:w="58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A004D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生活污水</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5F1411B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pt-BR" w:bidi="ar"/>
                    </w:rPr>
                  </w:pPr>
                  <w:r>
                    <w:rPr>
                      <w:rFonts w:hint="default" w:ascii="Times New Roman" w:hAnsi="Times New Roman" w:eastAsia="宋体" w:cs="Times New Roman"/>
                      <w:color w:val="auto"/>
                      <w:kern w:val="2"/>
                      <w:sz w:val="21"/>
                      <w:szCs w:val="21"/>
                      <w:lang w:val="pt-BR" w:bidi="ar"/>
                    </w:rPr>
                    <w:t>COD、BOD</w:t>
                  </w:r>
                  <w:r>
                    <w:rPr>
                      <w:rFonts w:hint="default" w:ascii="Times New Roman" w:hAnsi="Times New Roman" w:eastAsia="宋体" w:cs="Times New Roman"/>
                      <w:color w:val="auto"/>
                      <w:kern w:val="2"/>
                      <w:sz w:val="21"/>
                      <w:szCs w:val="21"/>
                      <w:vertAlign w:val="subscript"/>
                      <w:lang w:val="pt-BR" w:bidi="ar"/>
                    </w:rPr>
                    <w:t>5</w:t>
                  </w:r>
                  <w:r>
                    <w:rPr>
                      <w:rFonts w:hint="default" w:ascii="Times New Roman" w:hAnsi="Times New Roman" w:eastAsia="宋体" w:cs="Times New Roman"/>
                      <w:color w:val="auto"/>
                      <w:kern w:val="2"/>
                      <w:sz w:val="21"/>
                      <w:szCs w:val="21"/>
                      <w:lang w:val="pt-BR" w:bidi="ar"/>
                    </w:rPr>
                    <w:t>、氨氮、SS</w:t>
                  </w:r>
                </w:p>
              </w:tc>
              <w:tc>
                <w:tcPr>
                  <w:tcW w:w="204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81B0B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生活污水</w:t>
                  </w:r>
                  <w:r>
                    <w:rPr>
                      <w:rFonts w:hint="default" w:ascii="Times New Roman" w:hAnsi="Times New Roman" w:eastAsia="宋体" w:cs="Times New Roman"/>
                      <w:color w:val="auto"/>
                      <w:kern w:val="2"/>
                      <w:sz w:val="21"/>
                      <w:szCs w:val="21"/>
                      <w:lang w:val="en-US" w:eastAsia="zh-CN"/>
                    </w:rPr>
                    <w:t>依托煤矿生活污水处理设施处理</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19DBB3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w:t>
                  </w:r>
                </w:p>
              </w:tc>
            </w:tr>
            <w:tr w14:paraId="00890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continue"/>
                  <w:tcBorders>
                    <w:left w:val="single" w:color="auto" w:sz="4" w:space="0"/>
                    <w:right w:val="single" w:color="auto" w:sz="4" w:space="0"/>
                  </w:tcBorders>
                  <w:noWrap w:val="0"/>
                  <w:vAlign w:val="center"/>
                </w:tcPr>
                <w:p w14:paraId="4941A5F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p>
              </w:tc>
              <w:tc>
                <w:tcPr>
                  <w:tcW w:w="584" w:type="pct"/>
                  <w:vMerge w:val="continue"/>
                  <w:tcBorders>
                    <w:left w:val="single" w:color="auto" w:sz="4" w:space="0"/>
                    <w:right w:val="single" w:color="auto" w:sz="4" w:space="0"/>
                  </w:tcBorders>
                  <w:noWrap w:val="0"/>
                  <w:vAlign w:val="center"/>
                </w:tcPr>
                <w:p w14:paraId="27EA0A7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cs="Times New Roman"/>
                      <w:color w:val="auto"/>
                      <w:kern w:val="2"/>
                      <w:sz w:val="21"/>
                      <w:szCs w:val="21"/>
                      <w:lang w:val="en-US" w:eastAsia="zh-CN" w:bidi="ar"/>
                    </w:rPr>
                  </w:pPr>
                </w:p>
              </w:tc>
              <w:tc>
                <w:tcPr>
                  <w:tcW w:w="58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3B14A9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钻井泥浆</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7FB4706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pt-BR" w:bidi="ar"/>
                    </w:rPr>
                    <w:t>SS</w:t>
                  </w:r>
                </w:p>
              </w:tc>
              <w:tc>
                <w:tcPr>
                  <w:tcW w:w="204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9A693D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钻井泥浆</w:t>
                  </w:r>
                  <w:r>
                    <w:rPr>
                      <w:rFonts w:hint="default" w:ascii="Times New Roman" w:hAnsi="Times New Roman" w:eastAsia="宋体" w:cs="Times New Roman"/>
                      <w:color w:val="auto"/>
                      <w:kern w:val="2"/>
                      <w:sz w:val="21"/>
                      <w:szCs w:val="21"/>
                      <w:lang w:val="pt-BR" w:bidi="ar"/>
                    </w:rPr>
                    <w:t>主要污染物为悬浮物等，钻井</w:t>
                  </w:r>
                  <w:r>
                    <w:rPr>
                      <w:rFonts w:hint="default" w:ascii="Times New Roman" w:hAnsi="Times New Roman" w:eastAsia="宋体" w:cs="Times New Roman"/>
                      <w:color w:val="auto"/>
                      <w:kern w:val="2"/>
                      <w:sz w:val="21"/>
                      <w:szCs w:val="21"/>
                      <w:lang w:val="en-US" w:eastAsia="zh-CN" w:bidi="ar"/>
                    </w:rPr>
                    <w:t>泥浆收集后委托有资质单位进行处置，不外排。</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77608A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3</w:t>
                  </w:r>
                </w:p>
              </w:tc>
            </w:tr>
            <w:tr w14:paraId="140C6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482" w:type="pct"/>
                  <w:vMerge w:val="continue"/>
                  <w:tcBorders>
                    <w:left w:val="single" w:color="auto" w:sz="4" w:space="0"/>
                    <w:right w:val="single" w:color="auto" w:sz="4" w:space="0"/>
                  </w:tcBorders>
                  <w:noWrap w:val="0"/>
                  <w:vAlign w:val="center"/>
                </w:tcPr>
                <w:p w14:paraId="0397D47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p>
              </w:tc>
              <w:tc>
                <w:tcPr>
                  <w:tcW w:w="584" w:type="pct"/>
                  <w:vMerge w:val="continue"/>
                  <w:tcBorders>
                    <w:left w:val="single" w:color="auto" w:sz="4" w:space="0"/>
                    <w:bottom w:val="single" w:color="auto" w:sz="4" w:space="0"/>
                    <w:right w:val="single" w:color="auto" w:sz="4" w:space="0"/>
                  </w:tcBorders>
                  <w:noWrap w:val="0"/>
                  <w:vAlign w:val="center"/>
                </w:tcPr>
                <w:p w14:paraId="65877A2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cs="Times New Roman"/>
                      <w:color w:val="auto"/>
                      <w:kern w:val="2"/>
                      <w:sz w:val="21"/>
                      <w:szCs w:val="21"/>
                      <w:lang w:val="en-US" w:eastAsia="zh-CN" w:bidi="ar"/>
                    </w:rPr>
                  </w:pPr>
                </w:p>
              </w:tc>
              <w:tc>
                <w:tcPr>
                  <w:tcW w:w="58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53987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管道试验废水</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633A1E4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pt-BR" w:bidi="ar"/>
                    </w:rPr>
                  </w:pPr>
                  <w:r>
                    <w:rPr>
                      <w:rFonts w:hint="default" w:ascii="Times New Roman" w:hAnsi="Times New Roman" w:eastAsia="宋体" w:cs="Times New Roman"/>
                      <w:color w:val="auto"/>
                      <w:kern w:val="2"/>
                      <w:sz w:val="21"/>
                      <w:szCs w:val="21"/>
                      <w:lang w:val="pt-BR" w:bidi="ar"/>
                    </w:rPr>
                    <w:t>SS</w:t>
                  </w:r>
                </w:p>
              </w:tc>
              <w:tc>
                <w:tcPr>
                  <w:tcW w:w="204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476C8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管道铺设完毕后，进行清管、试压作业，管道</w:t>
                  </w:r>
                  <w:r>
                    <w:rPr>
                      <w:rFonts w:hint="eastAsia" w:cs="Times New Roman"/>
                      <w:color w:val="auto"/>
                      <w:kern w:val="2"/>
                      <w:sz w:val="21"/>
                      <w:szCs w:val="21"/>
                      <w:lang w:eastAsia="zh-CN"/>
                    </w:rPr>
                    <w:t>试压</w:t>
                  </w:r>
                  <w:r>
                    <w:rPr>
                      <w:rFonts w:hint="default" w:ascii="Times New Roman" w:hAnsi="Times New Roman" w:eastAsia="宋体" w:cs="Times New Roman"/>
                      <w:color w:val="auto"/>
                      <w:kern w:val="2"/>
                      <w:sz w:val="21"/>
                      <w:szCs w:val="21"/>
                    </w:rPr>
                    <w:t>介质为洁净水，试压废水内主要污染物仅为少量悬浮物，收集沉淀后回用于煤矿选煤厂综合利用。</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4918DEB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2</w:t>
                  </w:r>
                </w:p>
              </w:tc>
            </w:tr>
            <w:tr w14:paraId="163DA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482" w:type="pct"/>
                  <w:vMerge w:val="continue"/>
                  <w:tcBorders>
                    <w:left w:val="single" w:color="auto" w:sz="4" w:space="0"/>
                    <w:right w:val="single" w:color="auto" w:sz="4" w:space="0"/>
                  </w:tcBorders>
                  <w:noWrap w:val="0"/>
                  <w:vAlign w:val="center"/>
                </w:tcPr>
                <w:p w14:paraId="1BDD79B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584" w:type="pct"/>
                  <w:vMerge w:val="restart"/>
                  <w:tcBorders>
                    <w:top w:val="single" w:color="auto" w:sz="4" w:space="0"/>
                    <w:left w:val="single" w:color="auto" w:sz="4" w:space="0"/>
                    <w:right w:val="single" w:color="auto" w:sz="4" w:space="0"/>
                  </w:tcBorders>
                  <w:noWrap w:val="0"/>
                  <w:vAlign w:val="center"/>
                </w:tcPr>
                <w:p w14:paraId="2648903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val="en-US" w:eastAsia="zh-CN"/>
                    </w:rPr>
                    <w:t>运营期</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65C6AB8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生活污水</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10AF1D0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pt-BR" w:bidi="ar"/>
                    </w:rPr>
                    <w:t>COD、BOD</w:t>
                  </w:r>
                  <w:r>
                    <w:rPr>
                      <w:rFonts w:hint="default" w:ascii="Times New Roman" w:hAnsi="Times New Roman" w:eastAsia="宋体" w:cs="Times New Roman"/>
                      <w:color w:val="auto"/>
                      <w:kern w:val="2"/>
                      <w:sz w:val="21"/>
                      <w:szCs w:val="21"/>
                      <w:vertAlign w:val="subscript"/>
                      <w:lang w:val="pt-BR" w:bidi="ar"/>
                    </w:rPr>
                    <w:t>5</w:t>
                  </w:r>
                  <w:r>
                    <w:rPr>
                      <w:rFonts w:hint="default" w:ascii="Times New Roman" w:hAnsi="Times New Roman" w:eastAsia="宋体" w:cs="Times New Roman"/>
                      <w:color w:val="auto"/>
                      <w:kern w:val="2"/>
                      <w:sz w:val="21"/>
                      <w:szCs w:val="21"/>
                      <w:lang w:val="pt-BR" w:bidi="ar"/>
                    </w:rPr>
                    <w:t>、氨氮、SS</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1008ACC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依托现有</w:t>
                  </w:r>
                  <w:r>
                    <w:rPr>
                      <w:rFonts w:hint="default" w:ascii="Times New Roman" w:hAnsi="Times New Roman" w:eastAsia="宋体" w:cs="Times New Roman"/>
                      <w:color w:val="auto"/>
                      <w:kern w:val="2"/>
                      <w:sz w:val="21"/>
                      <w:szCs w:val="21"/>
                      <w:lang w:val="en-US" w:eastAsia="zh-CN" w:bidi="ar"/>
                    </w:rPr>
                    <w:t>生活污水</w:t>
                  </w:r>
                  <w:r>
                    <w:rPr>
                      <w:rFonts w:hint="default" w:ascii="Times New Roman" w:hAnsi="Times New Roman" w:eastAsia="宋体" w:cs="Times New Roman"/>
                      <w:color w:val="auto"/>
                      <w:kern w:val="2"/>
                      <w:sz w:val="21"/>
                      <w:szCs w:val="21"/>
                      <w:lang w:bidi="ar"/>
                    </w:rPr>
                    <w:t>处理</w:t>
                  </w:r>
                  <w:r>
                    <w:rPr>
                      <w:rFonts w:hint="default" w:ascii="Times New Roman" w:hAnsi="Times New Roman" w:eastAsia="宋体" w:cs="Times New Roman"/>
                      <w:color w:val="auto"/>
                      <w:kern w:val="2"/>
                      <w:sz w:val="21"/>
                      <w:szCs w:val="21"/>
                      <w:lang w:val="en-US" w:eastAsia="zh-CN" w:bidi="ar"/>
                    </w:rPr>
                    <w:t>站</w:t>
                  </w:r>
                  <w:r>
                    <w:rPr>
                      <w:rFonts w:hint="default" w:ascii="Times New Roman" w:hAnsi="Times New Roman" w:eastAsia="宋体" w:cs="Times New Roman"/>
                      <w:color w:val="auto"/>
                      <w:kern w:val="2"/>
                      <w:sz w:val="21"/>
                      <w:szCs w:val="21"/>
                      <w:lang w:bidi="ar"/>
                    </w:rPr>
                    <w:t>处理达标后用于绿化和降尘洒水等</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423CC5E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w:t>
                  </w:r>
                </w:p>
              </w:tc>
            </w:tr>
            <w:tr w14:paraId="6135A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482" w:type="pct"/>
                  <w:vMerge w:val="continue"/>
                  <w:tcBorders>
                    <w:left w:val="single" w:color="auto" w:sz="4" w:space="0"/>
                    <w:right w:val="single" w:color="auto" w:sz="4" w:space="0"/>
                  </w:tcBorders>
                  <w:noWrap w:val="0"/>
                  <w:vAlign w:val="center"/>
                </w:tcPr>
                <w:p w14:paraId="7AC2210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584" w:type="pct"/>
                  <w:vMerge w:val="continue"/>
                  <w:tcBorders>
                    <w:left w:val="single" w:color="auto" w:sz="4" w:space="0"/>
                    <w:right w:val="single" w:color="auto" w:sz="4" w:space="0"/>
                  </w:tcBorders>
                  <w:noWrap w:val="0"/>
                  <w:vAlign w:val="center"/>
                </w:tcPr>
                <w:p w14:paraId="3ECBCF7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790CB74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注浆管道冲洗</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76B00C6B">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SS</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0865D3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进入注浆管道随矸石浆液充填井下</w:t>
                  </w:r>
                  <w:r>
                    <w:rPr>
                      <w:rFonts w:hint="default" w:ascii="Times New Roman" w:hAnsi="Times New Roman" w:eastAsia="宋体" w:cs="Times New Roman"/>
                      <w:color w:val="auto"/>
                      <w:kern w:val="2"/>
                      <w:sz w:val="21"/>
                      <w:szCs w:val="21"/>
                      <w:lang w:eastAsia="zh-CN"/>
                    </w:rPr>
                    <w:t>。</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1C869D6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w:t>
                  </w:r>
                </w:p>
              </w:tc>
            </w:tr>
            <w:tr w14:paraId="1669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482" w:type="pct"/>
                  <w:vMerge w:val="continue"/>
                  <w:tcBorders>
                    <w:left w:val="single" w:color="auto" w:sz="4" w:space="0"/>
                    <w:bottom w:val="single" w:color="auto" w:sz="4" w:space="0"/>
                    <w:right w:val="single" w:color="auto" w:sz="4" w:space="0"/>
                  </w:tcBorders>
                  <w:noWrap w:val="0"/>
                  <w:vAlign w:val="center"/>
                </w:tcPr>
                <w:p w14:paraId="69C66C8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p>
              </w:tc>
              <w:tc>
                <w:tcPr>
                  <w:tcW w:w="584" w:type="pct"/>
                  <w:vMerge w:val="continue"/>
                  <w:tcBorders>
                    <w:left w:val="single" w:color="auto" w:sz="4" w:space="0"/>
                    <w:bottom w:val="single" w:color="auto" w:sz="4" w:space="0"/>
                    <w:right w:val="single" w:color="auto" w:sz="4" w:space="0"/>
                  </w:tcBorders>
                  <w:noWrap w:val="0"/>
                  <w:vAlign w:val="center"/>
                </w:tcPr>
                <w:p w14:paraId="5A63585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3CFA91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地面</w:t>
                  </w:r>
                  <w:r>
                    <w:rPr>
                      <w:rFonts w:hint="default" w:ascii="Times New Roman" w:hAnsi="Times New Roman" w:eastAsia="宋体" w:cs="Times New Roman"/>
                      <w:color w:val="auto"/>
                      <w:kern w:val="2"/>
                      <w:sz w:val="21"/>
                      <w:szCs w:val="21"/>
                    </w:rPr>
                    <w:t>冲</w:t>
                  </w:r>
                  <w:r>
                    <w:rPr>
                      <w:rFonts w:hint="default" w:ascii="Times New Roman" w:hAnsi="Times New Roman" w:eastAsia="宋体" w:cs="Times New Roman"/>
                      <w:color w:val="auto"/>
                      <w:kern w:val="2"/>
                      <w:sz w:val="21"/>
                      <w:szCs w:val="21"/>
                    </w:rPr>
                    <w:cr/>
                  </w:r>
                  <w:r>
                    <w:rPr>
                      <w:rFonts w:hint="default" w:ascii="Times New Roman" w:hAnsi="Times New Roman" w:eastAsia="宋体" w:cs="Times New Roman"/>
                      <w:color w:val="auto"/>
                      <w:kern w:val="2"/>
                      <w:sz w:val="21"/>
                      <w:szCs w:val="21"/>
                    </w:rPr>
                    <w:t>废水</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642B751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SS</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3F0ECB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rPr>
                    <w:t>地面冲洗废水经收集池收集后回用于球磨工序，不外排。</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64F98C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w:t>
                  </w:r>
                </w:p>
              </w:tc>
            </w:tr>
            <w:tr w14:paraId="31CF1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482" w:type="pct"/>
                  <w:vMerge w:val="restart"/>
                  <w:tcBorders>
                    <w:top w:val="single" w:color="auto" w:sz="4" w:space="0"/>
                    <w:left w:val="single" w:color="auto" w:sz="4" w:space="0"/>
                    <w:bottom w:val="single" w:color="auto" w:sz="4" w:space="0"/>
                    <w:right w:val="single" w:color="auto" w:sz="4" w:space="0"/>
                  </w:tcBorders>
                  <w:noWrap w:val="0"/>
                  <w:vAlign w:val="center"/>
                </w:tcPr>
                <w:p w14:paraId="70E007B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固废治理措施</w:t>
                  </w:r>
                </w:p>
              </w:tc>
              <w:tc>
                <w:tcPr>
                  <w:tcW w:w="584" w:type="pct"/>
                  <w:vMerge w:val="restart"/>
                  <w:tcBorders>
                    <w:top w:val="single" w:color="auto" w:sz="4" w:space="0"/>
                    <w:left w:val="single" w:color="auto" w:sz="4" w:space="0"/>
                    <w:right w:val="single" w:color="auto" w:sz="4" w:space="0"/>
                  </w:tcBorders>
                  <w:noWrap w:val="0"/>
                  <w:vAlign w:val="center"/>
                </w:tcPr>
                <w:p w14:paraId="2795930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eastAsia" w:cs="Times New Roman"/>
                      <w:color w:val="auto"/>
                      <w:kern w:val="2"/>
                      <w:sz w:val="21"/>
                      <w:szCs w:val="24"/>
                      <w:lang w:val="en-US" w:eastAsia="zh-CN" w:bidi="ar"/>
                    </w:rPr>
                    <w:t>施工期</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2759E3B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建筑垃圾</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5D5AAE45">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建筑垃圾</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5B348C9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建设期产生的建筑垃圾送市政部门指定地点集中处理</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376FD0F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eastAsia="zh-CN"/>
                    </w:rPr>
                  </w:pPr>
                  <w:r>
                    <w:rPr>
                      <w:rFonts w:hint="default" w:ascii="Times New Roman" w:hAnsi="Times New Roman" w:eastAsia="宋体" w:cs="Times New Roman"/>
                      <w:color w:val="auto"/>
                      <w:kern w:val="2"/>
                      <w:sz w:val="21"/>
                      <w:szCs w:val="24"/>
                      <w:lang w:val="en-US" w:eastAsia="zh-CN" w:bidi="ar"/>
                    </w:rPr>
                    <w:t>2</w:t>
                  </w:r>
                </w:p>
              </w:tc>
            </w:tr>
            <w:tr w14:paraId="7C871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4939FC69">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right w:val="single" w:color="auto" w:sz="4" w:space="0"/>
                  </w:tcBorders>
                  <w:noWrap w:val="0"/>
                  <w:vAlign w:val="center"/>
                </w:tcPr>
                <w:p w14:paraId="5E2E833B">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2611AA2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4"/>
                      <w:highlight w:val="none"/>
                      <w:lang w:val="en-US" w:eastAsia="zh-CN" w:bidi="ar"/>
                    </w:rPr>
                    <w:t>钻孔土岩、岩屑</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29C67E45">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4"/>
                      <w:highlight w:val="none"/>
                      <w:lang w:val="en-US" w:eastAsia="zh-CN" w:bidi="ar"/>
                    </w:rPr>
                    <w:t>钻孔土岩、岩屑</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055A5C8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4"/>
                      <w:highlight w:val="none"/>
                      <w:lang w:val="en-US" w:eastAsia="zh-CN" w:bidi="ar"/>
                    </w:rPr>
                    <w:t>钻井岩屑是钻井过程中钻头切屑地层岩石而产生的碎屑和土层，钻孔施工结束后，钻孔岩屑收集后委托有资质单位进行处置，不外排。</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1F9BC4F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2</w:t>
                  </w:r>
                </w:p>
              </w:tc>
            </w:tr>
            <w:tr w14:paraId="7C985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0AC28535">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bottom w:val="single" w:color="auto" w:sz="4" w:space="0"/>
                    <w:right w:val="single" w:color="auto" w:sz="4" w:space="0"/>
                  </w:tcBorders>
                  <w:noWrap w:val="0"/>
                  <w:vAlign w:val="center"/>
                </w:tcPr>
                <w:p w14:paraId="1E4FE83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3315AD8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生活垃圾</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5F51F9C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pt-BR" w:bidi="ar"/>
                    </w:rPr>
                  </w:pPr>
                  <w:r>
                    <w:rPr>
                      <w:rFonts w:hint="default" w:ascii="Times New Roman" w:hAnsi="Times New Roman" w:eastAsia="宋体" w:cs="Times New Roman"/>
                      <w:color w:val="auto"/>
                      <w:kern w:val="2"/>
                      <w:sz w:val="21"/>
                      <w:szCs w:val="21"/>
                      <w:lang w:bidi="ar"/>
                    </w:rPr>
                    <w:t>生活垃圾</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0844E9D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bidi="ar"/>
                    </w:rPr>
                    <w:t>集中收集后</w:t>
                  </w:r>
                  <w:r>
                    <w:rPr>
                      <w:rFonts w:hint="default" w:ascii="Times New Roman" w:hAnsi="Times New Roman" w:eastAsia="宋体" w:cs="Times New Roman"/>
                      <w:color w:val="auto"/>
                      <w:kern w:val="2"/>
                      <w:sz w:val="21"/>
                      <w:szCs w:val="21"/>
                      <w:lang w:val="en-US" w:eastAsia="zh-CN" w:bidi="ar"/>
                    </w:rPr>
                    <w:t>按环卫部门要求统一处理</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1E249BB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eastAsia="zh-CN" w:bidi="ar"/>
                    </w:rPr>
                  </w:pPr>
                  <w:r>
                    <w:rPr>
                      <w:rFonts w:hint="eastAsia" w:cs="Times New Roman"/>
                      <w:color w:val="auto"/>
                      <w:kern w:val="2"/>
                      <w:sz w:val="21"/>
                      <w:szCs w:val="21"/>
                      <w:lang w:val="en-US" w:eastAsia="zh-CN" w:bidi="ar"/>
                    </w:rPr>
                    <w:t>2</w:t>
                  </w:r>
                </w:p>
              </w:tc>
            </w:tr>
            <w:tr w14:paraId="4917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7903F2DA">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restart"/>
                  <w:tcBorders>
                    <w:top w:val="single" w:color="auto" w:sz="4" w:space="0"/>
                    <w:left w:val="single" w:color="auto" w:sz="4" w:space="0"/>
                    <w:right w:val="single" w:color="auto" w:sz="4" w:space="0"/>
                  </w:tcBorders>
                  <w:noWrap w:val="0"/>
                  <w:vAlign w:val="center"/>
                </w:tcPr>
                <w:p w14:paraId="7C84CA8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highlight w:val="none"/>
                      <w:lang w:val="en-US" w:eastAsia="zh-CN" w:bidi="ar-SA"/>
                    </w:rPr>
                    <w:t>运营期</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029F806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4"/>
                      <w:highlight w:val="none"/>
                      <w:lang w:val="en-US" w:eastAsia="zh-CN" w:bidi="ar"/>
                    </w:rPr>
                    <w:t>废矿物油及废油桶</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47D7E8C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4"/>
                      <w:lang w:bidi="ar"/>
                    </w:rPr>
                    <w:t>矿物油</w:t>
                  </w:r>
                  <w:r>
                    <w:rPr>
                      <w:rFonts w:hint="eastAsia" w:cs="Times New Roman"/>
                      <w:color w:val="auto"/>
                      <w:kern w:val="2"/>
                      <w:sz w:val="21"/>
                      <w:szCs w:val="24"/>
                      <w:lang w:eastAsia="zh-CN" w:bidi="ar"/>
                    </w:rPr>
                    <w:t>、</w:t>
                  </w:r>
                  <w:r>
                    <w:rPr>
                      <w:rFonts w:hint="eastAsia" w:cs="Times New Roman"/>
                      <w:color w:val="auto"/>
                      <w:kern w:val="2"/>
                      <w:sz w:val="21"/>
                      <w:szCs w:val="24"/>
                      <w:lang w:val="en-US" w:eastAsia="zh-CN" w:bidi="ar"/>
                    </w:rPr>
                    <w:t>油桶</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730C2C93">
                  <w:pPr>
                    <w:keepNext w:val="0"/>
                    <w:keepLines w:val="0"/>
                    <w:pageBreakBefore w:val="0"/>
                    <w:widowControl w:val="0"/>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highlight w:val="none"/>
                      <w:lang w:val="en-US" w:eastAsia="zh-CN" w:bidi="ar-SA"/>
                    </w:rPr>
                    <w:t>生产设备使用的润滑油等矿物油需要定期更换，更换后产生的废矿物油属于危险废物，由专用桶密封保存，废矿物油和废油桶暂存到煤矿的危废暂存间，委托有资质的单位处置。</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E711018">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eastAsia="zh-CN" w:bidi="ar"/>
                    </w:rPr>
                  </w:pPr>
                  <w:r>
                    <w:rPr>
                      <w:rFonts w:hint="eastAsia" w:cs="Times New Roman"/>
                      <w:color w:val="auto"/>
                      <w:kern w:val="2"/>
                      <w:sz w:val="21"/>
                      <w:szCs w:val="21"/>
                      <w:lang w:val="en-US" w:eastAsia="zh-CN" w:bidi="ar"/>
                    </w:rPr>
                    <w:t>4</w:t>
                  </w:r>
                </w:p>
              </w:tc>
            </w:tr>
            <w:tr w14:paraId="3A29A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03F3D886">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right w:val="single" w:color="auto" w:sz="4" w:space="0"/>
                  </w:tcBorders>
                  <w:noWrap w:val="0"/>
                  <w:vAlign w:val="center"/>
                </w:tcPr>
                <w:p w14:paraId="35C1270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6CE5635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highlight w:val="none"/>
                    </w:rPr>
                    <w:t>除尘</w:t>
                  </w:r>
                  <w:r>
                    <w:rPr>
                      <w:rFonts w:hint="default" w:ascii="Times New Roman" w:hAnsi="Times New Roman" w:eastAsia="宋体" w:cs="Times New Roman"/>
                      <w:color w:val="auto"/>
                      <w:kern w:val="2"/>
                      <w:sz w:val="21"/>
                      <w:szCs w:val="21"/>
                      <w:highlight w:val="none"/>
                      <w:lang w:val="en-US" w:eastAsia="zh-CN" w:bidi="ar"/>
                    </w:rPr>
                    <w:t>污泥</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0BFAEE2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污泥</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783F157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highlight w:val="none"/>
                      <w:lang w:bidi="ar"/>
                    </w:rPr>
                    <w:t>返回</w:t>
                  </w:r>
                  <w:r>
                    <w:rPr>
                      <w:rFonts w:hint="default" w:ascii="Times New Roman" w:hAnsi="Times New Roman" w:eastAsia="宋体" w:cs="Times New Roman"/>
                      <w:color w:val="auto"/>
                      <w:kern w:val="2"/>
                      <w:sz w:val="21"/>
                      <w:szCs w:val="21"/>
                      <w:highlight w:val="none"/>
                      <w:lang w:val="en-US" w:eastAsia="zh-CN" w:bidi="ar"/>
                    </w:rPr>
                    <w:t>注浆</w:t>
                  </w:r>
                  <w:r>
                    <w:rPr>
                      <w:rFonts w:hint="default" w:ascii="Times New Roman" w:hAnsi="Times New Roman" w:eastAsia="宋体" w:cs="Times New Roman"/>
                      <w:color w:val="auto"/>
                      <w:kern w:val="2"/>
                      <w:sz w:val="21"/>
                      <w:szCs w:val="21"/>
                      <w:highlight w:val="none"/>
                      <w:lang w:bidi="ar"/>
                    </w:rPr>
                    <w:t>工序作为充填原料使用</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7CBE496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w:t>
                  </w:r>
                </w:p>
              </w:tc>
            </w:tr>
            <w:tr w14:paraId="36FA6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0F4D0388">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right w:val="single" w:color="auto" w:sz="4" w:space="0"/>
                  </w:tcBorders>
                  <w:noWrap w:val="0"/>
                  <w:vAlign w:val="center"/>
                </w:tcPr>
                <w:p w14:paraId="27363BB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567D9906">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highlight w:val="none"/>
                      <w:lang w:val="en-US" w:eastAsia="zh-CN"/>
                    </w:rPr>
                    <w:t>地面冲洗废水收集池底泥</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302FD8FA">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highlight w:val="none"/>
                      <w:lang w:val="en-US" w:eastAsia="zh-CN"/>
                    </w:rPr>
                    <w:t>底泥</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49DC020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highlight w:val="none"/>
                      <w:lang w:bidi="ar"/>
                    </w:rPr>
                    <w:t>返回</w:t>
                  </w:r>
                  <w:r>
                    <w:rPr>
                      <w:rFonts w:hint="default" w:ascii="Times New Roman" w:hAnsi="Times New Roman" w:eastAsia="宋体" w:cs="Times New Roman"/>
                      <w:color w:val="auto"/>
                      <w:kern w:val="2"/>
                      <w:sz w:val="21"/>
                      <w:szCs w:val="21"/>
                      <w:highlight w:val="none"/>
                      <w:lang w:val="en-US" w:eastAsia="zh-CN" w:bidi="ar"/>
                    </w:rPr>
                    <w:t>注浆</w:t>
                  </w:r>
                  <w:r>
                    <w:rPr>
                      <w:rFonts w:hint="default" w:ascii="Times New Roman" w:hAnsi="Times New Roman" w:eastAsia="宋体" w:cs="Times New Roman"/>
                      <w:color w:val="auto"/>
                      <w:kern w:val="2"/>
                      <w:sz w:val="21"/>
                      <w:szCs w:val="21"/>
                      <w:highlight w:val="none"/>
                      <w:lang w:bidi="ar"/>
                    </w:rPr>
                    <w:t>工序作为充填原料使用</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6700EB6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w:t>
                  </w:r>
                </w:p>
              </w:tc>
            </w:tr>
            <w:tr w14:paraId="15067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482" w:type="pct"/>
                  <w:vMerge w:val="continue"/>
                  <w:tcBorders>
                    <w:top w:val="single" w:color="auto" w:sz="4" w:space="0"/>
                    <w:left w:val="single" w:color="auto" w:sz="4" w:space="0"/>
                    <w:bottom w:val="single" w:color="auto" w:sz="4" w:space="0"/>
                    <w:right w:val="single" w:color="auto" w:sz="4" w:space="0"/>
                  </w:tcBorders>
                  <w:noWrap w:val="0"/>
                  <w:vAlign w:val="center"/>
                </w:tcPr>
                <w:p w14:paraId="2517F354">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vMerge w:val="continue"/>
                  <w:tcBorders>
                    <w:left w:val="single" w:color="auto" w:sz="4" w:space="0"/>
                    <w:bottom w:val="single" w:color="auto" w:sz="4" w:space="0"/>
                    <w:right w:val="single" w:color="auto" w:sz="4" w:space="0"/>
                  </w:tcBorders>
                  <w:noWrap w:val="0"/>
                  <w:vAlign w:val="center"/>
                </w:tcPr>
                <w:p w14:paraId="0FD54E9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bidi="ar"/>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1BFB043B">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highlight w:val="none"/>
                      <w:lang w:bidi="ar"/>
                    </w:rPr>
                    <w:t>生活垃圾</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1AE9B95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生活垃圾</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5969418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highlight w:val="none"/>
                      <w:lang w:bidi="ar"/>
                    </w:rPr>
                    <w:t>集中收集后</w:t>
                  </w:r>
                  <w:r>
                    <w:rPr>
                      <w:rFonts w:hint="default" w:ascii="Times New Roman" w:hAnsi="Times New Roman" w:eastAsia="宋体" w:cs="Times New Roman"/>
                      <w:color w:val="auto"/>
                      <w:kern w:val="2"/>
                      <w:sz w:val="21"/>
                      <w:szCs w:val="21"/>
                      <w:highlight w:val="none"/>
                      <w:lang w:val="en-US" w:eastAsia="zh-CN" w:bidi="ar"/>
                    </w:rPr>
                    <w:t>按环卫部门要求统一处理</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31E5807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eastAsia="zh-CN"/>
                    </w:rPr>
                  </w:pPr>
                  <w:r>
                    <w:rPr>
                      <w:rFonts w:hint="default" w:ascii="Times New Roman" w:hAnsi="Times New Roman" w:eastAsia="宋体" w:cs="Times New Roman"/>
                      <w:color w:val="auto"/>
                      <w:kern w:val="2"/>
                      <w:sz w:val="21"/>
                      <w:szCs w:val="24"/>
                      <w:lang w:val="en-US" w:eastAsia="zh-CN" w:bidi="ar"/>
                    </w:rPr>
                    <w:t>2</w:t>
                  </w:r>
                </w:p>
              </w:tc>
            </w:tr>
            <w:tr w14:paraId="10AD0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3" w:hRule="atLeast"/>
              </w:trPr>
              <w:tc>
                <w:tcPr>
                  <w:tcW w:w="482" w:type="pct"/>
                  <w:vMerge w:val="restart"/>
                  <w:tcBorders>
                    <w:top w:val="single" w:color="auto" w:sz="4" w:space="0"/>
                    <w:left w:val="single" w:color="auto" w:sz="4" w:space="0"/>
                    <w:right w:val="single" w:color="auto" w:sz="4" w:space="0"/>
                  </w:tcBorders>
                  <w:noWrap w:val="0"/>
                  <w:vAlign w:val="center"/>
                </w:tcPr>
                <w:p w14:paraId="59ED238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噪声治理措施</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49E9F38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
                    </w:rPr>
                  </w:pPr>
                  <w:r>
                    <w:rPr>
                      <w:rFonts w:hint="eastAsia" w:cs="Times New Roman"/>
                      <w:color w:val="auto"/>
                      <w:kern w:val="2"/>
                      <w:sz w:val="21"/>
                      <w:szCs w:val="24"/>
                      <w:lang w:val="en-US" w:eastAsia="zh-CN" w:bidi="ar"/>
                    </w:rPr>
                    <w:t>施工期</w:t>
                  </w:r>
                </w:p>
              </w:tc>
              <w:tc>
                <w:tcPr>
                  <w:tcW w:w="584"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2E02C1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bidi="ar"/>
                    </w:rPr>
                    <w:t>不同施工机械的非连续性作业噪声</w:t>
                  </w:r>
                </w:p>
              </w:tc>
              <w:tc>
                <w:tcPr>
                  <w:tcW w:w="63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7BB69D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bidi="ar"/>
                    </w:rPr>
                    <w:t>等效连续A声级</w:t>
                  </w:r>
                </w:p>
              </w:tc>
              <w:tc>
                <w:tcPr>
                  <w:tcW w:w="204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EAE772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bidi="ar"/>
                    </w:rPr>
                    <w:t>加强管理，文明施工，合理安排施工时间；尽可能避免大量高噪声设备同时施工；采用低噪声设备，固定机械设备与挖土、运土机械可通过消音器、隔离发动机振动部件降低噪声；对动力机械设备和运输车辆进行定期保养和维护；</w:t>
                  </w:r>
                </w:p>
              </w:tc>
              <w:tc>
                <w:tcPr>
                  <w:tcW w:w="67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E2321C3">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kern w:val="2"/>
                      <w:sz w:val="21"/>
                      <w:szCs w:val="24"/>
                      <w:lang w:val="en-US" w:eastAsia="zh-CN" w:bidi="ar"/>
                    </w:rPr>
                    <w:t>20</w:t>
                  </w:r>
                </w:p>
              </w:tc>
            </w:tr>
            <w:tr w14:paraId="4BE8F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 w:hRule="atLeast"/>
              </w:trPr>
              <w:tc>
                <w:tcPr>
                  <w:tcW w:w="482" w:type="pct"/>
                  <w:vMerge w:val="continue"/>
                  <w:tcBorders>
                    <w:left w:val="single" w:color="auto" w:sz="4" w:space="0"/>
                    <w:right w:val="single" w:color="auto" w:sz="4" w:space="0"/>
                  </w:tcBorders>
                  <w:noWrap w:val="0"/>
                  <w:vAlign w:val="center"/>
                </w:tcPr>
                <w:p w14:paraId="1F15A72C">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2A431E7E">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bidi="ar"/>
                    </w:rPr>
                  </w:pPr>
                  <w:r>
                    <w:rPr>
                      <w:rFonts w:hint="eastAsia" w:cs="Times New Roman"/>
                      <w:color w:val="auto"/>
                      <w:kern w:val="2"/>
                      <w:sz w:val="21"/>
                      <w:szCs w:val="24"/>
                      <w:lang w:val="en-US" w:eastAsia="zh-CN" w:bidi="ar"/>
                    </w:rPr>
                    <w:t>运营期</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0DE1AF5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eastAsia="zh-CN" w:bidi="ar"/>
                    </w:rPr>
                    <w:t>注浆站</w:t>
                  </w:r>
                  <w:r>
                    <w:rPr>
                      <w:rFonts w:hint="default" w:ascii="Times New Roman" w:hAnsi="Times New Roman" w:eastAsia="宋体" w:cs="Times New Roman"/>
                      <w:color w:val="auto"/>
                      <w:kern w:val="2"/>
                      <w:sz w:val="21"/>
                      <w:szCs w:val="24"/>
                      <w:lang w:bidi="ar"/>
                    </w:rPr>
                    <w:t>给料机、破碎机、筛分机等生产设备</w:t>
                  </w:r>
                </w:p>
              </w:tc>
              <w:tc>
                <w:tcPr>
                  <w:tcW w:w="630" w:type="pct"/>
                  <w:tcBorders>
                    <w:top w:val="single" w:color="auto" w:sz="4" w:space="0"/>
                    <w:left w:val="single" w:color="auto" w:sz="4" w:space="0"/>
                    <w:bottom w:val="single" w:color="auto" w:sz="4" w:space="0"/>
                    <w:right w:val="single" w:color="auto" w:sz="4" w:space="0"/>
                  </w:tcBorders>
                  <w:noWrap w:val="0"/>
                  <w:vAlign w:val="center"/>
                </w:tcPr>
                <w:p w14:paraId="5B4F531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等效连续A声级</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095D2A0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选用低噪声设备，减</w:t>
                  </w:r>
                  <w:r>
                    <w:rPr>
                      <w:rFonts w:hint="default" w:ascii="Times New Roman" w:hAnsi="Times New Roman" w:eastAsia="宋体" w:cs="Times New Roman"/>
                      <w:color w:val="auto"/>
                      <w:kern w:val="2"/>
                      <w:sz w:val="21"/>
                      <w:szCs w:val="24"/>
                      <w:lang w:val="en-US" w:eastAsia="zh-CN"/>
                    </w:rPr>
                    <w:t>振</w:t>
                  </w:r>
                  <w:r>
                    <w:rPr>
                      <w:rFonts w:hint="default" w:ascii="Times New Roman" w:hAnsi="Times New Roman" w:eastAsia="宋体" w:cs="Times New Roman"/>
                      <w:color w:val="auto"/>
                      <w:kern w:val="2"/>
                      <w:sz w:val="21"/>
                      <w:szCs w:val="21"/>
                      <w:lang w:bidi="ar"/>
                    </w:rPr>
                    <w:t>、距离衰减等</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6440D524">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35</w:t>
                  </w:r>
                </w:p>
              </w:tc>
            </w:tr>
            <w:tr w14:paraId="2889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482" w:type="pct"/>
                  <w:vMerge w:val="restart"/>
                  <w:tcBorders>
                    <w:top w:val="single" w:color="auto" w:sz="4" w:space="0"/>
                    <w:left w:val="single" w:color="auto" w:sz="4" w:space="0"/>
                    <w:right w:val="single" w:color="auto" w:sz="4" w:space="0"/>
                  </w:tcBorders>
                  <w:noWrap w:val="0"/>
                  <w:vAlign w:val="center"/>
                </w:tcPr>
                <w:p w14:paraId="76713B7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生态恢复措施</w:t>
                  </w:r>
                </w:p>
              </w:tc>
              <w:tc>
                <w:tcPr>
                  <w:tcW w:w="584" w:type="pct"/>
                  <w:tcBorders>
                    <w:top w:val="single" w:color="auto" w:sz="4" w:space="0"/>
                    <w:left w:val="single" w:color="auto" w:sz="4" w:space="0"/>
                    <w:bottom w:val="single" w:color="auto" w:sz="4" w:space="0"/>
                    <w:right w:val="single" w:color="auto" w:sz="4" w:space="0"/>
                  </w:tcBorders>
                  <w:noWrap w:val="0"/>
                  <w:vAlign w:val="center"/>
                </w:tcPr>
                <w:p w14:paraId="7B8E2F62">
                  <w:pPr>
                    <w:keepNext w:val="0"/>
                    <w:keepLines w:val="0"/>
                    <w:pageBreakBefore w:val="0"/>
                    <w:widowControl w:val="0"/>
                    <w:kinsoku/>
                    <w:wordWrap/>
                    <w:overflowPunct/>
                    <w:topLinePunct w:val="0"/>
                    <w:autoSpaceDE/>
                    <w:autoSpaceDN/>
                    <w:bidi w:val="0"/>
                    <w:snapToGrid w:val="0"/>
                    <w:spacing w:line="240" w:lineRule="auto"/>
                    <w:ind w:firstLine="0" w:firstLineChars="0"/>
                    <w:jc w:val="left"/>
                    <w:textAlignment w:val="auto"/>
                    <w:rPr>
                      <w:rFonts w:hint="eastAsia" w:ascii="Times New Roman" w:hAnsi="Times New Roman" w:eastAsia="宋体" w:cs="Times New Roman"/>
                      <w:color w:val="auto"/>
                      <w:kern w:val="2"/>
                      <w:sz w:val="21"/>
                      <w:szCs w:val="24"/>
                      <w:lang w:val="en-US" w:eastAsia="zh-CN" w:bidi="ar"/>
                    </w:rPr>
                  </w:pPr>
                  <w:r>
                    <w:rPr>
                      <w:rFonts w:hint="eastAsia" w:cs="Times New Roman"/>
                      <w:color w:val="auto"/>
                      <w:kern w:val="2"/>
                      <w:sz w:val="21"/>
                      <w:szCs w:val="24"/>
                      <w:lang w:val="en-US" w:eastAsia="zh-CN" w:bidi="ar"/>
                    </w:rPr>
                    <w:t>施工期</w:t>
                  </w:r>
                </w:p>
              </w:tc>
              <w:tc>
                <w:tcPr>
                  <w:tcW w:w="3255" w:type="pct"/>
                  <w:gridSpan w:val="3"/>
                  <w:tcBorders>
                    <w:top w:val="single" w:color="auto" w:sz="4" w:space="0"/>
                    <w:left w:val="single" w:color="auto" w:sz="4" w:space="0"/>
                    <w:bottom w:val="single" w:color="auto" w:sz="4" w:space="0"/>
                    <w:right w:val="single" w:color="auto" w:sz="4" w:space="0"/>
                  </w:tcBorders>
                  <w:noWrap w:val="0"/>
                  <w:vAlign w:val="center"/>
                </w:tcPr>
                <w:p w14:paraId="61573F30">
                  <w:pPr>
                    <w:keepNext w:val="0"/>
                    <w:keepLines w:val="0"/>
                    <w:pageBreakBefore w:val="0"/>
                    <w:widowControl w:val="0"/>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4"/>
                    </w:rPr>
                  </w:pPr>
                  <w:r>
                    <w:rPr>
                      <w:rFonts w:hint="eastAsia" w:ascii="Times New Roman" w:hAnsi="Times New Roman" w:cs="Times New Roman"/>
                      <w:b w:val="0"/>
                      <w:bCs/>
                      <w:color w:val="auto"/>
                      <w:sz w:val="21"/>
                      <w:szCs w:val="21"/>
                      <w:lang w:val="en-US" w:eastAsia="zh-CN"/>
                    </w:rPr>
                    <w:t>本项目临时占地面积为</w:t>
                  </w:r>
                  <w:r>
                    <w:rPr>
                      <w:rFonts w:hint="default" w:ascii="Times New Roman" w:hAnsi="Times New Roman" w:eastAsia="宋体" w:cs="Times New Roman"/>
                      <w:b w:val="0"/>
                      <w:bCs/>
                      <w:color w:val="auto"/>
                      <w:sz w:val="21"/>
                      <w:szCs w:val="21"/>
                      <w:lang w:val="en-US" w:eastAsia="zh-CN"/>
                    </w:rPr>
                    <w:t>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，施工</w:t>
                  </w:r>
                  <w:r>
                    <w:rPr>
                      <w:rFonts w:hint="eastAsia" w:ascii="Times New Roman" w:hAnsi="Times New Roman" w:cs="Times New Roman"/>
                      <w:b w:val="0"/>
                      <w:bCs/>
                      <w:color w:val="auto"/>
                      <w:sz w:val="21"/>
                      <w:szCs w:val="21"/>
                      <w:lang w:val="en-US" w:eastAsia="zh-CN"/>
                    </w:rPr>
                    <w:t>期</w:t>
                  </w:r>
                  <w:r>
                    <w:rPr>
                      <w:rFonts w:hint="default" w:ascii="Times New Roman" w:hAnsi="Times New Roman" w:eastAsia="宋体" w:cs="Times New Roman"/>
                      <w:b w:val="0"/>
                      <w:bCs/>
                      <w:color w:val="auto"/>
                      <w:sz w:val="21"/>
                      <w:szCs w:val="21"/>
                      <w:lang w:val="en-US" w:eastAsia="zh-CN"/>
                    </w:rPr>
                    <w:t>结束后恢复面积为5200m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，对施工便道临时占用土地进行平整、临时占地</w:t>
                  </w:r>
                  <w:r>
                    <w:rPr>
                      <w:rFonts w:hint="default" w:ascii="Times New Roman" w:hAnsi="Times New Roman" w:cs="Times New Roman"/>
                      <w:b w:val="0"/>
                      <w:bCs/>
                      <w:color w:val="auto"/>
                      <w:sz w:val="21"/>
                      <w:szCs w:val="21"/>
                      <w:lang w:val="en-US" w:eastAsia="zh-CN"/>
                    </w:rPr>
                    <w:t>按原地类恢复</w:t>
                  </w:r>
                  <w:r>
                    <w:rPr>
                      <w:rFonts w:hint="default" w:ascii="Times New Roman" w:hAnsi="Times New Roman" w:eastAsia="宋体" w:cs="Times New Roman"/>
                      <w:b w:val="0"/>
                      <w:bCs/>
                      <w:color w:val="auto"/>
                      <w:sz w:val="21"/>
                      <w:szCs w:val="21"/>
                      <w:lang w:val="en-US" w:eastAsia="zh-CN"/>
                    </w:rPr>
                    <w:t>。加强对植被的抚育、补种工作，提高施工便道植被覆盖度，恢复植被覆盖度不低于当地原生植被覆盖度，植被成活率达到95%以上。</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304C48C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bidi="ar"/>
                    </w:rPr>
                    <w:t>10</w:t>
                  </w:r>
                </w:p>
              </w:tc>
            </w:tr>
            <w:tr w14:paraId="544C7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482" w:type="pct"/>
                  <w:vMerge w:val="continue"/>
                  <w:tcBorders>
                    <w:left w:val="single" w:color="auto" w:sz="4" w:space="0"/>
                    <w:right w:val="single" w:color="auto" w:sz="4" w:space="0"/>
                  </w:tcBorders>
                  <w:noWrap w:val="0"/>
                  <w:vAlign w:val="center"/>
                </w:tcPr>
                <w:p w14:paraId="7442632D">
                  <w:pPr>
                    <w:keepNext w:val="0"/>
                    <w:keepLines w:val="0"/>
                    <w:pageBreakBefore w:val="0"/>
                    <w:widowControl w:val="0"/>
                    <w:kinsoku/>
                    <w:wordWrap/>
                    <w:overflowPunct/>
                    <w:topLinePunct w:val="0"/>
                    <w:autoSpaceDE/>
                    <w:autoSpaceDN/>
                    <w:bidi w:val="0"/>
                    <w:snapToGrid w:val="0"/>
                    <w:spacing w:line="240" w:lineRule="auto"/>
                    <w:ind w:firstLine="0" w:firstLineChars="0"/>
                    <w:textAlignment w:val="auto"/>
                    <w:rPr>
                      <w:rFonts w:hint="default" w:ascii="Times New Roman" w:hAnsi="Times New Roman" w:eastAsia="宋体" w:cs="Times New Roman"/>
                      <w:color w:val="auto"/>
                      <w:kern w:val="2"/>
                      <w:sz w:val="20"/>
                      <w:szCs w:val="20"/>
                    </w:rPr>
                  </w:pPr>
                </w:p>
              </w:tc>
              <w:tc>
                <w:tcPr>
                  <w:tcW w:w="584" w:type="pct"/>
                  <w:tcBorders>
                    <w:top w:val="single" w:color="auto" w:sz="4" w:space="0"/>
                    <w:left w:val="single" w:color="auto" w:sz="4" w:space="0"/>
                    <w:bottom w:val="single" w:color="auto" w:sz="4" w:space="0"/>
                    <w:right w:val="single" w:color="auto" w:sz="4" w:space="0"/>
                  </w:tcBorders>
                  <w:noWrap w:val="0"/>
                  <w:vAlign w:val="center"/>
                </w:tcPr>
                <w:p w14:paraId="4852364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left"/>
                    <w:textAlignment w:val="auto"/>
                    <w:rPr>
                      <w:rFonts w:hint="eastAsia"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运营期</w:t>
                  </w:r>
                </w:p>
              </w:tc>
              <w:tc>
                <w:tcPr>
                  <w:tcW w:w="3255" w:type="pct"/>
                  <w:gridSpan w:val="3"/>
                  <w:tcBorders>
                    <w:top w:val="single" w:color="auto" w:sz="4" w:space="0"/>
                    <w:left w:val="single" w:color="auto" w:sz="4" w:space="0"/>
                    <w:bottom w:val="single" w:color="auto" w:sz="4" w:space="0"/>
                    <w:right w:val="single" w:color="auto" w:sz="4" w:space="0"/>
                  </w:tcBorders>
                  <w:noWrap w:val="0"/>
                  <w:vAlign w:val="center"/>
                </w:tcPr>
                <w:p w14:paraId="48EDBD92">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本项目临时占地面积为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w:t>
                  </w:r>
                  <w:r>
                    <w:rPr>
                      <w:rFonts w:hint="eastAsia" w:cs="Times New Roman"/>
                      <w:b w:val="0"/>
                      <w:bCs/>
                      <w:color w:val="auto"/>
                      <w:sz w:val="21"/>
                      <w:szCs w:val="21"/>
                      <w:lang w:val="en-US" w:eastAsia="zh-CN"/>
                    </w:rPr>
                    <w:t>运营期</w:t>
                  </w:r>
                  <w:r>
                    <w:rPr>
                      <w:rFonts w:hint="default" w:ascii="Times New Roman" w:hAnsi="Times New Roman" w:eastAsia="宋体" w:cs="Times New Roman"/>
                      <w:b w:val="0"/>
                      <w:bCs/>
                      <w:color w:val="auto"/>
                      <w:sz w:val="21"/>
                      <w:szCs w:val="21"/>
                      <w:lang w:val="en-US" w:eastAsia="zh-CN"/>
                    </w:rPr>
                    <w:t>结束后恢复面积为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，生态恢复主要为</w:t>
                  </w:r>
                  <w:r>
                    <w:rPr>
                      <w:rFonts w:hint="default" w:ascii="Times New Roman" w:hAnsi="Times New Roman" w:cs="Times New Roman"/>
                      <w:b w:val="0"/>
                      <w:bCs/>
                      <w:color w:val="auto"/>
                      <w:sz w:val="21"/>
                      <w:szCs w:val="21"/>
                      <w:lang w:val="en-US" w:eastAsia="zh-CN"/>
                    </w:rPr>
                    <w:t>架空管线支架占地恢复和钻孔占地</w:t>
                  </w:r>
                  <w:r>
                    <w:rPr>
                      <w:rFonts w:hint="default" w:ascii="Times New Roman" w:hAnsi="Times New Roman" w:eastAsia="宋体" w:cs="Times New Roman"/>
                      <w:b w:val="0"/>
                      <w:bCs/>
                      <w:color w:val="auto"/>
                      <w:sz w:val="21"/>
                      <w:szCs w:val="21"/>
                      <w:lang w:val="en-US" w:eastAsia="zh-CN"/>
                    </w:rPr>
                    <w:t>恢复</w:t>
                  </w:r>
                  <w:r>
                    <w:rPr>
                      <w:rFonts w:hint="default" w:ascii="Times New Roman" w:hAnsi="Times New Roman" w:cs="Times New Roman"/>
                      <w:b w:val="0"/>
                      <w:bCs/>
                      <w:color w:val="auto"/>
                      <w:sz w:val="21"/>
                      <w:szCs w:val="21"/>
                      <w:lang w:val="en-US" w:eastAsia="zh-CN"/>
                    </w:rPr>
                    <w:t>。</w:t>
                  </w:r>
                </w:p>
                <w:p w14:paraId="2153D0B6">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①架空管线支架占地面积为</w:t>
                  </w:r>
                  <w:r>
                    <w:rPr>
                      <w:rFonts w:hint="default" w:ascii="Times New Roman" w:hAnsi="Times New Roman" w:cs="Times New Roman"/>
                      <w:color w:val="auto"/>
                      <w:sz w:val="21"/>
                      <w:szCs w:val="21"/>
                      <w:lang w:val="en-US" w:eastAsia="zh-CN"/>
                    </w:rPr>
                    <w:t>96</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b w:val="0"/>
                      <w:bCs/>
                      <w:color w:val="auto"/>
                      <w:sz w:val="21"/>
                      <w:szCs w:val="21"/>
                      <w:lang w:val="en-US" w:eastAsia="zh-CN"/>
                    </w:rPr>
                    <w:t>注浆管线注浆结束后，对</w:t>
                  </w:r>
                  <w:r>
                    <w:rPr>
                      <w:rFonts w:hint="default" w:ascii="Times New Roman" w:hAnsi="Times New Roman" w:cs="Times New Roman"/>
                      <w:b w:val="0"/>
                      <w:bCs/>
                      <w:color w:val="auto"/>
                      <w:sz w:val="21"/>
                      <w:szCs w:val="21"/>
                      <w:lang w:val="en-US" w:eastAsia="zh-CN"/>
                    </w:rPr>
                    <w:t>注浆管线支架临时占用土</w:t>
                  </w:r>
                  <w:r>
                    <w:rPr>
                      <w:rFonts w:hint="default" w:ascii="Times New Roman" w:hAnsi="Times New Roman" w:eastAsia="宋体" w:cs="Times New Roman"/>
                      <w:b w:val="0"/>
                      <w:bCs/>
                      <w:color w:val="auto"/>
                      <w:sz w:val="21"/>
                      <w:szCs w:val="21"/>
                      <w:lang w:val="en-US" w:eastAsia="zh-CN"/>
                    </w:rPr>
                    <w:t>地进行平整、</w:t>
                  </w:r>
                  <w:r>
                    <w:rPr>
                      <w:rFonts w:hint="default" w:ascii="Times New Roman" w:hAnsi="Times New Roman" w:cs="Times New Roman"/>
                      <w:b w:val="0"/>
                      <w:bCs/>
                      <w:color w:val="auto"/>
                      <w:sz w:val="21"/>
                      <w:szCs w:val="21"/>
                      <w:lang w:val="en-US" w:eastAsia="zh-CN"/>
                    </w:rPr>
                    <w:t>覆土，</w:t>
                  </w:r>
                  <w:r>
                    <w:rPr>
                      <w:rFonts w:hint="default" w:ascii="Times New Roman" w:hAnsi="Times New Roman" w:eastAsia="宋体" w:cs="Times New Roman"/>
                      <w:b w:val="0"/>
                      <w:bCs/>
                      <w:color w:val="auto"/>
                      <w:sz w:val="21"/>
                      <w:szCs w:val="21"/>
                      <w:lang w:val="en-US" w:eastAsia="zh-CN"/>
                    </w:rPr>
                    <w:t>临时占地按原地类恢复。加强对植被的抚育、补种工作，</w:t>
                  </w:r>
                  <w:r>
                    <w:rPr>
                      <w:rFonts w:hint="default" w:ascii="Times New Roman" w:hAnsi="Times New Roman" w:cs="Times New Roman"/>
                      <w:b w:val="0"/>
                      <w:bCs/>
                      <w:color w:val="auto"/>
                      <w:sz w:val="21"/>
                      <w:szCs w:val="21"/>
                      <w:lang w:val="en-US" w:eastAsia="zh-CN"/>
                    </w:rPr>
                    <w:t>提高注浆管线支架植被覆盖度</w:t>
                  </w:r>
                  <w:r>
                    <w:rPr>
                      <w:rFonts w:hint="default" w:ascii="Times New Roman" w:hAnsi="Times New Roman" w:eastAsia="宋体" w:cs="Times New Roman"/>
                      <w:b w:val="0"/>
                      <w:bCs/>
                      <w:color w:val="auto"/>
                      <w:sz w:val="21"/>
                      <w:szCs w:val="21"/>
                      <w:lang w:val="en-US" w:eastAsia="zh-CN"/>
                    </w:rPr>
                    <w:t>，恢复植被覆盖度不低于当地原生植被覆盖度，植被成活率达到95%以上。</w:t>
                  </w:r>
                </w:p>
                <w:p w14:paraId="7211FDB5">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textAlignment w:val="auto"/>
                    <w:rPr>
                      <w:rFonts w:hint="default" w:ascii="Times New Roman" w:hAnsi="Times New Roman" w:eastAsia="宋体" w:cs="Times New Roman"/>
                      <w:color w:val="auto"/>
                      <w:kern w:val="2"/>
                      <w:sz w:val="21"/>
                      <w:szCs w:val="21"/>
                    </w:rPr>
                  </w:pPr>
                  <w:r>
                    <w:rPr>
                      <w:rFonts w:hint="default" w:ascii="Times New Roman" w:hAnsi="Times New Roman" w:cs="Times New Roman"/>
                      <w:b w:val="0"/>
                      <w:bCs w:val="0"/>
                      <w:color w:val="auto"/>
                      <w:kern w:val="2"/>
                      <w:sz w:val="21"/>
                      <w:szCs w:val="21"/>
                      <w:vertAlign w:val="baseline"/>
                      <w:lang w:val="en-US" w:eastAsia="zh-CN" w:bidi="ar"/>
                    </w:rPr>
                    <w:t>②注浆钻孔70个，钻注浆孔</w:t>
                  </w:r>
                  <w:r>
                    <w:rPr>
                      <w:rFonts w:hint="default" w:ascii="Times New Roman" w:hAnsi="Times New Roman" w:cs="Times New Roman"/>
                      <w:color w:val="auto"/>
                      <w:sz w:val="21"/>
                      <w:szCs w:val="21"/>
                      <w:lang w:val="en-US" w:eastAsia="zh-CN"/>
                    </w:rPr>
                    <w:t>占地面积计7000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cs="Times New Roman"/>
                      <w:b w:val="0"/>
                      <w:bCs w:val="0"/>
                      <w:color w:val="auto"/>
                      <w:kern w:val="2"/>
                      <w:sz w:val="21"/>
                      <w:szCs w:val="21"/>
                      <w:vertAlign w:val="baseline"/>
                      <w:lang w:val="en-US" w:eastAsia="zh-CN" w:bidi="ar"/>
                    </w:rPr>
                    <w:t>注浆结束对注浆钻孔进行封孔后，对场地平整、覆土，临时占地按原地类恢复。加强对植被的抚育、补种工作，提高注浆钻孔植被覆盖度，恢复植被覆盖度不低于当地原生植被覆盖度，植被成活率达到95%以上。</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1E038CB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bidi="ar"/>
                    </w:rPr>
                    <w:t>83</w:t>
                  </w:r>
                </w:p>
              </w:tc>
            </w:tr>
            <w:tr w14:paraId="3851B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482" w:type="pct"/>
                  <w:tcBorders>
                    <w:top w:val="single" w:color="auto" w:sz="4" w:space="0"/>
                    <w:left w:val="single" w:color="auto" w:sz="4" w:space="0"/>
                    <w:bottom w:val="single" w:color="auto" w:sz="4" w:space="0"/>
                    <w:right w:val="single" w:color="auto" w:sz="4" w:space="0"/>
                  </w:tcBorders>
                  <w:noWrap w:val="0"/>
                  <w:vAlign w:val="center"/>
                </w:tcPr>
                <w:p w14:paraId="052B340D">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bidi="ar"/>
                    </w:rPr>
                  </w:pPr>
                </w:p>
              </w:tc>
              <w:tc>
                <w:tcPr>
                  <w:tcW w:w="1799" w:type="pct"/>
                  <w:gridSpan w:val="3"/>
                  <w:tcBorders>
                    <w:top w:val="single" w:color="auto" w:sz="4" w:space="0"/>
                    <w:left w:val="single" w:color="auto" w:sz="4" w:space="0"/>
                    <w:bottom w:val="single" w:color="auto" w:sz="4" w:space="0"/>
                    <w:right w:val="single" w:color="auto" w:sz="4" w:space="0"/>
                  </w:tcBorders>
                  <w:noWrap w:val="0"/>
                  <w:vAlign w:val="center"/>
                </w:tcPr>
                <w:p w14:paraId="2C5363D1">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总计</w:t>
                  </w:r>
                </w:p>
              </w:tc>
              <w:tc>
                <w:tcPr>
                  <w:tcW w:w="2040" w:type="pct"/>
                  <w:tcBorders>
                    <w:top w:val="single" w:color="auto" w:sz="4" w:space="0"/>
                    <w:left w:val="single" w:color="auto" w:sz="4" w:space="0"/>
                    <w:bottom w:val="single" w:color="auto" w:sz="4" w:space="0"/>
                    <w:right w:val="single" w:color="auto" w:sz="4" w:space="0"/>
                  </w:tcBorders>
                  <w:noWrap w:val="0"/>
                  <w:vAlign w:val="center"/>
                </w:tcPr>
                <w:p w14:paraId="0C27BCAF">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w:t>
                  </w:r>
                </w:p>
              </w:tc>
              <w:tc>
                <w:tcPr>
                  <w:tcW w:w="677" w:type="pct"/>
                  <w:tcBorders>
                    <w:top w:val="single" w:color="auto" w:sz="4" w:space="0"/>
                    <w:left w:val="single" w:color="auto" w:sz="4" w:space="0"/>
                    <w:bottom w:val="single" w:color="auto" w:sz="4" w:space="0"/>
                    <w:right w:val="single" w:color="auto" w:sz="4" w:space="0"/>
                  </w:tcBorders>
                  <w:noWrap w:val="0"/>
                  <w:vAlign w:val="center"/>
                </w:tcPr>
                <w:p w14:paraId="24E2518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4"/>
                      <w:lang w:val="en-US" w:eastAsia="zh-CN"/>
                    </w:rPr>
                  </w:pPr>
                  <w:r>
                    <w:rPr>
                      <w:rFonts w:hint="default" w:ascii="Times New Roman" w:hAnsi="Times New Roman" w:eastAsia="宋体" w:cs="Times New Roman"/>
                      <w:color w:val="auto"/>
                      <w:kern w:val="2"/>
                      <w:sz w:val="21"/>
                      <w:szCs w:val="24"/>
                      <w:lang w:val="en-US" w:eastAsia="zh-CN" w:bidi="ar"/>
                    </w:rPr>
                    <w:t>210</w:t>
                  </w:r>
                </w:p>
              </w:tc>
            </w:tr>
          </w:tbl>
          <w:p w14:paraId="0944BF51">
            <w:pPr>
              <w:widowControl w:val="0"/>
              <w:spacing w:line="360" w:lineRule="auto"/>
              <w:ind w:firstLine="480" w:firstLineChars="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bidi="ar"/>
              </w:rPr>
              <w:t>根据建设项目环境管理办法，环境污染防治设施必须与主体工程同时设计、同时施工、同时投入使用。在工程完成后，应对环境保护设施进行验收。建设项目“三同时”验收清单见下表。</w:t>
            </w:r>
          </w:p>
          <w:p w14:paraId="5D33D2BC">
            <w:pPr>
              <w:widowControl w:val="0"/>
              <w:spacing w:line="240" w:lineRule="auto"/>
              <w:ind w:firstLine="472" w:firstLineChars="196"/>
              <w:jc w:val="center"/>
              <w:rPr>
                <w:rFonts w:hint="default" w:ascii="Times New Roman" w:hAnsi="Times New Roman" w:eastAsia="宋体" w:cs="Times New Roman"/>
                <w:b/>
                <w:color w:val="auto"/>
                <w:kern w:val="2"/>
                <w:sz w:val="24"/>
                <w:szCs w:val="24"/>
              </w:rPr>
            </w:pPr>
            <w:r>
              <w:rPr>
                <w:rFonts w:hint="default" w:ascii="Times New Roman" w:hAnsi="Times New Roman" w:eastAsia="宋体" w:cs="Times New Roman"/>
                <w:b/>
                <w:color w:val="auto"/>
                <w:kern w:val="2"/>
                <w:sz w:val="24"/>
                <w:szCs w:val="24"/>
                <w:lang w:bidi="ar"/>
              </w:rPr>
              <w:t>表</w:t>
            </w:r>
            <w:r>
              <w:rPr>
                <w:rFonts w:hint="default" w:ascii="Times New Roman" w:hAnsi="Times New Roman" w:eastAsia="宋体" w:cs="Times New Roman"/>
                <w:b/>
                <w:color w:val="auto"/>
                <w:kern w:val="2"/>
                <w:sz w:val="24"/>
                <w:szCs w:val="24"/>
                <w:lang w:val="en-US" w:eastAsia="zh-CN" w:bidi="ar"/>
              </w:rPr>
              <w:t>4-1</w:t>
            </w:r>
            <w:r>
              <w:rPr>
                <w:rFonts w:hint="eastAsia" w:cs="Times New Roman"/>
                <w:b/>
                <w:color w:val="auto"/>
                <w:kern w:val="2"/>
                <w:sz w:val="24"/>
                <w:szCs w:val="24"/>
                <w:lang w:val="en-US" w:eastAsia="zh-CN" w:bidi="ar"/>
              </w:rPr>
              <w:t>3</w:t>
            </w:r>
            <w:r>
              <w:rPr>
                <w:rFonts w:hint="default" w:ascii="Times New Roman" w:hAnsi="Times New Roman" w:eastAsia="宋体" w:cs="Times New Roman"/>
                <w:b/>
                <w:color w:val="auto"/>
                <w:kern w:val="2"/>
                <w:sz w:val="24"/>
                <w:szCs w:val="24"/>
                <w:lang w:bidi="ar"/>
              </w:rPr>
              <w:t xml:space="preserve">    “三同时”竣工验收一览表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107"/>
              <w:gridCol w:w="1054"/>
              <w:gridCol w:w="2163"/>
              <w:gridCol w:w="2165"/>
              <w:gridCol w:w="645"/>
            </w:tblGrid>
            <w:tr w14:paraId="3808D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1" w:type="pct"/>
                  <w:noWrap w:val="0"/>
                  <w:vAlign w:val="center"/>
                </w:tcPr>
                <w:p w14:paraId="5F0955D8">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项目</w:t>
                  </w:r>
                </w:p>
              </w:tc>
              <w:tc>
                <w:tcPr>
                  <w:tcW w:w="712" w:type="pct"/>
                  <w:noWrap w:val="0"/>
                  <w:vAlign w:val="center"/>
                </w:tcPr>
                <w:p w14:paraId="24210436">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污染源</w:t>
                  </w:r>
                </w:p>
              </w:tc>
              <w:tc>
                <w:tcPr>
                  <w:tcW w:w="677" w:type="pct"/>
                  <w:noWrap w:val="0"/>
                  <w:vAlign w:val="center"/>
                </w:tcPr>
                <w:p w14:paraId="3EAB383A">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污染物</w:t>
                  </w:r>
                </w:p>
              </w:tc>
              <w:tc>
                <w:tcPr>
                  <w:tcW w:w="1391" w:type="pct"/>
                  <w:noWrap w:val="0"/>
                  <w:vAlign w:val="center"/>
                </w:tcPr>
                <w:p w14:paraId="228F3E2A">
                  <w:pPr>
                    <w:widowControl w:val="0"/>
                    <w:spacing w:line="240" w:lineRule="auto"/>
                    <w:ind w:firstLine="48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环保措施</w:t>
                  </w:r>
                </w:p>
              </w:tc>
              <w:tc>
                <w:tcPr>
                  <w:tcW w:w="1392" w:type="pct"/>
                  <w:noWrap w:val="0"/>
                  <w:vAlign w:val="center"/>
                </w:tcPr>
                <w:p w14:paraId="155F437B">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验收标准</w:t>
                  </w:r>
                </w:p>
              </w:tc>
              <w:tc>
                <w:tcPr>
                  <w:tcW w:w="414" w:type="pct"/>
                  <w:noWrap w:val="0"/>
                  <w:vAlign w:val="center"/>
                </w:tcPr>
                <w:p w14:paraId="5D7163BD">
                  <w:pPr>
                    <w:widowControl w:val="0"/>
                    <w:spacing w:line="240" w:lineRule="auto"/>
                    <w:ind w:firstLine="0" w:firstLineChars="0"/>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完成时间</w:t>
                  </w:r>
                </w:p>
              </w:tc>
            </w:tr>
            <w:tr w14:paraId="6E8C7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restart"/>
                  <w:noWrap w:val="0"/>
                  <w:vAlign w:val="center"/>
                </w:tcPr>
                <w:p w14:paraId="690476E0">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废气治理措施</w:t>
                  </w:r>
                </w:p>
              </w:tc>
              <w:tc>
                <w:tcPr>
                  <w:tcW w:w="712" w:type="pct"/>
                  <w:noWrap w:val="0"/>
                  <w:vAlign w:val="center"/>
                </w:tcPr>
                <w:p w14:paraId="6B3299B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一级破碎粉尘</w:t>
                  </w:r>
                </w:p>
              </w:tc>
              <w:tc>
                <w:tcPr>
                  <w:tcW w:w="677" w:type="pct"/>
                  <w:noWrap w:val="0"/>
                  <w:vAlign w:val="center"/>
                </w:tcPr>
                <w:p w14:paraId="1874514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1391" w:type="pct"/>
                  <w:noWrap w:val="0"/>
                  <w:vAlign w:val="center"/>
                </w:tcPr>
                <w:p w14:paraId="00B5D038">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采用集气罩+湿式除尘洗气机（1#）除尘后经20m排气筒排放</w:t>
                  </w:r>
                  <w:r>
                    <w:rPr>
                      <w:rFonts w:hint="default" w:ascii="Times New Roman" w:hAnsi="Times New Roman" w:eastAsia="宋体" w:cs="Times New Roman"/>
                      <w:color w:val="auto"/>
                      <w:kern w:val="2"/>
                      <w:sz w:val="21"/>
                      <w:szCs w:val="21"/>
                      <w:lang w:bidi="ar"/>
                    </w:rPr>
                    <w:t>（P</w:t>
                  </w:r>
                  <w:r>
                    <w:rPr>
                      <w:rFonts w:hint="default" w:ascii="Times New Roman" w:hAnsi="Times New Roman" w:eastAsia="宋体" w:cs="Times New Roman"/>
                      <w:color w:val="auto"/>
                      <w:kern w:val="2"/>
                      <w:sz w:val="21"/>
                      <w:szCs w:val="21"/>
                      <w:lang w:val="en-US" w:eastAsia="zh-CN" w:bidi="ar"/>
                    </w:rPr>
                    <w:t>1</w:t>
                  </w:r>
                  <w:r>
                    <w:rPr>
                      <w:rFonts w:hint="default" w:ascii="Times New Roman" w:hAnsi="Times New Roman" w:eastAsia="宋体" w:cs="Times New Roman"/>
                      <w:color w:val="auto"/>
                      <w:kern w:val="2"/>
                      <w:sz w:val="21"/>
                      <w:szCs w:val="21"/>
                      <w:lang w:bidi="ar"/>
                    </w:rPr>
                    <w:t>）</w:t>
                  </w:r>
                </w:p>
              </w:tc>
              <w:tc>
                <w:tcPr>
                  <w:tcW w:w="1392" w:type="pct"/>
                  <w:vMerge w:val="restart"/>
                  <w:noWrap w:val="0"/>
                  <w:vAlign w:val="center"/>
                </w:tcPr>
                <w:p w14:paraId="2A5C9797">
                  <w:pPr>
                    <w:widowControl w:val="0"/>
                    <w:adjustRightInd w:val="0"/>
                    <w:snapToGrid w:val="0"/>
                    <w:spacing w:line="240" w:lineRule="auto"/>
                    <w:ind w:firstLine="0" w:firstLineChars="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满足《煤炭工业污染物排放标准》</w:t>
                  </w:r>
                </w:p>
                <w:p w14:paraId="195F903D">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（GB20426-2006）中颗粒物浓度限值小于80mg/m</w:t>
                  </w:r>
                  <w:r>
                    <w:rPr>
                      <w:rFonts w:hint="default" w:ascii="Times New Roman" w:hAnsi="Times New Roman" w:eastAsia="宋体" w:cs="Times New Roman"/>
                      <w:color w:val="auto"/>
                      <w:kern w:val="2"/>
                      <w:sz w:val="21"/>
                      <w:szCs w:val="21"/>
                      <w:vertAlign w:val="superscript"/>
                      <w:lang w:bidi="ar"/>
                    </w:rPr>
                    <w:t>3</w:t>
                  </w:r>
                  <w:r>
                    <w:rPr>
                      <w:rFonts w:hint="default" w:ascii="Times New Roman" w:hAnsi="Times New Roman" w:eastAsia="宋体" w:cs="Times New Roman"/>
                      <w:color w:val="auto"/>
                      <w:kern w:val="2"/>
                      <w:sz w:val="21"/>
                      <w:szCs w:val="21"/>
                      <w:lang w:bidi="ar"/>
                    </w:rPr>
                    <w:t>或设备去除效率大于</w:t>
                  </w:r>
                  <w:r>
                    <w:rPr>
                      <w:rFonts w:hint="default" w:ascii="Times New Roman" w:hAnsi="Times New Roman" w:eastAsia="宋体" w:cs="Times New Roman"/>
                      <w:color w:val="auto"/>
                      <w:kern w:val="2"/>
                      <w:sz w:val="21"/>
                      <w:szCs w:val="21"/>
                      <w:lang w:eastAsia="zh-CN" w:bidi="ar"/>
                    </w:rPr>
                    <w:t>9</w:t>
                  </w:r>
                  <w:r>
                    <w:rPr>
                      <w:rFonts w:hint="default" w:ascii="Times New Roman" w:hAnsi="Times New Roman" w:eastAsia="宋体" w:cs="Times New Roman"/>
                      <w:color w:val="auto"/>
                      <w:kern w:val="2"/>
                      <w:sz w:val="21"/>
                      <w:szCs w:val="21"/>
                      <w:lang w:val="en-US" w:eastAsia="zh-CN" w:bidi="ar"/>
                    </w:rPr>
                    <w:t>8</w:t>
                  </w:r>
                  <w:r>
                    <w:rPr>
                      <w:rFonts w:hint="default" w:ascii="Times New Roman" w:hAnsi="Times New Roman" w:eastAsia="宋体" w:cs="Times New Roman"/>
                      <w:color w:val="auto"/>
                      <w:kern w:val="2"/>
                      <w:sz w:val="21"/>
                      <w:szCs w:val="21"/>
                      <w:lang w:eastAsia="zh-CN" w:bidi="ar"/>
                    </w:rPr>
                    <w:t>%</w:t>
                  </w:r>
                  <w:r>
                    <w:rPr>
                      <w:rFonts w:hint="default" w:ascii="Times New Roman" w:hAnsi="Times New Roman" w:eastAsia="宋体" w:cs="Times New Roman"/>
                      <w:color w:val="auto"/>
                      <w:kern w:val="2"/>
                      <w:sz w:val="21"/>
                      <w:szCs w:val="21"/>
                      <w:lang w:bidi="ar"/>
                    </w:rPr>
                    <w:t>要求</w:t>
                  </w:r>
                </w:p>
              </w:tc>
              <w:tc>
                <w:tcPr>
                  <w:tcW w:w="414" w:type="pct"/>
                  <w:vMerge w:val="restart"/>
                  <w:noWrap w:val="0"/>
                  <w:vAlign w:val="center"/>
                </w:tcPr>
                <w:p w14:paraId="065DC5D3">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“三同时”工程</w:t>
                  </w:r>
                </w:p>
              </w:tc>
            </w:tr>
            <w:tr w14:paraId="7AE6F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continue"/>
                  <w:noWrap w:val="0"/>
                  <w:vAlign w:val="center"/>
                </w:tcPr>
                <w:p w14:paraId="443DE89B">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7456E369">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二级破碎粉尘</w:t>
                  </w:r>
                </w:p>
              </w:tc>
              <w:tc>
                <w:tcPr>
                  <w:tcW w:w="677" w:type="pct"/>
                  <w:noWrap w:val="0"/>
                  <w:vAlign w:val="center"/>
                </w:tcPr>
                <w:p w14:paraId="48CA5CAC">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颗粒物</w:t>
                  </w:r>
                </w:p>
              </w:tc>
              <w:tc>
                <w:tcPr>
                  <w:tcW w:w="1391" w:type="pct"/>
                  <w:noWrap w:val="0"/>
                  <w:vAlign w:val="center"/>
                </w:tcPr>
                <w:p w14:paraId="47781EB6">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采用集气罩+湿式除尘洗气机（2#）除尘后经20m排气筒排放</w:t>
                  </w:r>
                  <w:r>
                    <w:rPr>
                      <w:rFonts w:hint="default" w:ascii="Times New Roman" w:hAnsi="Times New Roman" w:eastAsia="宋体" w:cs="Times New Roman"/>
                      <w:color w:val="auto"/>
                      <w:kern w:val="2"/>
                      <w:sz w:val="21"/>
                      <w:szCs w:val="21"/>
                      <w:lang w:bidi="ar"/>
                    </w:rPr>
                    <w:t>（P2）</w:t>
                  </w:r>
                </w:p>
              </w:tc>
              <w:tc>
                <w:tcPr>
                  <w:tcW w:w="1392" w:type="pct"/>
                  <w:vMerge w:val="continue"/>
                  <w:noWrap w:val="0"/>
                  <w:vAlign w:val="center"/>
                </w:tcPr>
                <w:p w14:paraId="12305D68">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414" w:type="pct"/>
                  <w:vMerge w:val="continue"/>
                  <w:noWrap w:val="0"/>
                  <w:vAlign w:val="center"/>
                </w:tcPr>
                <w:p w14:paraId="7D954E82">
                  <w:pPr>
                    <w:widowControl w:val="0"/>
                    <w:spacing w:line="240" w:lineRule="auto"/>
                    <w:ind w:firstLine="0" w:firstLineChars="0"/>
                    <w:rPr>
                      <w:rFonts w:hint="default" w:ascii="Times New Roman" w:hAnsi="Times New Roman" w:eastAsia="宋体" w:cs="Times New Roman"/>
                      <w:color w:val="auto"/>
                      <w:kern w:val="2"/>
                      <w:sz w:val="20"/>
                      <w:szCs w:val="20"/>
                    </w:rPr>
                  </w:pPr>
                </w:p>
              </w:tc>
            </w:tr>
            <w:tr w14:paraId="3FC48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continue"/>
                  <w:noWrap w:val="0"/>
                  <w:vAlign w:val="center"/>
                </w:tcPr>
                <w:p w14:paraId="19E37870">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7FCE53D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注浆站配料粉尘</w:t>
                  </w:r>
                </w:p>
              </w:tc>
              <w:tc>
                <w:tcPr>
                  <w:tcW w:w="677" w:type="pct"/>
                  <w:noWrap w:val="0"/>
                  <w:vAlign w:val="center"/>
                </w:tcPr>
                <w:p w14:paraId="0CF3396B">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颗粒物</w:t>
                  </w:r>
                </w:p>
              </w:tc>
              <w:tc>
                <w:tcPr>
                  <w:tcW w:w="1391" w:type="pct"/>
                  <w:noWrap w:val="0"/>
                  <w:vAlign w:val="center"/>
                </w:tcPr>
                <w:p w14:paraId="7C3B713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采用集气罩+湿式除尘洗气机（3#）除尘后经20m排气筒排放</w:t>
                  </w:r>
                  <w:r>
                    <w:rPr>
                      <w:rFonts w:hint="default" w:ascii="Times New Roman" w:hAnsi="Times New Roman" w:eastAsia="宋体" w:cs="Times New Roman"/>
                      <w:color w:val="auto"/>
                      <w:kern w:val="2"/>
                      <w:sz w:val="21"/>
                      <w:szCs w:val="21"/>
                      <w:lang w:bidi="ar"/>
                    </w:rPr>
                    <w:t>（P</w:t>
                  </w:r>
                  <w:r>
                    <w:rPr>
                      <w:rFonts w:hint="default" w:ascii="Times New Roman" w:hAnsi="Times New Roman" w:eastAsia="宋体" w:cs="Times New Roman"/>
                      <w:color w:val="auto"/>
                      <w:kern w:val="2"/>
                      <w:sz w:val="21"/>
                      <w:szCs w:val="21"/>
                      <w:lang w:val="en-US" w:eastAsia="zh-CN" w:bidi="ar"/>
                    </w:rPr>
                    <w:t>3</w:t>
                  </w:r>
                  <w:r>
                    <w:rPr>
                      <w:rFonts w:hint="default" w:ascii="Times New Roman" w:hAnsi="Times New Roman" w:eastAsia="宋体" w:cs="Times New Roman"/>
                      <w:color w:val="auto"/>
                      <w:kern w:val="2"/>
                      <w:sz w:val="21"/>
                      <w:szCs w:val="21"/>
                      <w:lang w:bidi="ar"/>
                    </w:rPr>
                    <w:t>）</w:t>
                  </w:r>
                </w:p>
              </w:tc>
              <w:tc>
                <w:tcPr>
                  <w:tcW w:w="1392" w:type="pct"/>
                  <w:vMerge w:val="continue"/>
                  <w:noWrap w:val="0"/>
                  <w:vAlign w:val="center"/>
                </w:tcPr>
                <w:p w14:paraId="70F06AEB">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414" w:type="pct"/>
                  <w:vMerge w:val="continue"/>
                  <w:noWrap w:val="0"/>
                  <w:vAlign w:val="center"/>
                </w:tcPr>
                <w:p w14:paraId="68C26767">
                  <w:pPr>
                    <w:widowControl w:val="0"/>
                    <w:spacing w:line="240" w:lineRule="auto"/>
                    <w:ind w:firstLine="0" w:firstLineChars="0"/>
                    <w:rPr>
                      <w:rFonts w:hint="default" w:ascii="Times New Roman" w:hAnsi="Times New Roman" w:eastAsia="宋体" w:cs="Times New Roman"/>
                      <w:color w:val="auto"/>
                      <w:kern w:val="2"/>
                      <w:sz w:val="20"/>
                      <w:szCs w:val="20"/>
                    </w:rPr>
                  </w:pPr>
                </w:p>
              </w:tc>
            </w:tr>
            <w:tr w14:paraId="60684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continue"/>
                  <w:noWrap w:val="0"/>
                  <w:vAlign w:val="center"/>
                </w:tcPr>
                <w:p w14:paraId="42B3181D">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753EA1C5">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车间未收集粉尘</w:t>
                  </w:r>
                </w:p>
              </w:tc>
              <w:tc>
                <w:tcPr>
                  <w:tcW w:w="677" w:type="pct"/>
                  <w:noWrap w:val="0"/>
                  <w:vAlign w:val="center"/>
                </w:tcPr>
                <w:p w14:paraId="2A0D54D0">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颗粒物</w:t>
                  </w:r>
                </w:p>
              </w:tc>
              <w:tc>
                <w:tcPr>
                  <w:tcW w:w="1391" w:type="pct"/>
                  <w:noWrap w:val="0"/>
                  <w:vAlign w:val="center"/>
                </w:tcPr>
                <w:p w14:paraId="0A067EB2">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全封闭车间</w:t>
                  </w:r>
                  <w:r>
                    <w:rPr>
                      <w:rFonts w:hint="default" w:ascii="Times New Roman" w:hAnsi="Times New Roman" w:eastAsia="宋体" w:cs="Times New Roman"/>
                      <w:color w:val="auto"/>
                      <w:kern w:val="2"/>
                      <w:sz w:val="21"/>
                      <w:szCs w:val="21"/>
                      <w:lang w:val="en-US" w:eastAsia="zh-CN"/>
                    </w:rPr>
                    <w:t>并喷雾洒水抑尘</w:t>
                  </w:r>
                </w:p>
              </w:tc>
              <w:tc>
                <w:tcPr>
                  <w:tcW w:w="1392" w:type="pct"/>
                  <w:vMerge w:val="restart"/>
                  <w:noWrap w:val="0"/>
                  <w:vAlign w:val="center"/>
                </w:tcPr>
                <w:p w14:paraId="19AC5AD3">
                  <w:pPr>
                    <w:widowControl w:val="0"/>
                    <w:adjustRightInd w:val="0"/>
                    <w:snapToGrid w:val="0"/>
                    <w:spacing w:line="240" w:lineRule="auto"/>
                    <w:ind w:firstLine="0" w:firstLineChars="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执行《煤炭工业污染物排放标准》（GB20426-2006）中煤炭工业无组织排放限值</w:t>
                  </w:r>
                </w:p>
              </w:tc>
              <w:tc>
                <w:tcPr>
                  <w:tcW w:w="414" w:type="pct"/>
                  <w:vMerge w:val="continue"/>
                  <w:noWrap w:val="0"/>
                  <w:vAlign w:val="center"/>
                </w:tcPr>
                <w:p w14:paraId="7CB1EB06">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r w14:paraId="00FE8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continue"/>
                  <w:noWrap w:val="0"/>
                  <w:vAlign w:val="center"/>
                </w:tcPr>
                <w:p w14:paraId="5A4F1F7B">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4648E46F">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bidi="ar"/>
                    </w:rPr>
                    <w:t>输送皮带粉尘</w:t>
                  </w:r>
                </w:p>
              </w:tc>
              <w:tc>
                <w:tcPr>
                  <w:tcW w:w="677" w:type="pct"/>
                  <w:noWrap w:val="0"/>
                  <w:vAlign w:val="center"/>
                </w:tcPr>
                <w:p w14:paraId="3A4AEAA4">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bidi="ar"/>
                    </w:rPr>
                    <w:t>颗粒物</w:t>
                  </w:r>
                </w:p>
              </w:tc>
              <w:tc>
                <w:tcPr>
                  <w:tcW w:w="1391" w:type="pct"/>
                  <w:noWrap w:val="0"/>
                  <w:vAlign w:val="center"/>
                </w:tcPr>
                <w:p w14:paraId="2E2B6BA4">
                  <w:pPr>
                    <w:widowControl w:val="0"/>
                    <w:adjustRightInd w:val="0"/>
                    <w:snapToGrid w:val="0"/>
                    <w:spacing w:line="0" w:lineRule="atLeast"/>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全封闭输送栈桥并喷雾洒水抑尘</w:t>
                  </w:r>
                </w:p>
              </w:tc>
              <w:tc>
                <w:tcPr>
                  <w:tcW w:w="1392" w:type="pct"/>
                  <w:vMerge w:val="continue"/>
                  <w:noWrap w:val="0"/>
                  <w:vAlign w:val="center"/>
                </w:tcPr>
                <w:p w14:paraId="0D0A7286">
                  <w:pPr>
                    <w:widowControl w:val="0"/>
                    <w:adjustRightInd w:val="0"/>
                    <w:snapToGrid w:val="0"/>
                    <w:spacing w:line="240" w:lineRule="auto"/>
                    <w:ind w:firstLine="0" w:firstLineChars="0"/>
                    <w:rPr>
                      <w:rFonts w:hint="default" w:ascii="Times New Roman" w:hAnsi="Times New Roman" w:eastAsia="宋体" w:cs="Times New Roman"/>
                      <w:color w:val="auto"/>
                      <w:kern w:val="2"/>
                      <w:sz w:val="21"/>
                      <w:szCs w:val="21"/>
                    </w:rPr>
                  </w:pPr>
                </w:p>
              </w:tc>
              <w:tc>
                <w:tcPr>
                  <w:tcW w:w="414" w:type="pct"/>
                  <w:vMerge w:val="continue"/>
                  <w:noWrap w:val="0"/>
                  <w:vAlign w:val="center"/>
                </w:tcPr>
                <w:p w14:paraId="3094EA65">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r w14:paraId="150A0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restart"/>
                  <w:noWrap w:val="0"/>
                  <w:vAlign w:val="center"/>
                </w:tcPr>
                <w:p w14:paraId="76CFA9A3">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废水治理措施</w:t>
                  </w:r>
                </w:p>
              </w:tc>
              <w:tc>
                <w:tcPr>
                  <w:tcW w:w="712" w:type="pct"/>
                  <w:noWrap w:val="0"/>
                  <w:vAlign w:val="center"/>
                </w:tcPr>
                <w:p w14:paraId="4ECBA8A3">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生活污水</w:t>
                  </w:r>
                </w:p>
              </w:tc>
              <w:tc>
                <w:tcPr>
                  <w:tcW w:w="677" w:type="pct"/>
                  <w:noWrap w:val="0"/>
                  <w:vAlign w:val="center"/>
                </w:tcPr>
                <w:p w14:paraId="7693570F">
                  <w:pPr>
                    <w:widowControl w:val="0"/>
                    <w:spacing w:line="240" w:lineRule="auto"/>
                    <w:ind w:firstLine="0" w:firstLineChars="0"/>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val="pt-BR" w:bidi="ar"/>
                    </w:rPr>
                    <w:t>COD、BOD</w:t>
                  </w:r>
                  <w:r>
                    <w:rPr>
                      <w:rFonts w:hint="default" w:ascii="Times New Roman" w:hAnsi="Times New Roman" w:eastAsia="宋体" w:cs="Times New Roman"/>
                      <w:color w:val="auto"/>
                      <w:kern w:val="2"/>
                      <w:sz w:val="21"/>
                      <w:szCs w:val="21"/>
                      <w:vertAlign w:val="subscript"/>
                      <w:lang w:val="pt-BR" w:bidi="ar"/>
                    </w:rPr>
                    <w:t>5</w:t>
                  </w:r>
                  <w:r>
                    <w:rPr>
                      <w:rFonts w:hint="default" w:ascii="Times New Roman" w:hAnsi="Times New Roman" w:eastAsia="宋体" w:cs="Times New Roman"/>
                      <w:color w:val="auto"/>
                      <w:kern w:val="2"/>
                      <w:sz w:val="21"/>
                      <w:szCs w:val="21"/>
                      <w:lang w:val="pt-BR" w:bidi="ar"/>
                    </w:rPr>
                    <w:t>、氨氮、SS等</w:t>
                  </w:r>
                </w:p>
              </w:tc>
              <w:tc>
                <w:tcPr>
                  <w:tcW w:w="1391" w:type="pct"/>
                  <w:noWrap w:val="0"/>
                  <w:vAlign w:val="center"/>
                </w:tcPr>
                <w:p w14:paraId="45064272">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依托现有</w:t>
                  </w:r>
                  <w:r>
                    <w:rPr>
                      <w:rFonts w:hint="default" w:ascii="Times New Roman" w:hAnsi="Times New Roman" w:eastAsia="宋体" w:cs="Times New Roman"/>
                      <w:color w:val="auto"/>
                      <w:kern w:val="2"/>
                      <w:sz w:val="21"/>
                      <w:szCs w:val="21"/>
                      <w:lang w:val="en-US" w:eastAsia="zh-CN" w:bidi="ar"/>
                    </w:rPr>
                    <w:t>生活污水</w:t>
                  </w:r>
                  <w:r>
                    <w:rPr>
                      <w:rFonts w:hint="default" w:ascii="Times New Roman" w:hAnsi="Times New Roman" w:eastAsia="宋体" w:cs="Times New Roman"/>
                      <w:color w:val="auto"/>
                      <w:kern w:val="2"/>
                      <w:sz w:val="21"/>
                      <w:szCs w:val="21"/>
                      <w:lang w:bidi="ar"/>
                    </w:rPr>
                    <w:t>处理</w:t>
                  </w:r>
                  <w:r>
                    <w:rPr>
                      <w:rFonts w:hint="default" w:ascii="Times New Roman" w:hAnsi="Times New Roman" w:eastAsia="宋体" w:cs="Times New Roman"/>
                      <w:color w:val="auto"/>
                      <w:kern w:val="2"/>
                      <w:sz w:val="21"/>
                      <w:szCs w:val="21"/>
                      <w:lang w:val="en-US" w:eastAsia="zh-CN" w:bidi="ar"/>
                    </w:rPr>
                    <w:t>站</w:t>
                  </w:r>
                  <w:r>
                    <w:rPr>
                      <w:rFonts w:hint="default" w:ascii="Times New Roman" w:hAnsi="Times New Roman" w:eastAsia="宋体" w:cs="Times New Roman"/>
                      <w:color w:val="auto"/>
                      <w:kern w:val="2"/>
                      <w:sz w:val="21"/>
                      <w:szCs w:val="21"/>
                      <w:lang w:bidi="ar"/>
                    </w:rPr>
                    <w:t>处理达标后用于绿化和降尘洒水等</w:t>
                  </w:r>
                </w:p>
              </w:tc>
              <w:tc>
                <w:tcPr>
                  <w:tcW w:w="1392" w:type="pct"/>
                  <w:noWrap w:val="0"/>
                  <w:vAlign w:val="center"/>
                </w:tcPr>
                <w:p w14:paraId="52218440">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《城市污水再生利用 城市杂用水水质》</w:t>
                  </w:r>
                  <w:r>
                    <w:rPr>
                      <w:rFonts w:hint="eastAsia" w:cs="Times New Roman"/>
                      <w:color w:val="auto"/>
                      <w:kern w:val="2"/>
                      <w:sz w:val="21"/>
                      <w:szCs w:val="21"/>
                      <w:lang w:eastAsia="zh-CN" w:bidi="ar"/>
                    </w:rPr>
                    <w:t>（</w:t>
                  </w:r>
                  <w:r>
                    <w:rPr>
                      <w:rFonts w:hint="default" w:ascii="Times New Roman" w:hAnsi="Times New Roman" w:eastAsia="宋体" w:cs="Times New Roman"/>
                      <w:color w:val="auto"/>
                      <w:kern w:val="2"/>
                      <w:sz w:val="21"/>
                      <w:szCs w:val="21"/>
                      <w:lang w:bidi="ar"/>
                    </w:rPr>
                    <w:t>GB/T18920-2020</w:t>
                  </w:r>
                  <w:r>
                    <w:rPr>
                      <w:rFonts w:hint="eastAsia" w:cs="Times New Roman"/>
                      <w:color w:val="auto"/>
                      <w:kern w:val="2"/>
                      <w:sz w:val="21"/>
                      <w:szCs w:val="21"/>
                      <w:lang w:eastAsia="zh-CN" w:bidi="ar"/>
                    </w:rPr>
                    <w:t>）</w:t>
                  </w:r>
                  <w:r>
                    <w:rPr>
                      <w:rFonts w:hint="default" w:ascii="Times New Roman" w:hAnsi="Times New Roman" w:eastAsia="宋体" w:cs="Times New Roman"/>
                      <w:color w:val="auto"/>
                      <w:kern w:val="2"/>
                      <w:sz w:val="21"/>
                      <w:szCs w:val="21"/>
                      <w:lang w:bidi="ar"/>
                    </w:rPr>
                    <w:t>中绿化标准</w:t>
                  </w:r>
                </w:p>
              </w:tc>
              <w:tc>
                <w:tcPr>
                  <w:tcW w:w="414" w:type="pct"/>
                  <w:vMerge w:val="continue"/>
                  <w:noWrap w:val="0"/>
                  <w:vAlign w:val="center"/>
                </w:tcPr>
                <w:p w14:paraId="0D6040F6">
                  <w:pPr>
                    <w:widowControl w:val="0"/>
                    <w:spacing w:line="240" w:lineRule="auto"/>
                    <w:ind w:firstLine="0" w:firstLineChars="0"/>
                    <w:jc w:val="center"/>
                    <w:rPr>
                      <w:rFonts w:hint="default" w:ascii="Times New Roman" w:hAnsi="Times New Roman" w:eastAsia="宋体" w:cs="Times New Roman"/>
                      <w:color w:val="auto"/>
                      <w:kern w:val="2"/>
                      <w:sz w:val="21"/>
                      <w:szCs w:val="24"/>
                    </w:rPr>
                  </w:pPr>
                </w:p>
              </w:tc>
            </w:tr>
            <w:tr w14:paraId="472E1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411" w:type="pct"/>
                  <w:vMerge w:val="continue"/>
                  <w:noWrap w:val="0"/>
                  <w:vAlign w:val="center"/>
                </w:tcPr>
                <w:p w14:paraId="31287B0F">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071AFA47">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val="en-US" w:eastAsia="zh-CN"/>
                    </w:rPr>
                    <w:t>地面</w:t>
                  </w:r>
                  <w:r>
                    <w:rPr>
                      <w:rFonts w:hint="default" w:ascii="Times New Roman" w:hAnsi="Times New Roman" w:eastAsia="宋体" w:cs="Times New Roman"/>
                      <w:color w:val="auto"/>
                      <w:kern w:val="2"/>
                      <w:sz w:val="21"/>
                      <w:szCs w:val="21"/>
                      <w:lang w:bidi="ar"/>
                    </w:rPr>
                    <w:t>冲洗废水</w:t>
                  </w:r>
                </w:p>
              </w:tc>
              <w:tc>
                <w:tcPr>
                  <w:tcW w:w="677" w:type="pct"/>
                  <w:noWrap w:val="0"/>
                  <w:vAlign w:val="center"/>
                </w:tcPr>
                <w:p w14:paraId="7B0D9374">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SS</w:t>
                  </w:r>
                </w:p>
              </w:tc>
              <w:tc>
                <w:tcPr>
                  <w:tcW w:w="1391" w:type="pct"/>
                  <w:noWrap w:val="0"/>
                  <w:vAlign w:val="center"/>
                </w:tcPr>
                <w:p w14:paraId="5EB7FF06">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经收集池收集后回用于球磨工序，不外排。</w:t>
                  </w:r>
                </w:p>
              </w:tc>
              <w:tc>
                <w:tcPr>
                  <w:tcW w:w="1392" w:type="pct"/>
                  <w:noWrap w:val="0"/>
                  <w:vAlign w:val="center"/>
                </w:tcPr>
                <w:p w14:paraId="58CFD17D">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4"/>
                      <w:lang w:val="en-US" w:eastAsia="zh-CN"/>
                    </w:rPr>
                    <w:t>不外排</w:t>
                  </w:r>
                </w:p>
              </w:tc>
              <w:tc>
                <w:tcPr>
                  <w:tcW w:w="414" w:type="pct"/>
                  <w:vMerge w:val="continue"/>
                  <w:noWrap w:val="0"/>
                  <w:vAlign w:val="center"/>
                </w:tcPr>
                <w:p w14:paraId="621CEC74">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r w14:paraId="063F1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411" w:type="pct"/>
                  <w:vMerge w:val="continue"/>
                  <w:noWrap w:val="0"/>
                  <w:vAlign w:val="center"/>
                </w:tcPr>
                <w:p w14:paraId="0444287D">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5E7EEEF9">
                  <w:pPr>
                    <w:widowControl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val="en-US" w:eastAsia="zh-CN"/>
                    </w:rPr>
                    <w:t>注浆管道</w:t>
                  </w:r>
                  <w:r>
                    <w:rPr>
                      <w:rFonts w:hint="default" w:ascii="Times New Roman" w:hAnsi="Times New Roman" w:eastAsia="宋体" w:cs="Times New Roman"/>
                      <w:color w:val="auto"/>
                      <w:kern w:val="2"/>
                      <w:sz w:val="21"/>
                      <w:szCs w:val="21"/>
                      <w:lang w:bidi="ar"/>
                    </w:rPr>
                    <w:t>冲洗废水</w:t>
                  </w:r>
                </w:p>
              </w:tc>
              <w:tc>
                <w:tcPr>
                  <w:tcW w:w="677" w:type="pct"/>
                  <w:noWrap w:val="0"/>
                  <w:vAlign w:val="center"/>
                </w:tcPr>
                <w:p w14:paraId="5818E894">
                  <w:pPr>
                    <w:widowControl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val="en-US" w:eastAsia="zh-CN" w:bidi="ar"/>
                    </w:rPr>
                    <w:t>SS</w:t>
                  </w:r>
                </w:p>
              </w:tc>
              <w:tc>
                <w:tcPr>
                  <w:tcW w:w="1391" w:type="pct"/>
                  <w:noWrap w:val="0"/>
                  <w:vAlign w:val="center"/>
                </w:tcPr>
                <w:p w14:paraId="206D139F">
                  <w:pPr>
                    <w:widowControl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进入注浆管道随矸石浆液充填井下</w:t>
                  </w:r>
                </w:p>
              </w:tc>
              <w:tc>
                <w:tcPr>
                  <w:tcW w:w="1392" w:type="pct"/>
                  <w:noWrap w:val="0"/>
                  <w:vAlign w:val="center"/>
                </w:tcPr>
                <w:p w14:paraId="5FE2DB8F">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w:t>
                  </w:r>
                </w:p>
              </w:tc>
              <w:tc>
                <w:tcPr>
                  <w:tcW w:w="414" w:type="pct"/>
                  <w:vMerge w:val="continue"/>
                  <w:noWrap w:val="0"/>
                  <w:vAlign w:val="center"/>
                </w:tcPr>
                <w:p w14:paraId="36403CAB">
                  <w:pPr>
                    <w:widowControl w:val="0"/>
                    <w:spacing w:line="240" w:lineRule="auto"/>
                    <w:ind w:firstLine="0" w:firstLineChars="0"/>
                    <w:jc w:val="center"/>
                    <w:rPr>
                      <w:rFonts w:hint="default" w:ascii="Times New Roman" w:hAnsi="Times New Roman" w:eastAsia="宋体" w:cs="Times New Roman"/>
                      <w:color w:val="auto"/>
                      <w:kern w:val="2"/>
                      <w:sz w:val="21"/>
                      <w:szCs w:val="21"/>
                      <w:lang w:bidi="ar"/>
                    </w:rPr>
                  </w:pPr>
                </w:p>
              </w:tc>
            </w:tr>
            <w:tr w14:paraId="6EA92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restart"/>
                  <w:noWrap w:val="0"/>
                  <w:vAlign w:val="center"/>
                </w:tcPr>
                <w:p w14:paraId="6359DD87">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固体治理措施</w:t>
                  </w:r>
                </w:p>
              </w:tc>
              <w:tc>
                <w:tcPr>
                  <w:tcW w:w="712" w:type="pct"/>
                  <w:noWrap w:val="0"/>
                  <w:vAlign w:val="center"/>
                </w:tcPr>
                <w:p w14:paraId="4349398C">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机械设备废机油</w:t>
                  </w:r>
                </w:p>
              </w:tc>
              <w:tc>
                <w:tcPr>
                  <w:tcW w:w="677" w:type="pct"/>
                  <w:noWrap w:val="0"/>
                  <w:vAlign w:val="center"/>
                </w:tcPr>
                <w:p w14:paraId="3A92DF6A">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设备检修</w:t>
                  </w:r>
                </w:p>
              </w:tc>
              <w:tc>
                <w:tcPr>
                  <w:tcW w:w="1391" w:type="pct"/>
                  <w:noWrap w:val="0"/>
                  <w:vAlign w:val="center"/>
                </w:tcPr>
                <w:p w14:paraId="2E05D53B">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油桶收集后暂存于矿区现有危废品暂存库，定期委托有危废资质单位处置</w:t>
                  </w:r>
                </w:p>
              </w:tc>
              <w:tc>
                <w:tcPr>
                  <w:tcW w:w="1392" w:type="pct"/>
                  <w:noWrap w:val="0"/>
                  <w:vAlign w:val="center"/>
                </w:tcPr>
                <w:p w14:paraId="0ACE6D1E">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《危险废物贮存污染控制标准》（GB18597-2023）</w:t>
                  </w:r>
                </w:p>
              </w:tc>
              <w:tc>
                <w:tcPr>
                  <w:tcW w:w="414" w:type="pct"/>
                  <w:vMerge w:val="continue"/>
                  <w:noWrap w:val="0"/>
                  <w:vAlign w:val="center"/>
                </w:tcPr>
                <w:p w14:paraId="2E9407D4">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r w14:paraId="12197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continue"/>
                  <w:noWrap w:val="0"/>
                  <w:vAlign w:val="center"/>
                </w:tcPr>
                <w:p w14:paraId="15054E0F">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4E7AE890">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bidi="ar"/>
                    </w:rPr>
                    <w:t>湿式除尘洗气机</w:t>
                  </w:r>
                </w:p>
              </w:tc>
              <w:tc>
                <w:tcPr>
                  <w:tcW w:w="677" w:type="pct"/>
                  <w:noWrap w:val="0"/>
                  <w:vAlign w:val="center"/>
                </w:tcPr>
                <w:p w14:paraId="29E94E9C">
                  <w:pPr>
                    <w:widowControl w:val="0"/>
                    <w:spacing w:line="240" w:lineRule="auto"/>
                    <w:ind w:firstLine="0" w:firstLineChars="0"/>
                    <w:jc w:val="center"/>
                    <w:rPr>
                      <w:rFonts w:hint="default" w:ascii="Times New Roman" w:hAnsi="Times New Roman" w:eastAsia="宋体" w:cs="Times New Roman"/>
                      <w:color w:val="auto"/>
                      <w:kern w:val="2"/>
                      <w:sz w:val="21"/>
                      <w:szCs w:val="21"/>
                      <w:lang w:val="pt-BR"/>
                    </w:rPr>
                  </w:pPr>
                  <w:r>
                    <w:rPr>
                      <w:rFonts w:hint="default" w:ascii="Times New Roman" w:hAnsi="Times New Roman" w:eastAsia="宋体" w:cs="Times New Roman"/>
                      <w:color w:val="auto"/>
                      <w:kern w:val="2"/>
                      <w:sz w:val="21"/>
                      <w:szCs w:val="21"/>
                      <w:lang w:val="en-US" w:eastAsia="zh-CN" w:bidi="ar"/>
                    </w:rPr>
                    <w:t>污泥</w:t>
                  </w:r>
                </w:p>
              </w:tc>
              <w:tc>
                <w:tcPr>
                  <w:tcW w:w="1391" w:type="pct"/>
                  <w:noWrap w:val="0"/>
                  <w:vAlign w:val="center"/>
                </w:tcPr>
                <w:p w14:paraId="146098B8">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返回</w:t>
                  </w:r>
                  <w:r>
                    <w:rPr>
                      <w:rFonts w:hint="default" w:ascii="Times New Roman" w:hAnsi="Times New Roman" w:eastAsia="宋体" w:cs="Times New Roman"/>
                      <w:color w:val="auto"/>
                      <w:kern w:val="2"/>
                      <w:sz w:val="21"/>
                      <w:szCs w:val="21"/>
                      <w:lang w:val="en-US" w:eastAsia="zh-CN" w:bidi="ar"/>
                    </w:rPr>
                    <w:t>注浆</w:t>
                  </w:r>
                  <w:r>
                    <w:rPr>
                      <w:rFonts w:hint="default" w:ascii="Times New Roman" w:hAnsi="Times New Roman" w:eastAsia="宋体" w:cs="Times New Roman"/>
                      <w:color w:val="auto"/>
                      <w:kern w:val="2"/>
                      <w:sz w:val="21"/>
                      <w:szCs w:val="21"/>
                      <w:lang w:bidi="ar"/>
                    </w:rPr>
                    <w:t>工序作为充填原料使用</w:t>
                  </w:r>
                </w:p>
              </w:tc>
              <w:tc>
                <w:tcPr>
                  <w:tcW w:w="1392" w:type="pct"/>
                  <w:noWrap w:val="0"/>
                  <w:vAlign w:val="center"/>
                </w:tcPr>
                <w:p w14:paraId="65C75B9D">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自行利用</w:t>
                  </w:r>
                </w:p>
              </w:tc>
              <w:tc>
                <w:tcPr>
                  <w:tcW w:w="414" w:type="pct"/>
                  <w:vMerge w:val="continue"/>
                  <w:noWrap w:val="0"/>
                  <w:vAlign w:val="center"/>
                </w:tcPr>
                <w:p w14:paraId="3C89D008">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r w14:paraId="21963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vMerge w:val="continue"/>
                  <w:noWrap w:val="0"/>
                  <w:vAlign w:val="center"/>
                </w:tcPr>
                <w:p w14:paraId="4A20C5A2">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5953F9AA">
                  <w:pPr>
                    <w:widowControl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地面冲洗废水收集池</w:t>
                  </w:r>
                </w:p>
              </w:tc>
              <w:tc>
                <w:tcPr>
                  <w:tcW w:w="677" w:type="pct"/>
                  <w:noWrap w:val="0"/>
                  <w:vAlign w:val="center"/>
                </w:tcPr>
                <w:p w14:paraId="6022E9B8">
                  <w:pPr>
                    <w:widowControl w:val="0"/>
                    <w:spacing w:line="240" w:lineRule="auto"/>
                    <w:ind w:firstLine="0" w:firstLineChars="0"/>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底泥</w:t>
                  </w:r>
                </w:p>
              </w:tc>
              <w:tc>
                <w:tcPr>
                  <w:tcW w:w="1391" w:type="pct"/>
                  <w:noWrap w:val="0"/>
                  <w:vAlign w:val="center"/>
                </w:tcPr>
                <w:p w14:paraId="6BFB8FC6">
                  <w:pPr>
                    <w:widowControl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返回</w:t>
                  </w:r>
                  <w:r>
                    <w:rPr>
                      <w:rFonts w:hint="default" w:ascii="Times New Roman" w:hAnsi="Times New Roman" w:eastAsia="宋体" w:cs="Times New Roman"/>
                      <w:color w:val="auto"/>
                      <w:kern w:val="2"/>
                      <w:sz w:val="21"/>
                      <w:szCs w:val="21"/>
                      <w:lang w:val="en-US" w:eastAsia="zh-CN" w:bidi="ar"/>
                    </w:rPr>
                    <w:t>注浆</w:t>
                  </w:r>
                  <w:r>
                    <w:rPr>
                      <w:rFonts w:hint="default" w:ascii="Times New Roman" w:hAnsi="Times New Roman" w:eastAsia="宋体" w:cs="Times New Roman"/>
                      <w:color w:val="auto"/>
                      <w:kern w:val="2"/>
                      <w:sz w:val="21"/>
                      <w:szCs w:val="21"/>
                      <w:lang w:bidi="ar"/>
                    </w:rPr>
                    <w:t>工序作为充填原料使用</w:t>
                  </w:r>
                </w:p>
              </w:tc>
              <w:tc>
                <w:tcPr>
                  <w:tcW w:w="1392" w:type="pct"/>
                  <w:noWrap w:val="0"/>
                  <w:vAlign w:val="center"/>
                </w:tcPr>
                <w:p w14:paraId="053411E2">
                  <w:pPr>
                    <w:widowControl w:val="0"/>
                    <w:spacing w:line="240" w:lineRule="auto"/>
                    <w:ind w:firstLine="0" w:firstLineChars="0"/>
                    <w:jc w:val="center"/>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自行利用</w:t>
                  </w:r>
                </w:p>
              </w:tc>
              <w:tc>
                <w:tcPr>
                  <w:tcW w:w="414" w:type="pct"/>
                  <w:vMerge w:val="continue"/>
                  <w:noWrap w:val="0"/>
                  <w:vAlign w:val="center"/>
                </w:tcPr>
                <w:p w14:paraId="7443B60F">
                  <w:pPr>
                    <w:widowControl w:val="0"/>
                    <w:spacing w:line="240" w:lineRule="auto"/>
                    <w:ind w:firstLine="0" w:firstLineChars="0"/>
                    <w:jc w:val="center"/>
                    <w:rPr>
                      <w:rFonts w:hint="default" w:ascii="Times New Roman" w:hAnsi="Times New Roman" w:eastAsia="宋体" w:cs="Times New Roman"/>
                      <w:color w:val="auto"/>
                      <w:kern w:val="2"/>
                      <w:sz w:val="21"/>
                      <w:szCs w:val="21"/>
                      <w:lang w:bidi="ar"/>
                    </w:rPr>
                  </w:pPr>
                </w:p>
              </w:tc>
            </w:tr>
            <w:tr w14:paraId="5B6FD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jc w:val="center"/>
              </w:trPr>
              <w:tc>
                <w:tcPr>
                  <w:tcW w:w="411" w:type="pct"/>
                  <w:vMerge w:val="continue"/>
                  <w:noWrap w:val="0"/>
                  <w:vAlign w:val="center"/>
                </w:tcPr>
                <w:p w14:paraId="179C869E">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712" w:type="pct"/>
                  <w:noWrap w:val="0"/>
                  <w:vAlign w:val="center"/>
                </w:tcPr>
                <w:p w14:paraId="66FF728D">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生活垃圾</w:t>
                  </w:r>
                </w:p>
              </w:tc>
              <w:tc>
                <w:tcPr>
                  <w:tcW w:w="677" w:type="pct"/>
                  <w:noWrap w:val="0"/>
                  <w:vAlign w:val="center"/>
                </w:tcPr>
                <w:p w14:paraId="7312BF22">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生活垃圾</w:t>
                  </w:r>
                </w:p>
              </w:tc>
              <w:tc>
                <w:tcPr>
                  <w:tcW w:w="1391" w:type="pct"/>
                  <w:noWrap w:val="0"/>
                  <w:vAlign w:val="center"/>
                </w:tcPr>
                <w:p w14:paraId="392E5B6F">
                  <w:pPr>
                    <w:widowControl w:val="0"/>
                    <w:spacing w:line="240" w:lineRule="auto"/>
                    <w:ind w:firstLine="0" w:firstLineChars="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bidi="ar"/>
                    </w:rPr>
                    <w:t>集中收集后</w:t>
                  </w:r>
                  <w:r>
                    <w:rPr>
                      <w:rFonts w:hint="default" w:ascii="Times New Roman" w:hAnsi="Times New Roman" w:eastAsia="宋体" w:cs="Times New Roman"/>
                      <w:color w:val="auto"/>
                      <w:kern w:val="2"/>
                      <w:sz w:val="21"/>
                      <w:szCs w:val="21"/>
                      <w:lang w:val="en-US" w:eastAsia="zh-CN" w:bidi="ar"/>
                    </w:rPr>
                    <w:t>按环卫部门要求统一处理</w:t>
                  </w:r>
                </w:p>
              </w:tc>
              <w:tc>
                <w:tcPr>
                  <w:tcW w:w="1392" w:type="pct"/>
                  <w:noWrap w:val="0"/>
                  <w:vAlign w:val="center"/>
                </w:tcPr>
                <w:p w14:paraId="66A96B17">
                  <w:pPr>
                    <w:widowControl w:val="0"/>
                    <w:spacing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bidi="ar"/>
                    </w:rPr>
                    <w:t>不污染环境</w:t>
                  </w:r>
                </w:p>
              </w:tc>
              <w:tc>
                <w:tcPr>
                  <w:tcW w:w="414" w:type="pct"/>
                  <w:vMerge w:val="continue"/>
                  <w:noWrap w:val="0"/>
                  <w:vAlign w:val="center"/>
                </w:tcPr>
                <w:p w14:paraId="7EF43794">
                  <w:pPr>
                    <w:widowControl w:val="0"/>
                    <w:spacing w:line="240" w:lineRule="auto"/>
                    <w:ind w:firstLine="0" w:firstLineChars="0"/>
                    <w:jc w:val="center"/>
                    <w:rPr>
                      <w:rFonts w:hint="default" w:ascii="Times New Roman" w:hAnsi="Times New Roman" w:eastAsia="宋体" w:cs="Times New Roman"/>
                      <w:color w:val="auto"/>
                      <w:kern w:val="2"/>
                      <w:sz w:val="21"/>
                      <w:szCs w:val="24"/>
                    </w:rPr>
                  </w:pPr>
                </w:p>
              </w:tc>
            </w:tr>
            <w:tr w14:paraId="2ED53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1D91FF37">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噪声治理措施</w:t>
                  </w:r>
                </w:p>
              </w:tc>
              <w:tc>
                <w:tcPr>
                  <w:tcW w:w="712" w:type="pct"/>
                  <w:noWrap w:val="0"/>
                  <w:vAlign w:val="center"/>
                </w:tcPr>
                <w:p w14:paraId="1B80F6BC">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生产设备</w:t>
                  </w:r>
                </w:p>
              </w:tc>
              <w:tc>
                <w:tcPr>
                  <w:tcW w:w="677" w:type="pct"/>
                  <w:noWrap w:val="0"/>
                  <w:vAlign w:val="center"/>
                </w:tcPr>
                <w:p w14:paraId="1E67C435">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等效连续A声级</w:t>
                  </w:r>
                </w:p>
              </w:tc>
              <w:tc>
                <w:tcPr>
                  <w:tcW w:w="1391" w:type="pct"/>
                  <w:noWrap w:val="0"/>
                  <w:vAlign w:val="center"/>
                </w:tcPr>
                <w:p w14:paraId="185AC918">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选用低噪声设备，减震垫减震、厂房内隔声等</w:t>
                  </w:r>
                </w:p>
              </w:tc>
              <w:tc>
                <w:tcPr>
                  <w:tcW w:w="1392" w:type="pct"/>
                  <w:noWrap w:val="0"/>
                  <w:vAlign w:val="center"/>
                </w:tcPr>
                <w:p w14:paraId="75B52E64">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1"/>
                      <w:lang w:bidi="ar"/>
                    </w:rPr>
                    <w:t>《工业企业厂界环境噪声排放标准》2类标准</w:t>
                  </w:r>
                </w:p>
              </w:tc>
              <w:tc>
                <w:tcPr>
                  <w:tcW w:w="414" w:type="pct"/>
                  <w:vMerge w:val="continue"/>
                  <w:noWrap w:val="0"/>
                  <w:vAlign w:val="center"/>
                </w:tcPr>
                <w:p w14:paraId="1E0D3A84">
                  <w:pPr>
                    <w:widowControl w:val="0"/>
                    <w:spacing w:line="240" w:lineRule="auto"/>
                    <w:ind w:firstLine="0" w:firstLineChars="0"/>
                    <w:jc w:val="center"/>
                    <w:rPr>
                      <w:rFonts w:hint="default" w:ascii="Times New Roman" w:hAnsi="Times New Roman" w:eastAsia="宋体" w:cs="Times New Roman"/>
                      <w:color w:val="auto"/>
                      <w:kern w:val="2"/>
                      <w:sz w:val="21"/>
                      <w:szCs w:val="24"/>
                    </w:rPr>
                  </w:pPr>
                </w:p>
              </w:tc>
            </w:tr>
            <w:tr w14:paraId="6D276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11" w:type="pct"/>
                  <w:vMerge w:val="restart"/>
                  <w:noWrap w:val="0"/>
                  <w:vAlign w:val="center"/>
                </w:tcPr>
                <w:p w14:paraId="54920C4C">
                  <w:pPr>
                    <w:widowControl w:val="0"/>
                    <w:spacing w:line="240" w:lineRule="auto"/>
                    <w:ind w:firstLine="0" w:firstLineChars="0"/>
                    <w:rPr>
                      <w:rFonts w:hint="default" w:ascii="Times New Roman" w:hAnsi="Times New Roman" w:eastAsia="宋体" w:cs="Times New Roman"/>
                      <w:color w:val="auto"/>
                      <w:kern w:val="2"/>
                      <w:sz w:val="21"/>
                      <w:szCs w:val="21"/>
                      <w:lang w:bidi="ar"/>
                    </w:rPr>
                  </w:pPr>
                  <w:r>
                    <w:rPr>
                      <w:rFonts w:hint="default" w:ascii="Times New Roman" w:hAnsi="Times New Roman" w:eastAsia="宋体" w:cs="Times New Roman"/>
                      <w:color w:val="auto"/>
                      <w:kern w:val="2"/>
                      <w:sz w:val="21"/>
                      <w:szCs w:val="21"/>
                      <w:lang w:bidi="ar"/>
                    </w:rPr>
                    <w:t>生态恢复措施</w:t>
                  </w:r>
                </w:p>
              </w:tc>
              <w:tc>
                <w:tcPr>
                  <w:tcW w:w="1107" w:type="dxa"/>
                  <w:shd w:val="clear" w:color="auto" w:fill="auto"/>
                  <w:noWrap w:val="0"/>
                  <w:vAlign w:val="center"/>
                </w:tcPr>
                <w:p w14:paraId="37764373">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rPr>
                    <w:t>施工期</w:t>
                  </w:r>
                </w:p>
              </w:tc>
              <w:tc>
                <w:tcPr>
                  <w:tcW w:w="5382" w:type="dxa"/>
                  <w:gridSpan w:val="3"/>
                  <w:shd w:val="clear" w:color="auto" w:fill="auto"/>
                  <w:noWrap w:val="0"/>
                  <w:vAlign w:val="center"/>
                </w:tcPr>
                <w:p w14:paraId="3E67EB31">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eastAsia"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本项目临时占地面积为</w:t>
                  </w:r>
                  <w:r>
                    <w:rPr>
                      <w:rFonts w:hint="default" w:ascii="Times New Roman" w:hAnsi="Times New Roman" w:eastAsia="宋体" w:cs="Times New Roman"/>
                      <w:b w:val="0"/>
                      <w:bCs/>
                      <w:color w:val="auto"/>
                      <w:sz w:val="21"/>
                      <w:szCs w:val="21"/>
                      <w:lang w:val="en-US" w:eastAsia="zh-CN"/>
                    </w:rPr>
                    <w:t>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，施工</w:t>
                  </w:r>
                  <w:r>
                    <w:rPr>
                      <w:rFonts w:hint="eastAsia" w:ascii="Times New Roman" w:hAnsi="Times New Roman" w:cs="Times New Roman"/>
                      <w:b w:val="0"/>
                      <w:bCs/>
                      <w:color w:val="auto"/>
                      <w:sz w:val="21"/>
                      <w:szCs w:val="21"/>
                      <w:lang w:val="en-US" w:eastAsia="zh-CN"/>
                    </w:rPr>
                    <w:t>期</w:t>
                  </w:r>
                  <w:r>
                    <w:rPr>
                      <w:rFonts w:hint="default" w:ascii="Times New Roman" w:hAnsi="Times New Roman" w:eastAsia="宋体" w:cs="Times New Roman"/>
                      <w:b w:val="0"/>
                      <w:bCs/>
                      <w:color w:val="auto"/>
                      <w:sz w:val="21"/>
                      <w:szCs w:val="21"/>
                      <w:lang w:val="en-US" w:eastAsia="zh-CN"/>
                    </w:rPr>
                    <w:t>结束后恢复面积为5200m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，对施工便道临时占用土地进行平整、临时占地</w:t>
                  </w:r>
                  <w:r>
                    <w:rPr>
                      <w:rFonts w:hint="default" w:ascii="Times New Roman" w:hAnsi="Times New Roman" w:cs="Times New Roman"/>
                      <w:b w:val="0"/>
                      <w:bCs/>
                      <w:color w:val="auto"/>
                      <w:sz w:val="21"/>
                      <w:szCs w:val="21"/>
                      <w:lang w:val="en-US" w:eastAsia="zh-CN"/>
                    </w:rPr>
                    <w:t>按原地类恢复</w:t>
                  </w:r>
                  <w:r>
                    <w:rPr>
                      <w:rFonts w:hint="default" w:ascii="Times New Roman" w:hAnsi="Times New Roman" w:eastAsia="宋体" w:cs="Times New Roman"/>
                      <w:b w:val="0"/>
                      <w:bCs/>
                      <w:color w:val="auto"/>
                      <w:sz w:val="21"/>
                      <w:szCs w:val="21"/>
                      <w:lang w:val="en-US" w:eastAsia="zh-CN"/>
                    </w:rPr>
                    <w:t>。加强对植被的抚育、补种工作，提高施工便道植被覆盖度，恢复植被覆盖度不低于当地原生植被覆盖度，植被成活率达到95%以上。</w:t>
                  </w:r>
                </w:p>
              </w:tc>
              <w:tc>
                <w:tcPr>
                  <w:tcW w:w="414" w:type="pct"/>
                  <w:vMerge w:val="continue"/>
                  <w:noWrap w:val="0"/>
                  <w:vAlign w:val="center"/>
                </w:tcPr>
                <w:p w14:paraId="4B6D8EEC">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r w14:paraId="2AD3C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411" w:type="pct"/>
                  <w:vMerge w:val="continue"/>
                  <w:noWrap w:val="0"/>
                  <w:vAlign w:val="center"/>
                </w:tcPr>
                <w:p w14:paraId="7D892A7E">
                  <w:pPr>
                    <w:widowControl w:val="0"/>
                    <w:spacing w:line="240" w:lineRule="auto"/>
                    <w:ind w:firstLine="0" w:firstLineChars="0"/>
                    <w:rPr>
                      <w:rFonts w:hint="default" w:ascii="Times New Roman" w:hAnsi="Times New Roman" w:eastAsia="宋体" w:cs="Times New Roman"/>
                      <w:color w:val="auto"/>
                      <w:kern w:val="2"/>
                      <w:sz w:val="21"/>
                      <w:szCs w:val="21"/>
                      <w:lang w:bidi="ar"/>
                    </w:rPr>
                  </w:pPr>
                </w:p>
              </w:tc>
              <w:tc>
                <w:tcPr>
                  <w:tcW w:w="1107" w:type="dxa"/>
                  <w:shd w:val="clear" w:color="auto" w:fill="auto"/>
                  <w:noWrap w:val="0"/>
                  <w:vAlign w:val="center"/>
                </w:tcPr>
                <w:p w14:paraId="4607754D">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lang w:val="en-US" w:eastAsia="zh-CN" w:bidi="ar"/>
                    </w:rPr>
                    <w:t>运营期</w:t>
                  </w:r>
                </w:p>
              </w:tc>
              <w:tc>
                <w:tcPr>
                  <w:tcW w:w="5382" w:type="dxa"/>
                  <w:gridSpan w:val="3"/>
                  <w:shd w:val="clear" w:color="auto" w:fill="auto"/>
                  <w:noWrap w:val="0"/>
                  <w:vAlign w:val="center"/>
                </w:tcPr>
                <w:p w14:paraId="18F3DC31">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本项目临时占地面积为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w:t>
                  </w:r>
                  <w:r>
                    <w:rPr>
                      <w:rFonts w:hint="eastAsia" w:cs="Times New Roman"/>
                      <w:b w:val="0"/>
                      <w:bCs/>
                      <w:color w:val="auto"/>
                      <w:sz w:val="21"/>
                      <w:szCs w:val="21"/>
                      <w:lang w:val="en-US" w:eastAsia="zh-CN"/>
                    </w:rPr>
                    <w:t>运营期</w:t>
                  </w:r>
                  <w:r>
                    <w:rPr>
                      <w:rFonts w:hint="default" w:ascii="Times New Roman" w:hAnsi="Times New Roman" w:eastAsia="宋体" w:cs="Times New Roman"/>
                      <w:b w:val="0"/>
                      <w:bCs/>
                      <w:color w:val="auto"/>
                      <w:sz w:val="21"/>
                      <w:szCs w:val="21"/>
                      <w:lang w:val="en-US" w:eastAsia="zh-CN"/>
                    </w:rPr>
                    <w:t>结束后恢复面积为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，生态恢复主要为</w:t>
                  </w:r>
                  <w:r>
                    <w:rPr>
                      <w:rFonts w:hint="default" w:ascii="Times New Roman" w:hAnsi="Times New Roman" w:cs="Times New Roman"/>
                      <w:b w:val="0"/>
                      <w:bCs/>
                      <w:color w:val="auto"/>
                      <w:sz w:val="21"/>
                      <w:szCs w:val="21"/>
                      <w:lang w:val="en-US" w:eastAsia="zh-CN"/>
                    </w:rPr>
                    <w:t>架空管线支架占地恢复和钻孔占地</w:t>
                  </w:r>
                  <w:r>
                    <w:rPr>
                      <w:rFonts w:hint="default" w:ascii="Times New Roman" w:hAnsi="Times New Roman" w:eastAsia="宋体" w:cs="Times New Roman"/>
                      <w:b w:val="0"/>
                      <w:bCs/>
                      <w:color w:val="auto"/>
                      <w:sz w:val="21"/>
                      <w:szCs w:val="21"/>
                      <w:lang w:val="en-US" w:eastAsia="zh-CN"/>
                    </w:rPr>
                    <w:t>恢复</w:t>
                  </w:r>
                  <w:r>
                    <w:rPr>
                      <w:rFonts w:hint="default" w:ascii="Times New Roman" w:hAnsi="Times New Roman" w:cs="Times New Roman"/>
                      <w:b w:val="0"/>
                      <w:bCs/>
                      <w:color w:val="auto"/>
                      <w:sz w:val="21"/>
                      <w:szCs w:val="21"/>
                      <w:lang w:val="en-US" w:eastAsia="zh-CN"/>
                    </w:rPr>
                    <w:t>。</w:t>
                  </w:r>
                </w:p>
                <w:p w14:paraId="38C38FEA">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①架空管线支架占地面积为</w:t>
                  </w:r>
                  <w:r>
                    <w:rPr>
                      <w:rFonts w:hint="default" w:ascii="Times New Roman" w:hAnsi="Times New Roman" w:cs="Times New Roman"/>
                      <w:color w:val="auto"/>
                      <w:sz w:val="21"/>
                      <w:szCs w:val="21"/>
                      <w:lang w:val="en-US" w:eastAsia="zh-CN"/>
                    </w:rPr>
                    <w:t>96</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b w:val="0"/>
                      <w:bCs/>
                      <w:color w:val="auto"/>
                      <w:sz w:val="21"/>
                      <w:szCs w:val="21"/>
                      <w:lang w:val="en-US" w:eastAsia="zh-CN"/>
                    </w:rPr>
                    <w:t>注浆管线注浆结束后，对</w:t>
                  </w:r>
                  <w:r>
                    <w:rPr>
                      <w:rFonts w:hint="default" w:ascii="Times New Roman" w:hAnsi="Times New Roman" w:cs="Times New Roman"/>
                      <w:b w:val="0"/>
                      <w:bCs/>
                      <w:color w:val="auto"/>
                      <w:sz w:val="21"/>
                      <w:szCs w:val="21"/>
                      <w:lang w:val="en-US" w:eastAsia="zh-CN"/>
                    </w:rPr>
                    <w:t>注浆管线支架临时占用土</w:t>
                  </w:r>
                  <w:r>
                    <w:rPr>
                      <w:rFonts w:hint="default" w:ascii="Times New Roman" w:hAnsi="Times New Roman" w:eastAsia="宋体" w:cs="Times New Roman"/>
                      <w:b w:val="0"/>
                      <w:bCs/>
                      <w:color w:val="auto"/>
                      <w:sz w:val="21"/>
                      <w:szCs w:val="21"/>
                      <w:lang w:val="en-US" w:eastAsia="zh-CN"/>
                    </w:rPr>
                    <w:t>地进行平整、</w:t>
                  </w:r>
                  <w:r>
                    <w:rPr>
                      <w:rFonts w:hint="default" w:ascii="Times New Roman" w:hAnsi="Times New Roman" w:cs="Times New Roman"/>
                      <w:b w:val="0"/>
                      <w:bCs/>
                      <w:color w:val="auto"/>
                      <w:sz w:val="21"/>
                      <w:szCs w:val="21"/>
                      <w:lang w:val="en-US" w:eastAsia="zh-CN"/>
                    </w:rPr>
                    <w:t>覆土，</w:t>
                  </w:r>
                  <w:r>
                    <w:rPr>
                      <w:rFonts w:hint="default" w:ascii="Times New Roman" w:hAnsi="Times New Roman" w:eastAsia="宋体" w:cs="Times New Roman"/>
                      <w:b w:val="0"/>
                      <w:bCs/>
                      <w:color w:val="auto"/>
                      <w:sz w:val="21"/>
                      <w:szCs w:val="21"/>
                      <w:lang w:val="en-US" w:eastAsia="zh-CN"/>
                    </w:rPr>
                    <w:t>临时占地按原地类恢复。加强对植被的抚育、补种工作，</w:t>
                  </w:r>
                  <w:r>
                    <w:rPr>
                      <w:rFonts w:hint="default" w:ascii="Times New Roman" w:hAnsi="Times New Roman" w:cs="Times New Roman"/>
                      <w:b w:val="0"/>
                      <w:bCs/>
                      <w:color w:val="auto"/>
                      <w:sz w:val="21"/>
                      <w:szCs w:val="21"/>
                      <w:lang w:val="en-US" w:eastAsia="zh-CN"/>
                    </w:rPr>
                    <w:t>提高注浆管线支架植被覆盖度</w:t>
                  </w:r>
                  <w:r>
                    <w:rPr>
                      <w:rFonts w:hint="default" w:ascii="Times New Roman" w:hAnsi="Times New Roman" w:eastAsia="宋体" w:cs="Times New Roman"/>
                      <w:b w:val="0"/>
                      <w:bCs/>
                      <w:color w:val="auto"/>
                      <w:sz w:val="21"/>
                      <w:szCs w:val="21"/>
                      <w:lang w:val="en-US" w:eastAsia="zh-CN"/>
                    </w:rPr>
                    <w:t>，恢复植被覆盖度不低于当地原生植被覆盖度，植被成活率达到95%以上。</w:t>
                  </w:r>
                </w:p>
                <w:p w14:paraId="6B9BDF46">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b w:val="0"/>
                      <w:bCs w:val="0"/>
                      <w:color w:val="auto"/>
                      <w:kern w:val="2"/>
                      <w:sz w:val="21"/>
                      <w:szCs w:val="21"/>
                      <w:vertAlign w:val="baseline"/>
                      <w:lang w:val="en-US" w:eastAsia="zh-CN" w:bidi="ar"/>
                    </w:rPr>
                    <w:t>②注浆钻孔70个，钻注浆孔</w:t>
                  </w:r>
                  <w:r>
                    <w:rPr>
                      <w:rFonts w:hint="default" w:ascii="Times New Roman" w:hAnsi="Times New Roman" w:cs="Times New Roman"/>
                      <w:color w:val="auto"/>
                      <w:sz w:val="21"/>
                      <w:szCs w:val="21"/>
                      <w:lang w:val="en-US" w:eastAsia="zh-CN"/>
                    </w:rPr>
                    <w:t>占地面积计7000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cs="Times New Roman"/>
                      <w:b w:val="0"/>
                      <w:bCs w:val="0"/>
                      <w:color w:val="auto"/>
                      <w:kern w:val="2"/>
                      <w:sz w:val="21"/>
                      <w:szCs w:val="21"/>
                      <w:vertAlign w:val="baseline"/>
                      <w:lang w:val="en-US" w:eastAsia="zh-CN" w:bidi="ar"/>
                    </w:rPr>
                    <w:t>注浆结束对注浆钻孔进行封孔后，对场地平整、覆土，临时占地按原地类恢复。加强对植被的抚育、补种工作，提高注浆钻孔植被覆盖度，恢复植被覆盖度不低于当地原生植被覆盖度，植被成活率达到95%以上。</w:t>
                  </w:r>
                </w:p>
              </w:tc>
              <w:tc>
                <w:tcPr>
                  <w:tcW w:w="414" w:type="pct"/>
                  <w:vMerge w:val="continue"/>
                  <w:noWrap w:val="0"/>
                  <w:vAlign w:val="center"/>
                </w:tcPr>
                <w:p w14:paraId="5A02E37A">
                  <w:pPr>
                    <w:widowControl w:val="0"/>
                    <w:spacing w:line="240" w:lineRule="auto"/>
                    <w:ind w:firstLine="0" w:firstLineChars="0"/>
                    <w:rPr>
                      <w:rFonts w:hint="default" w:ascii="Times New Roman" w:hAnsi="Times New Roman" w:eastAsia="宋体" w:cs="Times New Roman"/>
                      <w:color w:val="auto"/>
                      <w:kern w:val="2"/>
                      <w:sz w:val="21"/>
                      <w:szCs w:val="21"/>
                      <w:lang w:bidi="ar"/>
                    </w:rPr>
                  </w:pPr>
                </w:p>
              </w:tc>
            </w:tr>
            <w:tr w14:paraId="79E33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411" w:type="pct"/>
                  <w:vMerge w:val="continue"/>
                  <w:noWrap w:val="0"/>
                  <w:vAlign w:val="center"/>
                </w:tcPr>
                <w:p w14:paraId="552B3CC7">
                  <w:pPr>
                    <w:widowControl w:val="0"/>
                    <w:spacing w:line="240" w:lineRule="auto"/>
                    <w:ind w:firstLine="0" w:firstLineChars="0"/>
                    <w:rPr>
                      <w:rFonts w:hint="default" w:ascii="Times New Roman" w:hAnsi="Times New Roman" w:eastAsia="宋体" w:cs="Times New Roman"/>
                      <w:color w:val="auto"/>
                      <w:kern w:val="2"/>
                      <w:sz w:val="20"/>
                      <w:szCs w:val="20"/>
                    </w:rPr>
                  </w:pPr>
                </w:p>
              </w:tc>
              <w:tc>
                <w:tcPr>
                  <w:tcW w:w="1390" w:type="pct"/>
                  <w:gridSpan w:val="2"/>
                  <w:noWrap w:val="0"/>
                  <w:vAlign w:val="center"/>
                </w:tcPr>
                <w:p w14:paraId="464789B4">
                  <w:pPr>
                    <w:widowControl w:val="0"/>
                    <w:spacing w:line="240" w:lineRule="auto"/>
                    <w:ind w:firstLine="0" w:firstLineChars="0"/>
                    <w:jc w:val="center"/>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环境管理与环境监测</w:t>
                  </w:r>
                </w:p>
              </w:tc>
              <w:tc>
                <w:tcPr>
                  <w:tcW w:w="2783" w:type="pct"/>
                  <w:gridSpan w:val="2"/>
                  <w:noWrap w:val="0"/>
                  <w:vAlign w:val="center"/>
                </w:tcPr>
                <w:p w14:paraId="1682F00C">
                  <w:pPr>
                    <w:widowControl w:val="0"/>
                    <w:spacing w:line="240" w:lineRule="auto"/>
                    <w:ind w:firstLine="0" w:firstLineChars="0"/>
                    <w:jc w:val="left"/>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1、设有环境保护管理与监测机构，有2 名专职环保管理人员；</w:t>
                  </w:r>
                </w:p>
                <w:p w14:paraId="0279093F">
                  <w:pPr>
                    <w:widowControl w:val="0"/>
                    <w:spacing w:line="240" w:lineRule="auto"/>
                    <w:ind w:firstLine="0" w:firstLineChars="0"/>
                    <w:jc w:val="left"/>
                    <w:rPr>
                      <w:rFonts w:hint="default" w:ascii="Times New Roman" w:hAnsi="Times New Roman" w:eastAsia="宋体" w:cs="Times New Roman"/>
                      <w:color w:val="auto"/>
                      <w:kern w:val="2"/>
                      <w:sz w:val="21"/>
                      <w:szCs w:val="24"/>
                    </w:rPr>
                  </w:pPr>
                  <w:r>
                    <w:rPr>
                      <w:rFonts w:hint="default" w:ascii="Times New Roman" w:hAnsi="Times New Roman" w:eastAsia="宋体" w:cs="Times New Roman"/>
                      <w:color w:val="auto"/>
                      <w:kern w:val="2"/>
                      <w:sz w:val="21"/>
                      <w:szCs w:val="24"/>
                      <w:lang w:bidi="ar"/>
                    </w:rPr>
                    <w:t>2、有完善的环境管理和环境监测工作制度</w:t>
                  </w:r>
                </w:p>
              </w:tc>
              <w:tc>
                <w:tcPr>
                  <w:tcW w:w="414" w:type="pct"/>
                  <w:vMerge w:val="continue"/>
                  <w:noWrap w:val="0"/>
                  <w:vAlign w:val="center"/>
                </w:tcPr>
                <w:p w14:paraId="0F75D738">
                  <w:pPr>
                    <w:widowControl w:val="0"/>
                    <w:spacing w:line="240" w:lineRule="auto"/>
                    <w:ind w:firstLine="0" w:firstLineChars="0"/>
                    <w:jc w:val="center"/>
                    <w:rPr>
                      <w:rFonts w:hint="default" w:ascii="Times New Roman" w:hAnsi="Times New Roman" w:eastAsia="宋体" w:cs="Times New Roman"/>
                      <w:color w:val="auto"/>
                      <w:kern w:val="2"/>
                      <w:sz w:val="21"/>
                      <w:szCs w:val="21"/>
                    </w:rPr>
                  </w:pPr>
                </w:p>
              </w:tc>
            </w:tr>
          </w:tbl>
          <w:p w14:paraId="50C21808">
            <w:pPr>
              <w:jc w:val="center"/>
              <w:rPr>
                <w:rFonts w:hint="default" w:ascii="Times New Roman" w:hAnsi="Times New Roman" w:eastAsia="宋体" w:cs="Times New Roman"/>
                <w:bCs/>
                <w:color w:val="auto"/>
                <w:szCs w:val="21"/>
                <w:vertAlign w:val="baseline"/>
              </w:rPr>
            </w:pPr>
          </w:p>
        </w:tc>
      </w:tr>
    </w:tbl>
    <w:p w14:paraId="08F58482">
      <w:pPr>
        <w:ind w:firstLine="0" w:firstLineChars="0"/>
        <w:jc w:val="center"/>
        <w:rPr>
          <w:rFonts w:hint="default" w:ascii="Times New Roman" w:hAnsi="Times New Roman" w:eastAsia="宋体" w:cs="Times New Roman"/>
          <w:bCs/>
          <w:color w:val="auto"/>
          <w:szCs w:val="21"/>
        </w:rPr>
        <w:sectPr>
          <w:pgSz w:w="11906" w:h="16838"/>
          <w:pgMar w:top="1440" w:right="1800" w:bottom="1440" w:left="1800" w:header="992" w:footer="992" w:gutter="0"/>
          <w:pgBorders>
            <w:top w:val="none" w:sz="0" w:space="0"/>
            <w:left w:val="none" w:sz="0" w:space="0"/>
            <w:bottom w:val="none" w:sz="0" w:space="0"/>
            <w:right w:val="none" w:sz="0" w:space="0"/>
          </w:pgBorders>
          <w:cols w:space="425" w:num="1"/>
          <w:docGrid w:type="lines" w:linePitch="312" w:charSpace="0"/>
        </w:sectPr>
      </w:pPr>
    </w:p>
    <w:bookmarkEnd w:id="26"/>
    <w:p w14:paraId="3FC5CC0C">
      <w:pPr>
        <w:pStyle w:val="2"/>
        <w:ind w:firstLine="640"/>
        <w:jc w:val="center"/>
        <w:rPr>
          <w:rFonts w:hint="default" w:ascii="Times New Roman" w:hAnsi="Times New Roman" w:eastAsia="宋体" w:cs="Times New Roman"/>
          <w:snapToGrid w:val="0"/>
          <w:color w:val="auto"/>
        </w:rPr>
      </w:pPr>
      <w:bookmarkStart w:id="39" w:name="_Toc144507129"/>
      <w:r>
        <w:rPr>
          <w:rFonts w:hint="default" w:ascii="Times New Roman" w:hAnsi="Times New Roman" w:eastAsia="宋体" w:cs="Times New Roman"/>
          <w:snapToGrid w:val="0"/>
          <w:color w:val="auto"/>
        </w:rPr>
        <w:t>五</w:t>
      </w:r>
      <w:bookmarkStart w:id="40" w:name="_Hlk54167917"/>
      <w:r>
        <w:rPr>
          <w:rFonts w:hint="default" w:ascii="Times New Roman" w:hAnsi="Times New Roman" w:eastAsia="宋体" w:cs="Times New Roman"/>
          <w:snapToGrid w:val="0"/>
          <w:color w:val="auto"/>
          <w:lang w:eastAsia="zh-CN"/>
        </w:rPr>
        <w:t>、</w:t>
      </w:r>
      <w:r>
        <w:rPr>
          <w:rFonts w:hint="default" w:ascii="Times New Roman" w:hAnsi="Times New Roman" w:eastAsia="宋体" w:cs="Times New Roman"/>
          <w:snapToGrid w:val="0"/>
          <w:color w:val="auto"/>
        </w:rPr>
        <w:t>环境保护措施监督检查清单</w:t>
      </w:r>
      <w:bookmarkEnd w:id="39"/>
      <w:bookmarkEnd w:id="40"/>
    </w:p>
    <w:tbl>
      <w:tblPr>
        <w:tblStyle w:val="25"/>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829"/>
        <w:gridCol w:w="1312"/>
        <w:gridCol w:w="1887"/>
        <w:gridCol w:w="1994"/>
      </w:tblGrid>
      <w:tr w14:paraId="161E17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42FEA717">
            <w:pPr>
              <w:keepNext w:val="0"/>
              <w:keepLines w:val="0"/>
              <w:pageBreakBefore w:val="0"/>
              <w:widowControl w:val="0"/>
              <w:kinsoku/>
              <w:wordWrap/>
              <w:overflowPunct/>
              <w:topLinePunct w:val="0"/>
              <w:autoSpaceDE/>
              <w:autoSpaceDN/>
              <w:bidi w:val="0"/>
              <w:adjustRightInd w:val="0"/>
              <w:snapToGrid w:val="0"/>
              <w:spacing w:line="240" w:lineRule="auto"/>
              <w:ind w:firstLine="840" w:firstLineChars="0"/>
              <w:textAlignment w:val="auto"/>
              <w:rPr>
                <w:rFonts w:hint="default" w:ascii="Times New Roman" w:hAnsi="Times New Roman" w:eastAsia="宋体" w:cs="Times New Roman"/>
                <w:color w:val="auto"/>
                <w:kern w:val="2"/>
                <w:sz w:val="21"/>
                <w:szCs w:val="21"/>
                <w:highlight w:val="none"/>
              </w:rPr>
            </w:pPr>
            <w:bookmarkStart w:id="41" w:name="_Toc144507130"/>
            <w:r>
              <w:rPr>
                <w:rFonts w:hint="default" w:ascii="Times New Roman" w:hAnsi="Times New Roman" w:eastAsia="宋体" w:cs="Times New Roman"/>
                <w:color w:val="auto"/>
                <w:kern w:val="2"/>
                <w:sz w:val="21"/>
                <w:szCs w:val="21"/>
                <w:highlight w:val="none"/>
              </w:rPr>
              <w:t>内容</w:t>
            </w:r>
          </w:p>
          <w:p w14:paraId="0D452C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要素</w:t>
            </w:r>
          </w:p>
        </w:tc>
        <w:tc>
          <w:tcPr>
            <w:tcW w:w="1829" w:type="dxa"/>
            <w:noWrap w:val="0"/>
            <w:vAlign w:val="center"/>
          </w:tcPr>
          <w:p w14:paraId="3AA11A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排放口(编号、</w:t>
            </w:r>
          </w:p>
          <w:p w14:paraId="3E72C4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名称)/污染源</w:t>
            </w:r>
          </w:p>
        </w:tc>
        <w:tc>
          <w:tcPr>
            <w:tcW w:w="1312" w:type="dxa"/>
            <w:noWrap w:val="0"/>
            <w:vAlign w:val="center"/>
          </w:tcPr>
          <w:p w14:paraId="6703E4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污染物项目</w:t>
            </w:r>
          </w:p>
        </w:tc>
        <w:tc>
          <w:tcPr>
            <w:tcW w:w="1887" w:type="dxa"/>
            <w:noWrap w:val="0"/>
            <w:vAlign w:val="center"/>
          </w:tcPr>
          <w:p w14:paraId="5C21F8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环境保护措施</w:t>
            </w:r>
          </w:p>
        </w:tc>
        <w:tc>
          <w:tcPr>
            <w:tcW w:w="1994" w:type="dxa"/>
            <w:noWrap w:val="0"/>
            <w:vAlign w:val="center"/>
          </w:tcPr>
          <w:p w14:paraId="43155A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执行标准</w:t>
            </w:r>
          </w:p>
        </w:tc>
      </w:tr>
      <w:tr w14:paraId="72F5D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66C937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大气环境</w:t>
            </w:r>
          </w:p>
        </w:tc>
        <w:tc>
          <w:tcPr>
            <w:tcW w:w="1829" w:type="dxa"/>
            <w:noWrap w:val="0"/>
            <w:vAlign w:val="center"/>
          </w:tcPr>
          <w:p w14:paraId="78883C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一级破碎粉尘</w:t>
            </w:r>
          </w:p>
        </w:tc>
        <w:tc>
          <w:tcPr>
            <w:tcW w:w="1312" w:type="dxa"/>
            <w:noWrap w:val="0"/>
            <w:vAlign w:val="center"/>
          </w:tcPr>
          <w:p w14:paraId="021E66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颗粒物</w:t>
            </w:r>
          </w:p>
        </w:tc>
        <w:tc>
          <w:tcPr>
            <w:tcW w:w="1887" w:type="dxa"/>
            <w:noWrap w:val="0"/>
            <w:vAlign w:val="center"/>
          </w:tcPr>
          <w:p w14:paraId="314AFE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采用湿式除尘洗气机（1#）除尘后经20m排气筒排放</w:t>
            </w:r>
            <w:r>
              <w:rPr>
                <w:rFonts w:hint="default" w:ascii="Times New Roman" w:hAnsi="Times New Roman" w:eastAsia="宋体" w:cs="Times New Roman"/>
                <w:color w:val="auto"/>
                <w:kern w:val="2"/>
                <w:sz w:val="21"/>
                <w:szCs w:val="21"/>
                <w:highlight w:val="none"/>
                <w:lang w:bidi="ar"/>
              </w:rPr>
              <w:t>（P</w:t>
            </w:r>
            <w:r>
              <w:rPr>
                <w:rFonts w:hint="default" w:ascii="Times New Roman" w:hAnsi="Times New Roman" w:eastAsia="宋体" w:cs="Times New Roman"/>
                <w:color w:val="auto"/>
                <w:kern w:val="2"/>
                <w:sz w:val="21"/>
                <w:szCs w:val="21"/>
                <w:highlight w:val="none"/>
                <w:lang w:val="en-US" w:eastAsia="zh-CN" w:bidi="ar"/>
              </w:rPr>
              <w:t>1</w:t>
            </w:r>
            <w:r>
              <w:rPr>
                <w:rFonts w:hint="default" w:ascii="Times New Roman" w:hAnsi="Times New Roman" w:eastAsia="宋体" w:cs="Times New Roman"/>
                <w:color w:val="auto"/>
                <w:kern w:val="2"/>
                <w:sz w:val="21"/>
                <w:szCs w:val="21"/>
                <w:highlight w:val="none"/>
                <w:lang w:bidi="ar"/>
              </w:rPr>
              <w:t>）</w:t>
            </w:r>
          </w:p>
        </w:tc>
        <w:tc>
          <w:tcPr>
            <w:tcW w:w="1994" w:type="dxa"/>
            <w:noWrap w:val="0"/>
            <w:vAlign w:val="center"/>
          </w:tcPr>
          <w:p w14:paraId="6CD310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《煤炭工业污染物排放标准》（GB20426-2006）</w:t>
            </w:r>
          </w:p>
        </w:tc>
      </w:tr>
      <w:tr w14:paraId="422EBA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13C5FC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c>
          <w:tcPr>
            <w:tcW w:w="1829" w:type="dxa"/>
            <w:noWrap w:val="0"/>
            <w:vAlign w:val="center"/>
          </w:tcPr>
          <w:p w14:paraId="6F456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二级破碎粉尘</w:t>
            </w:r>
          </w:p>
        </w:tc>
        <w:tc>
          <w:tcPr>
            <w:tcW w:w="1312" w:type="dxa"/>
            <w:noWrap w:val="0"/>
            <w:vAlign w:val="center"/>
          </w:tcPr>
          <w:p w14:paraId="6F9A8F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颗粒物</w:t>
            </w:r>
          </w:p>
        </w:tc>
        <w:tc>
          <w:tcPr>
            <w:tcW w:w="1887" w:type="dxa"/>
            <w:noWrap w:val="0"/>
            <w:vAlign w:val="center"/>
          </w:tcPr>
          <w:p w14:paraId="356117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采用湿式除尘洗气机（2#）除尘后经20m排气筒排放</w:t>
            </w:r>
            <w:r>
              <w:rPr>
                <w:rFonts w:hint="default" w:ascii="Times New Roman" w:hAnsi="Times New Roman" w:eastAsia="宋体" w:cs="Times New Roman"/>
                <w:color w:val="auto"/>
                <w:kern w:val="2"/>
                <w:sz w:val="21"/>
                <w:szCs w:val="21"/>
                <w:highlight w:val="none"/>
                <w:lang w:bidi="ar"/>
              </w:rPr>
              <w:t>（P2）</w:t>
            </w:r>
          </w:p>
        </w:tc>
        <w:tc>
          <w:tcPr>
            <w:tcW w:w="1994" w:type="dxa"/>
            <w:noWrap w:val="0"/>
            <w:vAlign w:val="center"/>
          </w:tcPr>
          <w:p w14:paraId="5B332B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《煤炭工业污染物排放标准》（GB20426-2006）</w:t>
            </w:r>
          </w:p>
        </w:tc>
      </w:tr>
      <w:tr w14:paraId="0CB482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45432C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c>
          <w:tcPr>
            <w:tcW w:w="1829" w:type="dxa"/>
            <w:noWrap w:val="0"/>
            <w:vAlign w:val="center"/>
          </w:tcPr>
          <w:p w14:paraId="7CB522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
              </w:rPr>
              <w:t>注浆站配料</w:t>
            </w:r>
            <w:r>
              <w:rPr>
                <w:rFonts w:hint="default" w:ascii="Times New Roman" w:hAnsi="Times New Roman" w:eastAsia="宋体" w:cs="Times New Roman"/>
                <w:color w:val="auto"/>
                <w:kern w:val="2"/>
                <w:sz w:val="21"/>
                <w:szCs w:val="21"/>
                <w:highlight w:val="none"/>
                <w:lang w:bidi="ar"/>
              </w:rPr>
              <w:t>粉尘</w:t>
            </w:r>
          </w:p>
        </w:tc>
        <w:tc>
          <w:tcPr>
            <w:tcW w:w="1312" w:type="dxa"/>
            <w:noWrap w:val="0"/>
            <w:vAlign w:val="center"/>
          </w:tcPr>
          <w:p w14:paraId="29E759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bidi="ar"/>
              </w:rPr>
              <w:t>颗粒物</w:t>
            </w:r>
          </w:p>
        </w:tc>
        <w:tc>
          <w:tcPr>
            <w:tcW w:w="1887" w:type="dxa"/>
            <w:noWrap w:val="0"/>
            <w:vAlign w:val="center"/>
          </w:tcPr>
          <w:p w14:paraId="692766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采用湿式除尘洗气机（3#）除尘后经20m排气筒排放</w:t>
            </w:r>
            <w:r>
              <w:rPr>
                <w:rFonts w:hint="default" w:ascii="Times New Roman" w:hAnsi="Times New Roman" w:eastAsia="宋体" w:cs="Times New Roman"/>
                <w:color w:val="auto"/>
                <w:kern w:val="2"/>
                <w:sz w:val="21"/>
                <w:szCs w:val="21"/>
                <w:highlight w:val="none"/>
                <w:lang w:bidi="ar"/>
              </w:rPr>
              <w:t>（P</w:t>
            </w:r>
            <w:r>
              <w:rPr>
                <w:rFonts w:hint="default" w:ascii="Times New Roman" w:hAnsi="Times New Roman" w:eastAsia="宋体" w:cs="Times New Roman"/>
                <w:color w:val="auto"/>
                <w:kern w:val="2"/>
                <w:sz w:val="21"/>
                <w:szCs w:val="21"/>
                <w:highlight w:val="none"/>
                <w:lang w:val="en-US" w:eastAsia="zh-CN" w:bidi="ar"/>
              </w:rPr>
              <w:t>3</w:t>
            </w:r>
            <w:r>
              <w:rPr>
                <w:rFonts w:hint="default" w:ascii="Times New Roman" w:hAnsi="Times New Roman" w:eastAsia="宋体" w:cs="Times New Roman"/>
                <w:color w:val="auto"/>
                <w:kern w:val="2"/>
                <w:sz w:val="21"/>
                <w:szCs w:val="21"/>
                <w:highlight w:val="none"/>
                <w:lang w:bidi="ar"/>
              </w:rPr>
              <w:t>）</w:t>
            </w:r>
          </w:p>
        </w:tc>
        <w:tc>
          <w:tcPr>
            <w:tcW w:w="1994" w:type="dxa"/>
            <w:noWrap w:val="0"/>
            <w:vAlign w:val="center"/>
          </w:tcPr>
          <w:p w14:paraId="0DFB9D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bidi="ar"/>
              </w:rPr>
              <w:t>《煤炭工业污染物排放标准》（GB20426-2006）</w:t>
            </w:r>
          </w:p>
        </w:tc>
      </w:tr>
      <w:tr w14:paraId="3F4E05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643E84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c>
          <w:tcPr>
            <w:tcW w:w="1829" w:type="dxa"/>
            <w:shd w:val="clear" w:color="auto" w:fill="auto"/>
            <w:noWrap w:val="0"/>
            <w:vAlign w:val="center"/>
          </w:tcPr>
          <w:p w14:paraId="1F7C53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rPr>
              <w:t>皮带运输粉尘</w:t>
            </w:r>
          </w:p>
        </w:tc>
        <w:tc>
          <w:tcPr>
            <w:tcW w:w="1312" w:type="dxa"/>
            <w:shd w:val="clear" w:color="auto" w:fill="auto"/>
            <w:noWrap w:val="0"/>
            <w:vAlign w:val="center"/>
          </w:tcPr>
          <w:p w14:paraId="08D73E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bidi="ar"/>
              </w:rPr>
              <w:t>颗粒物</w:t>
            </w:r>
          </w:p>
        </w:tc>
        <w:tc>
          <w:tcPr>
            <w:tcW w:w="1887" w:type="dxa"/>
            <w:shd w:val="clear" w:color="auto" w:fill="auto"/>
            <w:noWrap w:val="0"/>
            <w:vAlign w:val="center"/>
          </w:tcPr>
          <w:p w14:paraId="7E8CB4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lang w:val="en-US" w:eastAsia="zh-CN"/>
              </w:rPr>
              <w:t>矸石输送采用全封闭式带式输送机并喷雾洒水抑尘</w:t>
            </w:r>
          </w:p>
        </w:tc>
        <w:tc>
          <w:tcPr>
            <w:tcW w:w="1994" w:type="dxa"/>
            <w:shd w:val="clear" w:color="auto" w:fill="auto"/>
            <w:noWrap w:val="0"/>
            <w:vAlign w:val="center"/>
          </w:tcPr>
          <w:p w14:paraId="7121D4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bidi="ar"/>
              </w:rPr>
              <w:t>《煤炭工业污染物排放标准》（GB20426-2006）</w:t>
            </w:r>
          </w:p>
        </w:tc>
      </w:tr>
      <w:tr w14:paraId="7D0788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316450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c>
          <w:tcPr>
            <w:tcW w:w="1829" w:type="dxa"/>
            <w:noWrap w:val="0"/>
            <w:vAlign w:val="center"/>
          </w:tcPr>
          <w:p w14:paraId="3E3F29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破碎车间未收集粉尘</w:t>
            </w:r>
          </w:p>
        </w:tc>
        <w:tc>
          <w:tcPr>
            <w:tcW w:w="1312" w:type="dxa"/>
            <w:noWrap w:val="0"/>
            <w:vAlign w:val="center"/>
          </w:tcPr>
          <w:p w14:paraId="287AF6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bidi="ar"/>
              </w:rPr>
              <w:t>颗粒物</w:t>
            </w:r>
          </w:p>
        </w:tc>
        <w:tc>
          <w:tcPr>
            <w:tcW w:w="1887" w:type="dxa"/>
            <w:noWrap w:val="0"/>
            <w:vAlign w:val="center"/>
          </w:tcPr>
          <w:p w14:paraId="52089DA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破碎车间全封闭并喷雾洒水抑尘。</w:t>
            </w:r>
          </w:p>
        </w:tc>
        <w:tc>
          <w:tcPr>
            <w:tcW w:w="1994" w:type="dxa"/>
            <w:noWrap w:val="0"/>
            <w:vAlign w:val="center"/>
          </w:tcPr>
          <w:p w14:paraId="4AF7AE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bidi="ar"/>
              </w:rPr>
              <w:t>《煤炭工业污染物排放标准》（GB20426-2006</w:t>
            </w:r>
          </w:p>
        </w:tc>
      </w:tr>
      <w:tr w14:paraId="1A0435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14:paraId="5573DB1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地表水环境</w:t>
            </w:r>
          </w:p>
        </w:tc>
        <w:tc>
          <w:tcPr>
            <w:tcW w:w="1829" w:type="dxa"/>
            <w:noWrap w:val="0"/>
            <w:vAlign w:val="center"/>
          </w:tcPr>
          <w:p w14:paraId="2B96BE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生活污水</w:t>
            </w:r>
          </w:p>
        </w:tc>
        <w:tc>
          <w:tcPr>
            <w:tcW w:w="1312" w:type="dxa"/>
            <w:noWrap w:val="0"/>
            <w:vAlign w:val="center"/>
          </w:tcPr>
          <w:p w14:paraId="1C0E846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pt-BR" w:bidi="ar"/>
              </w:rPr>
              <w:t>COD、BOD</w:t>
            </w:r>
            <w:r>
              <w:rPr>
                <w:rFonts w:hint="default" w:ascii="Times New Roman" w:hAnsi="Times New Roman" w:eastAsia="宋体" w:cs="Times New Roman"/>
                <w:color w:val="auto"/>
                <w:kern w:val="2"/>
                <w:sz w:val="21"/>
                <w:szCs w:val="21"/>
                <w:highlight w:val="none"/>
                <w:vertAlign w:val="subscript"/>
                <w:lang w:val="pt-BR" w:bidi="ar"/>
              </w:rPr>
              <w:t>5</w:t>
            </w:r>
            <w:r>
              <w:rPr>
                <w:rFonts w:hint="default" w:ascii="Times New Roman" w:hAnsi="Times New Roman" w:eastAsia="宋体" w:cs="Times New Roman"/>
                <w:color w:val="auto"/>
                <w:kern w:val="2"/>
                <w:sz w:val="21"/>
                <w:szCs w:val="21"/>
                <w:highlight w:val="none"/>
                <w:lang w:val="pt-BR" w:bidi="ar"/>
              </w:rPr>
              <w:t>、氨氮、SS</w:t>
            </w:r>
          </w:p>
        </w:tc>
        <w:tc>
          <w:tcPr>
            <w:tcW w:w="1887" w:type="dxa"/>
            <w:noWrap w:val="0"/>
            <w:vAlign w:val="center"/>
          </w:tcPr>
          <w:p w14:paraId="0E15C79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依托现有</w:t>
            </w:r>
            <w:r>
              <w:rPr>
                <w:rFonts w:hint="default" w:ascii="Times New Roman" w:hAnsi="Times New Roman" w:eastAsia="宋体" w:cs="Times New Roman"/>
                <w:color w:val="auto"/>
                <w:kern w:val="2"/>
                <w:sz w:val="21"/>
                <w:szCs w:val="21"/>
                <w:highlight w:val="none"/>
                <w:lang w:val="en-US" w:eastAsia="zh-CN" w:bidi="ar"/>
              </w:rPr>
              <w:t>生活污水</w:t>
            </w:r>
            <w:r>
              <w:rPr>
                <w:rFonts w:hint="default" w:ascii="Times New Roman" w:hAnsi="Times New Roman" w:eastAsia="宋体" w:cs="Times New Roman"/>
                <w:color w:val="auto"/>
                <w:kern w:val="2"/>
                <w:sz w:val="21"/>
                <w:szCs w:val="21"/>
                <w:highlight w:val="none"/>
                <w:lang w:bidi="ar"/>
              </w:rPr>
              <w:t>处理</w:t>
            </w:r>
            <w:r>
              <w:rPr>
                <w:rFonts w:hint="default" w:ascii="Times New Roman" w:hAnsi="Times New Roman" w:eastAsia="宋体" w:cs="Times New Roman"/>
                <w:color w:val="auto"/>
                <w:kern w:val="2"/>
                <w:sz w:val="21"/>
                <w:szCs w:val="21"/>
                <w:highlight w:val="none"/>
                <w:lang w:val="en-US" w:eastAsia="zh-CN" w:bidi="ar"/>
              </w:rPr>
              <w:t>站</w:t>
            </w:r>
            <w:r>
              <w:rPr>
                <w:rFonts w:hint="default" w:ascii="Times New Roman" w:hAnsi="Times New Roman" w:eastAsia="宋体" w:cs="Times New Roman"/>
                <w:color w:val="auto"/>
                <w:kern w:val="2"/>
                <w:sz w:val="21"/>
                <w:szCs w:val="21"/>
                <w:highlight w:val="none"/>
                <w:lang w:bidi="ar"/>
              </w:rPr>
              <w:t>处理达标后用于绿化和降尘洒水等</w:t>
            </w:r>
          </w:p>
        </w:tc>
        <w:tc>
          <w:tcPr>
            <w:tcW w:w="1994" w:type="dxa"/>
            <w:noWrap w:val="0"/>
            <w:vAlign w:val="center"/>
          </w:tcPr>
          <w:p w14:paraId="556973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《城市污水再生利用城市杂用水水质》(GB/T 18920-2020)中绿化、道路清扫标准</w:t>
            </w:r>
          </w:p>
        </w:tc>
      </w:tr>
      <w:tr w14:paraId="3AF675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2163AC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c>
          <w:tcPr>
            <w:tcW w:w="1829" w:type="dxa"/>
            <w:noWrap w:val="0"/>
            <w:vAlign w:val="center"/>
          </w:tcPr>
          <w:p w14:paraId="394012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地面冲洗废水</w:t>
            </w:r>
          </w:p>
        </w:tc>
        <w:tc>
          <w:tcPr>
            <w:tcW w:w="1312" w:type="dxa"/>
            <w:noWrap w:val="0"/>
            <w:vAlign w:val="center"/>
          </w:tcPr>
          <w:p w14:paraId="3F034820">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bidi="ar"/>
              </w:rPr>
              <w:t>SS</w:t>
            </w:r>
          </w:p>
        </w:tc>
        <w:tc>
          <w:tcPr>
            <w:tcW w:w="1887" w:type="dxa"/>
            <w:noWrap w:val="0"/>
            <w:vAlign w:val="center"/>
          </w:tcPr>
          <w:p w14:paraId="30043AF2">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lang w:val="en-US" w:eastAsia="zh-CN"/>
              </w:rPr>
              <w:t>经收集池收集后回用于球磨工序，不外排。</w:t>
            </w:r>
          </w:p>
        </w:tc>
        <w:tc>
          <w:tcPr>
            <w:tcW w:w="1994" w:type="dxa"/>
            <w:noWrap w:val="0"/>
            <w:vAlign w:val="center"/>
          </w:tcPr>
          <w:p w14:paraId="23A6EC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
              </w:rPr>
              <w:t>/</w:t>
            </w:r>
          </w:p>
        </w:tc>
      </w:tr>
      <w:tr w14:paraId="7AF8BA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noWrap w:val="0"/>
            <w:vAlign w:val="center"/>
          </w:tcPr>
          <w:p w14:paraId="4BAF74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c>
          <w:tcPr>
            <w:tcW w:w="1829" w:type="dxa"/>
            <w:noWrap w:val="0"/>
            <w:vAlign w:val="center"/>
          </w:tcPr>
          <w:p w14:paraId="024507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注浆管道冲洗废水</w:t>
            </w:r>
          </w:p>
        </w:tc>
        <w:tc>
          <w:tcPr>
            <w:tcW w:w="1312" w:type="dxa"/>
            <w:noWrap w:val="0"/>
            <w:vAlign w:val="center"/>
          </w:tcPr>
          <w:p w14:paraId="16DEDD79">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lang w:val="en-US" w:eastAsia="zh-CN" w:bidi="ar"/>
              </w:rPr>
              <w:t>SS</w:t>
            </w:r>
          </w:p>
        </w:tc>
        <w:tc>
          <w:tcPr>
            <w:tcW w:w="1887" w:type="dxa"/>
            <w:noWrap w:val="0"/>
            <w:vAlign w:val="center"/>
          </w:tcPr>
          <w:p w14:paraId="5CE46027">
            <w:pPr>
              <w:keepNext w:val="0"/>
              <w:keepLines w:val="0"/>
              <w:pageBreakBefore w:val="0"/>
              <w:widowControl w:val="0"/>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lang w:val="en-US" w:eastAsia="zh-CN"/>
              </w:rPr>
              <w:t>进入注浆管道随矸石浆液充填井下</w:t>
            </w:r>
          </w:p>
        </w:tc>
        <w:tc>
          <w:tcPr>
            <w:tcW w:w="1994" w:type="dxa"/>
            <w:noWrap w:val="0"/>
            <w:vAlign w:val="center"/>
          </w:tcPr>
          <w:p w14:paraId="20CEDF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w:t>
            </w:r>
          </w:p>
        </w:tc>
      </w:tr>
      <w:tr w14:paraId="4F208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02302D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声环境</w:t>
            </w:r>
          </w:p>
        </w:tc>
        <w:tc>
          <w:tcPr>
            <w:tcW w:w="1829" w:type="dxa"/>
            <w:noWrap w:val="0"/>
            <w:vAlign w:val="center"/>
          </w:tcPr>
          <w:p w14:paraId="7AEE39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运营期设备噪声</w:t>
            </w:r>
          </w:p>
        </w:tc>
        <w:tc>
          <w:tcPr>
            <w:tcW w:w="1312" w:type="dxa"/>
            <w:noWrap w:val="0"/>
            <w:vAlign w:val="center"/>
          </w:tcPr>
          <w:p w14:paraId="593830EC">
            <w:pPr>
              <w:keepNext w:val="0"/>
              <w:keepLines w:val="0"/>
              <w:pageBreakBefore w:val="0"/>
              <w:widowControl/>
              <w:kinsoku/>
              <w:wordWrap/>
              <w:overflowPunct/>
              <w:topLinePunct w:val="0"/>
              <w:autoSpaceDE/>
              <w:autoSpaceDN/>
              <w:bidi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噪声</w:t>
            </w:r>
          </w:p>
        </w:tc>
        <w:tc>
          <w:tcPr>
            <w:tcW w:w="1887" w:type="dxa"/>
            <w:noWrap w:val="0"/>
            <w:vAlign w:val="center"/>
          </w:tcPr>
          <w:p w14:paraId="1B0747C7">
            <w:pPr>
              <w:keepNext w:val="0"/>
              <w:keepLines w:val="0"/>
              <w:pageBreakBefore w:val="0"/>
              <w:widowControl/>
              <w:kinsoku/>
              <w:wordWrap/>
              <w:overflowPunct/>
              <w:topLinePunct w:val="0"/>
              <w:autoSpaceDE/>
              <w:autoSpaceDN/>
              <w:bidi w:val="0"/>
              <w:snapToGrid w:val="0"/>
              <w:spacing w:line="240" w:lineRule="auto"/>
              <w:ind w:firstLine="0" w:firstLineChars="0"/>
              <w:jc w:val="left"/>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0"/>
                <w:sz w:val="21"/>
                <w:szCs w:val="21"/>
                <w:highlight w:val="none"/>
                <w:lang w:bidi="ar"/>
              </w:rPr>
              <w:t>选用低噪设备、隔声、加装消声器、进出口采用柔性连接、封闭厂房</w:t>
            </w:r>
          </w:p>
        </w:tc>
        <w:tc>
          <w:tcPr>
            <w:tcW w:w="1994" w:type="dxa"/>
            <w:noWrap w:val="0"/>
            <w:vAlign w:val="center"/>
          </w:tcPr>
          <w:p w14:paraId="2C259A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《工业企业厂界环境噪声排放标准》（GB12348-2008）2类标准要求</w:t>
            </w:r>
          </w:p>
          <w:p w14:paraId="08AF29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p>
        </w:tc>
      </w:tr>
      <w:tr w14:paraId="66F553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6215F1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电磁辐射</w:t>
            </w:r>
          </w:p>
        </w:tc>
        <w:tc>
          <w:tcPr>
            <w:tcW w:w="1829" w:type="dxa"/>
            <w:noWrap w:val="0"/>
            <w:vAlign w:val="center"/>
          </w:tcPr>
          <w:p w14:paraId="5886B4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c>
          <w:tcPr>
            <w:tcW w:w="1312" w:type="dxa"/>
            <w:noWrap w:val="0"/>
            <w:vAlign w:val="center"/>
          </w:tcPr>
          <w:p w14:paraId="1F7FB8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c>
          <w:tcPr>
            <w:tcW w:w="1887" w:type="dxa"/>
            <w:noWrap w:val="0"/>
            <w:vAlign w:val="center"/>
          </w:tcPr>
          <w:p w14:paraId="67D3A4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c>
          <w:tcPr>
            <w:tcW w:w="1994" w:type="dxa"/>
            <w:noWrap w:val="0"/>
            <w:vAlign w:val="center"/>
          </w:tcPr>
          <w:p w14:paraId="5C692F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r>
      <w:tr w14:paraId="6CC564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56C640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固体废物</w:t>
            </w:r>
          </w:p>
        </w:tc>
        <w:tc>
          <w:tcPr>
            <w:tcW w:w="7022" w:type="dxa"/>
            <w:gridSpan w:val="4"/>
            <w:noWrap w:val="0"/>
            <w:vAlign w:val="center"/>
          </w:tcPr>
          <w:p w14:paraId="38D7D2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color w:val="auto"/>
                <w:kern w:val="2"/>
                <w:sz w:val="21"/>
                <w:szCs w:val="21"/>
                <w:highlight w:val="none"/>
                <w:lang w:val="en-US" w:eastAsia="zh-CN" w:bidi="ar"/>
              </w:rPr>
              <w:t>湿</w:t>
            </w:r>
            <w:r>
              <w:rPr>
                <w:rFonts w:hint="default" w:ascii="Times New Roman" w:hAnsi="Times New Roman" w:eastAsia="宋体" w:cs="Times New Roman"/>
                <w:color w:val="auto"/>
                <w:kern w:val="2"/>
                <w:sz w:val="21"/>
                <w:szCs w:val="21"/>
                <w:highlight w:val="none"/>
                <w:lang w:bidi="ar"/>
              </w:rPr>
              <w:t>机械设备</w:t>
            </w:r>
            <w:r>
              <w:rPr>
                <w:rFonts w:hint="default" w:ascii="Times New Roman" w:hAnsi="Times New Roman" w:eastAsia="宋体" w:cs="Times New Roman"/>
                <w:color w:val="auto"/>
                <w:kern w:val="2"/>
                <w:sz w:val="21"/>
                <w:szCs w:val="24"/>
                <w:highlight w:val="none"/>
                <w:lang w:val="en-US" w:eastAsia="zh-CN" w:bidi="ar"/>
              </w:rPr>
              <w:t>废矿物油及废油桶</w:t>
            </w:r>
            <w:r>
              <w:rPr>
                <w:rFonts w:hint="default" w:ascii="Times New Roman" w:hAnsi="Times New Roman" w:eastAsia="宋体" w:cs="Times New Roman"/>
                <w:color w:val="auto"/>
                <w:kern w:val="2"/>
                <w:sz w:val="21"/>
                <w:szCs w:val="21"/>
                <w:highlight w:val="none"/>
                <w:lang w:bidi="ar"/>
              </w:rPr>
              <w:t>收集后暂存于矿区内已有危废暂存库内，定期委托有危废资质单位处置</w:t>
            </w:r>
            <w:r>
              <w:rPr>
                <w:rFonts w:hint="eastAsia" w:cs="Times New Roman"/>
                <w:color w:val="auto"/>
                <w:kern w:val="2"/>
                <w:sz w:val="21"/>
                <w:szCs w:val="21"/>
                <w:highlight w:val="none"/>
                <w:lang w:eastAsia="zh-CN" w:bidi="ar"/>
              </w:rPr>
              <w:t>；</w:t>
            </w:r>
            <w:r>
              <w:rPr>
                <w:rFonts w:hint="default" w:ascii="Times New Roman" w:hAnsi="Times New Roman" w:eastAsia="宋体" w:cs="Times New Roman"/>
                <w:color w:val="auto"/>
                <w:kern w:val="2"/>
                <w:sz w:val="21"/>
                <w:szCs w:val="21"/>
                <w:highlight w:val="none"/>
                <w:lang w:val="en-US" w:eastAsia="zh-CN" w:bidi="ar"/>
              </w:rPr>
              <w:t>式除尘洗气机产生的污泥</w:t>
            </w:r>
            <w:r>
              <w:rPr>
                <w:rFonts w:hint="default" w:ascii="Times New Roman" w:hAnsi="Times New Roman" w:eastAsia="宋体" w:cs="Times New Roman"/>
                <w:color w:val="auto"/>
                <w:kern w:val="2"/>
                <w:sz w:val="21"/>
                <w:szCs w:val="21"/>
                <w:highlight w:val="none"/>
                <w:lang w:bidi="ar"/>
              </w:rPr>
              <w:t>返回</w:t>
            </w:r>
            <w:r>
              <w:rPr>
                <w:rFonts w:hint="default" w:ascii="Times New Roman" w:hAnsi="Times New Roman" w:eastAsia="宋体" w:cs="Times New Roman"/>
                <w:color w:val="auto"/>
                <w:kern w:val="2"/>
                <w:sz w:val="21"/>
                <w:szCs w:val="21"/>
                <w:highlight w:val="none"/>
                <w:lang w:val="en-US" w:eastAsia="zh-CN" w:bidi="ar"/>
              </w:rPr>
              <w:t>注浆</w:t>
            </w:r>
            <w:r>
              <w:rPr>
                <w:rFonts w:hint="default" w:ascii="Times New Roman" w:hAnsi="Times New Roman" w:eastAsia="宋体" w:cs="Times New Roman"/>
                <w:color w:val="auto"/>
                <w:kern w:val="2"/>
                <w:sz w:val="21"/>
                <w:szCs w:val="21"/>
                <w:highlight w:val="none"/>
                <w:lang w:bidi="ar"/>
              </w:rPr>
              <w:t>工序作为充填原料使用；</w:t>
            </w:r>
            <w:r>
              <w:rPr>
                <w:rFonts w:hint="default" w:ascii="Times New Roman" w:hAnsi="Times New Roman" w:eastAsia="宋体" w:cs="Times New Roman"/>
                <w:color w:val="auto"/>
                <w:kern w:val="2"/>
                <w:sz w:val="21"/>
                <w:szCs w:val="21"/>
                <w:highlight w:val="none"/>
                <w:lang w:val="en-US" w:eastAsia="zh-CN" w:bidi="ar"/>
              </w:rPr>
              <w:t>地面冲洗废水收集池底泥</w:t>
            </w:r>
            <w:r>
              <w:rPr>
                <w:rFonts w:hint="default" w:ascii="Times New Roman" w:hAnsi="Times New Roman" w:eastAsia="宋体" w:cs="Times New Roman"/>
                <w:color w:val="auto"/>
                <w:kern w:val="2"/>
                <w:sz w:val="21"/>
                <w:szCs w:val="21"/>
                <w:highlight w:val="none"/>
                <w:lang w:bidi="ar"/>
              </w:rPr>
              <w:t>返回</w:t>
            </w:r>
            <w:r>
              <w:rPr>
                <w:rFonts w:hint="default" w:ascii="Times New Roman" w:hAnsi="Times New Roman" w:eastAsia="宋体" w:cs="Times New Roman"/>
                <w:color w:val="auto"/>
                <w:kern w:val="2"/>
                <w:sz w:val="21"/>
                <w:szCs w:val="21"/>
                <w:highlight w:val="none"/>
                <w:lang w:val="en-US" w:eastAsia="zh-CN" w:bidi="ar"/>
              </w:rPr>
              <w:t>注浆</w:t>
            </w:r>
            <w:r>
              <w:rPr>
                <w:rFonts w:hint="default" w:ascii="Times New Roman" w:hAnsi="Times New Roman" w:eastAsia="宋体" w:cs="Times New Roman"/>
                <w:color w:val="auto"/>
                <w:kern w:val="2"/>
                <w:sz w:val="21"/>
                <w:szCs w:val="21"/>
                <w:highlight w:val="none"/>
                <w:lang w:bidi="ar"/>
              </w:rPr>
              <w:t>工序作为充填原料使用；</w:t>
            </w:r>
            <w:r>
              <w:rPr>
                <w:rFonts w:hint="default" w:ascii="Times New Roman" w:hAnsi="Times New Roman" w:eastAsia="宋体" w:cs="Times New Roman"/>
                <w:color w:val="auto"/>
                <w:kern w:val="2"/>
                <w:sz w:val="21"/>
                <w:szCs w:val="21"/>
                <w:highlight w:val="none"/>
                <w:lang w:val="en-US" w:eastAsia="zh-CN" w:bidi="ar"/>
              </w:rPr>
              <w:t>生活垃圾按环卫部门要求统一处理</w:t>
            </w:r>
            <w:r>
              <w:rPr>
                <w:rFonts w:hint="eastAsia" w:cs="Times New Roman"/>
                <w:color w:val="auto"/>
                <w:kern w:val="2"/>
                <w:sz w:val="21"/>
                <w:szCs w:val="21"/>
                <w:highlight w:val="none"/>
                <w:lang w:val="en-US" w:eastAsia="zh-CN" w:bidi="ar"/>
              </w:rPr>
              <w:t>；</w:t>
            </w:r>
          </w:p>
          <w:p w14:paraId="29E4A2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bidi="ar"/>
              </w:rPr>
            </w:pPr>
            <w:r>
              <w:rPr>
                <w:rFonts w:hint="default" w:ascii="Times New Roman" w:hAnsi="Times New Roman" w:eastAsia="宋体" w:cs="Times New Roman"/>
                <w:color w:val="auto"/>
                <w:kern w:val="2"/>
                <w:sz w:val="21"/>
                <w:szCs w:val="21"/>
                <w:highlight w:val="none"/>
                <w:lang w:bidi="ar"/>
              </w:rPr>
              <w:t>一般工业固体废物贮存执行《一般工业固体废物贮存和填埋污染控制标准》（GB18599-2020）中的相关规定和《煤炭工业污染物排放标准》（GB20426-2006）中相关管理要求。危险废物执行《危险废物贮存污染控制标准》（GB18597-2023）相关要求。</w:t>
            </w:r>
          </w:p>
        </w:tc>
      </w:tr>
      <w:tr w14:paraId="50044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72BA95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土壤及地下水</w:t>
            </w:r>
          </w:p>
          <w:p w14:paraId="5B7E09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污染防治措施</w:t>
            </w:r>
          </w:p>
        </w:tc>
        <w:tc>
          <w:tcPr>
            <w:tcW w:w="7022" w:type="dxa"/>
            <w:gridSpan w:val="4"/>
            <w:noWrap w:val="0"/>
            <w:vAlign w:val="center"/>
          </w:tcPr>
          <w:p w14:paraId="5073C6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防渗分区、跟踪监测等</w:t>
            </w:r>
          </w:p>
        </w:tc>
      </w:tr>
      <w:tr w14:paraId="76AE62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3BD055A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生态保护措施</w:t>
            </w:r>
          </w:p>
        </w:tc>
        <w:tc>
          <w:tcPr>
            <w:tcW w:w="7022" w:type="dxa"/>
            <w:gridSpan w:val="4"/>
            <w:noWrap w:val="0"/>
            <w:vAlign w:val="center"/>
          </w:tcPr>
          <w:p w14:paraId="23A7DDB2">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w:t>
            </w:r>
            <w:r>
              <w:rPr>
                <w:rFonts w:hint="eastAsia" w:ascii="Times New Roman" w:hAnsi="Times New Roman" w:eastAsia="宋体" w:cs="Times New Roman"/>
                <w:b w:val="0"/>
                <w:bCs/>
                <w:color w:val="auto"/>
                <w:sz w:val="21"/>
                <w:szCs w:val="21"/>
                <w:lang w:val="en-US" w:eastAsia="zh-CN"/>
              </w:rPr>
              <w:t>施工期：</w:t>
            </w:r>
            <w:r>
              <w:rPr>
                <w:rFonts w:hint="eastAsia" w:ascii="Times New Roman" w:hAnsi="Times New Roman" w:cs="Times New Roman"/>
                <w:b w:val="0"/>
                <w:bCs/>
                <w:color w:val="auto"/>
                <w:sz w:val="21"/>
                <w:szCs w:val="21"/>
                <w:lang w:val="en-US" w:eastAsia="zh-CN"/>
              </w:rPr>
              <w:t>本项目临时占地面积为</w:t>
            </w:r>
            <w:r>
              <w:rPr>
                <w:rFonts w:hint="default" w:ascii="Times New Roman" w:hAnsi="Times New Roman" w:eastAsia="宋体" w:cs="Times New Roman"/>
                <w:b w:val="0"/>
                <w:bCs/>
                <w:color w:val="auto"/>
                <w:sz w:val="21"/>
                <w:szCs w:val="21"/>
                <w:lang w:val="en-US" w:eastAsia="zh-CN"/>
              </w:rPr>
              <w:t>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，施工</w:t>
            </w:r>
            <w:r>
              <w:rPr>
                <w:rFonts w:hint="eastAsia" w:ascii="Times New Roman" w:hAnsi="Times New Roman" w:cs="Times New Roman"/>
                <w:b w:val="0"/>
                <w:bCs/>
                <w:color w:val="auto"/>
                <w:sz w:val="21"/>
                <w:szCs w:val="21"/>
                <w:lang w:val="en-US" w:eastAsia="zh-CN"/>
              </w:rPr>
              <w:t>期</w:t>
            </w:r>
            <w:r>
              <w:rPr>
                <w:rFonts w:hint="default" w:ascii="Times New Roman" w:hAnsi="Times New Roman" w:eastAsia="宋体" w:cs="Times New Roman"/>
                <w:b w:val="0"/>
                <w:bCs/>
                <w:color w:val="auto"/>
                <w:sz w:val="21"/>
                <w:szCs w:val="21"/>
                <w:lang w:val="en-US" w:eastAsia="zh-CN"/>
              </w:rPr>
              <w:t>结束后恢复面积为5200m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，对施工便道临时占用土地进行平整、临时占地</w:t>
            </w:r>
            <w:r>
              <w:rPr>
                <w:rFonts w:hint="default" w:ascii="Times New Roman" w:hAnsi="Times New Roman" w:cs="Times New Roman"/>
                <w:b w:val="0"/>
                <w:bCs/>
                <w:color w:val="auto"/>
                <w:sz w:val="21"/>
                <w:szCs w:val="21"/>
                <w:lang w:val="en-US" w:eastAsia="zh-CN"/>
              </w:rPr>
              <w:t>按原地类恢复</w:t>
            </w:r>
            <w:r>
              <w:rPr>
                <w:rFonts w:hint="default" w:ascii="Times New Roman" w:hAnsi="Times New Roman" w:eastAsia="宋体" w:cs="Times New Roman"/>
                <w:b w:val="0"/>
                <w:bCs/>
                <w:color w:val="auto"/>
                <w:sz w:val="21"/>
                <w:szCs w:val="21"/>
                <w:lang w:val="en-US" w:eastAsia="zh-CN"/>
              </w:rPr>
              <w:t>。加强对植被的抚育、补种工作，提高施工便道植被覆盖度，恢复植被覆盖度不低于当地原生植被覆盖度，植被成活率达到95%以上。</w:t>
            </w:r>
          </w:p>
          <w:p w14:paraId="6A993808">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（2）运营期</w:t>
            </w:r>
            <w:r>
              <w:rPr>
                <w:rFonts w:hint="eastAsia" w:ascii="Times New Roman" w:hAnsi="Times New Roman" w:eastAsia="宋体" w:cs="Times New Roman"/>
                <w:b w:val="0"/>
                <w:bCs/>
                <w:color w:val="auto"/>
                <w:sz w:val="21"/>
                <w:szCs w:val="21"/>
                <w:lang w:val="en-US" w:eastAsia="zh-CN"/>
              </w:rPr>
              <w:t>：</w:t>
            </w:r>
            <w:r>
              <w:rPr>
                <w:rFonts w:hint="eastAsia" w:ascii="Times New Roman" w:hAnsi="Times New Roman" w:cs="Times New Roman"/>
                <w:b w:val="0"/>
                <w:bCs/>
                <w:color w:val="auto"/>
                <w:sz w:val="21"/>
                <w:szCs w:val="21"/>
                <w:lang w:val="en-US" w:eastAsia="zh-CN"/>
              </w:rPr>
              <w:t>本项目临时占地面积为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w:t>
            </w:r>
            <w:r>
              <w:rPr>
                <w:rFonts w:hint="eastAsia" w:cs="Times New Roman"/>
                <w:b w:val="0"/>
                <w:bCs/>
                <w:color w:val="auto"/>
                <w:sz w:val="21"/>
                <w:szCs w:val="21"/>
                <w:lang w:val="en-US" w:eastAsia="zh-CN"/>
              </w:rPr>
              <w:t>运营期</w:t>
            </w:r>
            <w:r>
              <w:rPr>
                <w:rFonts w:hint="default" w:ascii="Times New Roman" w:hAnsi="Times New Roman" w:eastAsia="宋体" w:cs="Times New Roman"/>
                <w:b w:val="0"/>
                <w:bCs/>
                <w:color w:val="auto"/>
                <w:sz w:val="21"/>
                <w:szCs w:val="21"/>
                <w:lang w:val="en-US" w:eastAsia="zh-CN"/>
              </w:rPr>
              <w:t>结束后恢复面积为</w:t>
            </w:r>
            <w:r>
              <w:rPr>
                <w:rFonts w:hint="eastAsia" w:cs="Times New Roman"/>
                <w:b w:val="0"/>
                <w:bCs/>
                <w:color w:val="auto"/>
                <w:sz w:val="21"/>
                <w:szCs w:val="21"/>
                <w:lang w:val="en-US" w:eastAsia="zh-CN"/>
              </w:rPr>
              <w:t>7090</w:t>
            </w:r>
            <w:r>
              <w:rPr>
                <w:rFonts w:hint="default" w:ascii="Times New Roman" w:hAnsi="Times New Roman" w:eastAsia="宋体" w:cs="Times New Roman"/>
                <w:b w:val="0"/>
                <w:bCs/>
                <w:color w:val="auto"/>
                <w:sz w:val="21"/>
                <w:szCs w:val="21"/>
                <w:lang w:val="en-US" w:eastAsia="zh-CN"/>
              </w:rPr>
              <w:t>m</w:t>
            </w:r>
            <w:r>
              <w:rPr>
                <w:rFonts w:hint="default" w:ascii="Times New Roman" w:hAnsi="Times New Roman" w:eastAsia="宋体" w:cs="Times New Roman"/>
                <w:b w:val="0"/>
                <w:bCs/>
                <w:color w:val="auto"/>
                <w:sz w:val="21"/>
                <w:szCs w:val="21"/>
                <w:vertAlign w:val="superscript"/>
                <w:lang w:val="en-US" w:eastAsia="zh-CN"/>
              </w:rPr>
              <w:t>2</w:t>
            </w:r>
            <w:r>
              <w:rPr>
                <w:rFonts w:hint="default" w:ascii="Times New Roman" w:hAnsi="Times New Roman" w:eastAsia="宋体" w:cs="Times New Roman"/>
                <w:b w:val="0"/>
                <w:bCs/>
                <w:color w:val="auto"/>
                <w:sz w:val="21"/>
                <w:szCs w:val="21"/>
                <w:lang w:val="en-US" w:eastAsia="zh-CN"/>
              </w:rPr>
              <w:t>，生态恢复主要为</w:t>
            </w:r>
            <w:r>
              <w:rPr>
                <w:rFonts w:hint="default" w:ascii="Times New Roman" w:hAnsi="Times New Roman" w:cs="Times New Roman"/>
                <w:b w:val="0"/>
                <w:bCs/>
                <w:color w:val="auto"/>
                <w:sz w:val="21"/>
                <w:szCs w:val="21"/>
                <w:lang w:val="en-US" w:eastAsia="zh-CN"/>
              </w:rPr>
              <w:t>架空管线支架占地恢复和钻孔占地</w:t>
            </w:r>
            <w:r>
              <w:rPr>
                <w:rFonts w:hint="default" w:ascii="Times New Roman" w:hAnsi="Times New Roman" w:eastAsia="宋体" w:cs="Times New Roman"/>
                <w:b w:val="0"/>
                <w:bCs/>
                <w:color w:val="auto"/>
                <w:sz w:val="21"/>
                <w:szCs w:val="21"/>
                <w:lang w:val="en-US" w:eastAsia="zh-CN"/>
              </w:rPr>
              <w:t>恢复</w:t>
            </w:r>
            <w:r>
              <w:rPr>
                <w:rFonts w:hint="default" w:ascii="Times New Roman" w:hAnsi="Times New Roman" w:cs="Times New Roman"/>
                <w:b w:val="0"/>
                <w:bCs/>
                <w:color w:val="auto"/>
                <w:sz w:val="21"/>
                <w:szCs w:val="21"/>
                <w:lang w:val="en-US" w:eastAsia="zh-CN"/>
              </w:rPr>
              <w:t>。</w:t>
            </w:r>
          </w:p>
          <w:p w14:paraId="615668CA">
            <w:pPr>
              <w:keepNext w:val="0"/>
              <w:keepLines w:val="0"/>
              <w:pageBreakBefore w:val="0"/>
              <w:widowControl/>
              <w:kinsoku/>
              <w:wordWrap/>
              <w:overflowPunct/>
              <w:topLinePunct w:val="0"/>
              <w:autoSpaceDE/>
              <w:autoSpaceDN/>
              <w:bidi w:val="0"/>
              <w:snapToGrid w:val="0"/>
              <w:spacing w:line="240" w:lineRule="auto"/>
              <w:ind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①架空管线支架占地面积为</w:t>
            </w:r>
            <w:r>
              <w:rPr>
                <w:rFonts w:hint="default" w:ascii="Times New Roman" w:hAnsi="Times New Roman" w:cs="Times New Roman"/>
                <w:color w:val="auto"/>
                <w:sz w:val="21"/>
                <w:szCs w:val="21"/>
                <w:lang w:val="en-US" w:eastAsia="zh-CN"/>
              </w:rPr>
              <w:t>96</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b w:val="0"/>
                <w:bCs/>
                <w:color w:val="auto"/>
                <w:sz w:val="21"/>
                <w:szCs w:val="21"/>
                <w:lang w:val="en-US" w:eastAsia="zh-CN"/>
              </w:rPr>
              <w:t>注浆管线注浆结束后，对</w:t>
            </w:r>
            <w:r>
              <w:rPr>
                <w:rFonts w:hint="default" w:ascii="Times New Roman" w:hAnsi="Times New Roman" w:cs="Times New Roman"/>
                <w:b w:val="0"/>
                <w:bCs/>
                <w:color w:val="auto"/>
                <w:sz w:val="21"/>
                <w:szCs w:val="21"/>
                <w:lang w:val="en-US" w:eastAsia="zh-CN"/>
              </w:rPr>
              <w:t>注浆管线支架临时占用土</w:t>
            </w:r>
            <w:r>
              <w:rPr>
                <w:rFonts w:hint="default" w:ascii="Times New Roman" w:hAnsi="Times New Roman" w:eastAsia="宋体" w:cs="Times New Roman"/>
                <w:b w:val="0"/>
                <w:bCs/>
                <w:color w:val="auto"/>
                <w:sz w:val="21"/>
                <w:szCs w:val="21"/>
                <w:lang w:val="en-US" w:eastAsia="zh-CN"/>
              </w:rPr>
              <w:t>地进行平整、</w:t>
            </w:r>
            <w:r>
              <w:rPr>
                <w:rFonts w:hint="default" w:ascii="Times New Roman" w:hAnsi="Times New Roman" w:cs="Times New Roman"/>
                <w:b w:val="0"/>
                <w:bCs/>
                <w:color w:val="auto"/>
                <w:sz w:val="21"/>
                <w:szCs w:val="21"/>
                <w:lang w:val="en-US" w:eastAsia="zh-CN"/>
              </w:rPr>
              <w:t>覆土，</w:t>
            </w:r>
            <w:r>
              <w:rPr>
                <w:rFonts w:hint="default" w:ascii="Times New Roman" w:hAnsi="Times New Roman" w:eastAsia="宋体" w:cs="Times New Roman"/>
                <w:b w:val="0"/>
                <w:bCs/>
                <w:color w:val="auto"/>
                <w:sz w:val="21"/>
                <w:szCs w:val="21"/>
                <w:lang w:val="en-US" w:eastAsia="zh-CN"/>
              </w:rPr>
              <w:t>临时占地按原地类恢复。加强对植被的抚育、补种工作，</w:t>
            </w:r>
            <w:r>
              <w:rPr>
                <w:rFonts w:hint="default" w:ascii="Times New Roman" w:hAnsi="Times New Roman" w:cs="Times New Roman"/>
                <w:b w:val="0"/>
                <w:bCs/>
                <w:color w:val="auto"/>
                <w:sz w:val="21"/>
                <w:szCs w:val="21"/>
                <w:lang w:val="en-US" w:eastAsia="zh-CN"/>
              </w:rPr>
              <w:t>提高注浆管线支架植被覆盖度</w:t>
            </w:r>
            <w:r>
              <w:rPr>
                <w:rFonts w:hint="default" w:ascii="Times New Roman" w:hAnsi="Times New Roman" w:eastAsia="宋体" w:cs="Times New Roman"/>
                <w:b w:val="0"/>
                <w:bCs/>
                <w:color w:val="auto"/>
                <w:sz w:val="21"/>
                <w:szCs w:val="21"/>
                <w:lang w:val="en-US" w:eastAsia="zh-CN"/>
              </w:rPr>
              <w:t>，恢复植被覆盖度不低于当地原生植被覆盖度，植被成活率达到95%以上。</w:t>
            </w:r>
          </w:p>
          <w:p w14:paraId="6D034B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b w:val="0"/>
                <w:bCs w:val="0"/>
                <w:color w:val="auto"/>
                <w:kern w:val="2"/>
                <w:sz w:val="21"/>
                <w:szCs w:val="21"/>
                <w:vertAlign w:val="baseline"/>
                <w:lang w:val="en-US" w:eastAsia="zh-CN" w:bidi="ar"/>
              </w:rPr>
              <w:t>②注浆钻孔70个，钻注浆孔</w:t>
            </w:r>
            <w:r>
              <w:rPr>
                <w:rFonts w:hint="default" w:ascii="Times New Roman" w:hAnsi="Times New Roman" w:cs="Times New Roman"/>
                <w:color w:val="auto"/>
                <w:sz w:val="21"/>
                <w:szCs w:val="21"/>
                <w:lang w:val="en-US" w:eastAsia="zh-CN"/>
              </w:rPr>
              <w:t>占地面积计7000</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r>
              <w:rPr>
                <w:rFonts w:hint="default" w:ascii="Times New Roman" w:hAnsi="Times New Roman" w:cs="Times New Roman"/>
                <w:b w:val="0"/>
                <w:bCs w:val="0"/>
                <w:color w:val="auto"/>
                <w:kern w:val="2"/>
                <w:sz w:val="21"/>
                <w:szCs w:val="21"/>
                <w:vertAlign w:val="baseline"/>
                <w:lang w:val="en-US" w:eastAsia="zh-CN" w:bidi="ar"/>
              </w:rPr>
              <w:t>注浆结束对注浆钻孔进行封孔后，对场地平整、覆土，临时占地按原地类恢复。加强对植被的抚育、补种工作，提高注浆钻孔植被覆盖度，恢复植被覆盖度不低于当地原生植被覆盖度，植被成活率达到95%以上。</w:t>
            </w:r>
          </w:p>
        </w:tc>
      </w:tr>
      <w:tr w14:paraId="55AF5C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57A8E3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8"/>
                <w:kern w:val="2"/>
                <w:sz w:val="21"/>
                <w:szCs w:val="21"/>
                <w:highlight w:val="none"/>
              </w:rPr>
            </w:pPr>
            <w:r>
              <w:rPr>
                <w:rFonts w:hint="default" w:ascii="Times New Roman" w:hAnsi="Times New Roman" w:eastAsia="宋体" w:cs="Times New Roman"/>
                <w:color w:val="auto"/>
                <w:spacing w:val="-8"/>
                <w:kern w:val="2"/>
                <w:sz w:val="21"/>
                <w:szCs w:val="21"/>
                <w:highlight w:val="none"/>
              </w:rPr>
              <w:t>环境风险</w:t>
            </w:r>
          </w:p>
          <w:p w14:paraId="0B15E1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8"/>
                <w:kern w:val="2"/>
                <w:sz w:val="21"/>
                <w:szCs w:val="21"/>
                <w:highlight w:val="none"/>
              </w:rPr>
            </w:pPr>
            <w:r>
              <w:rPr>
                <w:rFonts w:hint="default" w:ascii="Times New Roman" w:hAnsi="Times New Roman" w:eastAsia="宋体" w:cs="Times New Roman"/>
                <w:color w:val="auto"/>
                <w:spacing w:val="-8"/>
                <w:kern w:val="2"/>
                <w:sz w:val="21"/>
                <w:szCs w:val="21"/>
                <w:highlight w:val="none"/>
              </w:rPr>
              <w:t>防范措施</w:t>
            </w:r>
          </w:p>
        </w:tc>
        <w:tc>
          <w:tcPr>
            <w:tcW w:w="7022" w:type="dxa"/>
            <w:gridSpan w:val="4"/>
            <w:noWrap w:val="0"/>
            <w:vAlign w:val="center"/>
          </w:tcPr>
          <w:p w14:paraId="68B4F1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在工程营运阶段，加强管道的观察及维护，发现问题及时处理，必要时立即停产进行检查和维修</w:t>
            </w:r>
            <w:r>
              <w:rPr>
                <w:rFonts w:hint="default" w:ascii="Times New Roman" w:hAnsi="Times New Roman" w:eastAsia="宋体" w:cs="Times New Roman"/>
                <w:color w:val="auto"/>
                <w:kern w:val="2"/>
                <w:sz w:val="21"/>
                <w:szCs w:val="21"/>
                <w:highlight w:val="none"/>
                <w:lang w:eastAsia="zh-CN" w:bidi="ar"/>
              </w:rPr>
              <w:t>；</w:t>
            </w:r>
            <w:r>
              <w:rPr>
                <w:rFonts w:hint="default" w:ascii="Times New Roman" w:hAnsi="Times New Roman" w:eastAsia="宋体" w:cs="Times New Roman"/>
                <w:color w:val="auto"/>
                <w:kern w:val="2"/>
                <w:sz w:val="21"/>
                <w:szCs w:val="21"/>
                <w:highlight w:val="none"/>
                <w:lang w:bidi="ar"/>
              </w:rPr>
              <w:t>本项目维修废机油暂时贮存，做到完好无损且材质满足相应的强度要求；按要求贴有相应的危险警示的标志；并建立危险废物管理制度。危险废物执行《危险废物贮存污染控制标准》（GB18597-2023）相关要求</w:t>
            </w:r>
          </w:p>
        </w:tc>
      </w:tr>
      <w:tr w14:paraId="3E5620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5A0CD8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8"/>
                <w:kern w:val="2"/>
                <w:sz w:val="21"/>
                <w:szCs w:val="21"/>
                <w:highlight w:val="none"/>
              </w:rPr>
            </w:pPr>
            <w:r>
              <w:rPr>
                <w:rFonts w:hint="default" w:ascii="Times New Roman" w:hAnsi="Times New Roman" w:eastAsia="宋体" w:cs="Times New Roman"/>
                <w:color w:val="auto"/>
                <w:spacing w:val="-8"/>
                <w:kern w:val="2"/>
                <w:sz w:val="21"/>
                <w:szCs w:val="21"/>
                <w:highlight w:val="none"/>
              </w:rPr>
              <w:t>其他环境</w:t>
            </w:r>
          </w:p>
          <w:p w14:paraId="2E3F1B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8"/>
                <w:kern w:val="2"/>
                <w:sz w:val="21"/>
                <w:szCs w:val="21"/>
                <w:highlight w:val="none"/>
              </w:rPr>
            </w:pPr>
            <w:r>
              <w:rPr>
                <w:rFonts w:hint="default" w:ascii="Times New Roman" w:hAnsi="Times New Roman" w:eastAsia="宋体" w:cs="Times New Roman"/>
                <w:color w:val="auto"/>
                <w:spacing w:val="-8"/>
                <w:kern w:val="2"/>
                <w:sz w:val="21"/>
                <w:szCs w:val="21"/>
                <w:highlight w:val="none"/>
              </w:rPr>
              <w:t>管理要求</w:t>
            </w:r>
          </w:p>
        </w:tc>
        <w:tc>
          <w:tcPr>
            <w:tcW w:w="7022" w:type="dxa"/>
            <w:gridSpan w:val="4"/>
            <w:noWrap w:val="0"/>
            <w:vAlign w:val="center"/>
          </w:tcPr>
          <w:p w14:paraId="029B4A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bidi="ar"/>
              </w:rPr>
              <w:t>严格执行“三同时”制度及日常环保管理工作。</w:t>
            </w:r>
          </w:p>
        </w:tc>
      </w:tr>
    </w:tbl>
    <w:p w14:paraId="7D2D2B12">
      <w:pPr>
        <w:keepNext w:val="0"/>
        <w:keepLines w:val="0"/>
        <w:pageBreakBefore w:val="0"/>
        <w:kinsoku/>
        <w:wordWrap/>
        <w:overflowPunct/>
        <w:topLinePunct w:val="0"/>
        <w:autoSpaceDE/>
        <w:autoSpaceDN/>
        <w:bidi w:val="0"/>
        <w:snapToGrid w:val="0"/>
        <w:spacing w:line="240" w:lineRule="auto"/>
        <w:textAlignment w:val="auto"/>
        <w:rPr>
          <w:rFonts w:hint="default" w:ascii="Times New Roman" w:hAnsi="Times New Roman" w:eastAsia="宋体" w:cs="Times New Roman"/>
          <w:snapToGrid w:val="0"/>
          <w:color w:val="auto"/>
        </w:rPr>
      </w:pPr>
    </w:p>
    <w:p w14:paraId="5F01A9BB">
      <w:pPr>
        <w:rPr>
          <w:rFonts w:hint="default" w:ascii="Times New Roman" w:hAnsi="Times New Roman" w:eastAsia="宋体" w:cs="Times New Roman"/>
          <w:snapToGrid w:val="0"/>
          <w:color w:val="auto"/>
        </w:rPr>
      </w:pPr>
    </w:p>
    <w:p w14:paraId="74BBB4FE">
      <w:pPr>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br w:type="page"/>
      </w:r>
    </w:p>
    <w:p w14:paraId="604C916C">
      <w:pPr>
        <w:pStyle w:val="2"/>
        <w:ind w:firstLine="640"/>
        <w:rPr>
          <w:rFonts w:hint="default" w:ascii="Times New Roman" w:hAnsi="Times New Roman" w:eastAsia="宋体" w:cs="Times New Roman"/>
          <w:color w:val="auto"/>
        </w:rPr>
      </w:pPr>
      <w:r>
        <w:rPr>
          <w:rFonts w:hint="default" w:ascii="Times New Roman" w:hAnsi="Times New Roman" w:eastAsia="宋体" w:cs="Times New Roman"/>
          <w:snapToGrid w:val="0"/>
          <w:color w:val="auto"/>
        </w:rPr>
        <w:t>六、结论</w:t>
      </w:r>
      <w:bookmarkEnd w:id="41"/>
    </w:p>
    <w:tbl>
      <w:tblPr>
        <w:tblStyle w:val="25"/>
        <w:tblW w:w="871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15"/>
      </w:tblGrid>
      <w:tr w14:paraId="45F24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715" w:type="dxa"/>
          </w:tcPr>
          <w:p w14:paraId="4151DDB1">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lang w:bidi="ar"/>
              </w:rPr>
              <w:t>综上所述，项目建设符合国家产业政策和环境保护要求。项目所在区域无重大环境制约要素，项目采取的污染物治理</w:t>
            </w:r>
            <w:r>
              <w:rPr>
                <w:rFonts w:hint="default" w:ascii="Times New Roman" w:hAnsi="Times New Roman" w:eastAsia="宋体" w:cs="Times New Roman"/>
                <w:color w:val="auto"/>
                <w:kern w:val="0"/>
                <w:sz w:val="24"/>
                <w:lang w:val="en-US" w:eastAsia="zh-CN" w:bidi="ar"/>
              </w:rPr>
              <w:t>措施</w:t>
            </w:r>
            <w:r>
              <w:rPr>
                <w:rFonts w:hint="default" w:ascii="Times New Roman" w:hAnsi="Times New Roman" w:eastAsia="宋体" w:cs="Times New Roman"/>
                <w:color w:val="auto"/>
                <w:kern w:val="0"/>
                <w:sz w:val="24"/>
                <w:lang w:bidi="ar"/>
              </w:rPr>
              <w:t>技术可行，措施有效。项目运营后对环境影响较小；项目运营无重大环境风险。在认真落实各项环境保护措施，严格执行报告中提出的有关污染防治措施的情况下，项目建设对周围环境影响较小，从环保角度上讲，项目是可行的。</w:t>
            </w:r>
          </w:p>
        </w:tc>
      </w:tr>
    </w:tbl>
    <w:p w14:paraId="3A1137C7">
      <w:pPr>
        <w:pStyle w:val="2"/>
        <w:ind w:firstLine="640"/>
        <w:rPr>
          <w:rFonts w:hint="default" w:ascii="Times New Roman" w:hAnsi="Times New Roman" w:eastAsia="宋体" w:cs="Times New Roman"/>
          <w:color w:val="auto"/>
        </w:rPr>
        <w:sectPr>
          <w:pgSz w:w="11906" w:h="16838"/>
          <w:pgMar w:top="1440" w:right="1800" w:bottom="1440" w:left="1800" w:header="992" w:footer="992" w:gutter="0"/>
          <w:pgBorders>
            <w:top w:val="none" w:sz="0" w:space="0"/>
            <w:left w:val="none" w:sz="0" w:space="0"/>
            <w:bottom w:val="none" w:sz="0" w:space="0"/>
            <w:right w:val="none" w:sz="0" w:space="0"/>
          </w:pgBorders>
          <w:cols w:space="425" w:num="1"/>
          <w:docGrid w:type="lines" w:linePitch="312" w:charSpace="0"/>
        </w:sectPr>
      </w:pPr>
    </w:p>
    <w:p w14:paraId="6593E0A1">
      <w:pPr>
        <w:ind w:firstLine="0" w:firstLineChars="0"/>
        <w:outlineLvl w:val="0"/>
        <w:rPr>
          <w:rFonts w:hint="default" w:ascii="Times New Roman" w:hAnsi="Times New Roman" w:eastAsia="宋体" w:cs="Times New Roman"/>
          <w:snapToGrid w:val="0"/>
          <w:color w:val="auto"/>
          <w:sz w:val="32"/>
          <w:szCs w:val="32"/>
        </w:rPr>
      </w:pPr>
      <w:bookmarkStart w:id="42" w:name="_Toc144507131"/>
      <w:r>
        <w:rPr>
          <w:rFonts w:hint="default" w:ascii="Times New Roman" w:hAnsi="Times New Roman" w:eastAsia="宋体" w:cs="Times New Roman"/>
          <w:snapToGrid w:val="0"/>
          <w:color w:val="auto"/>
          <w:sz w:val="32"/>
          <w:szCs w:val="32"/>
        </w:rPr>
        <w:t>附表</w:t>
      </w:r>
      <w:bookmarkEnd w:id="42"/>
    </w:p>
    <w:p w14:paraId="162F2F09">
      <w:pPr>
        <w:pStyle w:val="2"/>
        <w:jc w:val="center"/>
        <w:rPr>
          <w:rFonts w:hint="default" w:ascii="Times New Roman" w:hAnsi="Times New Roman" w:eastAsia="宋体" w:cs="Times New Roman"/>
          <w:color w:val="auto"/>
        </w:rPr>
      </w:pPr>
      <w:bookmarkStart w:id="43" w:name="_Toc144507132"/>
      <w:r>
        <w:rPr>
          <w:rFonts w:hint="default" w:ascii="Times New Roman" w:hAnsi="Times New Roman" w:eastAsia="宋体" w:cs="Times New Roman"/>
          <w:color w:val="auto"/>
        </w:rPr>
        <w:t>建设项目污染物排放量汇总表</w:t>
      </w:r>
      <w:bookmarkEnd w:id="43"/>
    </w:p>
    <w:tbl>
      <w:tblPr>
        <w:tblStyle w:val="25"/>
        <w:tblW w:w="4998"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78"/>
        <w:gridCol w:w="1587"/>
        <w:gridCol w:w="1906"/>
        <w:gridCol w:w="1429"/>
        <w:gridCol w:w="1906"/>
        <w:gridCol w:w="1748"/>
        <w:gridCol w:w="1754"/>
        <w:gridCol w:w="1933"/>
        <w:gridCol w:w="1407"/>
      </w:tblGrid>
      <w:tr w14:paraId="07F96E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3" w:hRule="atLeast"/>
        </w:trPr>
        <w:tc>
          <w:tcPr>
            <w:tcW w:w="575" w:type="pct"/>
            <w:tcBorders>
              <w:tl2br w:val="single" w:color="auto" w:sz="4" w:space="0"/>
            </w:tcBorders>
            <w:noWrap w:val="0"/>
            <w:tcMar>
              <w:left w:w="28" w:type="dxa"/>
              <w:right w:w="28" w:type="dxa"/>
            </w:tcMar>
            <w:vAlign w:val="center"/>
          </w:tcPr>
          <w:p w14:paraId="1F78D503">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项目</w:t>
            </w:r>
          </w:p>
          <w:p w14:paraId="6BD5856C">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分类</w:t>
            </w:r>
          </w:p>
        </w:tc>
        <w:tc>
          <w:tcPr>
            <w:tcW w:w="513" w:type="pct"/>
            <w:noWrap w:val="0"/>
            <w:tcMar>
              <w:left w:w="28" w:type="dxa"/>
              <w:right w:w="28" w:type="dxa"/>
            </w:tcMar>
            <w:vAlign w:val="center"/>
          </w:tcPr>
          <w:p w14:paraId="210C455D">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污染物名称</w:t>
            </w:r>
          </w:p>
        </w:tc>
        <w:tc>
          <w:tcPr>
            <w:tcW w:w="616" w:type="pct"/>
            <w:noWrap w:val="0"/>
            <w:tcMar>
              <w:left w:w="28" w:type="dxa"/>
              <w:right w:w="28" w:type="dxa"/>
            </w:tcMar>
            <w:vAlign w:val="center"/>
          </w:tcPr>
          <w:p w14:paraId="67C0AB41">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现有工程</w:t>
            </w:r>
          </w:p>
          <w:p w14:paraId="698C76F8">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1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①</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462" w:type="pct"/>
            <w:noWrap w:val="0"/>
            <w:tcMar>
              <w:left w:w="28" w:type="dxa"/>
              <w:right w:w="28" w:type="dxa"/>
            </w:tcMar>
            <w:vAlign w:val="center"/>
          </w:tcPr>
          <w:p w14:paraId="6F46269F">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现有工程</w:t>
            </w:r>
          </w:p>
          <w:p w14:paraId="198BC34C">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许可排放量</w:t>
            </w:r>
          </w:p>
          <w:p w14:paraId="6B448615">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2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②</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616" w:type="pct"/>
            <w:noWrap w:val="0"/>
            <w:tcMar>
              <w:left w:w="28" w:type="dxa"/>
              <w:right w:w="28" w:type="dxa"/>
            </w:tcMar>
            <w:vAlign w:val="center"/>
          </w:tcPr>
          <w:p w14:paraId="1471FAF4">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在建工程</w:t>
            </w:r>
          </w:p>
          <w:p w14:paraId="2B34832C">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3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③</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565" w:type="pct"/>
            <w:noWrap w:val="0"/>
            <w:tcMar>
              <w:left w:w="28" w:type="dxa"/>
              <w:right w:w="28" w:type="dxa"/>
            </w:tcMar>
            <w:vAlign w:val="center"/>
          </w:tcPr>
          <w:p w14:paraId="5F0C5759">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本项目</w:t>
            </w:r>
          </w:p>
          <w:p w14:paraId="7978A41B">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4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④</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567" w:type="pct"/>
            <w:noWrap w:val="0"/>
            <w:tcMar>
              <w:left w:w="28" w:type="dxa"/>
              <w:right w:w="28" w:type="dxa"/>
            </w:tcMar>
            <w:vAlign w:val="center"/>
          </w:tcPr>
          <w:p w14:paraId="241CC23E">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以新带老削减量</w:t>
            </w:r>
          </w:p>
          <w:p w14:paraId="0DC377C3">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（新建项目不填）</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5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⑤</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625" w:type="pct"/>
            <w:noWrap w:val="0"/>
            <w:tcMar>
              <w:left w:w="28" w:type="dxa"/>
              <w:right w:w="28" w:type="dxa"/>
            </w:tcMar>
            <w:vAlign w:val="center"/>
          </w:tcPr>
          <w:p w14:paraId="30CA3622">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本项目建成后</w:t>
            </w:r>
          </w:p>
          <w:p w14:paraId="3A4D16D0">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全厂排放量（固体废物产生量）</w:t>
            </w: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6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⑥</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c>
          <w:tcPr>
            <w:tcW w:w="455" w:type="pct"/>
            <w:noWrap w:val="0"/>
            <w:tcMar>
              <w:left w:w="28" w:type="dxa"/>
              <w:right w:w="28" w:type="dxa"/>
            </w:tcMar>
            <w:vAlign w:val="center"/>
          </w:tcPr>
          <w:p w14:paraId="49D75445">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t>变化量</w:t>
            </w:r>
          </w:p>
          <w:p w14:paraId="7D1D6730">
            <w:pPr>
              <w:widowControl w:val="0"/>
              <w:adjustRightInd w:val="0"/>
              <w:snapToGrid w:val="0"/>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 w:val="21"/>
                <w:szCs w:val="21"/>
                <w:lang w:val="en-US" w:eastAsia="zh-CN" w:bidi="ar-SA"/>
              </w:rPr>
            </w:pPr>
            <w:r>
              <w:rPr>
                <w:rFonts w:hint="default" w:ascii="Times New Roman" w:hAnsi="Times New Roman" w:eastAsia="宋体" w:cs="Times New Roman"/>
                <w:snapToGrid w:val="0"/>
                <w:color w:val="auto"/>
                <w:spacing w:val="-6"/>
                <w:kern w:val="21"/>
                <w:sz w:val="21"/>
                <w:szCs w:val="21"/>
                <w:lang w:val="en-US" w:eastAsia="zh-CN" w:bidi="ar-SA"/>
              </w:rPr>
              <w:fldChar w:fldCharType="begin"/>
            </w:r>
            <w:r>
              <w:rPr>
                <w:rFonts w:hint="default" w:ascii="Times New Roman" w:hAnsi="Times New Roman" w:eastAsia="宋体" w:cs="Times New Roman"/>
                <w:snapToGrid w:val="0"/>
                <w:color w:val="auto"/>
                <w:spacing w:val="-6"/>
                <w:kern w:val="21"/>
                <w:sz w:val="21"/>
                <w:szCs w:val="21"/>
                <w:lang w:val="en-US" w:eastAsia="zh-CN" w:bidi="ar-SA"/>
              </w:rPr>
              <w:instrText xml:space="preserve"> = 7 \* GB3 \* MERGEFORMAT </w:instrText>
            </w:r>
            <w:r>
              <w:rPr>
                <w:rFonts w:hint="default" w:ascii="Times New Roman" w:hAnsi="Times New Roman" w:eastAsia="宋体" w:cs="Times New Roman"/>
                <w:snapToGrid w:val="0"/>
                <w:color w:val="auto"/>
                <w:spacing w:val="-6"/>
                <w:kern w:val="21"/>
                <w:sz w:val="21"/>
                <w:szCs w:val="21"/>
                <w:lang w:val="en-US" w:eastAsia="zh-CN" w:bidi="ar-SA"/>
              </w:rPr>
              <w:fldChar w:fldCharType="separate"/>
            </w:r>
            <w:r>
              <w:rPr>
                <w:rFonts w:hint="default" w:ascii="Times New Roman" w:hAnsi="Times New Roman" w:eastAsia="宋体" w:cs="Times New Roman"/>
                <w:snapToGrid w:val="0"/>
                <w:color w:val="auto"/>
                <w:spacing w:val="-6"/>
                <w:kern w:val="21"/>
                <w:sz w:val="21"/>
                <w:szCs w:val="21"/>
                <w:lang w:val="en-US" w:eastAsia="zh-CN" w:bidi="ar-SA"/>
              </w:rPr>
              <w:t>⑦</w:t>
            </w:r>
            <w:r>
              <w:rPr>
                <w:rFonts w:hint="default" w:ascii="Times New Roman" w:hAnsi="Times New Roman" w:eastAsia="宋体" w:cs="Times New Roman"/>
                <w:snapToGrid w:val="0"/>
                <w:color w:val="auto"/>
                <w:spacing w:val="-6"/>
                <w:kern w:val="21"/>
                <w:sz w:val="21"/>
                <w:szCs w:val="21"/>
                <w:lang w:val="en-US" w:eastAsia="zh-CN" w:bidi="ar-SA"/>
              </w:rPr>
              <w:fldChar w:fldCharType="end"/>
            </w:r>
          </w:p>
        </w:tc>
      </w:tr>
      <w:tr w14:paraId="61E76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75" w:type="pct"/>
            <w:noWrap w:val="0"/>
            <w:vAlign w:val="center"/>
          </w:tcPr>
          <w:p w14:paraId="1DBCB2CF">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废气</w:t>
            </w:r>
          </w:p>
        </w:tc>
        <w:tc>
          <w:tcPr>
            <w:tcW w:w="513" w:type="pct"/>
            <w:noWrap w:val="0"/>
            <w:vAlign w:val="center"/>
          </w:tcPr>
          <w:p w14:paraId="1225548D">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颗粒物</w:t>
            </w:r>
          </w:p>
        </w:tc>
        <w:tc>
          <w:tcPr>
            <w:tcW w:w="616" w:type="pct"/>
            <w:noWrap w:val="0"/>
            <w:vAlign w:val="center"/>
          </w:tcPr>
          <w:p w14:paraId="25A8688C">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462" w:type="pct"/>
            <w:noWrap w:val="0"/>
            <w:vAlign w:val="center"/>
          </w:tcPr>
          <w:p w14:paraId="761D4714">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16" w:type="pct"/>
            <w:noWrap w:val="0"/>
            <w:vAlign w:val="center"/>
          </w:tcPr>
          <w:p w14:paraId="0A9B8FDA">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565" w:type="pct"/>
            <w:noWrap w:val="0"/>
            <w:vAlign w:val="center"/>
          </w:tcPr>
          <w:p w14:paraId="33B0A5C2">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3.32t/a</w:t>
            </w:r>
          </w:p>
        </w:tc>
        <w:tc>
          <w:tcPr>
            <w:tcW w:w="567" w:type="pct"/>
            <w:noWrap w:val="0"/>
            <w:vAlign w:val="center"/>
          </w:tcPr>
          <w:p w14:paraId="4D0E1FB8">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25" w:type="pct"/>
            <w:noWrap w:val="0"/>
            <w:vAlign w:val="center"/>
          </w:tcPr>
          <w:p w14:paraId="59956AEF">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3.32t/a</w:t>
            </w:r>
          </w:p>
        </w:tc>
        <w:tc>
          <w:tcPr>
            <w:tcW w:w="455" w:type="pct"/>
            <w:noWrap w:val="0"/>
            <w:vAlign w:val="center"/>
          </w:tcPr>
          <w:p w14:paraId="518831D8">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+3.32t/a</w:t>
            </w:r>
          </w:p>
        </w:tc>
      </w:tr>
      <w:tr w14:paraId="43EE3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75" w:type="pct"/>
            <w:noWrap w:val="0"/>
            <w:vAlign w:val="center"/>
          </w:tcPr>
          <w:p w14:paraId="6B85317E">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废水</w:t>
            </w:r>
          </w:p>
        </w:tc>
        <w:tc>
          <w:tcPr>
            <w:tcW w:w="513" w:type="pct"/>
            <w:noWrap w:val="0"/>
            <w:vAlign w:val="center"/>
          </w:tcPr>
          <w:p w14:paraId="1AC4EC8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16" w:type="pct"/>
            <w:noWrap w:val="0"/>
            <w:vAlign w:val="center"/>
          </w:tcPr>
          <w:p w14:paraId="1ACD10D9">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462" w:type="pct"/>
            <w:noWrap w:val="0"/>
            <w:vAlign w:val="center"/>
          </w:tcPr>
          <w:p w14:paraId="759C085B">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16" w:type="pct"/>
            <w:noWrap w:val="0"/>
            <w:vAlign w:val="center"/>
          </w:tcPr>
          <w:p w14:paraId="4647471D">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565" w:type="pct"/>
            <w:noWrap w:val="0"/>
            <w:vAlign w:val="center"/>
          </w:tcPr>
          <w:p w14:paraId="24157F58">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567" w:type="pct"/>
            <w:noWrap w:val="0"/>
            <w:vAlign w:val="center"/>
          </w:tcPr>
          <w:p w14:paraId="4A97784F">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25" w:type="pct"/>
            <w:noWrap w:val="0"/>
            <w:vAlign w:val="center"/>
          </w:tcPr>
          <w:p w14:paraId="203F9EDB">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455" w:type="pct"/>
            <w:noWrap w:val="0"/>
            <w:vAlign w:val="center"/>
          </w:tcPr>
          <w:p w14:paraId="0B6B18E5">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r>
      <w:tr w14:paraId="62279F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75" w:type="pct"/>
            <w:noWrap w:val="0"/>
            <w:vAlign w:val="center"/>
          </w:tcPr>
          <w:p w14:paraId="56CEC679">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一般工业</w:t>
            </w:r>
          </w:p>
          <w:p w14:paraId="4C3EBCED">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固体废物</w:t>
            </w:r>
          </w:p>
        </w:tc>
        <w:tc>
          <w:tcPr>
            <w:tcW w:w="513" w:type="pct"/>
            <w:noWrap w:val="0"/>
            <w:vAlign w:val="center"/>
          </w:tcPr>
          <w:p w14:paraId="54D3E2FA">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16" w:type="pct"/>
            <w:noWrap w:val="0"/>
            <w:vAlign w:val="center"/>
          </w:tcPr>
          <w:p w14:paraId="00C860F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462" w:type="pct"/>
            <w:noWrap w:val="0"/>
            <w:vAlign w:val="center"/>
          </w:tcPr>
          <w:p w14:paraId="49F894F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16" w:type="pct"/>
            <w:noWrap w:val="0"/>
            <w:vAlign w:val="center"/>
          </w:tcPr>
          <w:p w14:paraId="79267B4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565" w:type="pct"/>
            <w:noWrap w:val="0"/>
            <w:vAlign w:val="center"/>
          </w:tcPr>
          <w:p w14:paraId="2768067E">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567" w:type="pct"/>
            <w:noWrap w:val="0"/>
            <w:vAlign w:val="center"/>
          </w:tcPr>
          <w:p w14:paraId="76BBA26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25" w:type="pct"/>
            <w:noWrap w:val="0"/>
            <w:vAlign w:val="center"/>
          </w:tcPr>
          <w:p w14:paraId="418D8032">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455" w:type="pct"/>
            <w:noWrap w:val="0"/>
            <w:vAlign w:val="center"/>
          </w:tcPr>
          <w:p w14:paraId="18C8256F">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r>
      <w:tr w14:paraId="5D0EE0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75" w:type="pct"/>
            <w:noWrap w:val="0"/>
            <w:vAlign w:val="center"/>
          </w:tcPr>
          <w:p w14:paraId="6610A6CC">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危险废物</w:t>
            </w:r>
          </w:p>
        </w:tc>
        <w:tc>
          <w:tcPr>
            <w:tcW w:w="513" w:type="pct"/>
            <w:noWrap w:val="0"/>
            <w:vAlign w:val="center"/>
          </w:tcPr>
          <w:p w14:paraId="7C381D12">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kern w:val="0"/>
                <w:sz w:val="21"/>
                <w:szCs w:val="20"/>
                <w:lang w:val="en-US" w:eastAsia="zh-CN" w:bidi="ar-SA"/>
              </w:rPr>
              <w:t>废机油</w:t>
            </w:r>
          </w:p>
        </w:tc>
        <w:tc>
          <w:tcPr>
            <w:tcW w:w="616" w:type="pct"/>
            <w:noWrap w:val="0"/>
            <w:vAlign w:val="center"/>
          </w:tcPr>
          <w:p w14:paraId="389C86C8">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462" w:type="pct"/>
            <w:noWrap w:val="0"/>
            <w:vAlign w:val="center"/>
          </w:tcPr>
          <w:p w14:paraId="7CB911C3">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16" w:type="pct"/>
            <w:noWrap w:val="0"/>
            <w:vAlign w:val="center"/>
          </w:tcPr>
          <w:p w14:paraId="0BF9A270">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565" w:type="pct"/>
            <w:noWrap w:val="0"/>
            <w:vAlign w:val="center"/>
          </w:tcPr>
          <w:p w14:paraId="707A248D">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0.3t/a</w:t>
            </w:r>
          </w:p>
        </w:tc>
        <w:tc>
          <w:tcPr>
            <w:tcW w:w="567" w:type="pct"/>
            <w:noWrap w:val="0"/>
            <w:vAlign w:val="center"/>
          </w:tcPr>
          <w:p w14:paraId="5A8C7FB9">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w:t>
            </w:r>
          </w:p>
        </w:tc>
        <w:tc>
          <w:tcPr>
            <w:tcW w:w="625" w:type="pct"/>
            <w:noWrap w:val="0"/>
            <w:vAlign w:val="center"/>
          </w:tcPr>
          <w:p w14:paraId="622234B7">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0.3t/a</w:t>
            </w:r>
          </w:p>
        </w:tc>
        <w:tc>
          <w:tcPr>
            <w:tcW w:w="455" w:type="pct"/>
            <w:noWrap w:val="0"/>
            <w:vAlign w:val="center"/>
          </w:tcPr>
          <w:p w14:paraId="7E906818">
            <w:pPr>
              <w:widowControl w:val="0"/>
              <w:adjustRightInd w:val="0"/>
              <w:snapToGrid w:val="0"/>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+0.3t/a</w:t>
            </w:r>
          </w:p>
        </w:tc>
      </w:tr>
    </w:tbl>
    <w:p w14:paraId="5C50E28D">
      <w:pPr>
        <w:spacing w:before="260" w:beforeLines="80" w:after="32" w:afterLines="10" w:line="259" w:lineRule="auto"/>
        <w:ind w:firstLine="480"/>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kern w:val="21"/>
          <w:szCs w:val="21"/>
        </w:rPr>
        <w:t>注：</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③</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④</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⑤</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⑦</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p>
    <w:p w14:paraId="46277838">
      <w:pPr>
        <w:spacing w:before="260" w:beforeLines="80" w:after="32" w:afterLines="10" w:line="259" w:lineRule="auto"/>
        <w:ind w:firstLine="198" w:firstLineChars="87"/>
        <w:rPr>
          <w:rFonts w:hint="default" w:ascii="Times New Roman" w:hAnsi="Times New Roman" w:eastAsia="宋体" w:cs="Times New Roman"/>
          <w:snapToGrid w:val="0"/>
          <w:color w:val="auto"/>
          <w:spacing w:val="-6"/>
          <w:kern w:val="21"/>
          <w:szCs w:val="21"/>
        </w:rPr>
        <w:sectPr>
          <w:pgSz w:w="16838" w:h="11906" w:orient="landscape"/>
          <w:pgMar w:top="720" w:right="720" w:bottom="720" w:left="720" w:header="851" w:footer="850" w:gutter="0"/>
          <w:pgBorders>
            <w:top w:val="none" w:sz="0" w:space="0"/>
            <w:left w:val="none" w:sz="0" w:space="0"/>
            <w:bottom w:val="none" w:sz="0" w:space="0"/>
            <w:right w:val="none" w:sz="0" w:space="0"/>
          </w:pgBorders>
          <w:cols w:space="425" w:num="1"/>
          <w:docGrid w:type="lines" w:linePitch="326" w:charSpace="0"/>
        </w:sectPr>
      </w:pPr>
    </w:p>
    <w:p w14:paraId="7E310DE2">
      <w:pPr>
        <w:pStyle w:val="3"/>
        <w:rPr>
          <w:rFonts w:hint="default" w:ascii="Times New Roman" w:hAnsi="Times New Roman" w:eastAsia="宋体" w:cs="Times New Roman"/>
          <w:color w:val="auto"/>
        </w:rPr>
      </w:pPr>
      <w:bookmarkStart w:id="44" w:name="_Toc144507133"/>
      <w:r>
        <w:rPr>
          <w:rFonts w:hint="default" w:ascii="Times New Roman" w:hAnsi="Times New Roman" w:eastAsia="宋体" w:cs="Times New Roman"/>
          <w:color w:val="auto"/>
        </w:rPr>
        <w:t>附图1</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项目地理位置图</w:t>
      </w:r>
      <w:bookmarkEnd w:id="44"/>
    </w:p>
    <w:p w14:paraId="64448576">
      <w:pPr>
        <w:ind w:left="0" w:leftChars="0"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4"/>
        </w:rPr>
        <mc:AlternateContent>
          <mc:Choice Requires="wps">
            <w:drawing>
              <wp:anchor distT="0" distB="0" distL="114300" distR="114300" simplePos="0" relativeHeight="251659264" behindDoc="0" locked="0" layoutInCell="1" allowOverlap="1">
                <wp:simplePos x="0" y="0"/>
                <wp:positionH relativeFrom="column">
                  <wp:posOffset>5549900</wp:posOffset>
                </wp:positionH>
                <wp:positionV relativeFrom="paragraph">
                  <wp:posOffset>1209675</wp:posOffset>
                </wp:positionV>
                <wp:extent cx="1036955" cy="306705"/>
                <wp:effectExtent l="6350" t="6350" r="23495" b="258445"/>
                <wp:wrapNone/>
                <wp:docPr id="8" name="矩形标注 8"/>
                <wp:cNvGraphicFramePr/>
                <a:graphic xmlns:a="http://schemas.openxmlformats.org/drawingml/2006/main">
                  <a:graphicData uri="http://schemas.microsoft.com/office/word/2010/wordprocessingShape">
                    <wps:wsp>
                      <wps:cNvSpPr/>
                      <wps:spPr>
                        <a:xfrm>
                          <a:off x="4315460" y="2720340"/>
                          <a:ext cx="1036955" cy="306705"/>
                        </a:xfrm>
                        <a:prstGeom prst="wedgeRectCallout">
                          <a:avLst>
                            <a:gd name="adj1" fmla="val -46203"/>
                            <a:gd name="adj2" fmla="val 12743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474489DA">
                            <w:pPr>
                              <w:spacing w:line="240" w:lineRule="auto"/>
                              <w:ind w:left="0" w:leftChars="0" w:firstLine="0" w:firstLineChars="0"/>
                              <w:jc w:val="both"/>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7pt;margin-top:95.25pt;height:24.15pt;width:81.65pt;z-index:251659264;v-text-anchor:middle;mso-width-relative:page;mso-height-relative:page;" fillcolor="#4472C4 [3204]" filled="t" stroked="t" coordsize="21600,21600" o:gfxdata="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Zs/Z7tgAAAAMAQAADwAAAAAAAAABACAAAAAiAAAAZHJzL2Rvd25yZXYueG1sUEsBAhQAFAAAAAgA&#10;h07iQD7zHffQAgAAkgUAAA4AAAAAAAAAAQAgAAAAJwEAAGRycy9lMm9Eb2MueG1sUEsFBgAAAAAG&#10;AAYAWQEAAGkGAAAAAA==&#10;" adj="820,38325">
                <v:fill on="t" focussize="0,0"/>
                <v:stroke weight="1pt" color="#2F5597 [2404]" miterlimit="8" joinstyle="miter"/>
                <v:imagedata o:title=""/>
                <o:lock v:ext="edit" aspectratio="f"/>
                <v:textbox>
                  <w:txbxContent>
                    <w:p w14:paraId="474489DA">
                      <w:pPr>
                        <w:spacing w:line="240" w:lineRule="auto"/>
                        <w:ind w:left="0" w:leftChars="0" w:firstLine="0" w:firstLineChars="0"/>
                        <w:jc w:val="both"/>
                        <w:rPr>
                          <w:rFonts w:hint="default" w:eastAsia="宋体"/>
                          <w:b/>
                          <w:bCs/>
                          <w:color w:val="FF0000"/>
                          <w:sz w:val="24"/>
                          <w:szCs w:val="24"/>
                          <w:lang w:val="en-US" w:eastAsia="zh-CN"/>
                        </w:rPr>
                      </w:pPr>
                      <w:r>
                        <w:rPr>
                          <w:rFonts w:hint="eastAsia"/>
                          <w:b/>
                          <w:bCs/>
                          <w:color w:val="FF0000"/>
                          <w:sz w:val="24"/>
                          <w:szCs w:val="24"/>
                          <w:lang w:val="en-US" w:eastAsia="zh-CN"/>
                        </w:rPr>
                        <w:t>本项目位置</w:t>
                      </w:r>
                    </w:p>
                  </w:txbxContent>
                </v:textbox>
              </v:shape>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660288" behindDoc="0" locked="0" layoutInCell="1" allowOverlap="1">
                <wp:simplePos x="0" y="0"/>
                <wp:positionH relativeFrom="column">
                  <wp:posOffset>5453380</wp:posOffset>
                </wp:positionH>
                <wp:positionV relativeFrom="paragraph">
                  <wp:posOffset>1718945</wp:posOffset>
                </wp:positionV>
                <wp:extent cx="118110" cy="90170"/>
                <wp:effectExtent l="23495" t="17145" r="29845" b="26035"/>
                <wp:wrapNone/>
                <wp:docPr id="12" name="五角星 12"/>
                <wp:cNvGraphicFramePr/>
                <a:graphic xmlns:a="http://schemas.openxmlformats.org/drawingml/2006/main">
                  <a:graphicData uri="http://schemas.microsoft.com/office/word/2010/wordprocessingShape">
                    <wps:wsp>
                      <wps:cNvSpPr/>
                      <wps:spPr>
                        <a:xfrm>
                          <a:off x="4302760" y="2721610"/>
                          <a:ext cx="118110" cy="9017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9.4pt;margin-top:135.35pt;height:7.1pt;width:9.3pt;z-index:251660288;v-text-anchor:middle;mso-width-relative:page;mso-height-relative:page;" fillcolor="#FF0000" filled="t" stroked="t" coordsize="118110,90170" o:gfxdata="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fFfecNkAAAALAQAADwAAAAAAAAABACAA&#10;AAAiAAAAZHJzL2Rvd25yZXYueG1sUEsBAhQAFAAAAAgAh07iQPXlHet+AgAABAUAAA4AAAAAAAAA&#10;AQAgAAAAKAEAAGRycy9lMm9Eb2MueG1sUEsFBgAAAAAGAAYAWQEAABgGAAAAAA==&#10;" path="m0,34441l45114,34442,59055,0,72995,34442,118109,34441,81611,55727,95552,90169,59055,68883,22557,90169,36498,55727xe">
                <v:path o:connectlocs="59055,0;0,34441;22557,90169;95552,90169;118109,34441" o:connectangles="247,164,82,82,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auto"/>
        </w:rPr>
        <w:drawing>
          <wp:inline distT="0" distB="0" distL="114300" distR="114300">
            <wp:extent cx="6766560" cy="4736465"/>
            <wp:effectExtent l="0" t="0" r="15240" b="6985"/>
            <wp:docPr id="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6"/>
                    <pic:cNvPicPr>
                      <a:picLocks noChangeAspect="1"/>
                    </pic:cNvPicPr>
                  </pic:nvPicPr>
                  <pic:blipFill>
                    <a:blip r:embed="rId64"/>
                    <a:stretch>
                      <a:fillRect/>
                    </a:stretch>
                  </pic:blipFill>
                  <pic:spPr>
                    <a:xfrm>
                      <a:off x="0" y="0"/>
                      <a:ext cx="6766560" cy="4736465"/>
                    </a:xfrm>
                    <a:prstGeom prst="rect">
                      <a:avLst/>
                    </a:prstGeom>
                    <a:noFill/>
                    <a:ln>
                      <a:noFill/>
                    </a:ln>
                  </pic:spPr>
                </pic:pic>
              </a:graphicData>
            </a:graphic>
          </wp:inline>
        </w:drawing>
      </w:r>
    </w:p>
    <w:p w14:paraId="64AE3732">
      <w:pPr>
        <w:pStyle w:val="3"/>
        <w:rPr>
          <w:rFonts w:hint="default" w:ascii="Times New Roman" w:hAnsi="Times New Roman" w:eastAsia="宋体" w:cs="Times New Roman"/>
          <w:color w:val="auto"/>
          <w:lang w:val="en-US" w:eastAsia="zh-CN"/>
        </w:rPr>
        <w:sectPr>
          <w:pgSz w:w="16838" w:h="11906" w:orient="landscape"/>
          <w:pgMar w:top="1803" w:right="1440" w:bottom="1803" w:left="1440" w:header="851" w:footer="850" w:gutter="0"/>
          <w:pgBorders>
            <w:top w:val="none" w:sz="0" w:space="0"/>
            <w:left w:val="none" w:sz="0" w:space="0"/>
            <w:bottom w:val="none" w:sz="0" w:space="0"/>
            <w:right w:val="none" w:sz="0" w:space="0"/>
          </w:pgBorders>
          <w:cols w:space="425" w:num="1"/>
          <w:docGrid w:type="lines" w:linePitch="326" w:charSpace="0"/>
        </w:sectPr>
      </w:pPr>
    </w:p>
    <w:p w14:paraId="71AD570D">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矿区规划井田划分图</w:t>
      </w:r>
    </w:p>
    <w:p w14:paraId="24F01ED2">
      <w:pPr>
        <w:ind w:left="0" w:leftChars="0" w:firstLine="0" w:firstLineChars="0"/>
        <w:rPr>
          <w:rFonts w:hint="default" w:ascii="Times New Roman" w:hAnsi="Times New Roman" w:eastAsia="宋体" w:cs="Times New Roman"/>
          <w:color w:val="auto"/>
          <w:lang w:val="en-US"/>
        </w:rPr>
        <w:sectPr>
          <w:pgSz w:w="11906" w:h="16838"/>
          <w:pgMar w:top="1440" w:right="1803" w:bottom="1440" w:left="1803" w:header="851" w:footer="850"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lang w:val="en-US"/>
        </w:rPr>
        <w:drawing>
          <wp:inline distT="0" distB="0" distL="114300" distR="114300">
            <wp:extent cx="5267960" cy="7973060"/>
            <wp:effectExtent l="0" t="0" r="8890" b="8890"/>
            <wp:docPr id="35" name="图片 35" descr="图2.2-1 矿区规划井田划分图（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2.2-1 矿区规划井田划分图（A3）"/>
                    <pic:cNvPicPr>
                      <a:picLocks noChangeAspect="1"/>
                    </pic:cNvPicPr>
                  </pic:nvPicPr>
                  <pic:blipFill>
                    <a:blip r:embed="rId65"/>
                    <a:stretch>
                      <a:fillRect/>
                    </a:stretch>
                  </pic:blipFill>
                  <pic:spPr>
                    <a:xfrm>
                      <a:off x="0" y="0"/>
                      <a:ext cx="5267960" cy="7973060"/>
                    </a:xfrm>
                    <a:prstGeom prst="rect">
                      <a:avLst/>
                    </a:prstGeom>
                  </pic:spPr>
                </pic:pic>
              </a:graphicData>
            </a:graphic>
          </wp:inline>
        </w:drawing>
      </w:r>
    </w:p>
    <w:p w14:paraId="443426FB">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井田盘区位置关系图</w:t>
      </w:r>
    </w:p>
    <w:p w14:paraId="54A42E94">
      <w:pPr>
        <w:ind w:left="0" w:leftChars="0" w:firstLine="0" w:firstLineChars="0"/>
        <w:jc w:val="center"/>
        <w:rPr>
          <w:rFonts w:hint="default" w:ascii="Times New Roman" w:hAnsi="Times New Roman" w:eastAsia="宋体" w:cs="Times New Roman"/>
          <w:color w:val="auto"/>
        </w:rPr>
        <w:sectPr>
          <w:pgSz w:w="16838" w:h="11906" w:orient="landscape"/>
          <w:pgMar w:top="1803" w:right="1440" w:bottom="1803" w:left="1440" w:header="851" w:footer="850"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7255510" cy="4837430"/>
            <wp:effectExtent l="0" t="0" r="2540" b="127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66"/>
                    <a:stretch>
                      <a:fillRect/>
                    </a:stretch>
                  </pic:blipFill>
                  <pic:spPr>
                    <a:xfrm>
                      <a:off x="0" y="0"/>
                      <a:ext cx="7255510" cy="4837430"/>
                    </a:xfrm>
                    <a:prstGeom prst="rect">
                      <a:avLst/>
                    </a:prstGeom>
                    <a:noFill/>
                    <a:ln>
                      <a:noFill/>
                    </a:ln>
                  </pic:spPr>
                </pic:pic>
              </a:graphicData>
            </a:graphic>
          </wp:inline>
        </w:drawing>
      </w:r>
    </w:p>
    <w:p w14:paraId="434D265D">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4</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本项目与白家海子矿区位置关系</w:t>
      </w:r>
    </w:p>
    <w:p w14:paraId="35D94933">
      <w:pPr>
        <w:ind w:left="0" w:leftChars="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 w:val="24"/>
        </w:rPr>
        <w:object>
          <v:shape id="_x0000_i1032" o:spt="75" type="#_x0000_t75" style="height:387.65pt;width:697.55pt;" o:ole="t" filled="f" o:preferrelative="t" stroked="f" coordsize="21600,21600">
            <v:path/>
            <v:fill on="f" focussize="0,0"/>
            <v:stroke on="f"/>
            <v:imagedata r:id="rId68" o:title=""/>
            <o:lock v:ext="edit" aspectratio="f"/>
            <w10:wrap type="none"/>
            <w10:anchorlock/>
          </v:shape>
          <o:OLEObject Type="Embed" ProgID="Visio.Drawing.15" ShapeID="_x0000_i1032" DrawAspect="Content" ObjectID="_1468075732" r:id="rId67">
            <o:LockedField>false</o:LockedField>
          </o:OLEObject>
        </w:object>
      </w:r>
    </w:p>
    <w:p w14:paraId="2D48E7B4">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现状监测点位示意图</w:t>
      </w:r>
    </w:p>
    <w:p w14:paraId="3A4C4075">
      <w:pPr>
        <w:ind w:left="0" w:leftChars="0" w:firstLine="0" w:firstLineChars="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6555105" cy="4940300"/>
            <wp:effectExtent l="0" t="0" r="17145" b="1270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50"/>
                    <a:stretch>
                      <a:fillRect/>
                    </a:stretch>
                  </pic:blipFill>
                  <pic:spPr>
                    <a:xfrm>
                      <a:off x="0" y="0"/>
                      <a:ext cx="6555105" cy="4940300"/>
                    </a:xfrm>
                    <a:prstGeom prst="rect">
                      <a:avLst/>
                    </a:prstGeom>
                    <a:noFill/>
                    <a:ln>
                      <a:noFill/>
                    </a:ln>
                  </pic:spPr>
                </pic:pic>
              </a:graphicData>
            </a:graphic>
          </wp:inline>
        </w:drawing>
      </w:r>
    </w:p>
    <w:p w14:paraId="20596E7F">
      <w:pPr>
        <w:pStyle w:val="37"/>
        <w:jc w:val="center"/>
        <w:rPr>
          <w:rFonts w:hint="default" w:ascii="Times New Roman" w:hAnsi="Times New Roman" w:eastAsia="宋体" w:cs="Times New Roman"/>
          <w:color w:val="auto"/>
        </w:rPr>
        <w:sectPr>
          <w:pgSz w:w="16838" w:h="11906" w:orient="landscape"/>
          <w:pgMar w:top="1803" w:right="1440" w:bottom="1803" w:left="1440" w:header="851" w:footer="850" w:gutter="0"/>
          <w:pgBorders>
            <w:top w:val="none" w:sz="0" w:space="0"/>
            <w:left w:val="none" w:sz="0" w:space="0"/>
            <w:bottom w:val="none" w:sz="0" w:space="0"/>
            <w:right w:val="none" w:sz="0" w:space="0"/>
          </w:pgBorders>
          <w:cols w:space="425" w:num="1"/>
          <w:docGrid w:type="lines" w:linePitch="326" w:charSpace="0"/>
        </w:sectPr>
      </w:pPr>
    </w:p>
    <w:p w14:paraId="574123B5">
      <w:pPr>
        <w:pStyle w:val="3"/>
        <w:rPr>
          <w:rFonts w:hint="default" w:ascii="Times New Roman" w:hAnsi="Times New Roman" w:eastAsia="宋体" w:cs="Times New Roman"/>
          <w:color w:val="auto"/>
          <w:lang w:val="en-US" w:eastAsia="zh-CN"/>
        </w:rPr>
      </w:pPr>
      <w:bookmarkStart w:id="45" w:name="_Toc144507138"/>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管控单元查询图</w:t>
      </w:r>
    </w:p>
    <w:p w14:paraId="3DCAE487">
      <w:pPr>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drawing>
          <wp:inline distT="0" distB="0" distL="114300" distR="114300">
            <wp:extent cx="9007475" cy="4551045"/>
            <wp:effectExtent l="0" t="0" r="3175" b="1905"/>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69"/>
                    <a:stretch>
                      <a:fillRect/>
                    </a:stretch>
                  </pic:blipFill>
                  <pic:spPr>
                    <a:xfrm>
                      <a:off x="0" y="0"/>
                      <a:ext cx="9007475" cy="4551045"/>
                    </a:xfrm>
                    <a:prstGeom prst="rect">
                      <a:avLst/>
                    </a:prstGeom>
                    <a:noFill/>
                    <a:ln>
                      <a:noFill/>
                    </a:ln>
                  </pic:spPr>
                </pic:pic>
              </a:graphicData>
            </a:graphic>
          </wp:inline>
        </w:drawing>
      </w:r>
    </w:p>
    <w:p w14:paraId="6A873B7F">
      <w:pPr>
        <w:pStyle w:val="32"/>
        <w:rPr>
          <w:rFonts w:hint="default" w:ascii="Times New Roman" w:hAnsi="Times New Roman" w:eastAsia="宋体" w:cs="Times New Roman"/>
          <w:color w:val="auto"/>
          <w:lang w:val="en-US"/>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0968CCA9">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7</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本项目与</w:t>
      </w:r>
      <w:r>
        <w:rPr>
          <w:rFonts w:hint="default" w:ascii="Times New Roman" w:hAnsi="Times New Roman" w:eastAsia="宋体" w:cs="Times New Roman"/>
          <w:color w:val="auto"/>
          <w:lang w:val="en-US"/>
        </w:rPr>
        <w:t>乌审旗城镇边界</w:t>
      </w:r>
      <w:r>
        <w:rPr>
          <w:rFonts w:hint="default" w:ascii="Times New Roman" w:hAnsi="Times New Roman" w:eastAsia="宋体" w:cs="Times New Roman"/>
          <w:color w:val="auto"/>
          <w:lang w:val="en-US" w:eastAsia="zh-CN"/>
        </w:rPr>
        <w:t>叠图</w:t>
      </w:r>
    </w:p>
    <w:p w14:paraId="20711DFC">
      <w:pPr>
        <w:rPr>
          <w:rFonts w:hint="default" w:ascii="Times New Roman" w:hAnsi="Times New Roman" w:eastAsia="宋体" w:cs="Times New Roman"/>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sz w:val="24"/>
        </w:rPr>
        <w:pict>
          <v:shape id="_x0000_s1047" o:spid="_x0000_s1047" o:spt="75" type="#_x0000_t75" style="position:absolute;left:0pt;margin-left:0pt;margin-top:0pt;height:372.7pt;width:697.35pt;z-index:251661312;mso-width-relative:page;mso-height-relative:page;" o:ole="t" filled="f" o:preferrelative="t" stroked="f" coordsize="21600,21600">
            <v:path/>
            <v:fill on="f" focussize="0,0"/>
            <v:stroke on="f"/>
            <v:imagedata r:id="rId71" o:title=""/>
            <o:lock v:ext="edit" aspectratio="f"/>
          </v:shape>
          <o:OLEObject Type="Embed" ProgID="Visio.Drawing.15" ShapeID="_x0000_s1047" DrawAspect="Content" ObjectID="_1468075733" r:id="rId70">
            <o:LockedField>false</o:LockedField>
          </o:OLEObject>
        </w:pict>
      </w:r>
    </w:p>
    <w:p w14:paraId="5DC96786">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8</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生态措施平面布置图</w:t>
      </w:r>
    </w:p>
    <w:p w14:paraId="6F03F070">
      <w:pPr>
        <w:pStyle w:val="16"/>
        <w:ind w:left="0" w:leftChars="0" w:firstLine="0" w:firstLineChars="0"/>
        <w:rPr>
          <w:rFonts w:hint="default" w:ascii="Times New Roman" w:hAnsi="Times New Roman" w:eastAsia="宋体" w:cs="Times New Roman"/>
          <w:color w:val="auto"/>
          <w:lang w:val="en-US"/>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auto"/>
          <w:sz w:val="18"/>
        </w:rPr>
        <w:object>
          <v:shape id="_x0000_i1033" o:spt="75" type="#_x0000_t75" style="height:551.8pt;width:414.85pt;" o:ole="t" filled="f" o:preferrelative="t" stroked="f" coordsize="21600,21600">
            <v:path/>
            <v:fill on="f" focussize="0,0"/>
            <v:stroke on="f"/>
            <v:imagedata r:id="rId73" o:title=""/>
            <o:lock v:ext="edit" aspectratio="f"/>
            <w10:wrap type="none"/>
            <w10:anchorlock/>
          </v:shape>
          <o:OLEObject Type="Embed" ProgID="Visio.Drawing.15" ShapeID="_x0000_i1033" DrawAspect="Content" ObjectID="_1468075734" r:id="rId72">
            <o:LockedField>false</o:LockedField>
          </o:OLEObject>
        </w:object>
      </w:r>
    </w:p>
    <w:p w14:paraId="52DF23D3">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9</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项目与公益林分布图</w:t>
      </w:r>
    </w:p>
    <w:p w14:paraId="6BDEC28D">
      <w:pPr>
        <w:rPr>
          <w:rFonts w:hint="default" w:ascii="Times New Roman" w:hAnsi="Times New Roman" w:eastAsia="宋体" w:cs="Times New Roman"/>
          <w:color w:val="auto"/>
          <w:lang w:val="en-US" w:eastAsia="zh-CN"/>
        </w:rPr>
      </w:pPr>
    </w:p>
    <w:p w14:paraId="34FAA61C">
      <w:pPr>
        <w:rPr>
          <w:rFonts w:hint="default" w:ascii="Times New Roman" w:hAnsi="Times New Roman" w:eastAsia="宋体" w:cs="Times New Roman"/>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lang w:val="en-US" w:eastAsia="zh-CN"/>
        </w:rPr>
        <w:drawing>
          <wp:anchor distT="0" distB="0" distL="114300" distR="114300" simplePos="0" relativeHeight="251667456" behindDoc="0" locked="0" layoutInCell="1" allowOverlap="1">
            <wp:simplePos x="0" y="0"/>
            <wp:positionH relativeFrom="column">
              <wp:posOffset>435610</wp:posOffset>
            </wp:positionH>
            <wp:positionV relativeFrom="paragraph">
              <wp:posOffset>-54610</wp:posOffset>
            </wp:positionV>
            <wp:extent cx="7642225" cy="4900930"/>
            <wp:effectExtent l="0" t="0" r="15875" b="13970"/>
            <wp:wrapNone/>
            <wp:docPr id="3" name="图片 3" descr="2fe97b65b509a8b5d36a244a143ab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fe97b65b509a8b5d36a244a143ab690"/>
                    <pic:cNvPicPr>
                      <a:picLocks noChangeAspect="1"/>
                    </pic:cNvPicPr>
                  </pic:nvPicPr>
                  <pic:blipFill>
                    <a:blip r:embed="rId74"/>
                    <a:stretch>
                      <a:fillRect/>
                    </a:stretch>
                  </pic:blipFill>
                  <pic:spPr>
                    <a:xfrm>
                      <a:off x="0" y="0"/>
                      <a:ext cx="7642225" cy="4900930"/>
                    </a:xfrm>
                    <a:prstGeom prst="rect">
                      <a:avLst/>
                    </a:prstGeom>
                  </pic:spPr>
                </pic:pic>
              </a:graphicData>
            </a:graphic>
          </wp:anchor>
        </w:drawing>
      </w:r>
    </w:p>
    <w:p w14:paraId="615E1BAD">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10</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项目与</w:t>
      </w:r>
      <w:r>
        <w:rPr>
          <w:rFonts w:hint="eastAsia" w:cs="Times New Roman"/>
          <w:color w:val="auto"/>
          <w:lang w:val="en-US" w:eastAsia="zh-CN"/>
        </w:rPr>
        <w:t>永久基本农田</w:t>
      </w:r>
      <w:r>
        <w:rPr>
          <w:rFonts w:hint="default" w:ascii="Times New Roman" w:hAnsi="Times New Roman" w:eastAsia="宋体" w:cs="Times New Roman"/>
          <w:color w:val="auto"/>
          <w:lang w:val="en-US" w:eastAsia="zh-CN"/>
        </w:rPr>
        <w:t>分布图</w:t>
      </w:r>
    </w:p>
    <w:p w14:paraId="640C94F5">
      <w:pPr>
        <w:ind w:left="0" w:leftChars="0" w:firstLine="0" w:firstLineChars="0"/>
        <w:rPr>
          <w:rFonts w:hint="default" w:ascii="Times New Roman" w:hAnsi="Times New Roman" w:eastAsia="宋体" w:cs="Times New Roman"/>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lang w:eastAsia="zh-CN"/>
        </w:rPr>
        <w:drawing>
          <wp:anchor distT="0" distB="0" distL="114300" distR="114300" simplePos="0" relativeHeight="251678720" behindDoc="0" locked="0" layoutInCell="1" allowOverlap="1">
            <wp:simplePos x="0" y="0"/>
            <wp:positionH relativeFrom="column">
              <wp:posOffset>0</wp:posOffset>
            </wp:positionH>
            <wp:positionV relativeFrom="paragraph">
              <wp:posOffset>40005</wp:posOffset>
            </wp:positionV>
            <wp:extent cx="5271135" cy="7448550"/>
            <wp:effectExtent l="0" t="0" r="5715" b="0"/>
            <wp:wrapNone/>
            <wp:docPr id="82" name="图片 82" descr="0611d474883531d2f397a05c6c078a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611d474883531d2f397a05c6c078a59"/>
                    <pic:cNvPicPr>
                      <a:picLocks noChangeAspect="1"/>
                    </pic:cNvPicPr>
                  </pic:nvPicPr>
                  <pic:blipFill>
                    <a:blip r:embed="rId75"/>
                    <a:stretch>
                      <a:fillRect/>
                    </a:stretch>
                  </pic:blipFill>
                  <pic:spPr>
                    <a:xfrm>
                      <a:off x="0" y="0"/>
                      <a:ext cx="5271135" cy="7448550"/>
                    </a:xfrm>
                    <a:prstGeom prst="rect">
                      <a:avLst/>
                    </a:prstGeom>
                  </pic:spPr>
                </pic:pic>
              </a:graphicData>
            </a:graphic>
          </wp:anchor>
        </w:drawing>
      </w:r>
    </w:p>
    <w:p w14:paraId="38CEA3CD">
      <w:pPr>
        <w:pStyle w:val="3"/>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附图</w:t>
      </w:r>
      <w:r>
        <w:rPr>
          <w:rFonts w:hint="default" w:ascii="Times New Roman" w:hAnsi="Times New Roman" w:eastAsia="宋体" w:cs="Times New Roman"/>
          <w:color w:val="auto"/>
          <w:lang w:val="en-US" w:eastAsia="zh-CN"/>
        </w:rPr>
        <w:t>11</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项目与河湖岸线、水库位置关系图</w:t>
      </w:r>
    </w:p>
    <w:p w14:paraId="1634B345">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lang w:eastAsia="zh-CN"/>
        </w:rPr>
        <w:drawing>
          <wp:anchor distT="0" distB="0" distL="114300" distR="114300" simplePos="0" relativeHeight="251677696" behindDoc="0" locked="0" layoutInCell="1" allowOverlap="1">
            <wp:simplePos x="0" y="0"/>
            <wp:positionH relativeFrom="column">
              <wp:posOffset>0</wp:posOffset>
            </wp:positionH>
            <wp:positionV relativeFrom="paragraph">
              <wp:posOffset>40005</wp:posOffset>
            </wp:positionV>
            <wp:extent cx="5271135" cy="7448550"/>
            <wp:effectExtent l="0" t="0" r="5715" b="0"/>
            <wp:wrapNone/>
            <wp:docPr id="78" name="图片 78" descr="072a2bb1293b01db2c82b5fc71255b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072a2bb1293b01db2c82b5fc71255b25"/>
                    <pic:cNvPicPr>
                      <a:picLocks noChangeAspect="1"/>
                    </pic:cNvPicPr>
                  </pic:nvPicPr>
                  <pic:blipFill>
                    <a:blip r:embed="rId76"/>
                    <a:stretch>
                      <a:fillRect/>
                    </a:stretch>
                  </pic:blipFill>
                  <pic:spPr>
                    <a:xfrm>
                      <a:off x="0" y="0"/>
                      <a:ext cx="5271135" cy="7448550"/>
                    </a:xfrm>
                    <a:prstGeom prst="rect">
                      <a:avLst/>
                    </a:prstGeom>
                  </pic:spPr>
                </pic:pic>
              </a:graphicData>
            </a:graphic>
          </wp:anchor>
        </w:drawing>
      </w:r>
    </w:p>
    <w:p w14:paraId="18851FE4">
      <w:pPr>
        <w:pStyle w:val="3"/>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附件1：委托书</w:t>
      </w:r>
      <w:bookmarkEnd w:id="45"/>
    </w:p>
    <w:p w14:paraId="0EBA1CB5">
      <w:pPr>
        <w:spacing w:line="480" w:lineRule="auto"/>
        <w:ind w:left="0" w:leftChars="0" w:firstLine="0" w:firstLineChars="0"/>
        <w:jc w:val="both"/>
        <w:rPr>
          <w:rFonts w:hint="default" w:ascii="Times New Roman" w:hAnsi="Times New Roman" w:eastAsia="宋体" w:cs="Times New Roman"/>
          <w:b/>
          <w:bCs/>
          <w:snapToGrid w:val="0"/>
          <w:color w:val="auto"/>
          <w:sz w:val="28"/>
          <w:lang w:eastAsia="zh-CN"/>
        </w:rPr>
      </w:pPr>
      <w:r>
        <w:rPr>
          <w:rFonts w:hint="default" w:ascii="Times New Roman" w:hAnsi="Times New Roman" w:eastAsia="宋体" w:cs="Times New Roman"/>
          <w:b/>
          <w:bCs/>
          <w:snapToGrid w:val="0"/>
          <w:color w:val="auto"/>
          <w:sz w:val="28"/>
          <w:lang w:eastAsia="zh-CN"/>
        </w:rPr>
        <w:drawing>
          <wp:inline distT="0" distB="0" distL="114300" distR="114300">
            <wp:extent cx="5266690" cy="7245985"/>
            <wp:effectExtent l="0" t="0" r="10160" b="12065"/>
            <wp:docPr id="4" name="图片 4" descr="6aebd3cba997da60c35e3d883e59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aebd3cba997da60c35e3d883e591795"/>
                    <pic:cNvPicPr>
                      <a:picLocks noChangeAspect="1"/>
                    </pic:cNvPicPr>
                  </pic:nvPicPr>
                  <pic:blipFill>
                    <a:blip r:embed="rId77"/>
                    <a:stretch>
                      <a:fillRect/>
                    </a:stretch>
                  </pic:blipFill>
                  <pic:spPr>
                    <a:xfrm>
                      <a:off x="0" y="0"/>
                      <a:ext cx="5266690" cy="7245985"/>
                    </a:xfrm>
                    <a:prstGeom prst="rect">
                      <a:avLst/>
                    </a:prstGeom>
                  </pic:spPr>
                </pic:pic>
              </a:graphicData>
            </a:graphic>
          </wp:inline>
        </w:drawing>
      </w:r>
    </w:p>
    <w:p w14:paraId="0765E561">
      <w:pPr>
        <w:pStyle w:val="37"/>
        <w:rPr>
          <w:rFonts w:hint="default" w:ascii="Times New Roman" w:hAnsi="Times New Roman" w:eastAsia="宋体" w:cs="Times New Roman"/>
          <w:snapToGrid w:val="0"/>
          <w:color w:val="auto"/>
        </w:rPr>
      </w:pPr>
    </w:p>
    <w:p w14:paraId="43D5D43C">
      <w:pPr>
        <w:pStyle w:val="37"/>
        <w:rPr>
          <w:rFonts w:hint="default" w:ascii="Times New Roman" w:hAnsi="Times New Roman" w:eastAsia="宋体" w:cs="Times New Roman"/>
          <w:snapToGrid w:val="0"/>
          <w:color w:val="auto"/>
        </w:rPr>
      </w:pPr>
    </w:p>
    <w:p w14:paraId="0DC2A2EE">
      <w:pPr>
        <w:pStyle w:val="37"/>
        <w:rPr>
          <w:rFonts w:hint="default" w:ascii="Times New Roman" w:hAnsi="Times New Roman" w:eastAsia="宋体" w:cs="Times New Roman"/>
          <w:snapToGrid w:val="0"/>
          <w:color w:val="auto"/>
        </w:rPr>
      </w:pPr>
    </w:p>
    <w:p w14:paraId="210FE9D0">
      <w:pPr>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br w:type="page"/>
      </w:r>
    </w:p>
    <w:p w14:paraId="653A7FD5">
      <w:pPr>
        <w:pStyle w:val="3"/>
        <w:rPr>
          <w:rFonts w:hint="default" w:ascii="Times New Roman" w:hAnsi="Times New Roman" w:eastAsia="宋体" w:cs="Times New Roman"/>
          <w:snapToGrid w:val="0"/>
          <w:color w:val="auto"/>
          <w:lang w:val="en-US" w:eastAsia="zh-CN"/>
        </w:rPr>
      </w:pPr>
      <w:bookmarkStart w:id="46" w:name="_Toc144507139"/>
      <w:r>
        <w:rPr>
          <w:rFonts w:hint="default" w:ascii="Times New Roman" w:hAnsi="Times New Roman" w:eastAsia="宋体" w:cs="Times New Roman"/>
          <w:snapToGrid w:val="0"/>
          <w:color w:val="auto"/>
        </w:rPr>
        <w:t>附件2：</w:t>
      </w:r>
      <w:r>
        <w:rPr>
          <w:rFonts w:hint="default" w:ascii="Times New Roman" w:hAnsi="Times New Roman" w:eastAsia="宋体" w:cs="Times New Roman"/>
          <w:snapToGrid w:val="0"/>
          <w:color w:val="auto"/>
          <w:lang w:val="en-US" w:eastAsia="zh-CN"/>
        </w:rPr>
        <w:t>备案文件</w:t>
      </w:r>
    </w:p>
    <w:p w14:paraId="6B160835">
      <w:pPr>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172075" cy="7315200"/>
            <wp:effectExtent l="0" t="0" r="9525" b="0"/>
            <wp:docPr id="6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8"/>
                    <pic:cNvPicPr>
                      <a:picLocks noChangeAspect="1"/>
                    </pic:cNvPicPr>
                  </pic:nvPicPr>
                  <pic:blipFill>
                    <a:blip r:embed="rId78"/>
                    <a:stretch>
                      <a:fillRect/>
                    </a:stretch>
                  </pic:blipFill>
                  <pic:spPr>
                    <a:xfrm>
                      <a:off x="0" y="0"/>
                      <a:ext cx="5172075" cy="7315200"/>
                    </a:xfrm>
                    <a:prstGeom prst="rect">
                      <a:avLst/>
                    </a:prstGeom>
                    <a:noFill/>
                    <a:ln>
                      <a:noFill/>
                    </a:ln>
                  </pic:spPr>
                </pic:pic>
              </a:graphicData>
            </a:graphic>
          </wp:inline>
        </w:drawing>
      </w:r>
    </w:p>
    <w:p w14:paraId="4C3A2493">
      <w:pPr>
        <w:keepNext w:val="0"/>
        <w:keepLines w:val="0"/>
        <w:pageBreakBefore w:val="0"/>
        <w:widowControl/>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bookmarkEnd w:id="46"/>
    <w:p w14:paraId="75E907E7">
      <w:pPr>
        <w:pStyle w:val="3"/>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3</w:t>
      </w:r>
      <w:r>
        <w:rPr>
          <w:rFonts w:hint="default" w:ascii="Times New Roman" w:hAnsi="Times New Roman" w:eastAsia="宋体" w:cs="Times New Roman"/>
          <w:snapToGrid w:val="0"/>
          <w:color w:val="auto"/>
        </w:rPr>
        <w:t>：</w:t>
      </w:r>
      <w:r>
        <w:rPr>
          <w:rFonts w:hint="default" w:ascii="Times New Roman" w:hAnsi="Times New Roman" w:eastAsia="宋体" w:cs="Times New Roman"/>
          <w:snapToGrid w:val="0"/>
          <w:color w:val="auto"/>
          <w:lang w:val="en-US" w:eastAsia="zh-CN"/>
        </w:rPr>
        <w:t>白家海子煤矿环评批复</w:t>
      </w:r>
    </w:p>
    <w:p w14:paraId="4CCE4C13">
      <w:pPr>
        <w:ind w:left="0" w:leftChars="0" w:firstLine="0" w:firstLineChars="0"/>
        <w:rPr>
          <w:rFonts w:hint="default" w:ascii="Times New Roman" w:hAnsi="Times New Roman" w:eastAsia="宋体" w:cs="Times New Roman"/>
          <w:b/>
          <w:bCs/>
          <w:snapToGrid w:val="0"/>
          <w:color w:val="auto"/>
          <w:lang w:val="en-US" w:eastAsia="zh-CN"/>
        </w:rPr>
      </w:pPr>
      <w:r>
        <w:rPr>
          <w:rFonts w:hint="default" w:ascii="Times New Roman" w:hAnsi="Times New Roman" w:eastAsia="宋体" w:cs="Times New Roman"/>
          <w:color w:val="auto"/>
        </w:rPr>
        <w:drawing>
          <wp:inline distT="0" distB="0" distL="114300" distR="114300">
            <wp:extent cx="4836795" cy="6882130"/>
            <wp:effectExtent l="0" t="0" r="1905" b="13970"/>
            <wp:docPr id="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9"/>
                    <pic:cNvPicPr>
                      <a:picLocks noChangeAspect="1"/>
                    </pic:cNvPicPr>
                  </pic:nvPicPr>
                  <pic:blipFill>
                    <a:blip r:embed="rId79"/>
                    <a:stretch>
                      <a:fillRect/>
                    </a:stretch>
                  </pic:blipFill>
                  <pic:spPr>
                    <a:xfrm>
                      <a:off x="0" y="0"/>
                      <a:ext cx="4836795" cy="6882130"/>
                    </a:xfrm>
                    <a:prstGeom prst="rect">
                      <a:avLst/>
                    </a:prstGeom>
                    <a:noFill/>
                    <a:ln>
                      <a:noFill/>
                    </a:ln>
                  </pic:spPr>
                </pic:pic>
              </a:graphicData>
            </a:graphic>
          </wp:inline>
        </w:drawing>
      </w:r>
    </w:p>
    <w:p w14:paraId="6D21F19A">
      <w:pPr>
        <w:pStyle w:val="11"/>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76825" cy="7191375"/>
            <wp:effectExtent l="0" t="0" r="9525" b="9525"/>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80"/>
                    <a:stretch>
                      <a:fillRect/>
                    </a:stretch>
                  </pic:blipFill>
                  <pic:spPr>
                    <a:xfrm>
                      <a:off x="0" y="0"/>
                      <a:ext cx="5076825" cy="7191375"/>
                    </a:xfrm>
                    <a:prstGeom prst="rect">
                      <a:avLst/>
                    </a:prstGeom>
                    <a:noFill/>
                    <a:ln>
                      <a:noFill/>
                    </a:ln>
                  </pic:spPr>
                </pic:pic>
              </a:graphicData>
            </a:graphic>
          </wp:inline>
        </w:drawing>
      </w:r>
    </w:p>
    <w:p w14:paraId="1877CE45">
      <w:pPr>
        <w:pStyle w:val="12"/>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86350" cy="7191375"/>
            <wp:effectExtent l="0" t="0" r="0" b="9525"/>
            <wp:docPr id="6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1"/>
                    <pic:cNvPicPr>
                      <a:picLocks noChangeAspect="1"/>
                    </pic:cNvPicPr>
                  </pic:nvPicPr>
                  <pic:blipFill>
                    <a:blip r:embed="rId81"/>
                    <a:stretch>
                      <a:fillRect/>
                    </a:stretch>
                  </pic:blipFill>
                  <pic:spPr>
                    <a:xfrm>
                      <a:off x="0" y="0"/>
                      <a:ext cx="5086350" cy="7191375"/>
                    </a:xfrm>
                    <a:prstGeom prst="rect">
                      <a:avLst/>
                    </a:prstGeom>
                    <a:noFill/>
                    <a:ln>
                      <a:noFill/>
                    </a:ln>
                  </pic:spPr>
                </pic:pic>
              </a:graphicData>
            </a:graphic>
          </wp:inline>
        </w:drawing>
      </w:r>
    </w:p>
    <w:p w14:paraId="12F9D47B">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57775" cy="7181850"/>
            <wp:effectExtent l="0" t="0" r="9525" b="0"/>
            <wp:docPr id="6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
                    <pic:cNvPicPr>
                      <a:picLocks noChangeAspect="1"/>
                    </pic:cNvPicPr>
                  </pic:nvPicPr>
                  <pic:blipFill>
                    <a:blip r:embed="rId82"/>
                    <a:stretch>
                      <a:fillRect/>
                    </a:stretch>
                  </pic:blipFill>
                  <pic:spPr>
                    <a:xfrm>
                      <a:off x="0" y="0"/>
                      <a:ext cx="5057775" cy="7181850"/>
                    </a:xfrm>
                    <a:prstGeom prst="rect">
                      <a:avLst/>
                    </a:prstGeom>
                    <a:noFill/>
                    <a:ln>
                      <a:noFill/>
                    </a:ln>
                  </pic:spPr>
                </pic:pic>
              </a:graphicData>
            </a:graphic>
          </wp:inline>
        </w:drawing>
      </w:r>
    </w:p>
    <w:p w14:paraId="41141C70">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86350" cy="7200900"/>
            <wp:effectExtent l="0" t="0" r="0" b="0"/>
            <wp:docPr id="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3"/>
                    <pic:cNvPicPr>
                      <a:picLocks noChangeAspect="1"/>
                    </pic:cNvPicPr>
                  </pic:nvPicPr>
                  <pic:blipFill>
                    <a:blip r:embed="rId83"/>
                    <a:stretch>
                      <a:fillRect/>
                    </a:stretch>
                  </pic:blipFill>
                  <pic:spPr>
                    <a:xfrm>
                      <a:off x="0" y="0"/>
                      <a:ext cx="5086350" cy="7200900"/>
                    </a:xfrm>
                    <a:prstGeom prst="rect">
                      <a:avLst/>
                    </a:prstGeom>
                    <a:noFill/>
                    <a:ln>
                      <a:noFill/>
                    </a:ln>
                  </pic:spPr>
                </pic:pic>
              </a:graphicData>
            </a:graphic>
          </wp:inline>
        </w:drawing>
      </w:r>
    </w:p>
    <w:p w14:paraId="3274B36D">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67300" cy="7162800"/>
            <wp:effectExtent l="0" t="0" r="0" b="0"/>
            <wp:docPr id="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4"/>
                    <pic:cNvPicPr>
                      <a:picLocks noChangeAspect="1"/>
                    </pic:cNvPicPr>
                  </pic:nvPicPr>
                  <pic:blipFill>
                    <a:blip r:embed="rId84"/>
                    <a:stretch>
                      <a:fillRect/>
                    </a:stretch>
                  </pic:blipFill>
                  <pic:spPr>
                    <a:xfrm>
                      <a:off x="0" y="0"/>
                      <a:ext cx="5067300" cy="7162800"/>
                    </a:xfrm>
                    <a:prstGeom prst="rect">
                      <a:avLst/>
                    </a:prstGeom>
                    <a:noFill/>
                    <a:ln>
                      <a:noFill/>
                    </a:ln>
                  </pic:spPr>
                </pic:pic>
              </a:graphicData>
            </a:graphic>
          </wp:inline>
        </w:drawing>
      </w:r>
    </w:p>
    <w:p w14:paraId="5E064CF2">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57775" cy="7153275"/>
            <wp:effectExtent l="0" t="0" r="9525" b="9525"/>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pic:cNvPicPr>
                  </pic:nvPicPr>
                  <pic:blipFill>
                    <a:blip r:embed="rId85"/>
                    <a:stretch>
                      <a:fillRect/>
                    </a:stretch>
                  </pic:blipFill>
                  <pic:spPr>
                    <a:xfrm>
                      <a:off x="0" y="0"/>
                      <a:ext cx="5057775" cy="7153275"/>
                    </a:xfrm>
                    <a:prstGeom prst="rect">
                      <a:avLst/>
                    </a:prstGeom>
                    <a:noFill/>
                    <a:ln>
                      <a:noFill/>
                    </a:ln>
                  </pic:spPr>
                </pic:pic>
              </a:graphicData>
            </a:graphic>
          </wp:inline>
        </w:drawing>
      </w:r>
    </w:p>
    <w:p w14:paraId="5602DF6D">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26" w:charSpace="0"/>
        </w:sectPr>
      </w:pPr>
      <w:r>
        <w:rPr>
          <w:rFonts w:hint="default" w:ascii="Times New Roman" w:hAnsi="Times New Roman" w:eastAsia="宋体" w:cs="Times New Roman"/>
          <w:color w:val="auto"/>
        </w:rPr>
        <w:drawing>
          <wp:inline distT="0" distB="0" distL="114300" distR="114300">
            <wp:extent cx="5086350" cy="7181850"/>
            <wp:effectExtent l="0" t="0" r="0" b="0"/>
            <wp:docPr id="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6"/>
                    <pic:cNvPicPr>
                      <a:picLocks noChangeAspect="1"/>
                    </pic:cNvPicPr>
                  </pic:nvPicPr>
                  <pic:blipFill>
                    <a:blip r:embed="rId86"/>
                    <a:stretch>
                      <a:fillRect/>
                    </a:stretch>
                  </pic:blipFill>
                  <pic:spPr>
                    <a:xfrm>
                      <a:off x="0" y="0"/>
                      <a:ext cx="5086350" cy="7181850"/>
                    </a:xfrm>
                    <a:prstGeom prst="rect">
                      <a:avLst/>
                    </a:prstGeom>
                    <a:noFill/>
                    <a:ln>
                      <a:noFill/>
                    </a:ln>
                  </pic:spPr>
                </pic:pic>
              </a:graphicData>
            </a:graphic>
          </wp:inline>
        </w:drawing>
      </w:r>
    </w:p>
    <w:p w14:paraId="4C2666DD">
      <w:pPr>
        <w:pStyle w:val="3"/>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4</w:t>
      </w:r>
      <w:r>
        <w:rPr>
          <w:rFonts w:hint="default" w:ascii="Times New Roman" w:hAnsi="Times New Roman" w:eastAsia="宋体" w:cs="Times New Roman"/>
          <w:snapToGrid w:val="0"/>
          <w:color w:val="auto"/>
        </w:rPr>
        <w:t>：</w:t>
      </w:r>
      <w:bookmarkStart w:id="47" w:name="_Toc1787"/>
      <w:r>
        <w:rPr>
          <w:rFonts w:hint="default" w:ascii="Times New Roman" w:hAnsi="Times New Roman" w:eastAsia="宋体" w:cs="Times New Roman"/>
          <w:snapToGrid w:val="0"/>
          <w:color w:val="auto"/>
          <w:lang w:val="en-US" w:eastAsia="zh-CN"/>
        </w:rPr>
        <w:t>文物调查情况函</w:t>
      </w:r>
    </w:p>
    <w:p w14:paraId="202510C7">
      <w:pPr>
        <w:pStyle w:val="3"/>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572125" cy="7848600"/>
            <wp:effectExtent l="0" t="0" r="9525" b="0"/>
            <wp:docPr id="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pic:cNvPicPr>
                      <a:picLocks noChangeAspect="1"/>
                    </pic:cNvPicPr>
                  </pic:nvPicPr>
                  <pic:blipFill>
                    <a:blip r:embed="rId87"/>
                    <a:stretch>
                      <a:fillRect/>
                    </a:stretch>
                  </pic:blipFill>
                  <pic:spPr>
                    <a:xfrm>
                      <a:off x="0" y="0"/>
                      <a:ext cx="5572125" cy="7848600"/>
                    </a:xfrm>
                    <a:prstGeom prst="rect">
                      <a:avLst/>
                    </a:prstGeom>
                    <a:noFill/>
                    <a:ln>
                      <a:noFill/>
                    </a:ln>
                  </pic:spPr>
                </pic:pic>
              </a:graphicData>
            </a:graphic>
          </wp:inline>
        </w:drawing>
      </w:r>
    </w:p>
    <w:p w14:paraId="7358B2F1">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524500" cy="7886700"/>
            <wp:effectExtent l="0" t="0" r="0" b="0"/>
            <wp:docPr id="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8"/>
                    <pic:cNvPicPr>
                      <a:picLocks noChangeAspect="1"/>
                    </pic:cNvPicPr>
                  </pic:nvPicPr>
                  <pic:blipFill>
                    <a:blip r:embed="rId88"/>
                    <a:stretch>
                      <a:fillRect/>
                    </a:stretch>
                  </pic:blipFill>
                  <pic:spPr>
                    <a:xfrm>
                      <a:off x="0" y="0"/>
                      <a:ext cx="5524500" cy="7886700"/>
                    </a:xfrm>
                    <a:prstGeom prst="rect">
                      <a:avLst/>
                    </a:prstGeom>
                    <a:noFill/>
                    <a:ln>
                      <a:noFill/>
                    </a:ln>
                  </pic:spPr>
                </pic:pic>
              </a:graphicData>
            </a:graphic>
          </wp:inline>
        </w:drawing>
      </w:r>
    </w:p>
    <w:p w14:paraId="455C6E20">
      <w:pPr>
        <w:pStyle w:val="3"/>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5</w:t>
      </w:r>
      <w:r>
        <w:rPr>
          <w:rFonts w:hint="default" w:ascii="Times New Roman" w:hAnsi="Times New Roman" w:eastAsia="宋体" w:cs="Times New Roman"/>
          <w:snapToGrid w:val="0"/>
          <w:color w:val="auto"/>
        </w:rPr>
        <w:t>：</w:t>
      </w:r>
      <w:r>
        <w:rPr>
          <w:rFonts w:hint="default" w:ascii="Times New Roman" w:hAnsi="Times New Roman" w:eastAsia="宋体" w:cs="Times New Roman"/>
          <w:snapToGrid w:val="0"/>
          <w:color w:val="auto"/>
          <w:lang w:val="en-US" w:eastAsia="zh-CN"/>
        </w:rPr>
        <w:t>水源保护地复函</w:t>
      </w:r>
    </w:p>
    <w:p w14:paraId="269C922D">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572125" cy="7877175"/>
            <wp:effectExtent l="0" t="0" r="9525" b="9525"/>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9"/>
                    <pic:cNvPicPr>
                      <a:picLocks noChangeAspect="1"/>
                    </pic:cNvPicPr>
                  </pic:nvPicPr>
                  <pic:blipFill>
                    <a:blip r:embed="rId89"/>
                    <a:stretch>
                      <a:fillRect/>
                    </a:stretch>
                  </pic:blipFill>
                  <pic:spPr>
                    <a:xfrm>
                      <a:off x="0" y="0"/>
                      <a:ext cx="5572125" cy="7877175"/>
                    </a:xfrm>
                    <a:prstGeom prst="rect">
                      <a:avLst/>
                    </a:prstGeom>
                    <a:noFill/>
                    <a:ln>
                      <a:noFill/>
                    </a:ln>
                  </pic:spPr>
                </pic:pic>
              </a:graphicData>
            </a:graphic>
          </wp:inline>
        </w:drawing>
      </w:r>
    </w:p>
    <w:p w14:paraId="5CE8D91B">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553075" cy="7877175"/>
            <wp:effectExtent l="0" t="0" r="9525" b="9525"/>
            <wp:docPr id="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0"/>
                    <pic:cNvPicPr>
                      <a:picLocks noChangeAspect="1"/>
                    </pic:cNvPicPr>
                  </pic:nvPicPr>
                  <pic:blipFill>
                    <a:blip r:embed="rId90"/>
                    <a:stretch>
                      <a:fillRect/>
                    </a:stretch>
                  </pic:blipFill>
                  <pic:spPr>
                    <a:xfrm>
                      <a:off x="0" y="0"/>
                      <a:ext cx="5553075" cy="7877175"/>
                    </a:xfrm>
                    <a:prstGeom prst="rect">
                      <a:avLst/>
                    </a:prstGeom>
                    <a:noFill/>
                    <a:ln>
                      <a:noFill/>
                    </a:ln>
                  </pic:spPr>
                </pic:pic>
              </a:graphicData>
            </a:graphic>
          </wp:inline>
        </w:drawing>
      </w:r>
    </w:p>
    <w:p w14:paraId="4E852882">
      <w:pPr>
        <w:pStyle w:val="3"/>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6</w:t>
      </w:r>
      <w:r>
        <w:rPr>
          <w:rFonts w:hint="default" w:ascii="Times New Roman" w:hAnsi="Times New Roman" w:eastAsia="宋体" w:cs="Times New Roman"/>
          <w:snapToGrid w:val="0"/>
          <w:color w:val="auto"/>
        </w:rPr>
        <w:t>：</w:t>
      </w:r>
      <w:r>
        <w:rPr>
          <w:rFonts w:hint="default" w:ascii="Times New Roman" w:hAnsi="Times New Roman" w:eastAsia="宋体" w:cs="Times New Roman"/>
          <w:snapToGrid w:val="0"/>
          <w:color w:val="auto"/>
          <w:lang w:val="en-US" w:eastAsia="zh-CN"/>
        </w:rPr>
        <w:t>林业和草原局复函</w:t>
      </w:r>
    </w:p>
    <w:p w14:paraId="65F3C9F4">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057775" cy="7143750"/>
            <wp:effectExtent l="0" t="0" r="9525" b="0"/>
            <wp:docPr id="7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3"/>
                    <pic:cNvPicPr>
                      <a:picLocks noChangeAspect="1"/>
                    </pic:cNvPicPr>
                  </pic:nvPicPr>
                  <pic:blipFill>
                    <a:blip r:embed="rId91"/>
                    <a:stretch>
                      <a:fillRect/>
                    </a:stretch>
                  </pic:blipFill>
                  <pic:spPr>
                    <a:xfrm>
                      <a:off x="0" y="0"/>
                      <a:ext cx="5057775" cy="7143750"/>
                    </a:xfrm>
                    <a:prstGeom prst="rect">
                      <a:avLst/>
                    </a:prstGeom>
                    <a:noFill/>
                    <a:ln>
                      <a:noFill/>
                    </a:ln>
                  </pic:spPr>
                </pic:pic>
              </a:graphicData>
            </a:graphic>
          </wp:inline>
        </w:drawing>
      </w:r>
    </w:p>
    <w:p w14:paraId="249A05CC">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048250" cy="7143750"/>
            <wp:effectExtent l="0" t="0" r="0" b="0"/>
            <wp:docPr id="8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4"/>
                    <pic:cNvPicPr>
                      <a:picLocks noChangeAspect="1"/>
                    </pic:cNvPicPr>
                  </pic:nvPicPr>
                  <pic:blipFill>
                    <a:blip r:embed="rId92"/>
                    <a:stretch>
                      <a:fillRect/>
                    </a:stretch>
                  </pic:blipFill>
                  <pic:spPr>
                    <a:xfrm>
                      <a:off x="0" y="0"/>
                      <a:ext cx="5048250" cy="7143750"/>
                    </a:xfrm>
                    <a:prstGeom prst="rect">
                      <a:avLst/>
                    </a:prstGeom>
                    <a:noFill/>
                    <a:ln>
                      <a:noFill/>
                    </a:ln>
                  </pic:spPr>
                </pic:pic>
              </a:graphicData>
            </a:graphic>
          </wp:inline>
        </w:drawing>
      </w:r>
    </w:p>
    <w:p w14:paraId="0186D95D">
      <w:pPr>
        <w:pStyle w:val="3"/>
        <w:rPr>
          <w:rFonts w:hint="default" w:ascii="Times New Roman" w:hAnsi="Times New Roman" w:eastAsia="宋体" w:cs="Times New Roman"/>
          <w:color w:val="auto"/>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7</w:t>
      </w:r>
      <w:r>
        <w:rPr>
          <w:rFonts w:hint="default" w:ascii="Times New Roman" w:hAnsi="Times New Roman" w:eastAsia="宋体" w:cs="Times New Roman"/>
          <w:snapToGrid w:val="0"/>
          <w:color w:val="auto"/>
        </w:rPr>
        <w:t>：</w:t>
      </w:r>
      <w:r>
        <w:rPr>
          <w:rFonts w:hint="eastAsia" w:cs="Times New Roman"/>
          <w:snapToGrid w:val="0"/>
          <w:color w:val="auto"/>
          <w:lang w:val="en-US" w:eastAsia="zh-CN"/>
        </w:rPr>
        <w:t>永久基本农田</w:t>
      </w:r>
      <w:r>
        <w:rPr>
          <w:rFonts w:hint="default" w:ascii="Times New Roman" w:hAnsi="Times New Roman" w:eastAsia="宋体" w:cs="Times New Roman"/>
          <w:snapToGrid w:val="0"/>
          <w:color w:val="auto"/>
          <w:lang w:val="en-US" w:eastAsia="zh-CN"/>
        </w:rPr>
        <w:t>复函</w:t>
      </w:r>
    </w:p>
    <w:p w14:paraId="0E7ABA32">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5191125" cy="7343775"/>
            <wp:effectExtent l="0" t="0" r="9525" b="9525"/>
            <wp:wrapNone/>
            <wp:docPr id="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6"/>
                    <pic:cNvPicPr>
                      <a:picLocks noChangeAspect="1"/>
                    </pic:cNvPicPr>
                  </pic:nvPicPr>
                  <pic:blipFill>
                    <a:blip r:embed="rId93"/>
                    <a:stretch>
                      <a:fillRect/>
                    </a:stretch>
                  </pic:blipFill>
                  <pic:spPr>
                    <a:xfrm>
                      <a:off x="0" y="0"/>
                      <a:ext cx="5191125" cy="7343775"/>
                    </a:xfrm>
                    <a:prstGeom prst="rect">
                      <a:avLst/>
                    </a:prstGeom>
                    <a:noFill/>
                    <a:ln>
                      <a:noFill/>
                    </a:ln>
                  </pic:spPr>
                </pic:pic>
              </a:graphicData>
            </a:graphic>
          </wp:anchor>
        </w:drawing>
      </w:r>
    </w:p>
    <w:p w14:paraId="4DCCA22B">
      <w:pPr>
        <w:pStyle w:val="3"/>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8</w:t>
      </w:r>
      <w:r>
        <w:rPr>
          <w:rFonts w:hint="default" w:ascii="Times New Roman" w:hAnsi="Times New Roman" w:eastAsia="宋体" w:cs="Times New Roman"/>
          <w:snapToGrid w:val="0"/>
          <w:color w:val="auto"/>
        </w:rPr>
        <w:t>：</w:t>
      </w:r>
      <w:r>
        <w:rPr>
          <w:rFonts w:hint="default" w:ascii="Times New Roman" w:hAnsi="Times New Roman" w:eastAsia="宋体" w:cs="Times New Roman"/>
          <w:snapToGrid w:val="0"/>
          <w:color w:val="auto"/>
          <w:lang w:val="en-US" w:eastAsia="zh-CN"/>
        </w:rPr>
        <w:t>河湖岸线、水库范围复函</w:t>
      </w:r>
    </w:p>
    <w:p w14:paraId="15B6E87E">
      <w:pPr>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5172075" cy="7943850"/>
            <wp:effectExtent l="0" t="0" r="9525" b="0"/>
            <wp:wrapNone/>
            <wp:docPr id="2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7"/>
                    <pic:cNvPicPr>
                      <a:picLocks noChangeAspect="1"/>
                    </pic:cNvPicPr>
                  </pic:nvPicPr>
                  <pic:blipFill>
                    <a:blip r:embed="rId94"/>
                    <a:stretch>
                      <a:fillRect/>
                    </a:stretch>
                  </pic:blipFill>
                  <pic:spPr>
                    <a:xfrm>
                      <a:off x="0" y="0"/>
                      <a:ext cx="5172075" cy="7943850"/>
                    </a:xfrm>
                    <a:prstGeom prst="rect">
                      <a:avLst/>
                    </a:prstGeom>
                    <a:noFill/>
                    <a:ln>
                      <a:noFill/>
                    </a:ln>
                  </pic:spPr>
                </pic:pic>
              </a:graphicData>
            </a:graphic>
          </wp:anchor>
        </w:drawing>
      </w:r>
    </w:p>
    <w:p w14:paraId="449F76E3">
      <w:pPr>
        <w:pStyle w:val="3"/>
        <w:rPr>
          <w:rFonts w:hint="default" w:ascii="Times New Roman" w:hAnsi="Times New Roman" w:eastAsia="宋体" w:cs="Times New Roman"/>
          <w:snapToGrid w:val="0"/>
          <w:color w:val="auto"/>
          <w:lang w:val="en-US" w:eastAsia="zh-CN"/>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9</w:t>
      </w:r>
      <w:r>
        <w:rPr>
          <w:rFonts w:hint="default" w:ascii="Times New Roman" w:hAnsi="Times New Roman" w:eastAsia="宋体" w:cs="Times New Roman"/>
          <w:snapToGrid w:val="0"/>
          <w:color w:val="auto"/>
        </w:rPr>
        <w:t>：</w:t>
      </w:r>
      <w:r>
        <w:rPr>
          <w:rFonts w:hint="default" w:ascii="Times New Roman" w:hAnsi="Times New Roman" w:eastAsia="宋体" w:cs="Times New Roman"/>
          <w:snapToGrid w:val="0"/>
          <w:color w:val="auto"/>
          <w:lang w:val="en-US" w:eastAsia="zh-CN"/>
        </w:rPr>
        <w:t>取水许可审批准予行政许可决定书</w:t>
      </w:r>
    </w:p>
    <w:p w14:paraId="2CFA1089">
      <w:pPr>
        <w:rPr>
          <w:rFonts w:hint="default" w:ascii="Times New Roman" w:hAnsi="Times New Roman" w:eastAsia="宋体"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anchor distT="0" distB="0" distL="114300" distR="114300" simplePos="0" relativeHeight="251665408" behindDoc="0" locked="0" layoutInCell="1" allowOverlap="1">
            <wp:simplePos x="0" y="0"/>
            <wp:positionH relativeFrom="column">
              <wp:posOffset>0</wp:posOffset>
            </wp:positionH>
            <wp:positionV relativeFrom="paragraph">
              <wp:posOffset>66040</wp:posOffset>
            </wp:positionV>
            <wp:extent cx="5384800" cy="7593965"/>
            <wp:effectExtent l="0" t="0" r="6350" b="6985"/>
            <wp:wrapNone/>
            <wp:docPr id="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pic:cNvPicPr>
                      <a:picLocks noChangeAspect="1"/>
                    </pic:cNvPicPr>
                  </pic:nvPicPr>
                  <pic:blipFill>
                    <a:blip r:embed="rId95"/>
                    <a:stretch>
                      <a:fillRect/>
                    </a:stretch>
                  </pic:blipFill>
                  <pic:spPr>
                    <a:xfrm>
                      <a:off x="0" y="0"/>
                      <a:ext cx="5384800" cy="7593965"/>
                    </a:xfrm>
                    <a:prstGeom prst="rect">
                      <a:avLst/>
                    </a:prstGeom>
                    <a:noFill/>
                    <a:ln>
                      <a:noFill/>
                    </a:ln>
                  </pic:spPr>
                </pic:pic>
              </a:graphicData>
            </a:graphic>
          </wp:anchor>
        </w:drawing>
      </w:r>
    </w:p>
    <w:p w14:paraId="382C5CF5">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4781550" cy="6705600"/>
            <wp:effectExtent l="0" t="0" r="0" b="0"/>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96"/>
                    <a:stretch>
                      <a:fillRect/>
                    </a:stretch>
                  </pic:blipFill>
                  <pic:spPr>
                    <a:xfrm>
                      <a:off x="0" y="0"/>
                      <a:ext cx="4781550" cy="670560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733925" cy="6686550"/>
            <wp:effectExtent l="0" t="0" r="9525" b="0"/>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97"/>
                    <a:stretch>
                      <a:fillRect/>
                    </a:stretch>
                  </pic:blipFill>
                  <pic:spPr>
                    <a:xfrm>
                      <a:off x="0" y="0"/>
                      <a:ext cx="4733925" cy="668655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743450" cy="6667500"/>
            <wp:effectExtent l="0" t="0" r="0" b="0"/>
            <wp:docPr id="4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
                    <pic:cNvPicPr>
                      <a:picLocks noChangeAspect="1"/>
                    </pic:cNvPicPr>
                  </pic:nvPicPr>
                  <pic:blipFill>
                    <a:blip r:embed="rId98"/>
                    <a:stretch>
                      <a:fillRect/>
                    </a:stretch>
                  </pic:blipFill>
                  <pic:spPr>
                    <a:xfrm>
                      <a:off x="0" y="0"/>
                      <a:ext cx="4743450" cy="666750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743450" cy="6562725"/>
            <wp:effectExtent l="0" t="0" r="0" b="9525"/>
            <wp:docPr id="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2"/>
                    <pic:cNvPicPr>
                      <a:picLocks noChangeAspect="1"/>
                    </pic:cNvPicPr>
                  </pic:nvPicPr>
                  <pic:blipFill>
                    <a:blip r:embed="rId99"/>
                    <a:stretch>
                      <a:fillRect/>
                    </a:stretch>
                  </pic:blipFill>
                  <pic:spPr>
                    <a:xfrm>
                      <a:off x="0" y="0"/>
                      <a:ext cx="4743450" cy="6562725"/>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743450" cy="6677025"/>
            <wp:effectExtent l="0" t="0" r="0" b="9525"/>
            <wp:docPr id="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3"/>
                    <pic:cNvPicPr>
                      <a:picLocks noChangeAspect="1"/>
                    </pic:cNvPicPr>
                  </pic:nvPicPr>
                  <pic:blipFill>
                    <a:blip r:embed="rId100"/>
                    <a:stretch>
                      <a:fillRect/>
                    </a:stretch>
                  </pic:blipFill>
                  <pic:spPr>
                    <a:xfrm>
                      <a:off x="0" y="0"/>
                      <a:ext cx="4743450" cy="6677025"/>
                    </a:xfrm>
                    <a:prstGeom prst="rect">
                      <a:avLst/>
                    </a:prstGeom>
                    <a:noFill/>
                    <a:ln>
                      <a:noFill/>
                    </a:ln>
                  </pic:spPr>
                </pic:pic>
              </a:graphicData>
            </a:graphic>
          </wp:inline>
        </w:drawing>
      </w:r>
    </w:p>
    <w:p w14:paraId="2C014A6B">
      <w:pPr>
        <w:pStyle w:val="3"/>
        <w:rPr>
          <w:rFonts w:hint="default" w:ascii="Times New Roman" w:hAnsi="Times New Roman" w:eastAsia="宋体" w:cs="Times New Roman"/>
          <w:snapToGrid w:val="0"/>
          <w:color w:val="auto"/>
        </w:rPr>
      </w:pPr>
      <w:r>
        <w:rPr>
          <w:rFonts w:hint="default" w:ascii="Times New Roman" w:hAnsi="Times New Roman" w:eastAsia="宋体" w:cs="Times New Roman"/>
          <w:snapToGrid w:val="0"/>
          <w:color w:val="auto"/>
        </w:rPr>
        <w:t>附件</w:t>
      </w:r>
      <w:r>
        <w:rPr>
          <w:rFonts w:hint="default" w:ascii="Times New Roman" w:hAnsi="Times New Roman" w:eastAsia="宋体" w:cs="Times New Roman"/>
          <w:snapToGrid w:val="0"/>
          <w:color w:val="auto"/>
          <w:lang w:val="en-US" w:eastAsia="zh-CN"/>
        </w:rPr>
        <w:t>10</w:t>
      </w:r>
      <w:r>
        <w:rPr>
          <w:rFonts w:hint="default" w:ascii="Times New Roman" w:hAnsi="Times New Roman" w:eastAsia="宋体" w:cs="Times New Roman"/>
          <w:snapToGrid w:val="0"/>
          <w:color w:val="auto"/>
        </w:rPr>
        <w:t>：</w:t>
      </w:r>
      <w:r>
        <w:rPr>
          <w:rFonts w:hint="default" w:ascii="Times New Roman" w:hAnsi="Times New Roman" w:eastAsia="宋体" w:cs="Times New Roman"/>
          <w:snapToGrid w:val="0"/>
          <w:color w:val="auto"/>
          <w:lang w:val="en-US" w:eastAsia="zh-CN"/>
        </w:rPr>
        <w:t>现状</w:t>
      </w:r>
      <w:r>
        <w:rPr>
          <w:rFonts w:hint="eastAsia" w:cs="Times New Roman"/>
          <w:snapToGrid w:val="0"/>
          <w:color w:val="auto"/>
          <w:lang w:val="en-US" w:eastAsia="zh-CN"/>
        </w:rPr>
        <w:t>检测报告</w:t>
      </w:r>
      <w:bookmarkEnd w:id="47"/>
    </w:p>
    <w:p w14:paraId="799CE5BC">
      <w:pPr>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drawing>
          <wp:inline distT="0" distB="0" distL="114300" distR="114300">
            <wp:extent cx="5476875" cy="7905750"/>
            <wp:effectExtent l="0" t="0" r="9525" b="0"/>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101"/>
                    <a:stretch>
                      <a:fillRect/>
                    </a:stretch>
                  </pic:blipFill>
                  <pic:spPr>
                    <a:xfrm>
                      <a:off x="0" y="0"/>
                      <a:ext cx="5476875" cy="7905750"/>
                    </a:xfrm>
                    <a:prstGeom prst="rect">
                      <a:avLst/>
                    </a:prstGeom>
                    <a:noFill/>
                    <a:ln>
                      <a:noFill/>
                    </a:ln>
                  </pic:spPr>
                </pic:pic>
              </a:graphicData>
            </a:graphic>
          </wp:inline>
        </w:drawing>
      </w:r>
    </w:p>
    <w:p w14:paraId="4DA9225F">
      <w:pPr>
        <w:ind w:left="0" w:leftChars="0" w:firstLine="0" w:firstLineChars="0"/>
        <w:rPr>
          <w:rFonts w:hint="default" w:ascii="Times New Roman" w:hAnsi="Times New Roman" w:eastAsia="宋体"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341C08EA">
      <w:pPr>
        <w:ind w:left="0" w:leftChars="0"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drawing>
          <wp:inline distT="0" distB="0" distL="114300" distR="114300">
            <wp:extent cx="5467350" cy="7896225"/>
            <wp:effectExtent l="0" t="0" r="0" b="952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102"/>
                    <a:stretch>
                      <a:fillRect/>
                    </a:stretch>
                  </pic:blipFill>
                  <pic:spPr>
                    <a:xfrm>
                      <a:off x="0" y="0"/>
                      <a:ext cx="5467350" cy="7896225"/>
                    </a:xfrm>
                    <a:prstGeom prst="rect">
                      <a:avLst/>
                    </a:prstGeom>
                    <a:noFill/>
                    <a:ln>
                      <a:noFill/>
                    </a:ln>
                  </pic:spPr>
                </pic:pic>
              </a:graphicData>
            </a:graphic>
          </wp:inline>
        </w:drawing>
      </w:r>
    </w:p>
    <w:p w14:paraId="08A3D0FE">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43E762AB">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429250" cy="7858125"/>
            <wp:effectExtent l="0" t="0" r="0" b="9525"/>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
                    <pic:cNvPicPr>
                      <a:picLocks noChangeAspect="1"/>
                    </pic:cNvPicPr>
                  </pic:nvPicPr>
                  <pic:blipFill>
                    <a:blip r:embed="rId103"/>
                    <a:stretch>
                      <a:fillRect/>
                    </a:stretch>
                  </pic:blipFill>
                  <pic:spPr>
                    <a:xfrm>
                      <a:off x="0" y="0"/>
                      <a:ext cx="5429250" cy="7858125"/>
                    </a:xfrm>
                    <a:prstGeom prst="rect">
                      <a:avLst/>
                    </a:prstGeom>
                    <a:noFill/>
                    <a:ln>
                      <a:noFill/>
                    </a:ln>
                  </pic:spPr>
                </pic:pic>
              </a:graphicData>
            </a:graphic>
          </wp:inline>
        </w:drawing>
      </w:r>
    </w:p>
    <w:p w14:paraId="1D0E58B4">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457825" cy="7810500"/>
            <wp:effectExtent l="0" t="0" r="9525" b="0"/>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104"/>
                    <a:stretch>
                      <a:fillRect/>
                    </a:stretch>
                  </pic:blipFill>
                  <pic:spPr>
                    <a:xfrm>
                      <a:off x="0" y="0"/>
                      <a:ext cx="5457825" cy="7810500"/>
                    </a:xfrm>
                    <a:prstGeom prst="rect">
                      <a:avLst/>
                    </a:prstGeom>
                    <a:noFill/>
                    <a:ln>
                      <a:noFill/>
                    </a:ln>
                  </pic:spPr>
                </pic:pic>
              </a:graphicData>
            </a:graphic>
          </wp:inline>
        </w:drawing>
      </w:r>
    </w:p>
    <w:p w14:paraId="7193DEDE">
      <w:pPr>
        <w:ind w:left="0" w:leftChars="0" w:firstLine="0" w:firstLineChars="0"/>
        <w:rPr>
          <w:rFonts w:hint="default" w:ascii="Times New Roman" w:hAnsi="Times New Roman" w:eastAsia="宋体"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467350" cy="7743825"/>
            <wp:effectExtent l="0" t="0" r="0" b="952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105"/>
                    <a:stretch>
                      <a:fillRect/>
                    </a:stretch>
                  </pic:blipFill>
                  <pic:spPr>
                    <a:xfrm>
                      <a:off x="0" y="0"/>
                      <a:ext cx="5467350" cy="7743825"/>
                    </a:xfrm>
                    <a:prstGeom prst="rect">
                      <a:avLst/>
                    </a:prstGeom>
                    <a:noFill/>
                    <a:ln>
                      <a:noFill/>
                    </a:ln>
                  </pic:spPr>
                </pic:pic>
              </a:graphicData>
            </a:graphic>
          </wp:inline>
        </w:drawing>
      </w:r>
    </w:p>
    <w:p w14:paraId="25F0B6C9">
      <w:pPr>
        <w:ind w:left="0" w:leftChars="0" w:firstLine="0" w:firstLineChars="0"/>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438775" cy="7886700"/>
            <wp:effectExtent l="0" t="0" r="9525" b="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106"/>
                    <a:stretch>
                      <a:fillRect/>
                    </a:stretch>
                  </pic:blipFill>
                  <pic:spPr>
                    <a:xfrm>
                      <a:off x="0" y="0"/>
                      <a:ext cx="5438775" cy="7886700"/>
                    </a:xfrm>
                    <a:prstGeom prst="rect">
                      <a:avLst/>
                    </a:prstGeom>
                    <a:noFill/>
                    <a:ln>
                      <a:noFill/>
                    </a:ln>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ˎ̥">
    <w:altName w:val="Times New Roman"/>
    <w:panose1 w:val="00000000000000000000"/>
    <w:charset w:val="00"/>
    <w:family w:val="roman"/>
    <w:pitch w:val="default"/>
    <w:sig w:usb0="00000000" w:usb1="00000000" w:usb2="00000000" w:usb3="00000000" w:csb0="00040001" w:csb1="00000000"/>
  </w:font>
  <w:font w:name="Times">
    <w:altName w:val="Microsoft Sans Serif"/>
    <w:panose1 w:val="02020603050405020304"/>
    <w:charset w:val="00"/>
    <w:family w:val="roman"/>
    <w:pitch w:val="default"/>
    <w:sig w:usb0="00000000" w:usb1="00000000" w:usb2="00000009" w:usb3="00000000" w:csb0="000001FF" w:csb1="00000000"/>
  </w:font>
  <w:font w:name="Microsoft Sans Serif">
    <w:panose1 w:val="020B0604020202020204"/>
    <w:charset w:val="00"/>
    <w:family w:val="auto"/>
    <w:pitch w:val="default"/>
    <w:sig w:usb0="E5002EFF" w:usb1="C000605B" w:usb2="00000029" w:usb3="00000000" w:csb0="200101FF" w:csb1="20280000"/>
  </w:font>
  <w:font w:name="MS Serif">
    <w:altName w:val="DejaVu Math TeX Gyre"/>
    <w:panose1 w:val="00000000000000000000"/>
    <w:charset w:val="00"/>
    <w:family w:val="roman"/>
    <w:pitch w:val="default"/>
    <w:sig w:usb0="00000000" w:usb1="00000000" w:usb2="00000000" w:usb3="00000000" w:csb0="00000001" w:csb1="00000000"/>
  </w:font>
  <w:font w:name="DejaVu Math TeX Gyre">
    <w:panose1 w:val="02000503000000000000"/>
    <w:charset w:val="00"/>
    <w:family w:val="auto"/>
    <w:pitch w:val="default"/>
    <w:sig w:usb0="A10000EF" w:usb1="4201F9EE" w:usb2="02000000" w:usb3="00000000" w:csb0="60000193" w:csb1="0DD40000"/>
  </w:font>
  <w:font w:name="Palatino Linotype">
    <w:panose1 w:val="02040502050505030304"/>
    <w:charset w:val="00"/>
    <w:family w:val="roman"/>
    <w:pitch w:val="default"/>
    <w:sig w:usb0="E0000287" w:usb1="40000013" w:usb2="00000000" w:usb3="00000000" w:csb0="2000019F" w:csb1="00000000"/>
  </w:font>
  <w:font w:name="Arial Narrow">
    <w:panose1 w:val="020B0606020202030204"/>
    <w:charset w:val="00"/>
    <w:family w:val="swiss"/>
    <w:pitch w:val="default"/>
    <w:sig w:usb0="00000287" w:usb1="00000800" w:usb2="00000000" w:usb3="00000000" w:csb0="2000009F" w:csb1="DFD7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69713"/>
    </w:sdtPr>
    <w:sdtContent>
      <w:p w14:paraId="45D1B74A">
        <w:pPr>
          <w:pStyle w:val="21"/>
          <w:ind w:firstLine="360"/>
          <w:jc w:val="center"/>
        </w:pPr>
        <w:r>
          <w:fldChar w:fldCharType="begin"/>
        </w:r>
        <w:r>
          <w:instrText xml:space="preserve">PAGE   \* MERGEFORMAT</w:instrText>
        </w:r>
        <w:r>
          <w:fldChar w:fldCharType="separate"/>
        </w:r>
        <w:r>
          <w:rPr>
            <w:lang w:val="zh-CN"/>
          </w:rPr>
          <w:t>58</w:t>
        </w:r>
        <w:r>
          <w:rPr>
            <w:lang w:val="zh-CN"/>
          </w:rPr>
          <w:fldChar w:fldCharType="end"/>
        </w:r>
      </w:p>
    </w:sdtContent>
  </w:sdt>
  <w:p w14:paraId="5533AD75">
    <w:pPr>
      <w:pStyle w:val="2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D21E3B">
    <w:pPr>
      <w:pStyle w:val="2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40829519"/>
    </w:sdtPr>
    <w:sdtContent>
      <w:p w14:paraId="73923A39">
        <w:pPr>
          <w:pStyle w:val="21"/>
          <w:ind w:firstLine="360"/>
          <w:jc w:val="center"/>
        </w:pPr>
        <w:r>
          <w:fldChar w:fldCharType="begin"/>
        </w:r>
        <w:r>
          <w:instrText xml:space="preserve">PAGE   \* MERGEFORMAT</w:instrText>
        </w:r>
        <w:r>
          <w:fldChar w:fldCharType="separate"/>
        </w:r>
        <w:r>
          <w:rPr>
            <w:lang w:val="zh-CN"/>
          </w:rPr>
          <w:t>58</w:t>
        </w:r>
        <w:r>
          <w:rPr>
            <w:lang w:val="zh-CN"/>
          </w:rPr>
          <w:fldChar w:fldCharType="end"/>
        </w:r>
      </w:p>
    </w:sdtContent>
  </w:sdt>
  <w:p w14:paraId="2D8666E8">
    <w:pPr>
      <w:pStyle w:val="2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6DC9DF">
    <w:pPr>
      <w:pBdr>
        <w:bottom w:val="none" w:color="auto" w:sz="0" w:space="0"/>
      </w:pBdr>
      <w:tabs>
        <w:tab w:val="center" w:pos="4153"/>
        <w:tab w:val="right" w:pos="8306"/>
      </w:tabs>
      <w:spacing w:line="240" w:lineRule="auto"/>
      <w:ind w:firstLine="0" w:firstLineChars="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B36CE">
    <w:pPr>
      <w:pBdr>
        <w:bottom w:val="none" w:color="auto" w:sz="0" w:space="0"/>
      </w:pBdr>
      <w:tabs>
        <w:tab w:val="center" w:pos="4153"/>
        <w:tab w:val="right" w:pos="8306"/>
      </w:tabs>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66A71E">
    <w:pPr>
      <w:pBdr>
        <w:bottom w:val="none" w:color="auto" w:sz="0" w:space="0"/>
      </w:pBdr>
      <w:tabs>
        <w:tab w:val="center" w:pos="4153"/>
        <w:tab w:val="right" w:pos="8306"/>
      </w:tabs>
      <w:spacing w:line="240" w:lineRule="auto"/>
      <w:ind w:firstLine="0" w:firstLineChars="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789742"/>
    <w:multiLevelType w:val="singleLevel"/>
    <w:tmpl w:val="87789742"/>
    <w:lvl w:ilvl="0" w:tentative="0">
      <w:start w:val="1"/>
      <w:numFmt w:val="decimal"/>
      <w:suff w:val="nothing"/>
      <w:lvlText w:val="%1、"/>
      <w:lvlJc w:val="left"/>
    </w:lvl>
  </w:abstractNum>
  <w:abstractNum w:abstractNumId="1">
    <w:nsid w:val="A9C8E4C5"/>
    <w:multiLevelType w:val="singleLevel"/>
    <w:tmpl w:val="A9C8E4C5"/>
    <w:lvl w:ilvl="0" w:tentative="0">
      <w:start w:val="1"/>
      <w:numFmt w:val="decimal"/>
      <w:suff w:val="nothing"/>
      <w:lvlText w:val="（%1）"/>
      <w:lvlJc w:val="left"/>
    </w:lvl>
  </w:abstractNum>
  <w:abstractNum w:abstractNumId="2">
    <w:nsid w:val="D46053DC"/>
    <w:multiLevelType w:val="singleLevel"/>
    <w:tmpl w:val="D46053DC"/>
    <w:lvl w:ilvl="0" w:tentative="0">
      <w:start w:val="3"/>
      <w:numFmt w:val="decimal"/>
      <w:suff w:val="nothing"/>
      <w:lvlText w:val="（%1）"/>
      <w:lvlJc w:val="left"/>
    </w:lvl>
  </w:abstractNum>
  <w:abstractNum w:abstractNumId="3">
    <w:nsid w:val="E3AB5E50"/>
    <w:multiLevelType w:val="singleLevel"/>
    <w:tmpl w:val="E3AB5E50"/>
    <w:lvl w:ilvl="0" w:tentative="0">
      <w:start w:val="3"/>
      <w:numFmt w:val="decimal"/>
      <w:suff w:val="nothing"/>
      <w:lvlText w:val="%1、"/>
      <w:lvlJc w:val="left"/>
    </w:lvl>
  </w:abstractNum>
  <w:abstractNum w:abstractNumId="4">
    <w:nsid w:val="F7C10D97"/>
    <w:multiLevelType w:val="singleLevel"/>
    <w:tmpl w:val="F7C10D97"/>
    <w:lvl w:ilvl="0" w:tentative="0">
      <w:start w:val="2"/>
      <w:numFmt w:val="chineseCounting"/>
      <w:suff w:val="nothing"/>
      <w:lvlText w:val="（%1）"/>
      <w:lvlJc w:val="left"/>
      <w:rPr>
        <w:rFonts w:hint="eastAsia"/>
      </w:rPr>
    </w:lvl>
  </w:abstractNum>
  <w:abstractNum w:abstractNumId="5">
    <w:nsid w:val="0EA14FE1"/>
    <w:multiLevelType w:val="singleLevel"/>
    <w:tmpl w:val="0EA14FE1"/>
    <w:lvl w:ilvl="0" w:tentative="0">
      <w:start w:val="6"/>
      <w:numFmt w:val="chineseCounting"/>
      <w:suff w:val="nothing"/>
      <w:lvlText w:val="（%1）"/>
      <w:lvlJc w:val="left"/>
      <w:rPr>
        <w:rFonts w:hint="eastAsia"/>
      </w:rPr>
    </w:lvl>
  </w:abstractNum>
  <w:abstractNum w:abstractNumId="6">
    <w:nsid w:val="216D29E0"/>
    <w:multiLevelType w:val="singleLevel"/>
    <w:tmpl w:val="216D29E0"/>
    <w:lvl w:ilvl="0" w:tentative="0">
      <w:start w:val="2"/>
      <w:numFmt w:val="decimal"/>
      <w:suff w:val="nothing"/>
      <w:lvlText w:val="（%1）"/>
      <w:lvlJc w:val="left"/>
    </w:lvl>
  </w:abstractNum>
  <w:num w:numId="1">
    <w:abstractNumId w:val="0"/>
  </w:num>
  <w:num w:numId="2">
    <w:abstractNumId w:val="2"/>
  </w:num>
  <w:num w:numId="3">
    <w:abstractNumId w:val="3"/>
  </w:num>
  <w:num w:numId="4">
    <w:abstractNumId w:val="1"/>
  </w:num>
  <w:num w:numId="5">
    <w:abstractNumId w:val="4"/>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A2NjM2N2FiZjZhMTY0Yjk1MjUyMjVmZmRmNjkwYjcifQ=="/>
  </w:docVars>
  <w:rsids>
    <w:rsidRoot w:val="00172A27"/>
    <w:rsid w:val="00000A9A"/>
    <w:rsid w:val="00002B44"/>
    <w:rsid w:val="00005DEA"/>
    <w:rsid w:val="00007BA4"/>
    <w:rsid w:val="00007BDE"/>
    <w:rsid w:val="00007E1B"/>
    <w:rsid w:val="00007F98"/>
    <w:rsid w:val="00011290"/>
    <w:rsid w:val="00011DDC"/>
    <w:rsid w:val="00016A35"/>
    <w:rsid w:val="00017533"/>
    <w:rsid w:val="00017C9A"/>
    <w:rsid w:val="00021F58"/>
    <w:rsid w:val="000224C6"/>
    <w:rsid w:val="00024D1A"/>
    <w:rsid w:val="0002538D"/>
    <w:rsid w:val="0002590E"/>
    <w:rsid w:val="000260A9"/>
    <w:rsid w:val="000268C1"/>
    <w:rsid w:val="000272F4"/>
    <w:rsid w:val="000305B4"/>
    <w:rsid w:val="0003187C"/>
    <w:rsid w:val="0003357C"/>
    <w:rsid w:val="00037D0E"/>
    <w:rsid w:val="00042379"/>
    <w:rsid w:val="00042EB9"/>
    <w:rsid w:val="00044F38"/>
    <w:rsid w:val="00045BF9"/>
    <w:rsid w:val="00050370"/>
    <w:rsid w:val="00050499"/>
    <w:rsid w:val="00051FB3"/>
    <w:rsid w:val="000529EA"/>
    <w:rsid w:val="00053BC9"/>
    <w:rsid w:val="00054C05"/>
    <w:rsid w:val="000563D7"/>
    <w:rsid w:val="00056A8F"/>
    <w:rsid w:val="00056E0B"/>
    <w:rsid w:val="00060CD0"/>
    <w:rsid w:val="000636FC"/>
    <w:rsid w:val="0006455A"/>
    <w:rsid w:val="000646CA"/>
    <w:rsid w:val="0006547D"/>
    <w:rsid w:val="00065A65"/>
    <w:rsid w:val="000662EA"/>
    <w:rsid w:val="000669B4"/>
    <w:rsid w:val="000669EF"/>
    <w:rsid w:val="00070E76"/>
    <w:rsid w:val="000712BF"/>
    <w:rsid w:val="00072A17"/>
    <w:rsid w:val="00073CBE"/>
    <w:rsid w:val="000748DC"/>
    <w:rsid w:val="00075CFA"/>
    <w:rsid w:val="000761C2"/>
    <w:rsid w:val="000777AE"/>
    <w:rsid w:val="00077D7A"/>
    <w:rsid w:val="00082251"/>
    <w:rsid w:val="00087D33"/>
    <w:rsid w:val="00092F24"/>
    <w:rsid w:val="000941FE"/>
    <w:rsid w:val="000963B5"/>
    <w:rsid w:val="0009695D"/>
    <w:rsid w:val="00097F73"/>
    <w:rsid w:val="000A0623"/>
    <w:rsid w:val="000A1638"/>
    <w:rsid w:val="000A4706"/>
    <w:rsid w:val="000A71F0"/>
    <w:rsid w:val="000A75EB"/>
    <w:rsid w:val="000B0179"/>
    <w:rsid w:val="000B35ED"/>
    <w:rsid w:val="000B3A4A"/>
    <w:rsid w:val="000B4216"/>
    <w:rsid w:val="000B4BC7"/>
    <w:rsid w:val="000B7640"/>
    <w:rsid w:val="000C127B"/>
    <w:rsid w:val="000C1292"/>
    <w:rsid w:val="000C1406"/>
    <w:rsid w:val="000C2254"/>
    <w:rsid w:val="000C316A"/>
    <w:rsid w:val="000C479D"/>
    <w:rsid w:val="000C4CEC"/>
    <w:rsid w:val="000C5940"/>
    <w:rsid w:val="000C6471"/>
    <w:rsid w:val="000C77C2"/>
    <w:rsid w:val="000C7A73"/>
    <w:rsid w:val="000C7E95"/>
    <w:rsid w:val="000D2FB6"/>
    <w:rsid w:val="000D390D"/>
    <w:rsid w:val="000D3E59"/>
    <w:rsid w:val="000D4318"/>
    <w:rsid w:val="000D4CDA"/>
    <w:rsid w:val="000D4DDB"/>
    <w:rsid w:val="000D5C4B"/>
    <w:rsid w:val="000D61FE"/>
    <w:rsid w:val="000D6371"/>
    <w:rsid w:val="000E414E"/>
    <w:rsid w:val="000E69CB"/>
    <w:rsid w:val="000E73B6"/>
    <w:rsid w:val="000E7684"/>
    <w:rsid w:val="000F101F"/>
    <w:rsid w:val="000F1E7D"/>
    <w:rsid w:val="000F2F45"/>
    <w:rsid w:val="000F37AF"/>
    <w:rsid w:val="000F5075"/>
    <w:rsid w:val="000F68FB"/>
    <w:rsid w:val="001010F4"/>
    <w:rsid w:val="00101FB5"/>
    <w:rsid w:val="00102138"/>
    <w:rsid w:val="00102944"/>
    <w:rsid w:val="00103C44"/>
    <w:rsid w:val="00105B4A"/>
    <w:rsid w:val="0011065F"/>
    <w:rsid w:val="00113412"/>
    <w:rsid w:val="001146C8"/>
    <w:rsid w:val="001154CB"/>
    <w:rsid w:val="001164DA"/>
    <w:rsid w:val="00116B37"/>
    <w:rsid w:val="001171B9"/>
    <w:rsid w:val="00117571"/>
    <w:rsid w:val="00117799"/>
    <w:rsid w:val="00117A43"/>
    <w:rsid w:val="00117EC0"/>
    <w:rsid w:val="0012000A"/>
    <w:rsid w:val="00120BAF"/>
    <w:rsid w:val="00120E58"/>
    <w:rsid w:val="001216B9"/>
    <w:rsid w:val="00122327"/>
    <w:rsid w:val="001223CF"/>
    <w:rsid w:val="00122ABB"/>
    <w:rsid w:val="001230C3"/>
    <w:rsid w:val="00124087"/>
    <w:rsid w:val="001240E7"/>
    <w:rsid w:val="00124B13"/>
    <w:rsid w:val="00125563"/>
    <w:rsid w:val="001270A1"/>
    <w:rsid w:val="0013280F"/>
    <w:rsid w:val="00132E8D"/>
    <w:rsid w:val="001330C8"/>
    <w:rsid w:val="00133BB7"/>
    <w:rsid w:val="001353D8"/>
    <w:rsid w:val="001379B0"/>
    <w:rsid w:val="00140C7C"/>
    <w:rsid w:val="001410A2"/>
    <w:rsid w:val="00141FFC"/>
    <w:rsid w:val="00142788"/>
    <w:rsid w:val="00145303"/>
    <w:rsid w:val="00146AB1"/>
    <w:rsid w:val="00150A1D"/>
    <w:rsid w:val="0015306A"/>
    <w:rsid w:val="001542C9"/>
    <w:rsid w:val="001557A9"/>
    <w:rsid w:val="00155C6F"/>
    <w:rsid w:val="00161ED4"/>
    <w:rsid w:val="00162013"/>
    <w:rsid w:val="00165BBC"/>
    <w:rsid w:val="00167601"/>
    <w:rsid w:val="00167C85"/>
    <w:rsid w:val="00171003"/>
    <w:rsid w:val="00171473"/>
    <w:rsid w:val="00173D60"/>
    <w:rsid w:val="00174517"/>
    <w:rsid w:val="00174E39"/>
    <w:rsid w:val="001767A6"/>
    <w:rsid w:val="001767E3"/>
    <w:rsid w:val="0017729A"/>
    <w:rsid w:val="0018059B"/>
    <w:rsid w:val="001809F9"/>
    <w:rsid w:val="001834FA"/>
    <w:rsid w:val="0018402A"/>
    <w:rsid w:val="001861A5"/>
    <w:rsid w:val="00186AEC"/>
    <w:rsid w:val="00190230"/>
    <w:rsid w:val="001925C0"/>
    <w:rsid w:val="00192FC1"/>
    <w:rsid w:val="0019395C"/>
    <w:rsid w:val="00193B8D"/>
    <w:rsid w:val="001954D3"/>
    <w:rsid w:val="00195E16"/>
    <w:rsid w:val="00195FBF"/>
    <w:rsid w:val="00196309"/>
    <w:rsid w:val="00196A1F"/>
    <w:rsid w:val="001A135F"/>
    <w:rsid w:val="001A31D6"/>
    <w:rsid w:val="001A5365"/>
    <w:rsid w:val="001A6152"/>
    <w:rsid w:val="001A6162"/>
    <w:rsid w:val="001A6D71"/>
    <w:rsid w:val="001B1AEA"/>
    <w:rsid w:val="001B2F70"/>
    <w:rsid w:val="001B3CF2"/>
    <w:rsid w:val="001B47BE"/>
    <w:rsid w:val="001B57D1"/>
    <w:rsid w:val="001B6643"/>
    <w:rsid w:val="001C28A6"/>
    <w:rsid w:val="001C50B1"/>
    <w:rsid w:val="001C7A56"/>
    <w:rsid w:val="001D18B9"/>
    <w:rsid w:val="001D1BB8"/>
    <w:rsid w:val="001D37B9"/>
    <w:rsid w:val="001D5084"/>
    <w:rsid w:val="001D5F11"/>
    <w:rsid w:val="001D6614"/>
    <w:rsid w:val="001D7915"/>
    <w:rsid w:val="001E0F51"/>
    <w:rsid w:val="001E1982"/>
    <w:rsid w:val="001E314D"/>
    <w:rsid w:val="001E4786"/>
    <w:rsid w:val="001E5F09"/>
    <w:rsid w:val="001E6560"/>
    <w:rsid w:val="001F0015"/>
    <w:rsid w:val="001F0468"/>
    <w:rsid w:val="001F0A43"/>
    <w:rsid w:val="001F0E6A"/>
    <w:rsid w:val="001F0E70"/>
    <w:rsid w:val="001F1040"/>
    <w:rsid w:val="001F1221"/>
    <w:rsid w:val="001F2449"/>
    <w:rsid w:val="001F2AF2"/>
    <w:rsid w:val="001F524A"/>
    <w:rsid w:val="001F6671"/>
    <w:rsid w:val="00200281"/>
    <w:rsid w:val="00201103"/>
    <w:rsid w:val="00202587"/>
    <w:rsid w:val="00202ACD"/>
    <w:rsid w:val="002038D0"/>
    <w:rsid w:val="00203A16"/>
    <w:rsid w:val="00204394"/>
    <w:rsid w:val="00204AAF"/>
    <w:rsid w:val="002108E5"/>
    <w:rsid w:val="0021180B"/>
    <w:rsid w:val="00212DE0"/>
    <w:rsid w:val="00213106"/>
    <w:rsid w:val="0021420D"/>
    <w:rsid w:val="002151C7"/>
    <w:rsid w:val="00216B81"/>
    <w:rsid w:val="00220EF4"/>
    <w:rsid w:val="0022137F"/>
    <w:rsid w:val="0022250F"/>
    <w:rsid w:val="00223EF9"/>
    <w:rsid w:val="00225378"/>
    <w:rsid w:val="00227E0C"/>
    <w:rsid w:val="002311C9"/>
    <w:rsid w:val="002335C6"/>
    <w:rsid w:val="00233E8F"/>
    <w:rsid w:val="00234698"/>
    <w:rsid w:val="00235C83"/>
    <w:rsid w:val="002360D1"/>
    <w:rsid w:val="0023638E"/>
    <w:rsid w:val="00236861"/>
    <w:rsid w:val="00237F38"/>
    <w:rsid w:val="00240A80"/>
    <w:rsid w:val="00240DAA"/>
    <w:rsid w:val="0024370C"/>
    <w:rsid w:val="00244090"/>
    <w:rsid w:val="002441E2"/>
    <w:rsid w:val="00246EAC"/>
    <w:rsid w:val="002505C5"/>
    <w:rsid w:val="00252515"/>
    <w:rsid w:val="00252C8D"/>
    <w:rsid w:val="0025638C"/>
    <w:rsid w:val="00256C01"/>
    <w:rsid w:val="002576BE"/>
    <w:rsid w:val="00257AE5"/>
    <w:rsid w:val="00261296"/>
    <w:rsid w:val="00262A62"/>
    <w:rsid w:val="00263EB6"/>
    <w:rsid w:val="002644DF"/>
    <w:rsid w:val="00266051"/>
    <w:rsid w:val="00270669"/>
    <w:rsid w:val="00270AC3"/>
    <w:rsid w:val="0027157C"/>
    <w:rsid w:val="00272048"/>
    <w:rsid w:val="00273869"/>
    <w:rsid w:val="002744BD"/>
    <w:rsid w:val="002744CF"/>
    <w:rsid w:val="00275BF9"/>
    <w:rsid w:val="00281603"/>
    <w:rsid w:val="00283F94"/>
    <w:rsid w:val="00290B18"/>
    <w:rsid w:val="00291E8F"/>
    <w:rsid w:val="00292639"/>
    <w:rsid w:val="00296707"/>
    <w:rsid w:val="00297C36"/>
    <w:rsid w:val="002A2507"/>
    <w:rsid w:val="002A5D91"/>
    <w:rsid w:val="002A61AB"/>
    <w:rsid w:val="002A627C"/>
    <w:rsid w:val="002B2A69"/>
    <w:rsid w:val="002B3935"/>
    <w:rsid w:val="002C06ED"/>
    <w:rsid w:val="002C1552"/>
    <w:rsid w:val="002C18DD"/>
    <w:rsid w:val="002C2DDD"/>
    <w:rsid w:val="002C33BE"/>
    <w:rsid w:val="002C534C"/>
    <w:rsid w:val="002C61EF"/>
    <w:rsid w:val="002C7BE1"/>
    <w:rsid w:val="002D02B6"/>
    <w:rsid w:val="002D097E"/>
    <w:rsid w:val="002D0AFB"/>
    <w:rsid w:val="002D18F3"/>
    <w:rsid w:val="002D239B"/>
    <w:rsid w:val="002D29E4"/>
    <w:rsid w:val="002D5579"/>
    <w:rsid w:val="002D6CB6"/>
    <w:rsid w:val="002E098B"/>
    <w:rsid w:val="002E13C4"/>
    <w:rsid w:val="002E1C55"/>
    <w:rsid w:val="002E23E1"/>
    <w:rsid w:val="002E3219"/>
    <w:rsid w:val="002E5896"/>
    <w:rsid w:val="002E60F6"/>
    <w:rsid w:val="002F25E1"/>
    <w:rsid w:val="002F2973"/>
    <w:rsid w:val="002F3DF8"/>
    <w:rsid w:val="002F4024"/>
    <w:rsid w:val="002F4700"/>
    <w:rsid w:val="002F64F0"/>
    <w:rsid w:val="002F69B6"/>
    <w:rsid w:val="003002F9"/>
    <w:rsid w:val="003025AC"/>
    <w:rsid w:val="0030262B"/>
    <w:rsid w:val="00302BBC"/>
    <w:rsid w:val="00302C95"/>
    <w:rsid w:val="00303F9D"/>
    <w:rsid w:val="00304C0A"/>
    <w:rsid w:val="003062FC"/>
    <w:rsid w:val="00306BAD"/>
    <w:rsid w:val="00307660"/>
    <w:rsid w:val="00310089"/>
    <w:rsid w:val="00311299"/>
    <w:rsid w:val="003117EA"/>
    <w:rsid w:val="00311C6E"/>
    <w:rsid w:val="00312180"/>
    <w:rsid w:val="003128EB"/>
    <w:rsid w:val="00312B0B"/>
    <w:rsid w:val="00316843"/>
    <w:rsid w:val="0031774B"/>
    <w:rsid w:val="0031784B"/>
    <w:rsid w:val="0032082B"/>
    <w:rsid w:val="00322CDA"/>
    <w:rsid w:val="00323283"/>
    <w:rsid w:val="00324253"/>
    <w:rsid w:val="003265E6"/>
    <w:rsid w:val="00326CEC"/>
    <w:rsid w:val="003276FE"/>
    <w:rsid w:val="00330DC3"/>
    <w:rsid w:val="00332498"/>
    <w:rsid w:val="0033353C"/>
    <w:rsid w:val="003346AD"/>
    <w:rsid w:val="003354D1"/>
    <w:rsid w:val="00337020"/>
    <w:rsid w:val="003421BA"/>
    <w:rsid w:val="0034298E"/>
    <w:rsid w:val="003429DA"/>
    <w:rsid w:val="003507E8"/>
    <w:rsid w:val="00353AEA"/>
    <w:rsid w:val="003555E2"/>
    <w:rsid w:val="0035570B"/>
    <w:rsid w:val="00355849"/>
    <w:rsid w:val="00360D18"/>
    <w:rsid w:val="00360E5B"/>
    <w:rsid w:val="00361B9E"/>
    <w:rsid w:val="003631FD"/>
    <w:rsid w:val="00363324"/>
    <w:rsid w:val="00367F58"/>
    <w:rsid w:val="0037118B"/>
    <w:rsid w:val="00372B4B"/>
    <w:rsid w:val="00374586"/>
    <w:rsid w:val="00374EEB"/>
    <w:rsid w:val="0037653C"/>
    <w:rsid w:val="0037662F"/>
    <w:rsid w:val="00380C67"/>
    <w:rsid w:val="00381A9F"/>
    <w:rsid w:val="00381FCE"/>
    <w:rsid w:val="00382633"/>
    <w:rsid w:val="003854EF"/>
    <w:rsid w:val="00385522"/>
    <w:rsid w:val="00386019"/>
    <w:rsid w:val="00386E5A"/>
    <w:rsid w:val="00386F2C"/>
    <w:rsid w:val="003914DA"/>
    <w:rsid w:val="00391871"/>
    <w:rsid w:val="003936D1"/>
    <w:rsid w:val="00393C4B"/>
    <w:rsid w:val="00394A90"/>
    <w:rsid w:val="003956A3"/>
    <w:rsid w:val="00396EFB"/>
    <w:rsid w:val="003970CD"/>
    <w:rsid w:val="003975A5"/>
    <w:rsid w:val="003A03D9"/>
    <w:rsid w:val="003A6164"/>
    <w:rsid w:val="003A718D"/>
    <w:rsid w:val="003A7F72"/>
    <w:rsid w:val="003B2662"/>
    <w:rsid w:val="003B2C77"/>
    <w:rsid w:val="003B4237"/>
    <w:rsid w:val="003B6D12"/>
    <w:rsid w:val="003B6FF0"/>
    <w:rsid w:val="003C0695"/>
    <w:rsid w:val="003C1E06"/>
    <w:rsid w:val="003C31C6"/>
    <w:rsid w:val="003C4A95"/>
    <w:rsid w:val="003C4F4E"/>
    <w:rsid w:val="003C622A"/>
    <w:rsid w:val="003C7E46"/>
    <w:rsid w:val="003D07CA"/>
    <w:rsid w:val="003D19EF"/>
    <w:rsid w:val="003D3A4D"/>
    <w:rsid w:val="003D43C5"/>
    <w:rsid w:val="003D59F7"/>
    <w:rsid w:val="003D7023"/>
    <w:rsid w:val="003E0445"/>
    <w:rsid w:val="003E0CF1"/>
    <w:rsid w:val="003E159B"/>
    <w:rsid w:val="003E5002"/>
    <w:rsid w:val="003F0F40"/>
    <w:rsid w:val="003F2176"/>
    <w:rsid w:val="003F25AD"/>
    <w:rsid w:val="003F3065"/>
    <w:rsid w:val="003F5613"/>
    <w:rsid w:val="003F6892"/>
    <w:rsid w:val="00400348"/>
    <w:rsid w:val="004004A3"/>
    <w:rsid w:val="00401C3E"/>
    <w:rsid w:val="00403618"/>
    <w:rsid w:val="004040A2"/>
    <w:rsid w:val="00405E42"/>
    <w:rsid w:val="00406D35"/>
    <w:rsid w:val="00410220"/>
    <w:rsid w:val="00412276"/>
    <w:rsid w:val="004125B0"/>
    <w:rsid w:val="0041444D"/>
    <w:rsid w:val="00415B61"/>
    <w:rsid w:val="00415C77"/>
    <w:rsid w:val="00416708"/>
    <w:rsid w:val="00417D52"/>
    <w:rsid w:val="004203B4"/>
    <w:rsid w:val="00420844"/>
    <w:rsid w:val="004220D2"/>
    <w:rsid w:val="004224CB"/>
    <w:rsid w:val="00423209"/>
    <w:rsid w:val="00423FD5"/>
    <w:rsid w:val="00425430"/>
    <w:rsid w:val="00425AAB"/>
    <w:rsid w:val="00425EA4"/>
    <w:rsid w:val="00426DB5"/>
    <w:rsid w:val="00430921"/>
    <w:rsid w:val="0043223A"/>
    <w:rsid w:val="00432603"/>
    <w:rsid w:val="004328DB"/>
    <w:rsid w:val="00433201"/>
    <w:rsid w:val="004341A1"/>
    <w:rsid w:val="00434A42"/>
    <w:rsid w:val="004356AA"/>
    <w:rsid w:val="00436E0A"/>
    <w:rsid w:val="00441C10"/>
    <w:rsid w:val="00443354"/>
    <w:rsid w:val="00445407"/>
    <w:rsid w:val="00445A3E"/>
    <w:rsid w:val="004460CA"/>
    <w:rsid w:val="00450117"/>
    <w:rsid w:val="00453405"/>
    <w:rsid w:val="00455887"/>
    <w:rsid w:val="004558C2"/>
    <w:rsid w:val="00456786"/>
    <w:rsid w:val="0046046B"/>
    <w:rsid w:val="00463662"/>
    <w:rsid w:val="00463791"/>
    <w:rsid w:val="00467447"/>
    <w:rsid w:val="004677B9"/>
    <w:rsid w:val="004742D3"/>
    <w:rsid w:val="00476268"/>
    <w:rsid w:val="00480361"/>
    <w:rsid w:val="00481630"/>
    <w:rsid w:val="004829C9"/>
    <w:rsid w:val="0048390B"/>
    <w:rsid w:val="0048414F"/>
    <w:rsid w:val="0048451A"/>
    <w:rsid w:val="00486D20"/>
    <w:rsid w:val="0049053F"/>
    <w:rsid w:val="00493381"/>
    <w:rsid w:val="004943DE"/>
    <w:rsid w:val="00495F31"/>
    <w:rsid w:val="004977A2"/>
    <w:rsid w:val="004979EB"/>
    <w:rsid w:val="004A0E6D"/>
    <w:rsid w:val="004A115A"/>
    <w:rsid w:val="004A1E24"/>
    <w:rsid w:val="004A242D"/>
    <w:rsid w:val="004A2C7F"/>
    <w:rsid w:val="004A59CF"/>
    <w:rsid w:val="004A6B63"/>
    <w:rsid w:val="004B0D73"/>
    <w:rsid w:val="004B0E6E"/>
    <w:rsid w:val="004B1333"/>
    <w:rsid w:val="004B2B69"/>
    <w:rsid w:val="004B5921"/>
    <w:rsid w:val="004B5FCD"/>
    <w:rsid w:val="004B68DF"/>
    <w:rsid w:val="004B707F"/>
    <w:rsid w:val="004B7215"/>
    <w:rsid w:val="004B78A0"/>
    <w:rsid w:val="004C0B01"/>
    <w:rsid w:val="004C231E"/>
    <w:rsid w:val="004C393E"/>
    <w:rsid w:val="004C4204"/>
    <w:rsid w:val="004C517A"/>
    <w:rsid w:val="004C5B67"/>
    <w:rsid w:val="004C71B9"/>
    <w:rsid w:val="004D112C"/>
    <w:rsid w:val="004D1C2E"/>
    <w:rsid w:val="004D32B7"/>
    <w:rsid w:val="004D4425"/>
    <w:rsid w:val="004E0E8F"/>
    <w:rsid w:val="004E3810"/>
    <w:rsid w:val="004E4441"/>
    <w:rsid w:val="004E6CC2"/>
    <w:rsid w:val="004F0B6C"/>
    <w:rsid w:val="004F1EC3"/>
    <w:rsid w:val="004F2084"/>
    <w:rsid w:val="004F297F"/>
    <w:rsid w:val="004F3718"/>
    <w:rsid w:val="004F4748"/>
    <w:rsid w:val="004F4895"/>
    <w:rsid w:val="004F6095"/>
    <w:rsid w:val="004F62C1"/>
    <w:rsid w:val="004F6502"/>
    <w:rsid w:val="005003E3"/>
    <w:rsid w:val="00500AB0"/>
    <w:rsid w:val="00501AC3"/>
    <w:rsid w:val="00503A87"/>
    <w:rsid w:val="00504D73"/>
    <w:rsid w:val="0050523A"/>
    <w:rsid w:val="005069D9"/>
    <w:rsid w:val="0050762B"/>
    <w:rsid w:val="00510643"/>
    <w:rsid w:val="0051089F"/>
    <w:rsid w:val="0051212E"/>
    <w:rsid w:val="00513D5D"/>
    <w:rsid w:val="005143E7"/>
    <w:rsid w:val="00517F48"/>
    <w:rsid w:val="0052147F"/>
    <w:rsid w:val="0052148E"/>
    <w:rsid w:val="005231F1"/>
    <w:rsid w:val="00523ED3"/>
    <w:rsid w:val="005244FF"/>
    <w:rsid w:val="00527A1D"/>
    <w:rsid w:val="005303D7"/>
    <w:rsid w:val="00530CDB"/>
    <w:rsid w:val="00533647"/>
    <w:rsid w:val="0053439F"/>
    <w:rsid w:val="00534BD4"/>
    <w:rsid w:val="00535088"/>
    <w:rsid w:val="00536018"/>
    <w:rsid w:val="00540FD3"/>
    <w:rsid w:val="00541354"/>
    <w:rsid w:val="005449E4"/>
    <w:rsid w:val="00552682"/>
    <w:rsid w:val="005537FD"/>
    <w:rsid w:val="00553DBA"/>
    <w:rsid w:val="00555428"/>
    <w:rsid w:val="005559DD"/>
    <w:rsid w:val="00555CFC"/>
    <w:rsid w:val="00560788"/>
    <w:rsid w:val="0056206B"/>
    <w:rsid w:val="0056329B"/>
    <w:rsid w:val="00566869"/>
    <w:rsid w:val="005708A0"/>
    <w:rsid w:val="00570C6B"/>
    <w:rsid w:val="00572042"/>
    <w:rsid w:val="005720FC"/>
    <w:rsid w:val="005722CE"/>
    <w:rsid w:val="005727CB"/>
    <w:rsid w:val="005728C1"/>
    <w:rsid w:val="00572D52"/>
    <w:rsid w:val="0057623A"/>
    <w:rsid w:val="00576D0B"/>
    <w:rsid w:val="00577798"/>
    <w:rsid w:val="005817E2"/>
    <w:rsid w:val="0058346C"/>
    <w:rsid w:val="00587B49"/>
    <w:rsid w:val="00590430"/>
    <w:rsid w:val="00591672"/>
    <w:rsid w:val="005919F0"/>
    <w:rsid w:val="00591C04"/>
    <w:rsid w:val="00592487"/>
    <w:rsid w:val="00593076"/>
    <w:rsid w:val="005937C7"/>
    <w:rsid w:val="0059473C"/>
    <w:rsid w:val="005956E8"/>
    <w:rsid w:val="00595CF9"/>
    <w:rsid w:val="005A0786"/>
    <w:rsid w:val="005A14B9"/>
    <w:rsid w:val="005A2A11"/>
    <w:rsid w:val="005A4103"/>
    <w:rsid w:val="005A50F4"/>
    <w:rsid w:val="005A5A00"/>
    <w:rsid w:val="005A5AD5"/>
    <w:rsid w:val="005A6110"/>
    <w:rsid w:val="005B0214"/>
    <w:rsid w:val="005B084C"/>
    <w:rsid w:val="005B1C5B"/>
    <w:rsid w:val="005B1E21"/>
    <w:rsid w:val="005B366A"/>
    <w:rsid w:val="005B5BED"/>
    <w:rsid w:val="005B5C30"/>
    <w:rsid w:val="005B5D4D"/>
    <w:rsid w:val="005C035F"/>
    <w:rsid w:val="005C19C2"/>
    <w:rsid w:val="005C282C"/>
    <w:rsid w:val="005C670C"/>
    <w:rsid w:val="005D0544"/>
    <w:rsid w:val="005D1924"/>
    <w:rsid w:val="005D1C3F"/>
    <w:rsid w:val="005D1FCC"/>
    <w:rsid w:val="005D6260"/>
    <w:rsid w:val="005D6B5A"/>
    <w:rsid w:val="005D7B31"/>
    <w:rsid w:val="005E03D8"/>
    <w:rsid w:val="005E171B"/>
    <w:rsid w:val="005E1916"/>
    <w:rsid w:val="005E1E2D"/>
    <w:rsid w:val="005E2194"/>
    <w:rsid w:val="005E322E"/>
    <w:rsid w:val="005E3B87"/>
    <w:rsid w:val="005E5879"/>
    <w:rsid w:val="005F071D"/>
    <w:rsid w:val="005F149B"/>
    <w:rsid w:val="005F18E9"/>
    <w:rsid w:val="005F1C75"/>
    <w:rsid w:val="005F1D30"/>
    <w:rsid w:val="005F362E"/>
    <w:rsid w:val="005F648E"/>
    <w:rsid w:val="005F6E3E"/>
    <w:rsid w:val="006004B3"/>
    <w:rsid w:val="00601BDA"/>
    <w:rsid w:val="00603DB7"/>
    <w:rsid w:val="00604A4D"/>
    <w:rsid w:val="006055AF"/>
    <w:rsid w:val="00606360"/>
    <w:rsid w:val="00607B07"/>
    <w:rsid w:val="00610196"/>
    <w:rsid w:val="006142C2"/>
    <w:rsid w:val="00614D29"/>
    <w:rsid w:val="00615106"/>
    <w:rsid w:val="00615F4B"/>
    <w:rsid w:val="006177A1"/>
    <w:rsid w:val="006205C7"/>
    <w:rsid w:val="00621718"/>
    <w:rsid w:val="00621D21"/>
    <w:rsid w:val="0062218C"/>
    <w:rsid w:val="0062285B"/>
    <w:rsid w:val="00623743"/>
    <w:rsid w:val="00625965"/>
    <w:rsid w:val="00626277"/>
    <w:rsid w:val="006322C0"/>
    <w:rsid w:val="00633BFB"/>
    <w:rsid w:val="006348D3"/>
    <w:rsid w:val="00635943"/>
    <w:rsid w:val="00635E1B"/>
    <w:rsid w:val="00637DD8"/>
    <w:rsid w:val="006422A0"/>
    <w:rsid w:val="006429EA"/>
    <w:rsid w:val="00645F8E"/>
    <w:rsid w:val="00650BB0"/>
    <w:rsid w:val="0065176E"/>
    <w:rsid w:val="00651D02"/>
    <w:rsid w:val="00652EB7"/>
    <w:rsid w:val="006535AC"/>
    <w:rsid w:val="00654565"/>
    <w:rsid w:val="0065524F"/>
    <w:rsid w:val="006554A4"/>
    <w:rsid w:val="006559DE"/>
    <w:rsid w:val="00655D5A"/>
    <w:rsid w:val="00660CDF"/>
    <w:rsid w:val="0066188D"/>
    <w:rsid w:val="00662DF2"/>
    <w:rsid w:val="0066373A"/>
    <w:rsid w:val="00664EE1"/>
    <w:rsid w:val="006652A8"/>
    <w:rsid w:val="00666AF5"/>
    <w:rsid w:val="00670D16"/>
    <w:rsid w:val="00673376"/>
    <w:rsid w:val="0067356F"/>
    <w:rsid w:val="006737DC"/>
    <w:rsid w:val="00673CB0"/>
    <w:rsid w:val="00673D54"/>
    <w:rsid w:val="00674DCA"/>
    <w:rsid w:val="00674FF0"/>
    <w:rsid w:val="00675DB6"/>
    <w:rsid w:val="00675F4D"/>
    <w:rsid w:val="006763F9"/>
    <w:rsid w:val="00677CA3"/>
    <w:rsid w:val="006809E3"/>
    <w:rsid w:val="00681DBD"/>
    <w:rsid w:val="00684F97"/>
    <w:rsid w:val="006858C3"/>
    <w:rsid w:val="00685BB3"/>
    <w:rsid w:val="006874AF"/>
    <w:rsid w:val="00690598"/>
    <w:rsid w:val="00692395"/>
    <w:rsid w:val="00692E8A"/>
    <w:rsid w:val="006946EF"/>
    <w:rsid w:val="006948C7"/>
    <w:rsid w:val="00694C58"/>
    <w:rsid w:val="006A003E"/>
    <w:rsid w:val="006A0E2F"/>
    <w:rsid w:val="006A30E0"/>
    <w:rsid w:val="006A46FC"/>
    <w:rsid w:val="006A75E3"/>
    <w:rsid w:val="006A7E07"/>
    <w:rsid w:val="006B03CB"/>
    <w:rsid w:val="006B094F"/>
    <w:rsid w:val="006B098B"/>
    <w:rsid w:val="006B21B8"/>
    <w:rsid w:val="006B2D9B"/>
    <w:rsid w:val="006B2F57"/>
    <w:rsid w:val="006B48C5"/>
    <w:rsid w:val="006B51FA"/>
    <w:rsid w:val="006C2392"/>
    <w:rsid w:val="006C3C19"/>
    <w:rsid w:val="006C5EF2"/>
    <w:rsid w:val="006D0681"/>
    <w:rsid w:val="006D18D8"/>
    <w:rsid w:val="006D1C5B"/>
    <w:rsid w:val="006D20AF"/>
    <w:rsid w:val="006D3A7F"/>
    <w:rsid w:val="006D3B4E"/>
    <w:rsid w:val="006D4A78"/>
    <w:rsid w:val="006D4BEA"/>
    <w:rsid w:val="006D561A"/>
    <w:rsid w:val="006D6C3C"/>
    <w:rsid w:val="006D728B"/>
    <w:rsid w:val="006D761C"/>
    <w:rsid w:val="006D7B2F"/>
    <w:rsid w:val="006E07AF"/>
    <w:rsid w:val="006E0B24"/>
    <w:rsid w:val="006E0D45"/>
    <w:rsid w:val="006E0EED"/>
    <w:rsid w:val="006E5C75"/>
    <w:rsid w:val="006E6AAE"/>
    <w:rsid w:val="006E743E"/>
    <w:rsid w:val="006F0A32"/>
    <w:rsid w:val="006F128E"/>
    <w:rsid w:val="006F1587"/>
    <w:rsid w:val="006F17F3"/>
    <w:rsid w:val="006F23B8"/>
    <w:rsid w:val="006F2CB9"/>
    <w:rsid w:val="006F39E0"/>
    <w:rsid w:val="006F4192"/>
    <w:rsid w:val="006F5B55"/>
    <w:rsid w:val="006F5EAA"/>
    <w:rsid w:val="006F7099"/>
    <w:rsid w:val="006F7356"/>
    <w:rsid w:val="00702F49"/>
    <w:rsid w:val="0070736A"/>
    <w:rsid w:val="00707B4E"/>
    <w:rsid w:val="00707FF8"/>
    <w:rsid w:val="00710DC1"/>
    <w:rsid w:val="00711C81"/>
    <w:rsid w:val="0071449A"/>
    <w:rsid w:val="00714F69"/>
    <w:rsid w:val="00715154"/>
    <w:rsid w:val="00715E5A"/>
    <w:rsid w:val="00716D02"/>
    <w:rsid w:val="007177D0"/>
    <w:rsid w:val="00717878"/>
    <w:rsid w:val="007221CE"/>
    <w:rsid w:val="0072272B"/>
    <w:rsid w:val="007235FB"/>
    <w:rsid w:val="007266AA"/>
    <w:rsid w:val="00727442"/>
    <w:rsid w:val="00731433"/>
    <w:rsid w:val="00731D3A"/>
    <w:rsid w:val="0073475A"/>
    <w:rsid w:val="00736E5F"/>
    <w:rsid w:val="00744729"/>
    <w:rsid w:val="0074669C"/>
    <w:rsid w:val="00750C87"/>
    <w:rsid w:val="007514DB"/>
    <w:rsid w:val="007524F3"/>
    <w:rsid w:val="0075258C"/>
    <w:rsid w:val="00753223"/>
    <w:rsid w:val="007550FB"/>
    <w:rsid w:val="00755972"/>
    <w:rsid w:val="00757500"/>
    <w:rsid w:val="00757B3A"/>
    <w:rsid w:val="00757F09"/>
    <w:rsid w:val="0076155C"/>
    <w:rsid w:val="00763895"/>
    <w:rsid w:val="0076427E"/>
    <w:rsid w:val="0076484F"/>
    <w:rsid w:val="00765FAC"/>
    <w:rsid w:val="00766862"/>
    <w:rsid w:val="00767FA2"/>
    <w:rsid w:val="0077113E"/>
    <w:rsid w:val="00771B68"/>
    <w:rsid w:val="00771CEA"/>
    <w:rsid w:val="00772A33"/>
    <w:rsid w:val="0077755A"/>
    <w:rsid w:val="00780EF8"/>
    <w:rsid w:val="00781A9A"/>
    <w:rsid w:val="00781BDC"/>
    <w:rsid w:val="00782CD4"/>
    <w:rsid w:val="00784707"/>
    <w:rsid w:val="007851B6"/>
    <w:rsid w:val="00786FDF"/>
    <w:rsid w:val="00787972"/>
    <w:rsid w:val="00791844"/>
    <w:rsid w:val="007939BF"/>
    <w:rsid w:val="00794DD2"/>
    <w:rsid w:val="007973C1"/>
    <w:rsid w:val="00797914"/>
    <w:rsid w:val="00797E89"/>
    <w:rsid w:val="007A287B"/>
    <w:rsid w:val="007A2981"/>
    <w:rsid w:val="007A2C52"/>
    <w:rsid w:val="007A3547"/>
    <w:rsid w:val="007A4B0A"/>
    <w:rsid w:val="007A4B53"/>
    <w:rsid w:val="007A6062"/>
    <w:rsid w:val="007A6AB9"/>
    <w:rsid w:val="007B010F"/>
    <w:rsid w:val="007B0DAC"/>
    <w:rsid w:val="007B1FD1"/>
    <w:rsid w:val="007B2AA2"/>
    <w:rsid w:val="007B2B61"/>
    <w:rsid w:val="007B4EBD"/>
    <w:rsid w:val="007B530E"/>
    <w:rsid w:val="007B61FB"/>
    <w:rsid w:val="007B6E12"/>
    <w:rsid w:val="007C0759"/>
    <w:rsid w:val="007C1324"/>
    <w:rsid w:val="007C36A1"/>
    <w:rsid w:val="007C3972"/>
    <w:rsid w:val="007C3EC5"/>
    <w:rsid w:val="007C4346"/>
    <w:rsid w:val="007C49F2"/>
    <w:rsid w:val="007C50F3"/>
    <w:rsid w:val="007D09BD"/>
    <w:rsid w:val="007D179B"/>
    <w:rsid w:val="007D3539"/>
    <w:rsid w:val="007D3973"/>
    <w:rsid w:val="007D4081"/>
    <w:rsid w:val="007D6AB8"/>
    <w:rsid w:val="007D7861"/>
    <w:rsid w:val="007E0493"/>
    <w:rsid w:val="007E16DB"/>
    <w:rsid w:val="007E1B93"/>
    <w:rsid w:val="007E2000"/>
    <w:rsid w:val="007E3CDC"/>
    <w:rsid w:val="007E484C"/>
    <w:rsid w:val="007E6044"/>
    <w:rsid w:val="007E661A"/>
    <w:rsid w:val="007E7EA0"/>
    <w:rsid w:val="007F0281"/>
    <w:rsid w:val="007F0283"/>
    <w:rsid w:val="007F0401"/>
    <w:rsid w:val="007F0D4B"/>
    <w:rsid w:val="007F1DCA"/>
    <w:rsid w:val="007F26FC"/>
    <w:rsid w:val="007F2D07"/>
    <w:rsid w:val="007F34BD"/>
    <w:rsid w:val="007F3A33"/>
    <w:rsid w:val="007F3B2D"/>
    <w:rsid w:val="007F3C93"/>
    <w:rsid w:val="007F4139"/>
    <w:rsid w:val="007F5293"/>
    <w:rsid w:val="007F66CA"/>
    <w:rsid w:val="007F7F74"/>
    <w:rsid w:val="008009BD"/>
    <w:rsid w:val="00801E8C"/>
    <w:rsid w:val="00802528"/>
    <w:rsid w:val="00802B4C"/>
    <w:rsid w:val="00803EB5"/>
    <w:rsid w:val="00804D18"/>
    <w:rsid w:val="008050A5"/>
    <w:rsid w:val="0080515C"/>
    <w:rsid w:val="00805578"/>
    <w:rsid w:val="008055BD"/>
    <w:rsid w:val="00806DD5"/>
    <w:rsid w:val="00807F97"/>
    <w:rsid w:val="00810114"/>
    <w:rsid w:val="00810A94"/>
    <w:rsid w:val="00810C82"/>
    <w:rsid w:val="008117FC"/>
    <w:rsid w:val="008144E6"/>
    <w:rsid w:val="008145CE"/>
    <w:rsid w:val="0081542C"/>
    <w:rsid w:val="00815AEE"/>
    <w:rsid w:val="00815E93"/>
    <w:rsid w:val="00816028"/>
    <w:rsid w:val="00817BBD"/>
    <w:rsid w:val="00821C67"/>
    <w:rsid w:val="00821DBB"/>
    <w:rsid w:val="00822A0F"/>
    <w:rsid w:val="00823F31"/>
    <w:rsid w:val="00824D41"/>
    <w:rsid w:val="008257DB"/>
    <w:rsid w:val="00831D7B"/>
    <w:rsid w:val="008344DC"/>
    <w:rsid w:val="008346C1"/>
    <w:rsid w:val="0083480D"/>
    <w:rsid w:val="00834CFF"/>
    <w:rsid w:val="00836C92"/>
    <w:rsid w:val="0084237E"/>
    <w:rsid w:val="00844DB3"/>
    <w:rsid w:val="008461C1"/>
    <w:rsid w:val="00847FB1"/>
    <w:rsid w:val="00852353"/>
    <w:rsid w:val="00854594"/>
    <w:rsid w:val="008551EF"/>
    <w:rsid w:val="00856CCB"/>
    <w:rsid w:val="00856E75"/>
    <w:rsid w:val="008572E8"/>
    <w:rsid w:val="00857DF6"/>
    <w:rsid w:val="00857E54"/>
    <w:rsid w:val="00860400"/>
    <w:rsid w:val="00861543"/>
    <w:rsid w:val="0086613C"/>
    <w:rsid w:val="00866621"/>
    <w:rsid w:val="00870FA5"/>
    <w:rsid w:val="008719A4"/>
    <w:rsid w:val="00872105"/>
    <w:rsid w:val="00875696"/>
    <w:rsid w:val="00885488"/>
    <w:rsid w:val="00885919"/>
    <w:rsid w:val="00885C56"/>
    <w:rsid w:val="00886F36"/>
    <w:rsid w:val="00886FD8"/>
    <w:rsid w:val="008874D1"/>
    <w:rsid w:val="008903C3"/>
    <w:rsid w:val="00891028"/>
    <w:rsid w:val="0089193B"/>
    <w:rsid w:val="008927C3"/>
    <w:rsid w:val="008948A1"/>
    <w:rsid w:val="00894CF9"/>
    <w:rsid w:val="008972A7"/>
    <w:rsid w:val="00897C12"/>
    <w:rsid w:val="008A1B09"/>
    <w:rsid w:val="008A2C46"/>
    <w:rsid w:val="008A32C8"/>
    <w:rsid w:val="008A5D4D"/>
    <w:rsid w:val="008A652F"/>
    <w:rsid w:val="008B3446"/>
    <w:rsid w:val="008B4173"/>
    <w:rsid w:val="008B54C2"/>
    <w:rsid w:val="008B56BA"/>
    <w:rsid w:val="008B5B66"/>
    <w:rsid w:val="008B637A"/>
    <w:rsid w:val="008B6A23"/>
    <w:rsid w:val="008B7676"/>
    <w:rsid w:val="008C0AE1"/>
    <w:rsid w:val="008C134D"/>
    <w:rsid w:val="008C4B41"/>
    <w:rsid w:val="008C6F77"/>
    <w:rsid w:val="008D0A0B"/>
    <w:rsid w:val="008D0F71"/>
    <w:rsid w:val="008D32EE"/>
    <w:rsid w:val="008D6724"/>
    <w:rsid w:val="008D7396"/>
    <w:rsid w:val="008E1E6D"/>
    <w:rsid w:val="008E1FE9"/>
    <w:rsid w:val="008E2549"/>
    <w:rsid w:val="008E3FA7"/>
    <w:rsid w:val="008E400C"/>
    <w:rsid w:val="008E44EE"/>
    <w:rsid w:val="008E6DE2"/>
    <w:rsid w:val="008E6FD8"/>
    <w:rsid w:val="008E7F36"/>
    <w:rsid w:val="008F1C82"/>
    <w:rsid w:val="008F24E6"/>
    <w:rsid w:val="008F3E33"/>
    <w:rsid w:val="008F53DB"/>
    <w:rsid w:val="008F5745"/>
    <w:rsid w:val="008F5A9E"/>
    <w:rsid w:val="008F6929"/>
    <w:rsid w:val="008F6C87"/>
    <w:rsid w:val="008F7C2B"/>
    <w:rsid w:val="00901478"/>
    <w:rsid w:val="00902BA2"/>
    <w:rsid w:val="00903DF7"/>
    <w:rsid w:val="00904309"/>
    <w:rsid w:val="00904CFE"/>
    <w:rsid w:val="00912131"/>
    <w:rsid w:val="009123CE"/>
    <w:rsid w:val="00912414"/>
    <w:rsid w:val="0091600F"/>
    <w:rsid w:val="00917CFF"/>
    <w:rsid w:val="00921B12"/>
    <w:rsid w:val="0092378E"/>
    <w:rsid w:val="009239E4"/>
    <w:rsid w:val="00924347"/>
    <w:rsid w:val="00924B43"/>
    <w:rsid w:val="009255F0"/>
    <w:rsid w:val="00925F83"/>
    <w:rsid w:val="00926304"/>
    <w:rsid w:val="0093095F"/>
    <w:rsid w:val="00931808"/>
    <w:rsid w:val="00932456"/>
    <w:rsid w:val="00934522"/>
    <w:rsid w:val="00934772"/>
    <w:rsid w:val="00936C4E"/>
    <w:rsid w:val="00937040"/>
    <w:rsid w:val="00937DAA"/>
    <w:rsid w:val="009410D7"/>
    <w:rsid w:val="0094142D"/>
    <w:rsid w:val="00941D2A"/>
    <w:rsid w:val="00942424"/>
    <w:rsid w:val="00942571"/>
    <w:rsid w:val="00951134"/>
    <w:rsid w:val="0095431D"/>
    <w:rsid w:val="00954E2D"/>
    <w:rsid w:val="00957FC7"/>
    <w:rsid w:val="009600C5"/>
    <w:rsid w:val="009644B7"/>
    <w:rsid w:val="0096515E"/>
    <w:rsid w:val="00966158"/>
    <w:rsid w:val="00967594"/>
    <w:rsid w:val="00967AD6"/>
    <w:rsid w:val="00967CEB"/>
    <w:rsid w:val="00971458"/>
    <w:rsid w:val="00971AC0"/>
    <w:rsid w:val="009744CD"/>
    <w:rsid w:val="009746CD"/>
    <w:rsid w:val="00974CC8"/>
    <w:rsid w:val="00975ADE"/>
    <w:rsid w:val="0098279B"/>
    <w:rsid w:val="00985720"/>
    <w:rsid w:val="00985E3C"/>
    <w:rsid w:val="009879F7"/>
    <w:rsid w:val="00993377"/>
    <w:rsid w:val="00995D1B"/>
    <w:rsid w:val="009A05DB"/>
    <w:rsid w:val="009A308D"/>
    <w:rsid w:val="009A405D"/>
    <w:rsid w:val="009A4AD7"/>
    <w:rsid w:val="009A4C9C"/>
    <w:rsid w:val="009A645F"/>
    <w:rsid w:val="009A66C3"/>
    <w:rsid w:val="009B13FD"/>
    <w:rsid w:val="009B2B57"/>
    <w:rsid w:val="009B3466"/>
    <w:rsid w:val="009B534E"/>
    <w:rsid w:val="009B5718"/>
    <w:rsid w:val="009C163D"/>
    <w:rsid w:val="009C1FCA"/>
    <w:rsid w:val="009C3E8F"/>
    <w:rsid w:val="009C550F"/>
    <w:rsid w:val="009C641F"/>
    <w:rsid w:val="009C6944"/>
    <w:rsid w:val="009D0487"/>
    <w:rsid w:val="009D0765"/>
    <w:rsid w:val="009D10AA"/>
    <w:rsid w:val="009D222B"/>
    <w:rsid w:val="009D267F"/>
    <w:rsid w:val="009D49F1"/>
    <w:rsid w:val="009D60DA"/>
    <w:rsid w:val="009D725A"/>
    <w:rsid w:val="009D759F"/>
    <w:rsid w:val="009D77E5"/>
    <w:rsid w:val="009D798D"/>
    <w:rsid w:val="009E05E1"/>
    <w:rsid w:val="009E09B1"/>
    <w:rsid w:val="009E0AD9"/>
    <w:rsid w:val="009E0D7A"/>
    <w:rsid w:val="009E27E6"/>
    <w:rsid w:val="009E2B3C"/>
    <w:rsid w:val="009E3206"/>
    <w:rsid w:val="009E4CC3"/>
    <w:rsid w:val="009E76FB"/>
    <w:rsid w:val="009F0B87"/>
    <w:rsid w:val="009F250F"/>
    <w:rsid w:val="009F3A3E"/>
    <w:rsid w:val="009F3EC2"/>
    <w:rsid w:val="009F5702"/>
    <w:rsid w:val="009F5BE1"/>
    <w:rsid w:val="009F6679"/>
    <w:rsid w:val="009F74A0"/>
    <w:rsid w:val="00A0295D"/>
    <w:rsid w:val="00A02BEC"/>
    <w:rsid w:val="00A03563"/>
    <w:rsid w:val="00A0440F"/>
    <w:rsid w:val="00A05D6E"/>
    <w:rsid w:val="00A06189"/>
    <w:rsid w:val="00A122BF"/>
    <w:rsid w:val="00A12CE4"/>
    <w:rsid w:val="00A135C6"/>
    <w:rsid w:val="00A13CC9"/>
    <w:rsid w:val="00A15AD4"/>
    <w:rsid w:val="00A16C7E"/>
    <w:rsid w:val="00A17C62"/>
    <w:rsid w:val="00A20278"/>
    <w:rsid w:val="00A205F8"/>
    <w:rsid w:val="00A23221"/>
    <w:rsid w:val="00A24C80"/>
    <w:rsid w:val="00A25B44"/>
    <w:rsid w:val="00A25CBD"/>
    <w:rsid w:val="00A2699A"/>
    <w:rsid w:val="00A31C0E"/>
    <w:rsid w:val="00A3450A"/>
    <w:rsid w:val="00A4066C"/>
    <w:rsid w:val="00A41E37"/>
    <w:rsid w:val="00A42238"/>
    <w:rsid w:val="00A422D4"/>
    <w:rsid w:val="00A459D0"/>
    <w:rsid w:val="00A460DC"/>
    <w:rsid w:val="00A4625D"/>
    <w:rsid w:val="00A4778D"/>
    <w:rsid w:val="00A4790D"/>
    <w:rsid w:val="00A53BD8"/>
    <w:rsid w:val="00A53C46"/>
    <w:rsid w:val="00A53FD9"/>
    <w:rsid w:val="00A56D3D"/>
    <w:rsid w:val="00A6076B"/>
    <w:rsid w:val="00A61235"/>
    <w:rsid w:val="00A65946"/>
    <w:rsid w:val="00A701D4"/>
    <w:rsid w:val="00A71A3A"/>
    <w:rsid w:val="00A73F27"/>
    <w:rsid w:val="00A74AB0"/>
    <w:rsid w:val="00A74B48"/>
    <w:rsid w:val="00A75CCC"/>
    <w:rsid w:val="00A76D69"/>
    <w:rsid w:val="00A800FD"/>
    <w:rsid w:val="00A818D1"/>
    <w:rsid w:val="00A819D1"/>
    <w:rsid w:val="00A83919"/>
    <w:rsid w:val="00A83ABD"/>
    <w:rsid w:val="00A869DB"/>
    <w:rsid w:val="00A86CB9"/>
    <w:rsid w:val="00A87123"/>
    <w:rsid w:val="00A90002"/>
    <w:rsid w:val="00A900F9"/>
    <w:rsid w:val="00A90B7E"/>
    <w:rsid w:val="00A90BC4"/>
    <w:rsid w:val="00A922C8"/>
    <w:rsid w:val="00A93D12"/>
    <w:rsid w:val="00AA290E"/>
    <w:rsid w:val="00AA2CFB"/>
    <w:rsid w:val="00AA2D30"/>
    <w:rsid w:val="00AA3ADE"/>
    <w:rsid w:val="00AA3F2E"/>
    <w:rsid w:val="00AA5FD8"/>
    <w:rsid w:val="00AA6CD4"/>
    <w:rsid w:val="00AA7327"/>
    <w:rsid w:val="00AB0350"/>
    <w:rsid w:val="00AB0761"/>
    <w:rsid w:val="00AB342A"/>
    <w:rsid w:val="00AB38D5"/>
    <w:rsid w:val="00AB799C"/>
    <w:rsid w:val="00AC0E9C"/>
    <w:rsid w:val="00AC151B"/>
    <w:rsid w:val="00AC1A42"/>
    <w:rsid w:val="00AC49D6"/>
    <w:rsid w:val="00AC57E0"/>
    <w:rsid w:val="00AC6A2E"/>
    <w:rsid w:val="00AC7351"/>
    <w:rsid w:val="00AD1D59"/>
    <w:rsid w:val="00AD291A"/>
    <w:rsid w:val="00AD2DAA"/>
    <w:rsid w:val="00AD4D20"/>
    <w:rsid w:val="00AE0E4F"/>
    <w:rsid w:val="00AE2407"/>
    <w:rsid w:val="00AE3CFB"/>
    <w:rsid w:val="00AE52C0"/>
    <w:rsid w:val="00AE6001"/>
    <w:rsid w:val="00AE6C32"/>
    <w:rsid w:val="00AF027B"/>
    <w:rsid w:val="00AF15B9"/>
    <w:rsid w:val="00AF339E"/>
    <w:rsid w:val="00AF409B"/>
    <w:rsid w:val="00AF4CEC"/>
    <w:rsid w:val="00B026B5"/>
    <w:rsid w:val="00B03E7B"/>
    <w:rsid w:val="00B07BB1"/>
    <w:rsid w:val="00B122C9"/>
    <w:rsid w:val="00B16B4E"/>
    <w:rsid w:val="00B177C4"/>
    <w:rsid w:val="00B20BA9"/>
    <w:rsid w:val="00B23B4A"/>
    <w:rsid w:val="00B25A00"/>
    <w:rsid w:val="00B25DFB"/>
    <w:rsid w:val="00B2617C"/>
    <w:rsid w:val="00B2699A"/>
    <w:rsid w:val="00B27519"/>
    <w:rsid w:val="00B309E8"/>
    <w:rsid w:val="00B30CA6"/>
    <w:rsid w:val="00B32AAA"/>
    <w:rsid w:val="00B33320"/>
    <w:rsid w:val="00B34585"/>
    <w:rsid w:val="00B36E6A"/>
    <w:rsid w:val="00B4017C"/>
    <w:rsid w:val="00B40228"/>
    <w:rsid w:val="00B40B55"/>
    <w:rsid w:val="00B41B04"/>
    <w:rsid w:val="00B41B86"/>
    <w:rsid w:val="00B42E6F"/>
    <w:rsid w:val="00B43976"/>
    <w:rsid w:val="00B44E4A"/>
    <w:rsid w:val="00B455D0"/>
    <w:rsid w:val="00B45783"/>
    <w:rsid w:val="00B45B7B"/>
    <w:rsid w:val="00B463C9"/>
    <w:rsid w:val="00B510B3"/>
    <w:rsid w:val="00B52314"/>
    <w:rsid w:val="00B567A4"/>
    <w:rsid w:val="00B56DB4"/>
    <w:rsid w:val="00B62597"/>
    <w:rsid w:val="00B631F3"/>
    <w:rsid w:val="00B64175"/>
    <w:rsid w:val="00B64E7D"/>
    <w:rsid w:val="00B6525F"/>
    <w:rsid w:val="00B657A7"/>
    <w:rsid w:val="00B658E7"/>
    <w:rsid w:val="00B66ABA"/>
    <w:rsid w:val="00B67A6B"/>
    <w:rsid w:val="00B700B6"/>
    <w:rsid w:val="00B71459"/>
    <w:rsid w:val="00B71A74"/>
    <w:rsid w:val="00B72172"/>
    <w:rsid w:val="00B73DD9"/>
    <w:rsid w:val="00B7446C"/>
    <w:rsid w:val="00B76D53"/>
    <w:rsid w:val="00B80117"/>
    <w:rsid w:val="00B813B5"/>
    <w:rsid w:val="00B81796"/>
    <w:rsid w:val="00B8294E"/>
    <w:rsid w:val="00B85A7D"/>
    <w:rsid w:val="00B85B52"/>
    <w:rsid w:val="00B86497"/>
    <w:rsid w:val="00B87412"/>
    <w:rsid w:val="00B902EF"/>
    <w:rsid w:val="00B9445A"/>
    <w:rsid w:val="00B96F99"/>
    <w:rsid w:val="00BA0238"/>
    <w:rsid w:val="00BA05E6"/>
    <w:rsid w:val="00BA114A"/>
    <w:rsid w:val="00BA274B"/>
    <w:rsid w:val="00BA296F"/>
    <w:rsid w:val="00BA2B9B"/>
    <w:rsid w:val="00BA34C5"/>
    <w:rsid w:val="00BA37E9"/>
    <w:rsid w:val="00BA45E2"/>
    <w:rsid w:val="00BA5CF4"/>
    <w:rsid w:val="00BA7072"/>
    <w:rsid w:val="00BA7712"/>
    <w:rsid w:val="00BA7A3D"/>
    <w:rsid w:val="00BB207E"/>
    <w:rsid w:val="00BB269A"/>
    <w:rsid w:val="00BB3101"/>
    <w:rsid w:val="00BB33FA"/>
    <w:rsid w:val="00BB4333"/>
    <w:rsid w:val="00BB46BF"/>
    <w:rsid w:val="00BB4D86"/>
    <w:rsid w:val="00BB59AD"/>
    <w:rsid w:val="00BB5BD1"/>
    <w:rsid w:val="00BB6178"/>
    <w:rsid w:val="00BC0CC2"/>
    <w:rsid w:val="00BC24E2"/>
    <w:rsid w:val="00BC2830"/>
    <w:rsid w:val="00BC39C6"/>
    <w:rsid w:val="00BC3BE3"/>
    <w:rsid w:val="00BC5DBA"/>
    <w:rsid w:val="00BC6544"/>
    <w:rsid w:val="00BC7F12"/>
    <w:rsid w:val="00BD13DC"/>
    <w:rsid w:val="00BD3290"/>
    <w:rsid w:val="00BD542A"/>
    <w:rsid w:val="00BD744F"/>
    <w:rsid w:val="00BE1A24"/>
    <w:rsid w:val="00BE226E"/>
    <w:rsid w:val="00BE2424"/>
    <w:rsid w:val="00BE259C"/>
    <w:rsid w:val="00BE2A9F"/>
    <w:rsid w:val="00BE2C6C"/>
    <w:rsid w:val="00BE388B"/>
    <w:rsid w:val="00BE3F7F"/>
    <w:rsid w:val="00BE64DF"/>
    <w:rsid w:val="00BE7BCE"/>
    <w:rsid w:val="00BF0004"/>
    <w:rsid w:val="00BF07EF"/>
    <w:rsid w:val="00BF27BB"/>
    <w:rsid w:val="00BF3284"/>
    <w:rsid w:val="00BF3ACF"/>
    <w:rsid w:val="00BF3C76"/>
    <w:rsid w:val="00BF4107"/>
    <w:rsid w:val="00BF689A"/>
    <w:rsid w:val="00BF7743"/>
    <w:rsid w:val="00C000CF"/>
    <w:rsid w:val="00C0028F"/>
    <w:rsid w:val="00C01156"/>
    <w:rsid w:val="00C02511"/>
    <w:rsid w:val="00C036C8"/>
    <w:rsid w:val="00C05AED"/>
    <w:rsid w:val="00C108B5"/>
    <w:rsid w:val="00C10B2A"/>
    <w:rsid w:val="00C1168E"/>
    <w:rsid w:val="00C12688"/>
    <w:rsid w:val="00C129C2"/>
    <w:rsid w:val="00C12F95"/>
    <w:rsid w:val="00C1350F"/>
    <w:rsid w:val="00C15901"/>
    <w:rsid w:val="00C205F6"/>
    <w:rsid w:val="00C22047"/>
    <w:rsid w:val="00C2219D"/>
    <w:rsid w:val="00C227EB"/>
    <w:rsid w:val="00C24769"/>
    <w:rsid w:val="00C24B44"/>
    <w:rsid w:val="00C27887"/>
    <w:rsid w:val="00C30C01"/>
    <w:rsid w:val="00C33B32"/>
    <w:rsid w:val="00C362C9"/>
    <w:rsid w:val="00C3631E"/>
    <w:rsid w:val="00C4055E"/>
    <w:rsid w:val="00C42D85"/>
    <w:rsid w:val="00C444F4"/>
    <w:rsid w:val="00C449F6"/>
    <w:rsid w:val="00C468D7"/>
    <w:rsid w:val="00C46AC5"/>
    <w:rsid w:val="00C46B8A"/>
    <w:rsid w:val="00C47E4E"/>
    <w:rsid w:val="00C503B2"/>
    <w:rsid w:val="00C50C1A"/>
    <w:rsid w:val="00C50C8B"/>
    <w:rsid w:val="00C51774"/>
    <w:rsid w:val="00C5293F"/>
    <w:rsid w:val="00C529AC"/>
    <w:rsid w:val="00C54E2E"/>
    <w:rsid w:val="00C559D8"/>
    <w:rsid w:val="00C57052"/>
    <w:rsid w:val="00C57989"/>
    <w:rsid w:val="00C60C32"/>
    <w:rsid w:val="00C61B2D"/>
    <w:rsid w:val="00C63FFA"/>
    <w:rsid w:val="00C64323"/>
    <w:rsid w:val="00C64B0F"/>
    <w:rsid w:val="00C6656B"/>
    <w:rsid w:val="00C67CA0"/>
    <w:rsid w:val="00C72CAA"/>
    <w:rsid w:val="00C7332C"/>
    <w:rsid w:val="00C73A34"/>
    <w:rsid w:val="00C75FC5"/>
    <w:rsid w:val="00C77481"/>
    <w:rsid w:val="00C80214"/>
    <w:rsid w:val="00C806B4"/>
    <w:rsid w:val="00C810F2"/>
    <w:rsid w:val="00C83340"/>
    <w:rsid w:val="00C83D03"/>
    <w:rsid w:val="00C87C02"/>
    <w:rsid w:val="00C87F06"/>
    <w:rsid w:val="00C92900"/>
    <w:rsid w:val="00C92E88"/>
    <w:rsid w:val="00C9345C"/>
    <w:rsid w:val="00C9513E"/>
    <w:rsid w:val="00C9523D"/>
    <w:rsid w:val="00CA09D2"/>
    <w:rsid w:val="00CA0ABE"/>
    <w:rsid w:val="00CA3695"/>
    <w:rsid w:val="00CA48A4"/>
    <w:rsid w:val="00CA5796"/>
    <w:rsid w:val="00CA64C8"/>
    <w:rsid w:val="00CA6AC3"/>
    <w:rsid w:val="00CA6AE3"/>
    <w:rsid w:val="00CA7625"/>
    <w:rsid w:val="00CB0177"/>
    <w:rsid w:val="00CB07F4"/>
    <w:rsid w:val="00CB13BD"/>
    <w:rsid w:val="00CB2794"/>
    <w:rsid w:val="00CB43A6"/>
    <w:rsid w:val="00CB7AFD"/>
    <w:rsid w:val="00CC2E94"/>
    <w:rsid w:val="00CC42A2"/>
    <w:rsid w:val="00CC45F2"/>
    <w:rsid w:val="00CC5AB4"/>
    <w:rsid w:val="00CC63DF"/>
    <w:rsid w:val="00CD18E8"/>
    <w:rsid w:val="00CD23D6"/>
    <w:rsid w:val="00CD3070"/>
    <w:rsid w:val="00CD488B"/>
    <w:rsid w:val="00CD79DA"/>
    <w:rsid w:val="00CE0487"/>
    <w:rsid w:val="00CE1156"/>
    <w:rsid w:val="00CE2F1B"/>
    <w:rsid w:val="00CE5BC2"/>
    <w:rsid w:val="00CE5E2B"/>
    <w:rsid w:val="00CE6904"/>
    <w:rsid w:val="00CE7FA5"/>
    <w:rsid w:val="00CF0A08"/>
    <w:rsid w:val="00CF378B"/>
    <w:rsid w:val="00CF3C6A"/>
    <w:rsid w:val="00CF429A"/>
    <w:rsid w:val="00CF463D"/>
    <w:rsid w:val="00CF5357"/>
    <w:rsid w:val="00D01982"/>
    <w:rsid w:val="00D02DB5"/>
    <w:rsid w:val="00D03AED"/>
    <w:rsid w:val="00D05314"/>
    <w:rsid w:val="00D07F25"/>
    <w:rsid w:val="00D12E5E"/>
    <w:rsid w:val="00D142F9"/>
    <w:rsid w:val="00D16C4A"/>
    <w:rsid w:val="00D22BD5"/>
    <w:rsid w:val="00D22E83"/>
    <w:rsid w:val="00D23EDF"/>
    <w:rsid w:val="00D27A89"/>
    <w:rsid w:val="00D32D4D"/>
    <w:rsid w:val="00D330F5"/>
    <w:rsid w:val="00D3460E"/>
    <w:rsid w:val="00D34736"/>
    <w:rsid w:val="00D34D9E"/>
    <w:rsid w:val="00D35D49"/>
    <w:rsid w:val="00D373E5"/>
    <w:rsid w:val="00D420B7"/>
    <w:rsid w:val="00D442D8"/>
    <w:rsid w:val="00D465F5"/>
    <w:rsid w:val="00D467E8"/>
    <w:rsid w:val="00D470D2"/>
    <w:rsid w:val="00D47D68"/>
    <w:rsid w:val="00D50160"/>
    <w:rsid w:val="00D50AC1"/>
    <w:rsid w:val="00D520F6"/>
    <w:rsid w:val="00D53223"/>
    <w:rsid w:val="00D55D91"/>
    <w:rsid w:val="00D56C01"/>
    <w:rsid w:val="00D577B9"/>
    <w:rsid w:val="00D57871"/>
    <w:rsid w:val="00D62A1F"/>
    <w:rsid w:val="00D62E22"/>
    <w:rsid w:val="00D65576"/>
    <w:rsid w:val="00D66D0E"/>
    <w:rsid w:val="00D67C85"/>
    <w:rsid w:val="00D72BFC"/>
    <w:rsid w:val="00D74B15"/>
    <w:rsid w:val="00D74EBE"/>
    <w:rsid w:val="00D75098"/>
    <w:rsid w:val="00D770C8"/>
    <w:rsid w:val="00D800B2"/>
    <w:rsid w:val="00D81DEF"/>
    <w:rsid w:val="00D83E01"/>
    <w:rsid w:val="00D84F94"/>
    <w:rsid w:val="00D86155"/>
    <w:rsid w:val="00D879C3"/>
    <w:rsid w:val="00D916A0"/>
    <w:rsid w:val="00D91736"/>
    <w:rsid w:val="00D92DE1"/>
    <w:rsid w:val="00D94179"/>
    <w:rsid w:val="00D94D0F"/>
    <w:rsid w:val="00D94E4D"/>
    <w:rsid w:val="00D96295"/>
    <w:rsid w:val="00D9736A"/>
    <w:rsid w:val="00DA0573"/>
    <w:rsid w:val="00DA0648"/>
    <w:rsid w:val="00DA0A2A"/>
    <w:rsid w:val="00DA0B4E"/>
    <w:rsid w:val="00DA1936"/>
    <w:rsid w:val="00DA2B19"/>
    <w:rsid w:val="00DA2CBA"/>
    <w:rsid w:val="00DA313B"/>
    <w:rsid w:val="00DA4DDC"/>
    <w:rsid w:val="00DA5AE3"/>
    <w:rsid w:val="00DA60CD"/>
    <w:rsid w:val="00DA6BA5"/>
    <w:rsid w:val="00DB09D2"/>
    <w:rsid w:val="00DB0FAA"/>
    <w:rsid w:val="00DB15DE"/>
    <w:rsid w:val="00DB2440"/>
    <w:rsid w:val="00DB2578"/>
    <w:rsid w:val="00DB26E7"/>
    <w:rsid w:val="00DB46A9"/>
    <w:rsid w:val="00DB5F9B"/>
    <w:rsid w:val="00DB691F"/>
    <w:rsid w:val="00DB7C0E"/>
    <w:rsid w:val="00DC1393"/>
    <w:rsid w:val="00DC713C"/>
    <w:rsid w:val="00DC7585"/>
    <w:rsid w:val="00DC78B1"/>
    <w:rsid w:val="00DC78FD"/>
    <w:rsid w:val="00DD1E86"/>
    <w:rsid w:val="00DD2786"/>
    <w:rsid w:val="00DD538A"/>
    <w:rsid w:val="00DD5DEA"/>
    <w:rsid w:val="00DE077C"/>
    <w:rsid w:val="00DE1304"/>
    <w:rsid w:val="00DF368A"/>
    <w:rsid w:val="00DF39C9"/>
    <w:rsid w:val="00DF3E29"/>
    <w:rsid w:val="00DF42D6"/>
    <w:rsid w:val="00DF4D2D"/>
    <w:rsid w:val="00DF5518"/>
    <w:rsid w:val="00DF58FF"/>
    <w:rsid w:val="00DF5D8A"/>
    <w:rsid w:val="00DF6C07"/>
    <w:rsid w:val="00E00018"/>
    <w:rsid w:val="00E0056B"/>
    <w:rsid w:val="00E0075A"/>
    <w:rsid w:val="00E02BF1"/>
    <w:rsid w:val="00E02C50"/>
    <w:rsid w:val="00E032A5"/>
    <w:rsid w:val="00E03421"/>
    <w:rsid w:val="00E05922"/>
    <w:rsid w:val="00E06029"/>
    <w:rsid w:val="00E0689F"/>
    <w:rsid w:val="00E06913"/>
    <w:rsid w:val="00E07152"/>
    <w:rsid w:val="00E073D0"/>
    <w:rsid w:val="00E07E8B"/>
    <w:rsid w:val="00E10A59"/>
    <w:rsid w:val="00E11C7D"/>
    <w:rsid w:val="00E1484D"/>
    <w:rsid w:val="00E20F01"/>
    <w:rsid w:val="00E222A8"/>
    <w:rsid w:val="00E22440"/>
    <w:rsid w:val="00E23E1B"/>
    <w:rsid w:val="00E24503"/>
    <w:rsid w:val="00E26988"/>
    <w:rsid w:val="00E270AF"/>
    <w:rsid w:val="00E271C6"/>
    <w:rsid w:val="00E30DD7"/>
    <w:rsid w:val="00E3135D"/>
    <w:rsid w:val="00E32366"/>
    <w:rsid w:val="00E3281A"/>
    <w:rsid w:val="00E33927"/>
    <w:rsid w:val="00E36D96"/>
    <w:rsid w:val="00E40CBA"/>
    <w:rsid w:val="00E412FC"/>
    <w:rsid w:val="00E41CCD"/>
    <w:rsid w:val="00E42071"/>
    <w:rsid w:val="00E42B35"/>
    <w:rsid w:val="00E430F4"/>
    <w:rsid w:val="00E43183"/>
    <w:rsid w:val="00E43D9A"/>
    <w:rsid w:val="00E443D3"/>
    <w:rsid w:val="00E45F8B"/>
    <w:rsid w:val="00E460F4"/>
    <w:rsid w:val="00E4628E"/>
    <w:rsid w:val="00E47CBC"/>
    <w:rsid w:val="00E500B8"/>
    <w:rsid w:val="00E508A0"/>
    <w:rsid w:val="00E51027"/>
    <w:rsid w:val="00E5233F"/>
    <w:rsid w:val="00E52EEF"/>
    <w:rsid w:val="00E54E91"/>
    <w:rsid w:val="00E559FE"/>
    <w:rsid w:val="00E569CE"/>
    <w:rsid w:val="00E575EC"/>
    <w:rsid w:val="00E611EA"/>
    <w:rsid w:val="00E61DF5"/>
    <w:rsid w:val="00E62355"/>
    <w:rsid w:val="00E64FC0"/>
    <w:rsid w:val="00E650A2"/>
    <w:rsid w:val="00E650BB"/>
    <w:rsid w:val="00E652D5"/>
    <w:rsid w:val="00E65DC2"/>
    <w:rsid w:val="00E670C0"/>
    <w:rsid w:val="00E67B0B"/>
    <w:rsid w:val="00E70A00"/>
    <w:rsid w:val="00E725D6"/>
    <w:rsid w:val="00E731A6"/>
    <w:rsid w:val="00E73F25"/>
    <w:rsid w:val="00E74DC1"/>
    <w:rsid w:val="00E7788A"/>
    <w:rsid w:val="00E778DA"/>
    <w:rsid w:val="00E80778"/>
    <w:rsid w:val="00E80F66"/>
    <w:rsid w:val="00E84B3C"/>
    <w:rsid w:val="00E87317"/>
    <w:rsid w:val="00E8766B"/>
    <w:rsid w:val="00E90B8E"/>
    <w:rsid w:val="00E91082"/>
    <w:rsid w:val="00E92B55"/>
    <w:rsid w:val="00E93F17"/>
    <w:rsid w:val="00E94561"/>
    <w:rsid w:val="00E94773"/>
    <w:rsid w:val="00E95067"/>
    <w:rsid w:val="00E955A7"/>
    <w:rsid w:val="00E97D17"/>
    <w:rsid w:val="00EA0B83"/>
    <w:rsid w:val="00EA0F05"/>
    <w:rsid w:val="00EA233A"/>
    <w:rsid w:val="00EA2388"/>
    <w:rsid w:val="00EA47E0"/>
    <w:rsid w:val="00EA5681"/>
    <w:rsid w:val="00EB09EC"/>
    <w:rsid w:val="00EB0A32"/>
    <w:rsid w:val="00EB35EC"/>
    <w:rsid w:val="00EB5AFA"/>
    <w:rsid w:val="00EB60B2"/>
    <w:rsid w:val="00EB65CA"/>
    <w:rsid w:val="00EB7269"/>
    <w:rsid w:val="00EC17B3"/>
    <w:rsid w:val="00EC2870"/>
    <w:rsid w:val="00EC2A33"/>
    <w:rsid w:val="00EC38B1"/>
    <w:rsid w:val="00EC4AF4"/>
    <w:rsid w:val="00EC59EB"/>
    <w:rsid w:val="00EC5EBD"/>
    <w:rsid w:val="00EC631B"/>
    <w:rsid w:val="00EC67F3"/>
    <w:rsid w:val="00ED2D8D"/>
    <w:rsid w:val="00ED333D"/>
    <w:rsid w:val="00ED50EF"/>
    <w:rsid w:val="00ED51E2"/>
    <w:rsid w:val="00ED649A"/>
    <w:rsid w:val="00ED7F1D"/>
    <w:rsid w:val="00EE051B"/>
    <w:rsid w:val="00EE15BE"/>
    <w:rsid w:val="00EE27A5"/>
    <w:rsid w:val="00EE5928"/>
    <w:rsid w:val="00EE7A66"/>
    <w:rsid w:val="00EF21C1"/>
    <w:rsid w:val="00EF5A1C"/>
    <w:rsid w:val="00F02452"/>
    <w:rsid w:val="00F0263D"/>
    <w:rsid w:val="00F03BB4"/>
    <w:rsid w:val="00F07A9E"/>
    <w:rsid w:val="00F10139"/>
    <w:rsid w:val="00F109E1"/>
    <w:rsid w:val="00F10D2A"/>
    <w:rsid w:val="00F10E6C"/>
    <w:rsid w:val="00F11145"/>
    <w:rsid w:val="00F1196F"/>
    <w:rsid w:val="00F11E5E"/>
    <w:rsid w:val="00F1348F"/>
    <w:rsid w:val="00F14791"/>
    <w:rsid w:val="00F155D3"/>
    <w:rsid w:val="00F16D1F"/>
    <w:rsid w:val="00F20D62"/>
    <w:rsid w:val="00F22A49"/>
    <w:rsid w:val="00F23D79"/>
    <w:rsid w:val="00F2482B"/>
    <w:rsid w:val="00F25467"/>
    <w:rsid w:val="00F2633E"/>
    <w:rsid w:val="00F27D4E"/>
    <w:rsid w:val="00F3018C"/>
    <w:rsid w:val="00F3100E"/>
    <w:rsid w:val="00F3310E"/>
    <w:rsid w:val="00F336B6"/>
    <w:rsid w:val="00F35F1F"/>
    <w:rsid w:val="00F36457"/>
    <w:rsid w:val="00F36EA0"/>
    <w:rsid w:val="00F373CC"/>
    <w:rsid w:val="00F4213B"/>
    <w:rsid w:val="00F43BCE"/>
    <w:rsid w:val="00F51535"/>
    <w:rsid w:val="00F5214A"/>
    <w:rsid w:val="00F52777"/>
    <w:rsid w:val="00F528BF"/>
    <w:rsid w:val="00F529BE"/>
    <w:rsid w:val="00F57D78"/>
    <w:rsid w:val="00F60720"/>
    <w:rsid w:val="00F61712"/>
    <w:rsid w:val="00F624B0"/>
    <w:rsid w:val="00F631A6"/>
    <w:rsid w:val="00F63AC6"/>
    <w:rsid w:val="00F649C0"/>
    <w:rsid w:val="00F66014"/>
    <w:rsid w:val="00F67C39"/>
    <w:rsid w:val="00F7015D"/>
    <w:rsid w:val="00F71D07"/>
    <w:rsid w:val="00F71E35"/>
    <w:rsid w:val="00F72DC8"/>
    <w:rsid w:val="00F74794"/>
    <w:rsid w:val="00F74ACE"/>
    <w:rsid w:val="00F76A18"/>
    <w:rsid w:val="00F7734A"/>
    <w:rsid w:val="00F808FB"/>
    <w:rsid w:val="00F82189"/>
    <w:rsid w:val="00F82AD6"/>
    <w:rsid w:val="00F84CB7"/>
    <w:rsid w:val="00F86337"/>
    <w:rsid w:val="00F9177B"/>
    <w:rsid w:val="00F91A3A"/>
    <w:rsid w:val="00F920F0"/>
    <w:rsid w:val="00F938B6"/>
    <w:rsid w:val="00F93A9A"/>
    <w:rsid w:val="00F93B90"/>
    <w:rsid w:val="00F9625A"/>
    <w:rsid w:val="00F96799"/>
    <w:rsid w:val="00FA01B4"/>
    <w:rsid w:val="00FA0592"/>
    <w:rsid w:val="00FA1D40"/>
    <w:rsid w:val="00FA1F3A"/>
    <w:rsid w:val="00FA2CDA"/>
    <w:rsid w:val="00FA3876"/>
    <w:rsid w:val="00FA3F44"/>
    <w:rsid w:val="00FA5729"/>
    <w:rsid w:val="00FA5A99"/>
    <w:rsid w:val="00FA6BE0"/>
    <w:rsid w:val="00FA76D6"/>
    <w:rsid w:val="00FA7CC5"/>
    <w:rsid w:val="00FB03EE"/>
    <w:rsid w:val="00FB15F4"/>
    <w:rsid w:val="00FB28E4"/>
    <w:rsid w:val="00FB2FA2"/>
    <w:rsid w:val="00FB31B7"/>
    <w:rsid w:val="00FB421A"/>
    <w:rsid w:val="00FB5B40"/>
    <w:rsid w:val="00FB5C49"/>
    <w:rsid w:val="00FB60CF"/>
    <w:rsid w:val="00FB65CF"/>
    <w:rsid w:val="00FC0032"/>
    <w:rsid w:val="00FC0A01"/>
    <w:rsid w:val="00FC0FC5"/>
    <w:rsid w:val="00FC211F"/>
    <w:rsid w:val="00FC59DF"/>
    <w:rsid w:val="00FC5D0E"/>
    <w:rsid w:val="00FC5DD6"/>
    <w:rsid w:val="00FC6704"/>
    <w:rsid w:val="00FC7F66"/>
    <w:rsid w:val="00FD2A14"/>
    <w:rsid w:val="00FD2C5E"/>
    <w:rsid w:val="00FD3532"/>
    <w:rsid w:val="00FD4D01"/>
    <w:rsid w:val="00FD5FFF"/>
    <w:rsid w:val="00FD6BBB"/>
    <w:rsid w:val="00FE2874"/>
    <w:rsid w:val="00FE35E1"/>
    <w:rsid w:val="00FE4050"/>
    <w:rsid w:val="00FE4601"/>
    <w:rsid w:val="00FE49DA"/>
    <w:rsid w:val="00FE5D78"/>
    <w:rsid w:val="00FF096A"/>
    <w:rsid w:val="00FF0D90"/>
    <w:rsid w:val="00FF232F"/>
    <w:rsid w:val="00FF606F"/>
    <w:rsid w:val="00FF6EC8"/>
    <w:rsid w:val="00FF7020"/>
    <w:rsid w:val="00FF7925"/>
    <w:rsid w:val="011B572A"/>
    <w:rsid w:val="012C2BC2"/>
    <w:rsid w:val="01457570"/>
    <w:rsid w:val="014811E4"/>
    <w:rsid w:val="0152027D"/>
    <w:rsid w:val="015D337C"/>
    <w:rsid w:val="0160276B"/>
    <w:rsid w:val="017B7B00"/>
    <w:rsid w:val="019B1886"/>
    <w:rsid w:val="01AD2460"/>
    <w:rsid w:val="01DC539A"/>
    <w:rsid w:val="01E84929"/>
    <w:rsid w:val="02836333"/>
    <w:rsid w:val="02A1111E"/>
    <w:rsid w:val="02AF0362"/>
    <w:rsid w:val="02D0794F"/>
    <w:rsid w:val="02F05C02"/>
    <w:rsid w:val="02F22112"/>
    <w:rsid w:val="03956716"/>
    <w:rsid w:val="03966D13"/>
    <w:rsid w:val="03966D53"/>
    <w:rsid w:val="03A964DC"/>
    <w:rsid w:val="03B35C8C"/>
    <w:rsid w:val="03B500BE"/>
    <w:rsid w:val="03E2554B"/>
    <w:rsid w:val="0427349B"/>
    <w:rsid w:val="04471852"/>
    <w:rsid w:val="047A395E"/>
    <w:rsid w:val="0489533D"/>
    <w:rsid w:val="04A14B9C"/>
    <w:rsid w:val="04F76DF4"/>
    <w:rsid w:val="05BB103E"/>
    <w:rsid w:val="05DA775D"/>
    <w:rsid w:val="061C6E7F"/>
    <w:rsid w:val="063730E7"/>
    <w:rsid w:val="0667442D"/>
    <w:rsid w:val="066F6E3E"/>
    <w:rsid w:val="067B1C4C"/>
    <w:rsid w:val="06B63053"/>
    <w:rsid w:val="06ED04AD"/>
    <w:rsid w:val="06FB5AB8"/>
    <w:rsid w:val="07024AB1"/>
    <w:rsid w:val="07106873"/>
    <w:rsid w:val="071B7641"/>
    <w:rsid w:val="071E26B5"/>
    <w:rsid w:val="07283B96"/>
    <w:rsid w:val="0749353D"/>
    <w:rsid w:val="075C5445"/>
    <w:rsid w:val="076468AD"/>
    <w:rsid w:val="0789311C"/>
    <w:rsid w:val="07A77932"/>
    <w:rsid w:val="07C84A57"/>
    <w:rsid w:val="07F615C4"/>
    <w:rsid w:val="07FD10DC"/>
    <w:rsid w:val="083862E0"/>
    <w:rsid w:val="084F33CB"/>
    <w:rsid w:val="08B34033"/>
    <w:rsid w:val="08FF26FB"/>
    <w:rsid w:val="09074056"/>
    <w:rsid w:val="09093579"/>
    <w:rsid w:val="09540C99"/>
    <w:rsid w:val="095567BF"/>
    <w:rsid w:val="09772BD9"/>
    <w:rsid w:val="099B68C7"/>
    <w:rsid w:val="09BC05EC"/>
    <w:rsid w:val="09BD0D51"/>
    <w:rsid w:val="09D724F3"/>
    <w:rsid w:val="09E46A49"/>
    <w:rsid w:val="09F00295"/>
    <w:rsid w:val="0A0544DF"/>
    <w:rsid w:val="0A1B1122"/>
    <w:rsid w:val="0A262D36"/>
    <w:rsid w:val="0A3E25DB"/>
    <w:rsid w:val="0A6D4E2A"/>
    <w:rsid w:val="0A6F068E"/>
    <w:rsid w:val="0A78310C"/>
    <w:rsid w:val="0A83308D"/>
    <w:rsid w:val="0ACB4F8A"/>
    <w:rsid w:val="0AFB5B8F"/>
    <w:rsid w:val="0B16263E"/>
    <w:rsid w:val="0B2E72C7"/>
    <w:rsid w:val="0B436951"/>
    <w:rsid w:val="0B594540"/>
    <w:rsid w:val="0B7A075E"/>
    <w:rsid w:val="0BA423F3"/>
    <w:rsid w:val="0BA56018"/>
    <w:rsid w:val="0C732ED1"/>
    <w:rsid w:val="0C834480"/>
    <w:rsid w:val="0CBD044A"/>
    <w:rsid w:val="0CEB6B15"/>
    <w:rsid w:val="0CF83635"/>
    <w:rsid w:val="0D05080E"/>
    <w:rsid w:val="0D126C42"/>
    <w:rsid w:val="0D2B4B85"/>
    <w:rsid w:val="0D3B4FE6"/>
    <w:rsid w:val="0D553231"/>
    <w:rsid w:val="0D553A41"/>
    <w:rsid w:val="0D615882"/>
    <w:rsid w:val="0D696F82"/>
    <w:rsid w:val="0D7E579E"/>
    <w:rsid w:val="0D87457A"/>
    <w:rsid w:val="0D8A51FA"/>
    <w:rsid w:val="0DA92059"/>
    <w:rsid w:val="0DD241D8"/>
    <w:rsid w:val="0DD30BCF"/>
    <w:rsid w:val="0DD95290"/>
    <w:rsid w:val="0E0B0B24"/>
    <w:rsid w:val="0E172216"/>
    <w:rsid w:val="0E1E1875"/>
    <w:rsid w:val="0E997C47"/>
    <w:rsid w:val="0E9E0892"/>
    <w:rsid w:val="0EDE1004"/>
    <w:rsid w:val="0EE67F55"/>
    <w:rsid w:val="0F1D7D7F"/>
    <w:rsid w:val="0F603EC7"/>
    <w:rsid w:val="0F7200CA"/>
    <w:rsid w:val="0F882744"/>
    <w:rsid w:val="0F904257"/>
    <w:rsid w:val="0FBD50BE"/>
    <w:rsid w:val="0FF742DE"/>
    <w:rsid w:val="100A406E"/>
    <w:rsid w:val="100D1D24"/>
    <w:rsid w:val="10914580"/>
    <w:rsid w:val="10EA1EE2"/>
    <w:rsid w:val="10EB418F"/>
    <w:rsid w:val="10F35F41"/>
    <w:rsid w:val="11113169"/>
    <w:rsid w:val="111C6951"/>
    <w:rsid w:val="1126252E"/>
    <w:rsid w:val="11297522"/>
    <w:rsid w:val="11560AFF"/>
    <w:rsid w:val="118D5BE6"/>
    <w:rsid w:val="11A42091"/>
    <w:rsid w:val="11C0584B"/>
    <w:rsid w:val="11C95F9C"/>
    <w:rsid w:val="11D30BC8"/>
    <w:rsid w:val="11D731FF"/>
    <w:rsid w:val="11E5113A"/>
    <w:rsid w:val="12297E6A"/>
    <w:rsid w:val="12496FCE"/>
    <w:rsid w:val="126368E4"/>
    <w:rsid w:val="126C0842"/>
    <w:rsid w:val="127A1033"/>
    <w:rsid w:val="127F4F78"/>
    <w:rsid w:val="12A731F1"/>
    <w:rsid w:val="12AA6C58"/>
    <w:rsid w:val="12F06E6D"/>
    <w:rsid w:val="1325151F"/>
    <w:rsid w:val="132554EB"/>
    <w:rsid w:val="1329087E"/>
    <w:rsid w:val="13AD1C08"/>
    <w:rsid w:val="13C0517C"/>
    <w:rsid w:val="13C35C9D"/>
    <w:rsid w:val="14117786"/>
    <w:rsid w:val="14151024"/>
    <w:rsid w:val="143A34B9"/>
    <w:rsid w:val="14504752"/>
    <w:rsid w:val="14802DF4"/>
    <w:rsid w:val="14887A48"/>
    <w:rsid w:val="149E54BE"/>
    <w:rsid w:val="14A33CA4"/>
    <w:rsid w:val="14B20F69"/>
    <w:rsid w:val="14BD52E4"/>
    <w:rsid w:val="14C76DBB"/>
    <w:rsid w:val="14DC2AD9"/>
    <w:rsid w:val="15524EF1"/>
    <w:rsid w:val="158C5C66"/>
    <w:rsid w:val="159B7C4F"/>
    <w:rsid w:val="15A44D56"/>
    <w:rsid w:val="15BD7BC5"/>
    <w:rsid w:val="15D64D0B"/>
    <w:rsid w:val="15E04901"/>
    <w:rsid w:val="15E22D96"/>
    <w:rsid w:val="15F63E90"/>
    <w:rsid w:val="15F829AC"/>
    <w:rsid w:val="160D6710"/>
    <w:rsid w:val="161E52F6"/>
    <w:rsid w:val="16331C36"/>
    <w:rsid w:val="163C2015"/>
    <w:rsid w:val="169E2C66"/>
    <w:rsid w:val="173D4A76"/>
    <w:rsid w:val="17571954"/>
    <w:rsid w:val="17B95759"/>
    <w:rsid w:val="17DE30C1"/>
    <w:rsid w:val="18017739"/>
    <w:rsid w:val="183606FA"/>
    <w:rsid w:val="18493992"/>
    <w:rsid w:val="184D6F90"/>
    <w:rsid w:val="18697B91"/>
    <w:rsid w:val="18742475"/>
    <w:rsid w:val="188D40F3"/>
    <w:rsid w:val="18AB16F5"/>
    <w:rsid w:val="18AD2ACB"/>
    <w:rsid w:val="18AF5EEB"/>
    <w:rsid w:val="18C13529"/>
    <w:rsid w:val="18E67433"/>
    <w:rsid w:val="18F57676"/>
    <w:rsid w:val="19006747"/>
    <w:rsid w:val="192F0DDA"/>
    <w:rsid w:val="193261D5"/>
    <w:rsid w:val="193448FC"/>
    <w:rsid w:val="193F63C9"/>
    <w:rsid w:val="19406B43"/>
    <w:rsid w:val="19566A03"/>
    <w:rsid w:val="197B5B92"/>
    <w:rsid w:val="19876ED6"/>
    <w:rsid w:val="199944A6"/>
    <w:rsid w:val="19CD22CC"/>
    <w:rsid w:val="1A1147EC"/>
    <w:rsid w:val="1A192562"/>
    <w:rsid w:val="1A3714ED"/>
    <w:rsid w:val="1A573284"/>
    <w:rsid w:val="1A862C7C"/>
    <w:rsid w:val="1A8E0DCD"/>
    <w:rsid w:val="1AA03612"/>
    <w:rsid w:val="1ADB5222"/>
    <w:rsid w:val="1AEB44BF"/>
    <w:rsid w:val="1AED21FE"/>
    <w:rsid w:val="1AF20311"/>
    <w:rsid w:val="1B19329F"/>
    <w:rsid w:val="1B31279B"/>
    <w:rsid w:val="1B334486"/>
    <w:rsid w:val="1B4C7B71"/>
    <w:rsid w:val="1B5671D6"/>
    <w:rsid w:val="1B6E7B87"/>
    <w:rsid w:val="1B7E7DF7"/>
    <w:rsid w:val="1B823627"/>
    <w:rsid w:val="1BCC3016"/>
    <w:rsid w:val="1BF35E59"/>
    <w:rsid w:val="1C21352A"/>
    <w:rsid w:val="1C5B5A42"/>
    <w:rsid w:val="1CBC1B50"/>
    <w:rsid w:val="1CBE2FD4"/>
    <w:rsid w:val="1CD615BD"/>
    <w:rsid w:val="1CDE582E"/>
    <w:rsid w:val="1CE06B28"/>
    <w:rsid w:val="1CFD337F"/>
    <w:rsid w:val="1CFD70E6"/>
    <w:rsid w:val="1D16785E"/>
    <w:rsid w:val="1D2030BF"/>
    <w:rsid w:val="1D465B98"/>
    <w:rsid w:val="1D4D0401"/>
    <w:rsid w:val="1D58372B"/>
    <w:rsid w:val="1D762F10"/>
    <w:rsid w:val="1DA771BD"/>
    <w:rsid w:val="1DC37D43"/>
    <w:rsid w:val="1DC51D0D"/>
    <w:rsid w:val="1DC57E81"/>
    <w:rsid w:val="1DE75495"/>
    <w:rsid w:val="1DFC0B30"/>
    <w:rsid w:val="1E0F2F88"/>
    <w:rsid w:val="1E220F0E"/>
    <w:rsid w:val="1E2C3B3A"/>
    <w:rsid w:val="1E2D2D93"/>
    <w:rsid w:val="1E3C70DC"/>
    <w:rsid w:val="1E4C5F8A"/>
    <w:rsid w:val="1E4D1985"/>
    <w:rsid w:val="1E5913E2"/>
    <w:rsid w:val="1E652BA8"/>
    <w:rsid w:val="1EC57AEB"/>
    <w:rsid w:val="1EDD6BE3"/>
    <w:rsid w:val="1F0D396C"/>
    <w:rsid w:val="1F1C1B22"/>
    <w:rsid w:val="1F2D3D0B"/>
    <w:rsid w:val="1F45655C"/>
    <w:rsid w:val="1F61288C"/>
    <w:rsid w:val="1F6B7692"/>
    <w:rsid w:val="1F850B59"/>
    <w:rsid w:val="1F880A94"/>
    <w:rsid w:val="1F9000F9"/>
    <w:rsid w:val="1F9A4AD4"/>
    <w:rsid w:val="1FAC6D64"/>
    <w:rsid w:val="1FB931AC"/>
    <w:rsid w:val="1FC93893"/>
    <w:rsid w:val="20090B80"/>
    <w:rsid w:val="200B3C07"/>
    <w:rsid w:val="201D6D28"/>
    <w:rsid w:val="2022599D"/>
    <w:rsid w:val="20263B5B"/>
    <w:rsid w:val="203942EC"/>
    <w:rsid w:val="203B6856"/>
    <w:rsid w:val="206917A3"/>
    <w:rsid w:val="206F7D0E"/>
    <w:rsid w:val="20992FDD"/>
    <w:rsid w:val="20C55B80"/>
    <w:rsid w:val="20CF4C51"/>
    <w:rsid w:val="210668C5"/>
    <w:rsid w:val="210963B5"/>
    <w:rsid w:val="212A70C8"/>
    <w:rsid w:val="213D502E"/>
    <w:rsid w:val="21433860"/>
    <w:rsid w:val="21695AFE"/>
    <w:rsid w:val="21886F72"/>
    <w:rsid w:val="21905CD2"/>
    <w:rsid w:val="219B1D37"/>
    <w:rsid w:val="21AA5E45"/>
    <w:rsid w:val="22105FB5"/>
    <w:rsid w:val="22753BE6"/>
    <w:rsid w:val="227A7A12"/>
    <w:rsid w:val="22954DFB"/>
    <w:rsid w:val="231B417D"/>
    <w:rsid w:val="23243032"/>
    <w:rsid w:val="233C6D24"/>
    <w:rsid w:val="233E5D5A"/>
    <w:rsid w:val="234731C4"/>
    <w:rsid w:val="237F7486"/>
    <w:rsid w:val="238166D6"/>
    <w:rsid w:val="23944A7B"/>
    <w:rsid w:val="23A54085"/>
    <w:rsid w:val="23B334FD"/>
    <w:rsid w:val="23EB7FF4"/>
    <w:rsid w:val="240F7694"/>
    <w:rsid w:val="242A6DEA"/>
    <w:rsid w:val="24316771"/>
    <w:rsid w:val="249A0CEC"/>
    <w:rsid w:val="24F37160"/>
    <w:rsid w:val="24FF2FC1"/>
    <w:rsid w:val="2511025C"/>
    <w:rsid w:val="25381017"/>
    <w:rsid w:val="254275A0"/>
    <w:rsid w:val="255D6CCF"/>
    <w:rsid w:val="256C78BD"/>
    <w:rsid w:val="25DD571A"/>
    <w:rsid w:val="25DF46C8"/>
    <w:rsid w:val="25DF76E4"/>
    <w:rsid w:val="25E20F82"/>
    <w:rsid w:val="261E0B0E"/>
    <w:rsid w:val="263E08AF"/>
    <w:rsid w:val="26434B7C"/>
    <w:rsid w:val="26587DA3"/>
    <w:rsid w:val="26853E13"/>
    <w:rsid w:val="26893B36"/>
    <w:rsid w:val="26B741BD"/>
    <w:rsid w:val="26C1503C"/>
    <w:rsid w:val="26CB1012"/>
    <w:rsid w:val="275A1EAC"/>
    <w:rsid w:val="275D6B12"/>
    <w:rsid w:val="27731952"/>
    <w:rsid w:val="277A630F"/>
    <w:rsid w:val="27800D24"/>
    <w:rsid w:val="27912C60"/>
    <w:rsid w:val="27D8263D"/>
    <w:rsid w:val="281A56DF"/>
    <w:rsid w:val="285A367B"/>
    <w:rsid w:val="286403AF"/>
    <w:rsid w:val="2867689A"/>
    <w:rsid w:val="288F719F"/>
    <w:rsid w:val="289C73BD"/>
    <w:rsid w:val="28C77FCD"/>
    <w:rsid w:val="28FB65E3"/>
    <w:rsid w:val="28FD67FF"/>
    <w:rsid w:val="292274BC"/>
    <w:rsid w:val="29256098"/>
    <w:rsid w:val="293366CF"/>
    <w:rsid w:val="298C02E6"/>
    <w:rsid w:val="29A04EE9"/>
    <w:rsid w:val="29B844D4"/>
    <w:rsid w:val="29F31E92"/>
    <w:rsid w:val="2A354E9C"/>
    <w:rsid w:val="2A4A36B6"/>
    <w:rsid w:val="2A526D77"/>
    <w:rsid w:val="2A5F2B4C"/>
    <w:rsid w:val="2A6428AE"/>
    <w:rsid w:val="2A8E4FD8"/>
    <w:rsid w:val="2AA1140C"/>
    <w:rsid w:val="2AAD1B5F"/>
    <w:rsid w:val="2AD831A7"/>
    <w:rsid w:val="2B002F1A"/>
    <w:rsid w:val="2B046C49"/>
    <w:rsid w:val="2B1D6617"/>
    <w:rsid w:val="2B3E30FF"/>
    <w:rsid w:val="2B5B15BB"/>
    <w:rsid w:val="2B824D9A"/>
    <w:rsid w:val="2B8A6D56"/>
    <w:rsid w:val="2B936FA7"/>
    <w:rsid w:val="2BFC4B0F"/>
    <w:rsid w:val="2BFD69FA"/>
    <w:rsid w:val="2C5C219F"/>
    <w:rsid w:val="2C9405E9"/>
    <w:rsid w:val="2C942F95"/>
    <w:rsid w:val="2CA03331"/>
    <w:rsid w:val="2CAD4098"/>
    <w:rsid w:val="2CDA6E57"/>
    <w:rsid w:val="2CEF719A"/>
    <w:rsid w:val="2D1D0295"/>
    <w:rsid w:val="2D2C76B3"/>
    <w:rsid w:val="2D2F71A3"/>
    <w:rsid w:val="2D46629B"/>
    <w:rsid w:val="2D482013"/>
    <w:rsid w:val="2D4A5D8B"/>
    <w:rsid w:val="2D517119"/>
    <w:rsid w:val="2D5C786C"/>
    <w:rsid w:val="2D616C31"/>
    <w:rsid w:val="2D79041E"/>
    <w:rsid w:val="2D7A0AB0"/>
    <w:rsid w:val="2D7E5A35"/>
    <w:rsid w:val="2DB00ED8"/>
    <w:rsid w:val="2DDB30C8"/>
    <w:rsid w:val="2DF51788"/>
    <w:rsid w:val="2E3A045D"/>
    <w:rsid w:val="2E61338C"/>
    <w:rsid w:val="2E6D6F21"/>
    <w:rsid w:val="2E7330BF"/>
    <w:rsid w:val="2E786928"/>
    <w:rsid w:val="2E842DB5"/>
    <w:rsid w:val="2E896528"/>
    <w:rsid w:val="2E941F68"/>
    <w:rsid w:val="2E9F2F91"/>
    <w:rsid w:val="2ED7739C"/>
    <w:rsid w:val="2EED10C4"/>
    <w:rsid w:val="2F286F74"/>
    <w:rsid w:val="2F337470"/>
    <w:rsid w:val="2F9652B7"/>
    <w:rsid w:val="2F996B56"/>
    <w:rsid w:val="2FAA688C"/>
    <w:rsid w:val="2FC570FE"/>
    <w:rsid w:val="2FFA3A98"/>
    <w:rsid w:val="3017372C"/>
    <w:rsid w:val="30227AED"/>
    <w:rsid w:val="302F7CE1"/>
    <w:rsid w:val="305F5CDA"/>
    <w:rsid w:val="30AC28B9"/>
    <w:rsid w:val="30D245A8"/>
    <w:rsid w:val="31010E56"/>
    <w:rsid w:val="313E5C07"/>
    <w:rsid w:val="3140250F"/>
    <w:rsid w:val="31441055"/>
    <w:rsid w:val="31B61C41"/>
    <w:rsid w:val="31D84F5C"/>
    <w:rsid w:val="31FB5545"/>
    <w:rsid w:val="32391C0C"/>
    <w:rsid w:val="32713DBA"/>
    <w:rsid w:val="3281224F"/>
    <w:rsid w:val="329927A4"/>
    <w:rsid w:val="32C04596"/>
    <w:rsid w:val="32D01D72"/>
    <w:rsid w:val="32D050B8"/>
    <w:rsid w:val="32EE3C2C"/>
    <w:rsid w:val="32FE6D27"/>
    <w:rsid w:val="330E33B7"/>
    <w:rsid w:val="3314333C"/>
    <w:rsid w:val="33294694"/>
    <w:rsid w:val="3345629D"/>
    <w:rsid w:val="33582884"/>
    <w:rsid w:val="339431C2"/>
    <w:rsid w:val="33C65975"/>
    <w:rsid w:val="33D771A3"/>
    <w:rsid w:val="340824FC"/>
    <w:rsid w:val="340A6BA7"/>
    <w:rsid w:val="344F0D0A"/>
    <w:rsid w:val="3461207D"/>
    <w:rsid w:val="346F4329"/>
    <w:rsid w:val="347E456C"/>
    <w:rsid w:val="348E2A01"/>
    <w:rsid w:val="349D7A63"/>
    <w:rsid w:val="34AE30A3"/>
    <w:rsid w:val="34BD51B5"/>
    <w:rsid w:val="34D6203C"/>
    <w:rsid w:val="35334EAB"/>
    <w:rsid w:val="353B6DB0"/>
    <w:rsid w:val="355D6BE9"/>
    <w:rsid w:val="355E0625"/>
    <w:rsid w:val="35A034AE"/>
    <w:rsid w:val="35B67304"/>
    <w:rsid w:val="35BA4BA0"/>
    <w:rsid w:val="35BC5E6C"/>
    <w:rsid w:val="35BD7F24"/>
    <w:rsid w:val="35CA79CF"/>
    <w:rsid w:val="35F85A54"/>
    <w:rsid w:val="360516D3"/>
    <w:rsid w:val="36573DF8"/>
    <w:rsid w:val="366A1D7E"/>
    <w:rsid w:val="369260AD"/>
    <w:rsid w:val="36966820"/>
    <w:rsid w:val="36B129D7"/>
    <w:rsid w:val="36D30EA1"/>
    <w:rsid w:val="36FA1069"/>
    <w:rsid w:val="37017777"/>
    <w:rsid w:val="370451FC"/>
    <w:rsid w:val="37196019"/>
    <w:rsid w:val="3776081D"/>
    <w:rsid w:val="37986A8E"/>
    <w:rsid w:val="379D49C3"/>
    <w:rsid w:val="37B4115A"/>
    <w:rsid w:val="37C130EE"/>
    <w:rsid w:val="37C14E9C"/>
    <w:rsid w:val="37C31EC4"/>
    <w:rsid w:val="37DA3DC7"/>
    <w:rsid w:val="37DE20E8"/>
    <w:rsid w:val="37E27DCD"/>
    <w:rsid w:val="37E95FD8"/>
    <w:rsid w:val="38081EA4"/>
    <w:rsid w:val="38190911"/>
    <w:rsid w:val="386A5203"/>
    <w:rsid w:val="38966328"/>
    <w:rsid w:val="38A42C8E"/>
    <w:rsid w:val="38C6244C"/>
    <w:rsid w:val="38E70932"/>
    <w:rsid w:val="38E83839"/>
    <w:rsid w:val="3907659E"/>
    <w:rsid w:val="396F2F9D"/>
    <w:rsid w:val="397A17A6"/>
    <w:rsid w:val="397F3F36"/>
    <w:rsid w:val="399F3739"/>
    <w:rsid w:val="39AB573B"/>
    <w:rsid w:val="39E44E71"/>
    <w:rsid w:val="3A462743"/>
    <w:rsid w:val="3A4D6EBA"/>
    <w:rsid w:val="3A58523B"/>
    <w:rsid w:val="3AC058DE"/>
    <w:rsid w:val="3ADB5466"/>
    <w:rsid w:val="3ADC03B0"/>
    <w:rsid w:val="3AE45194"/>
    <w:rsid w:val="3AE52B86"/>
    <w:rsid w:val="3B01774A"/>
    <w:rsid w:val="3B057795"/>
    <w:rsid w:val="3B1F34FB"/>
    <w:rsid w:val="3B2841A1"/>
    <w:rsid w:val="3B3616FD"/>
    <w:rsid w:val="3B550B00"/>
    <w:rsid w:val="3B601BF5"/>
    <w:rsid w:val="3B657B94"/>
    <w:rsid w:val="3BC35686"/>
    <w:rsid w:val="3BF13876"/>
    <w:rsid w:val="3C5D3225"/>
    <w:rsid w:val="3C7615D5"/>
    <w:rsid w:val="3CB46D7D"/>
    <w:rsid w:val="3CC92694"/>
    <w:rsid w:val="3CD12B7B"/>
    <w:rsid w:val="3CD613E9"/>
    <w:rsid w:val="3CE60F00"/>
    <w:rsid w:val="3CF112C9"/>
    <w:rsid w:val="3CF23E73"/>
    <w:rsid w:val="3D3C3A57"/>
    <w:rsid w:val="3D5F26F2"/>
    <w:rsid w:val="3D8C5F4C"/>
    <w:rsid w:val="3D9624B0"/>
    <w:rsid w:val="3DB039E8"/>
    <w:rsid w:val="3DC9292C"/>
    <w:rsid w:val="3DD9537F"/>
    <w:rsid w:val="3E012EEA"/>
    <w:rsid w:val="3E704F26"/>
    <w:rsid w:val="3E7D237B"/>
    <w:rsid w:val="3E8A0FA4"/>
    <w:rsid w:val="3EB12CB0"/>
    <w:rsid w:val="3EBE6DC4"/>
    <w:rsid w:val="3EC65730"/>
    <w:rsid w:val="3EC84D62"/>
    <w:rsid w:val="3ECF0CF0"/>
    <w:rsid w:val="3EE55A1F"/>
    <w:rsid w:val="3EEF22EE"/>
    <w:rsid w:val="3F05474B"/>
    <w:rsid w:val="3F0D420A"/>
    <w:rsid w:val="3F1E6F5B"/>
    <w:rsid w:val="3F212E06"/>
    <w:rsid w:val="3F371A4B"/>
    <w:rsid w:val="3F373C95"/>
    <w:rsid w:val="3FA27361"/>
    <w:rsid w:val="3FD3663A"/>
    <w:rsid w:val="400E0E9A"/>
    <w:rsid w:val="40156703"/>
    <w:rsid w:val="4039055A"/>
    <w:rsid w:val="403C129B"/>
    <w:rsid w:val="40624D42"/>
    <w:rsid w:val="407E7DCE"/>
    <w:rsid w:val="40814538"/>
    <w:rsid w:val="408847AB"/>
    <w:rsid w:val="409C30B7"/>
    <w:rsid w:val="40A74FB5"/>
    <w:rsid w:val="40AB4E3C"/>
    <w:rsid w:val="40D17AA3"/>
    <w:rsid w:val="40F17D85"/>
    <w:rsid w:val="41044576"/>
    <w:rsid w:val="41345574"/>
    <w:rsid w:val="41353EF1"/>
    <w:rsid w:val="41526235"/>
    <w:rsid w:val="415E19AD"/>
    <w:rsid w:val="41B96BE3"/>
    <w:rsid w:val="41BB0BAE"/>
    <w:rsid w:val="420C31B7"/>
    <w:rsid w:val="42541AFE"/>
    <w:rsid w:val="42BA70B7"/>
    <w:rsid w:val="42C414E3"/>
    <w:rsid w:val="42E14644"/>
    <w:rsid w:val="42EB54C2"/>
    <w:rsid w:val="430F54F9"/>
    <w:rsid w:val="43177302"/>
    <w:rsid w:val="43193DDE"/>
    <w:rsid w:val="434A07ED"/>
    <w:rsid w:val="43544E16"/>
    <w:rsid w:val="436161F5"/>
    <w:rsid w:val="43647098"/>
    <w:rsid w:val="4378496B"/>
    <w:rsid w:val="43A833B4"/>
    <w:rsid w:val="43DC1F9C"/>
    <w:rsid w:val="43F07904"/>
    <w:rsid w:val="43F44A1E"/>
    <w:rsid w:val="440C719A"/>
    <w:rsid w:val="44122FEA"/>
    <w:rsid w:val="441D16AC"/>
    <w:rsid w:val="443561BB"/>
    <w:rsid w:val="44A45D3F"/>
    <w:rsid w:val="44A546A6"/>
    <w:rsid w:val="44AC2A30"/>
    <w:rsid w:val="4506106B"/>
    <w:rsid w:val="45164296"/>
    <w:rsid w:val="457335B4"/>
    <w:rsid w:val="459F6FF3"/>
    <w:rsid w:val="46164604"/>
    <w:rsid w:val="46181EC0"/>
    <w:rsid w:val="4631143E"/>
    <w:rsid w:val="46343743"/>
    <w:rsid w:val="464D6AEB"/>
    <w:rsid w:val="465A6BE7"/>
    <w:rsid w:val="4668425F"/>
    <w:rsid w:val="466C2476"/>
    <w:rsid w:val="4673599B"/>
    <w:rsid w:val="46876739"/>
    <w:rsid w:val="46A9191C"/>
    <w:rsid w:val="46B856BC"/>
    <w:rsid w:val="46D43FCA"/>
    <w:rsid w:val="470A292F"/>
    <w:rsid w:val="470B074A"/>
    <w:rsid w:val="473311E6"/>
    <w:rsid w:val="47514196"/>
    <w:rsid w:val="475E7DF6"/>
    <w:rsid w:val="476712F6"/>
    <w:rsid w:val="47D40D02"/>
    <w:rsid w:val="47D64E3B"/>
    <w:rsid w:val="47E250E6"/>
    <w:rsid w:val="47F2375D"/>
    <w:rsid w:val="48411CDE"/>
    <w:rsid w:val="484521DC"/>
    <w:rsid w:val="486B3D10"/>
    <w:rsid w:val="4876582E"/>
    <w:rsid w:val="488F6176"/>
    <w:rsid w:val="489D253D"/>
    <w:rsid w:val="48C41631"/>
    <w:rsid w:val="48C9430F"/>
    <w:rsid w:val="48DB103F"/>
    <w:rsid w:val="48E44E8E"/>
    <w:rsid w:val="48E46C3C"/>
    <w:rsid w:val="48EC789E"/>
    <w:rsid w:val="48F055E1"/>
    <w:rsid w:val="48F27E71"/>
    <w:rsid w:val="49042E3A"/>
    <w:rsid w:val="4918052F"/>
    <w:rsid w:val="493A0464"/>
    <w:rsid w:val="495A0CAC"/>
    <w:rsid w:val="495D690E"/>
    <w:rsid w:val="496F0BFB"/>
    <w:rsid w:val="49703877"/>
    <w:rsid w:val="49753D38"/>
    <w:rsid w:val="497C50C6"/>
    <w:rsid w:val="498E443A"/>
    <w:rsid w:val="49926698"/>
    <w:rsid w:val="49D2092E"/>
    <w:rsid w:val="49DE1F79"/>
    <w:rsid w:val="4A2319E6"/>
    <w:rsid w:val="4A2512BA"/>
    <w:rsid w:val="4A305752"/>
    <w:rsid w:val="4A563B69"/>
    <w:rsid w:val="4AA44166"/>
    <w:rsid w:val="4AB16E0A"/>
    <w:rsid w:val="4AC00FE3"/>
    <w:rsid w:val="4AD666AF"/>
    <w:rsid w:val="4B047613"/>
    <w:rsid w:val="4B2772B4"/>
    <w:rsid w:val="4B58746D"/>
    <w:rsid w:val="4B91139C"/>
    <w:rsid w:val="4BB03279"/>
    <w:rsid w:val="4BED4059"/>
    <w:rsid w:val="4BFC429C"/>
    <w:rsid w:val="4C045AF7"/>
    <w:rsid w:val="4C0773BE"/>
    <w:rsid w:val="4C096EFD"/>
    <w:rsid w:val="4C474817"/>
    <w:rsid w:val="4C4B0ACB"/>
    <w:rsid w:val="4C70498B"/>
    <w:rsid w:val="4C845B43"/>
    <w:rsid w:val="4C95495C"/>
    <w:rsid w:val="4C985B44"/>
    <w:rsid w:val="4CC430C2"/>
    <w:rsid w:val="4CD9638C"/>
    <w:rsid w:val="4CDC6EC9"/>
    <w:rsid w:val="4CE2594D"/>
    <w:rsid w:val="4CEE0089"/>
    <w:rsid w:val="4D3F6B37"/>
    <w:rsid w:val="4D663C6F"/>
    <w:rsid w:val="4D673998"/>
    <w:rsid w:val="4D9D560B"/>
    <w:rsid w:val="4DA64935"/>
    <w:rsid w:val="4DBB7BDF"/>
    <w:rsid w:val="4DED1969"/>
    <w:rsid w:val="4E1C58E2"/>
    <w:rsid w:val="4E410126"/>
    <w:rsid w:val="4E5C6DBB"/>
    <w:rsid w:val="4E6D76D3"/>
    <w:rsid w:val="4EB16C3C"/>
    <w:rsid w:val="4EF07E4E"/>
    <w:rsid w:val="4F0F3565"/>
    <w:rsid w:val="4F1638C7"/>
    <w:rsid w:val="4F8A7C0C"/>
    <w:rsid w:val="4FB70C90"/>
    <w:rsid w:val="501431E2"/>
    <w:rsid w:val="501536BB"/>
    <w:rsid w:val="50193B69"/>
    <w:rsid w:val="501A73E7"/>
    <w:rsid w:val="504D3F74"/>
    <w:rsid w:val="50700DB5"/>
    <w:rsid w:val="50DC3108"/>
    <w:rsid w:val="51206DA9"/>
    <w:rsid w:val="512C5624"/>
    <w:rsid w:val="515B7CB7"/>
    <w:rsid w:val="51601795"/>
    <w:rsid w:val="5161570F"/>
    <w:rsid w:val="516528E4"/>
    <w:rsid w:val="516E5A80"/>
    <w:rsid w:val="51850CCC"/>
    <w:rsid w:val="51C4585C"/>
    <w:rsid w:val="51D474BC"/>
    <w:rsid w:val="52190E39"/>
    <w:rsid w:val="52280EC4"/>
    <w:rsid w:val="52336282"/>
    <w:rsid w:val="525030F6"/>
    <w:rsid w:val="52AA63B5"/>
    <w:rsid w:val="52DA3D53"/>
    <w:rsid w:val="52DC5FDB"/>
    <w:rsid w:val="52FE6BA2"/>
    <w:rsid w:val="53083527"/>
    <w:rsid w:val="530C5752"/>
    <w:rsid w:val="5358625C"/>
    <w:rsid w:val="53791498"/>
    <w:rsid w:val="539D3027"/>
    <w:rsid w:val="53F82091"/>
    <w:rsid w:val="54322F51"/>
    <w:rsid w:val="543F349C"/>
    <w:rsid w:val="545F2DCF"/>
    <w:rsid w:val="546038E7"/>
    <w:rsid w:val="54617011"/>
    <w:rsid w:val="547312EF"/>
    <w:rsid w:val="54F14BBA"/>
    <w:rsid w:val="54FB45D4"/>
    <w:rsid w:val="550A5C7C"/>
    <w:rsid w:val="55313201"/>
    <w:rsid w:val="55412841"/>
    <w:rsid w:val="554E6D38"/>
    <w:rsid w:val="557B3584"/>
    <w:rsid w:val="558A2B4B"/>
    <w:rsid w:val="558D05EC"/>
    <w:rsid w:val="55983288"/>
    <w:rsid w:val="55F12998"/>
    <w:rsid w:val="5641747C"/>
    <w:rsid w:val="564E1B99"/>
    <w:rsid w:val="569A6B8C"/>
    <w:rsid w:val="569E4762"/>
    <w:rsid w:val="56C43C09"/>
    <w:rsid w:val="56CD6FBA"/>
    <w:rsid w:val="56D441E0"/>
    <w:rsid w:val="56E30FDF"/>
    <w:rsid w:val="56EA7B13"/>
    <w:rsid w:val="57090A6E"/>
    <w:rsid w:val="57813298"/>
    <w:rsid w:val="57961A49"/>
    <w:rsid w:val="57A879A5"/>
    <w:rsid w:val="57E427B4"/>
    <w:rsid w:val="57EA769F"/>
    <w:rsid w:val="5806058D"/>
    <w:rsid w:val="580A0E1F"/>
    <w:rsid w:val="58260F8E"/>
    <w:rsid w:val="582A1D2D"/>
    <w:rsid w:val="583E1F3F"/>
    <w:rsid w:val="58496ABB"/>
    <w:rsid w:val="58BF0B2C"/>
    <w:rsid w:val="58EA5639"/>
    <w:rsid w:val="58F44C79"/>
    <w:rsid w:val="592B61C1"/>
    <w:rsid w:val="594C7D35"/>
    <w:rsid w:val="5966697A"/>
    <w:rsid w:val="597F3659"/>
    <w:rsid w:val="59B166C6"/>
    <w:rsid w:val="59EA607C"/>
    <w:rsid w:val="59F32E51"/>
    <w:rsid w:val="59F42A57"/>
    <w:rsid w:val="5A135718"/>
    <w:rsid w:val="5A250E62"/>
    <w:rsid w:val="5A5F581C"/>
    <w:rsid w:val="5A7F0572"/>
    <w:rsid w:val="5A971D60"/>
    <w:rsid w:val="5ACD39D4"/>
    <w:rsid w:val="5AF54C47"/>
    <w:rsid w:val="5B3E13DB"/>
    <w:rsid w:val="5B4418F2"/>
    <w:rsid w:val="5B5C08B4"/>
    <w:rsid w:val="5B6231F9"/>
    <w:rsid w:val="5B7FBDEA"/>
    <w:rsid w:val="5BB029AE"/>
    <w:rsid w:val="5BB172A2"/>
    <w:rsid w:val="5BBC4F1E"/>
    <w:rsid w:val="5BEF3B67"/>
    <w:rsid w:val="5C604989"/>
    <w:rsid w:val="5C700ABB"/>
    <w:rsid w:val="5C917CF5"/>
    <w:rsid w:val="5CA66874"/>
    <w:rsid w:val="5CB609AD"/>
    <w:rsid w:val="5CED5C47"/>
    <w:rsid w:val="5D0A4B3F"/>
    <w:rsid w:val="5D1C479E"/>
    <w:rsid w:val="5D695B4F"/>
    <w:rsid w:val="5D907987"/>
    <w:rsid w:val="5DCA7D0D"/>
    <w:rsid w:val="5E127D16"/>
    <w:rsid w:val="5E361890"/>
    <w:rsid w:val="5E60690D"/>
    <w:rsid w:val="5E622685"/>
    <w:rsid w:val="5E6379C1"/>
    <w:rsid w:val="5E637D96"/>
    <w:rsid w:val="5ECC1241"/>
    <w:rsid w:val="5F4D50E3"/>
    <w:rsid w:val="5F562317"/>
    <w:rsid w:val="5F8102CE"/>
    <w:rsid w:val="5FF27A39"/>
    <w:rsid w:val="603714AD"/>
    <w:rsid w:val="606F5ABB"/>
    <w:rsid w:val="60716BAF"/>
    <w:rsid w:val="608437DA"/>
    <w:rsid w:val="60C211B9"/>
    <w:rsid w:val="60EC6236"/>
    <w:rsid w:val="60F577E0"/>
    <w:rsid w:val="610979C2"/>
    <w:rsid w:val="611650F5"/>
    <w:rsid w:val="61614E76"/>
    <w:rsid w:val="61A570C7"/>
    <w:rsid w:val="61AB6A5B"/>
    <w:rsid w:val="61D856BC"/>
    <w:rsid w:val="61EC22FC"/>
    <w:rsid w:val="62095C63"/>
    <w:rsid w:val="6210066C"/>
    <w:rsid w:val="62261C1B"/>
    <w:rsid w:val="62514EEA"/>
    <w:rsid w:val="62600092"/>
    <w:rsid w:val="62A476BF"/>
    <w:rsid w:val="62A72D5C"/>
    <w:rsid w:val="62AA2BF4"/>
    <w:rsid w:val="62B4328D"/>
    <w:rsid w:val="62BD432E"/>
    <w:rsid w:val="63015BB4"/>
    <w:rsid w:val="63147CC6"/>
    <w:rsid w:val="631B1054"/>
    <w:rsid w:val="63402869"/>
    <w:rsid w:val="6367429A"/>
    <w:rsid w:val="636E5E8A"/>
    <w:rsid w:val="638E5CCA"/>
    <w:rsid w:val="63957059"/>
    <w:rsid w:val="63A25979"/>
    <w:rsid w:val="63DE6DE8"/>
    <w:rsid w:val="64060EA6"/>
    <w:rsid w:val="642A7E61"/>
    <w:rsid w:val="644F079A"/>
    <w:rsid w:val="6457430E"/>
    <w:rsid w:val="64677673"/>
    <w:rsid w:val="647C000A"/>
    <w:rsid w:val="649E66D6"/>
    <w:rsid w:val="64B50143"/>
    <w:rsid w:val="64DB47D3"/>
    <w:rsid w:val="64EA33D4"/>
    <w:rsid w:val="64EA6406"/>
    <w:rsid w:val="64FD49D9"/>
    <w:rsid w:val="64FF1026"/>
    <w:rsid w:val="65011C14"/>
    <w:rsid w:val="65174318"/>
    <w:rsid w:val="651B43F9"/>
    <w:rsid w:val="6535536A"/>
    <w:rsid w:val="65387C9C"/>
    <w:rsid w:val="65442AE4"/>
    <w:rsid w:val="65473A80"/>
    <w:rsid w:val="655217DE"/>
    <w:rsid w:val="655A6803"/>
    <w:rsid w:val="657333CA"/>
    <w:rsid w:val="659D4E39"/>
    <w:rsid w:val="659F7D1B"/>
    <w:rsid w:val="65A74E21"/>
    <w:rsid w:val="65BD2897"/>
    <w:rsid w:val="660404C6"/>
    <w:rsid w:val="66132DDA"/>
    <w:rsid w:val="66157FDD"/>
    <w:rsid w:val="66195D1F"/>
    <w:rsid w:val="66343B9C"/>
    <w:rsid w:val="663568D1"/>
    <w:rsid w:val="664516CC"/>
    <w:rsid w:val="6683763C"/>
    <w:rsid w:val="669435F8"/>
    <w:rsid w:val="669E7B15"/>
    <w:rsid w:val="66C07AEC"/>
    <w:rsid w:val="66EA6A7F"/>
    <w:rsid w:val="66FB5425"/>
    <w:rsid w:val="66FC2ECA"/>
    <w:rsid w:val="67337169"/>
    <w:rsid w:val="67454169"/>
    <w:rsid w:val="677A27ED"/>
    <w:rsid w:val="67A5489B"/>
    <w:rsid w:val="67DE3A99"/>
    <w:rsid w:val="67EF0D16"/>
    <w:rsid w:val="67FA52FE"/>
    <w:rsid w:val="683759DA"/>
    <w:rsid w:val="68501A07"/>
    <w:rsid w:val="68530255"/>
    <w:rsid w:val="68631C8F"/>
    <w:rsid w:val="6871465E"/>
    <w:rsid w:val="689A0C6D"/>
    <w:rsid w:val="68A257EB"/>
    <w:rsid w:val="68A37B22"/>
    <w:rsid w:val="68B13961"/>
    <w:rsid w:val="68C6130C"/>
    <w:rsid w:val="68D8103E"/>
    <w:rsid w:val="68F62348"/>
    <w:rsid w:val="68F72CDD"/>
    <w:rsid w:val="691C5ED8"/>
    <w:rsid w:val="692346DB"/>
    <w:rsid w:val="692963A9"/>
    <w:rsid w:val="69717C20"/>
    <w:rsid w:val="69763488"/>
    <w:rsid w:val="698711F2"/>
    <w:rsid w:val="69914249"/>
    <w:rsid w:val="69E44896"/>
    <w:rsid w:val="6A401924"/>
    <w:rsid w:val="6A4D24A7"/>
    <w:rsid w:val="6A71521F"/>
    <w:rsid w:val="6A7774B8"/>
    <w:rsid w:val="6A9F07BD"/>
    <w:rsid w:val="6AC94C54"/>
    <w:rsid w:val="6AE928D8"/>
    <w:rsid w:val="6B1627BE"/>
    <w:rsid w:val="6B39651C"/>
    <w:rsid w:val="6B873957"/>
    <w:rsid w:val="6B9E7E1C"/>
    <w:rsid w:val="6BB04907"/>
    <w:rsid w:val="6BD1257B"/>
    <w:rsid w:val="6C542184"/>
    <w:rsid w:val="6C6770B8"/>
    <w:rsid w:val="6C6D7D81"/>
    <w:rsid w:val="6C733CAF"/>
    <w:rsid w:val="6C7541C3"/>
    <w:rsid w:val="6C827E68"/>
    <w:rsid w:val="6C960A64"/>
    <w:rsid w:val="6D1E3C1B"/>
    <w:rsid w:val="6D862B7F"/>
    <w:rsid w:val="6D987801"/>
    <w:rsid w:val="6DA11462"/>
    <w:rsid w:val="6DB8406F"/>
    <w:rsid w:val="6DBA0AEE"/>
    <w:rsid w:val="6DC64E26"/>
    <w:rsid w:val="6DD8201C"/>
    <w:rsid w:val="6DE57609"/>
    <w:rsid w:val="6E041063"/>
    <w:rsid w:val="6E0A56E7"/>
    <w:rsid w:val="6E310E98"/>
    <w:rsid w:val="6E4E22DE"/>
    <w:rsid w:val="6E7837FF"/>
    <w:rsid w:val="6ECA6C5B"/>
    <w:rsid w:val="6ECB1B80"/>
    <w:rsid w:val="6ECF78C3"/>
    <w:rsid w:val="6EE16F2E"/>
    <w:rsid w:val="6F1928EC"/>
    <w:rsid w:val="6F1E5C03"/>
    <w:rsid w:val="6F1E63C8"/>
    <w:rsid w:val="6F343BCA"/>
    <w:rsid w:val="6F434115"/>
    <w:rsid w:val="6F6D491A"/>
    <w:rsid w:val="6F8B5C89"/>
    <w:rsid w:val="6FB77772"/>
    <w:rsid w:val="6FC84312"/>
    <w:rsid w:val="6FF11381"/>
    <w:rsid w:val="70341298"/>
    <w:rsid w:val="70342CA5"/>
    <w:rsid w:val="704A0873"/>
    <w:rsid w:val="706B1305"/>
    <w:rsid w:val="70704B16"/>
    <w:rsid w:val="70B2124A"/>
    <w:rsid w:val="70C40F7D"/>
    <w:rsid w:val="71213920"/>
    <w:rsid w:val="713517AF"/>
    <w:rsid w:val="713A4A15"/>
    <w:rsid w:val="71866D40"/>
    <w:rsid w:val="71B24E8A"/>
    <w:rsid w:val="71DA4DBF"/>
    <w:rsid w:val="71FA304E"/>
    <w:rsid w:val="721E1FA9"/>
    <w:rsid w:val="72255A4C"/>
    <w:rsid w:val="72275320"/>
    <w:rsid w:val="72283682"/>
    <w:rsid w:val="725B146D"/>
    <w:rsid w:val="72664E62"/>
    <w:rsid w:val="72A6043D"/>
    <w:rsid w:val="72AE3C93"/>
    <w:rsid w:val="72BD75DE"/>
    <w:rsid w:val="72CE7E91"/>
    <w:rsid w:val="72EA1860"/>
    <w:rsid w:val="73070304"/>
    <w:rsid w:val="73140B81"/>
    <w:rsid w:val="73277730"/>
    <w:rsid w:val="73463ECB"/>
    <w:rsid w:val="73577E87"/>
    <w:rsid w:val="737605AD"/>
    <w:rsid w:val="737D7818"/>
    <w:rsid w:val="73A40BF2"/>
    <w:rsid w:val="73CD2E5A"/>
    <w:rsid w:val="73D86E13"/>
    <w:rsid w:val="73F97190"/>
    <w:rsid w:val="73FE0302"/>
    <w:rsid w:val="74393A30"/>
    <w:rsid w:val="744B2593"/>
    <w:rsid w:val="748D35F9"/>
    <w:rsid w:val="74AB66DC"/>
    <w:rsid w:val="74DD5492"/>
    <w:rsid w:val="75127B83"/>
    <w:rsid w:val="752D3162"/>
    <w:rsid w:val="75390472"/>
    <w:rsid w:val="7544268D"/>
    <w:rsid w:val="757E36B9"/>
    <w:rsid w:val="7580053B"/>
    <w:rsid w:val="75842A89"/>
    <w:rsid w:val="75EA4FE2"/>
    <w:rsid w:val="75F73CE9"/>
    <w:rsid w:val="7687636A"/>
    <w:rsid w:val="770245AD"/>
    <w:rsid w:val="77377B6B"/>
    <w:rsid w:val="7743046D"/>
    <w:rsid w:val="7755693B"/>
    <w:rsid w:val="77752FD1"/>
    <w:rsid w:val="77AF1B9B"/>
    <w:rsid w:val="77B63D43"/>
    <w:rsid w:val="77B84C6C"/>
    <w:rsid w:val="77C948CA"/>
    <w:rsid w:val="77D27684"/>
    <w:rsid w:val="77DA7B36"/>
    <w:rsid w:val="77DD1133"/>
    <w:rsid w:val="780F0D30"/>
    <w:rsid w:val="783469E8"/>
    <w:rsid w:val="785D369C"/>
    <w:rsid w:val="78707678"/>
    <w:rsid w:val="78B15772"/>
    <w:rsid w:val="78C22246"/>
    <w:rsid w:val="78E5427F"/>
    <w:rsid w:val="79007101"/>
    <w:rsid w:val="79072C51"/>
    <w:rsid w:val="79093AB7"/>
    <w:rsid w:val="79623C4E"/>
    <w:rsid w:val="79830D0E"/>
    <w:rsid w:val="798F2860"/>
    <w:rsid w:val="7A016F17"/>
    <w:rsid w:val="7A1532B1"/>
    <w:rsid w:val="7A264ABA"/>
    <w:rsid w:val="7A293BFF"/>
    <w:rsid w:val="7A664E4F"/>
    <w:rsid w:val="7A80151D"/>
    <w:rsid w:val="7A803B31"/>
    <w:rsid w:val="7AA421C5"/>
    <w:rsid w:val="7AF81F4F"/>
    <w:rsid w:val="7AFB1A3F"/>
    <w:rsid w:val="7B25086A"/>
    <w:rsid w:val="7B5D37BF"/>
    <w:rsid w:val="7B5F6B3F"/>
    <w:rsid w:val="7B64058B"/>
    <w:rsid w:val="7B676F49"/>
    <w:rsid w:val="7B694BFB"/>
    <w:rsid w:val="7B6E35E3"/>
    <w:rsid w:val="7B7E3E42"/>
    <w:rsid w:val="7B7F7F7B"/>
    <w:rsid w:val="7B8E4662"/>
    <w:rsid w:val="7BAC2D3A"/>
    <w:rsid w:val="7BC62CA3"/>
    <w:rsid w:val="7BF24BF0"/>
    <w:rsid w:val="7C23124E"/>
    <w:rsid w:val="7C352D2F"/>
    <w:rsid w:val="7C865339"/>
    <w:rsid w:val="7C8F01D0"/>
    <w:rsid w:val="7C9A0671"/>
    <w:rsid w:val="7C9C4B5C"/>
    <w:rsid w:val="7CB61253"/>
    <w:rsid w:val="7CC432AC"/>
    <w:rsid w:val="7CCE3733"/>
    <w:rsid w:val="7CDF4695"/>
    <w:rsid w:val="7D2A2BE3"/>
    <w:rsid w:val="7D4678B7"/>
    <w:rsid w:val="7D6E1120"/>
    <w:rsid w:val="7D763BC4"/>
    <w:rsid w:val="7D895AD1"/>
    <w:rsid w:val="7D8B27AA"/>
    <w:rsid w:val="7DD30A52"/>
    <w:rsid w:val="7DD93902"/>
    <w:rsid w:val="7DDD367E"/>
    <w:rsid w:val="7E437985"/>
    <w:rsid w:val="7E805998"/>
    <w:rsid w:val="7E832D16"/>
    <w:rsid w:val="7E8B6C36"/>
    <w:rsid w:val="7EBC6F52"/>
    <w:rsid w:val="7ED625A7"/>
    <w:rsid w:val="7EFA751E"/>
    <w:rsid w:val="7EFD1A58"/>
    <w:rsid w:val="7F0D2005"/>
    <w:rsid w:val="7F257FF6"/>
    <w:rsid w:val="7F701507"/>
    <w:rsid w:val="7F7F7AB9"/>
    <w:rsid w:val="7FCA19E0"/>
    <w:rsid w:val="7FD20D58"/>
    <w:rsid w:val="7FFC7A10"/>
    <w:rsid w:val="7FFD306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sdException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unhideWhenUsed="0" w:uiPriority="0"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uiPriority="99" w:name="page number"/>
    <w:lsdException w:uiPriority="99" w:name="endnote reference"/>
    <w:lsdException w:qFormat="1" w:uiPriority="99"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nhideWhenUsed="0" w:uiPriority="0" w:semiHidden="0" w:name="Salutation"/>
    <w:lsdException w:uiPriority="99" w:name="Date"/>
    <w:lsdException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qFormat="1" w:unhideWhenUsed="0" w:uiPriority="0" w:semiHidden="0" w:name="Block Text"/>
    <w:lsdException w:unhideWhenUsed="0" w:uiPriority="0" w:semiHidden="0" w:name="Hyperlink"/>
    <w:lsdException w:uiPriority="99"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line="360" w:lineRule="auto"/>
      <w:ind w:firstLine="200" w:firstLineChars="200"/>
      <w:jc w:val="both"/>
    </w:pPr>
    <w:rPr>
      <w:rFonts w:ascii="Times New Roman" w:hAnsi="Times New Roman" w:eastAsia="宋体" w:cstheme="minorBidi"/>
      <w:sz w:val="24"/>
      <w:szCs w:val="22"/>
      <w:lang w:val="en-US" w:eastAsia="zh-CN" w:bidi="ar-SA"/>
    </w:rPr>
  </w:style>
  <w:style w:type="paragraph" w:styleId="2">
    <w:name w:val="heading 1"/>
    <w:basedOn w:val="1"/>
    <w:next w:val="1"/>
    <w:link w:val="35"/>
    <w:autoRedefine/>
    <w:qFormat/>
    <w:uiPriority w:val="9"/>
    <w:pPr>
      <w:keepNext/>
      <w:keepLines/>
      <w:ind w:firstLine="0" w:firstLineChars="0"/>
      <w:outlineLvl w:val="0"/>
    </w:pPr>
    <w:rPr>
      <w:rFonts w:cstheme="majorBidi"/>
      <w:b/>
      <w:sz w:val="32"/>
      <w:szCs w:val="32"/>
    </w:rPr>
  </w:style>
  <w:style w:type="paragraph" w:styleId="3">
    <w:name w:val="heading 2"/>
    <w:basedOn w:val="1"/>
    <w:next w:val="1"/>
    <w:link w:val="36"/>
    <w:autoRedefine/>
    <w:unhideWhenUsed/>
    <w:qFormat/>
    <w:uiPriority w:val="9"/>
    <w:pPr>
      <w:keepNext/>
      <w:keepLines/>
      <w:spacing w:line="240" w:lineRule="auto"/>
      <w:ind w:firstLine="0" w:firstLineChars="0"/>
      <w:outlineLvl w:val="1"/>
    </w:pPr>
    <w:rPr>
      <w:rFonts w:cstheme="majorBidi"/>
      <w:b/>
      <w:szCs w:val="28"/>
    </w:rPr>
  </w:style>
  <w:style w:type="paragraph" w:styleId="4">
    <w:name w:val="heading 3"/>
    <w:basedOn w:val="1"/>
    <w:next w:val="1"/>
    <w:link w:val="38"/>
    <w:autoRedefine/>
    <w:unhideWhenUsed/>
    <w:qFormat/>
    <w:uiPriority w:val="9"/>
    <w:pPr>
      <w:keepNext/>
      <w:keepLines/>
      <w:spacing w:line="240" w:lineRule="auto"/>
      <w:ind w:firstLine="0" w:firstLineChars="0"/>
      <w:jc w:val="center"/>
      <w:outlineLvl w:val="2"/>
    </w:pPr>
    <w:rPr>
      <w:rFonts w:cstheme="majorBidi"/>
      <w:color w:val="203864" w:themeColor="accent1" w:themeShade="80"/>
      <w:sz w:val="21"/>
      <w:szCs w:val="24"/>
    </w:rPr>
  </w:style>
  <w:style w:type="paragraph" w:styleId="5">
    <w:name w:val="heading 4"/>
    <w:basedOn w:val="1"/>
    <w:next w:val="1"/>
    <w:link w:val="39"/>
    <w:autoRedefine/>
    <w:semiHidden/>
    <w:unhideWhenUsed/>
    <w:qFormat/>
    <w:uiPriority w:val="9"/>
    <w:pPr>
      <w:keepNext/>
      <w:keepLines/>
      <w:spacing w:before="40"/>
      <w:outlineLvl w:val="3"/>
    </w:pPr>
    <w:rPr>
      <w:i/>
      <w:iCs/>
    </w:rPr>
  </w:style>
  <w:style w:type="paragraph" w:styleId="6">
    <w:name w:val="heading 5"/>
    <w:basedOn w:val="1"/>
    <w:next w:val="1"/>
    <w:link w:val="33"/>
    <w:autoRedefine/>
    <w:semiHidden/>
    <w:unhideWhenUsed/>
    <w:qFormat/>
    <w:uiPriority w:val="9"/>
    <w:pPr>
      <w:keepNext/>
      <w:keepLines/>
      <w:spacing w:before="40"/>
      <w:outlineLvl w:val="4"/>
    </w:pPr>
    <w:rPr>
      <w:color w:val="2F5597" w:themeColor="accent1" w:themeShade="BF"/>
    </w:rPr>
  </w:style>
  <w:style w:type="paragraph" w:styleId="7">
    <w:name w:val="heading 6"/>
    <w:basedOn w:val="1"/>
    <w:next w:val="1"/>
    <w:link w:val="40"/>
    <w:autoRedefine/>
    <w:semiHidden/>
    <w:unhideWhenUsed/>
    <w:qFormat/>
    <w:uiPriority w:val="9"/>
    <w:pPr>
      <w:keepNext/>
      <w:keepLines/>
      <w:spacing w:before="40"/>
      <w:outlineLvl w:val="5"/>
    </w:pPr>
    <w:rPr>
      <w:color w:val="203864" w:themeColor="accent1" w:themeShade="80"/>
    </w:rPr>
  </w:style>
  <w:style w:type="paragraph" w:styleId="8">
    <w:name w:val="heading 7"/>
    <w:basedOn w:val="1"/>
    <w:next w:val="1"/>
    <w:link w:val="41"/>
    <w:autoRedefine/>
    <w:semiHidden/>
    <w:unhideWhenUsed/>
    <w:qFormat/>
    <w:uiPriority w:val="9"/>
    <w:pPr>
      <w:keepNext/>
      <w:keepLines/>
      <w:spacing w:before="40"/>
      <w:outlineLvl w:val="6"/>
    </w:pPr>
    <w:rPr>
      <w:rFonts w:asciiTheme="majorHAnsi" w:hAnsiTheme="majorHAnsi" w:eastAsiaTheme="majorEastAsia" w:cstheme="majorBidi"/>
      <w:i/>
      <w:iCs/>
      <w:color w:val="203864" w:themeColor="accent1" w:themeShade="80"/>
    </w:rPr>
  </w:style>
  <w:style w:type="paragraph" w:styleId="9">
    <w:name w:val="heading 8"/>
    <w:basedOn w:val="1"/>
    <w:next w:val="1"/>
    <w:link w:val="42"/>
    <w:autoRedefine/>
    <w:semiHidden/>
    <w:unhideWhenUsed/>
    <w:qFormat/>
    <w:uiPriority w:val="9"/>
    <w:pPr>
      <w:keepNext/>
      <w:keepLines/>
      <w:spacing w:before="40"/>
      <w:outlineLvl w:val="7"/>
    </w:pPr>
    <w:rPr>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43"/>
    <w:autoRedefine/>
    <w:semiHidden/>
    <w:unhideWhenUsed/>
    <w:qFormat/>
    <w:uiPriority w:val="9"/>
    <w:pPr>
      <w:keepNext/>
      <w:keepLines/>
      <w:spacing w:before="4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27">
    <w:name w:val="Default Paragraph Font"/>
    <w:semiHidden/>
    <w:unhideWhenUsed/>
    <w:qFormat/>
    <w:uiPriority w:val="1"/>
  </w:style>
  <w:style w:type="table" w:default="1" w:styleId="25">
    <w:name w:val="Normal Table"/>
    <w:autoRedefine/>
    <w:semiHidden/>
    <w:unhideWhenUsed/>
    <w:qFormat/>
    <w:uiPriority w:val="99"/>
    <w:tblPr>
      <w:tblCellMar>
        <w:top w:w="0" w:type="dxa"/>
        <w:left w:w="108" w:type="dxa"/>
        <w:bottom w:w="0" w:type="dxa"/>
        <w:right w:w="108" w:type="dxa"/>
      </w:tblCellMar>
    </w:tblPr>
  </w:style>
  <w:style w:type="paragraph" w:styleId="11">
    <w:name w:val="Normal Indent"/>
    <w:basedOn w:val="1"/>
    <w:next w:val="12"/>
    <w:qFormat/>
    <w:uiPriority w:val="0"/>
    <w:rPr>
      <w:rFonts w:ascii="Calibri" w:hAnsi="Calibri"/>
      <w:kern w:val="0"/>
      <w:sz w:val="28"/>
      <w:szCs w:val="20"/>
    </w:rPr>
  </w:style>
  <w:style w:type="paragraph" w:styleId="12">
    <w:name w:val="Body Text First Indent 2"/>
    <w:basedOn w:val="13"/>
    <w:next w:val="1"/>
    <w:qFormat/>
    <w:uiPriority w:val="0"/>
    <w:pPr>
      <w:spacing w:after="120" w:afterLines="0" w:line="240" w:lineRule="auto"/>
      <w:ind w:left="420" w:leftChars="200" w:firstLine="420"/>
    </w:pPr>
    <w:rPr>
      <w:rFonts w:ascii="Times New Roman" w:hAnsi="Times New Roman" w:eastAsia="宋体" w:cs="Times New Roman"/>
      <w:color w:val="auto"/>
      <w:sz w:val="21"/>
      <w:szCs w:val="24"/>
    </w:rPr>
  </w:style>
  <w:style w:type="paragraph" w:styleId="13">
    <w:name w:val="Body Text Indent"/>
    <w:basedOn w:val="1"/>
    <w:next w:val="11"/>
    <w:qFormat/>
    <w:uiPriority w:val="0"/>
    <w:pPr>
      <w:spacing w:after="120"/>
      <w:ind w:left="420" w:leftChars="200"/>
    </w:pPr>
    <w:rPr>
      <w:rFonts w:ascii="Times New Roman" w:hAnsi="Times New Roman" w:eastAsia="宋体" w:cs="Times New Roman"/>
      <w:kern w:val="0"/>
      <w:sz w:val="24"/>
      <w:szCs w:val="20"/>
    </w:rPr>
  </w:style>
  <w:style w:type="paragraph" w:styleId="14">
    <w:name w:val="caption"/>
    <w:basedOn w:val="1"/>
    <w:next w:val="1"/>
    <w:qFormat/>
    <w:uiPriority w:val="0"/>
    <w:pPr>
      <w:spacing w:before="50" w:beforeLines="50" w:after="50" w:afterLines="50"/>
      <w:jc w:val="center"/>
    </w:pPr>
    <w:rPr>
      <w:rFonts w:cs="Arial"/>
      <w:szCs w:val="20"/>
    </w:rPr>
  </w:style>
  <w:style w:type="paragraph" w:styleId="15">
    <w:name w:val="annotation text"/>
    <w:basedOn w:val="1"/>
    <w:qFormat/>
    <w:uiPriority w:val="0"/>
    <w:pPr>
      <w:jc w:val="left"/>
    </w:pPr>
  </w:style>
  <w:style w:type="paragraph" w:styleId="16">
    <w:name w:val="Body Text"/>
    <w:basedOn w:val="1"/>
    <w:qFormat/>
    <w:uiPriority w:val="0"/>
    <w:pPr>
      <w:widowControl/>
      <w:snapToGrid w:val="0"/>
      <w:spacing w:before="60" w:after="160" w:line="259" w:lineRule="auto"/>
      <w:ind w:right="113"/>
    </w:pPr>
    <w:rPr>
      <w:kern w:val="0"/>
      <w:sz w:val="18"/>
      <w:szCs w:val="20"/>
    </w:rPr>
  </w:style>
  <w:style w:type="paragraph" w:styleId="17">
    <w:name w:val="Block Text"/>
    <w:basedOn w:val="1"/>
    <w:next w:val="1"/>
    <w:qFormat/>
    <w:uiPriority w:val="0"/>
    <w:pPr>
      <w:spacing w:line="360" w:lineRule="auto"/>
      <w:ind w:firstLine="562" w:firstLineChars="200"/>
      <w:jc w:val="left"/>
    </w:pPr>
    <w:rPr>
      <w:rFonts w:ascii="宋体" w:hAnsi="Times New Roman" w:eastAsia="宋体" w:cs="Times New Roman"/>
      <w:kern w:val="0"/>
      <w:sz w:val="24"/>
      <w:szCs w:val="20"/>
    </w:rPr>
  </w:style>
  <w:style w:type="paragraph" w:styleId="18">
    <w:name w:val="Plain Text"/>
    <w:basedOn w:val="1"/>
    <w:qFormat/>
    <w:uiPriority w:val="0"/>
    <w:pPr>
      <w:widowControl/>
      <w:spacing w:before="100" w:beforeAutospacing="1" w:after="100" w:afterAutospacing="1"/>
      <w:jc w:val="left"/>
    </w:pPr>
    <w:rPr>
      <w:rFonts w:ascii="ˎ̥" w:hAnsi="ˎ̥"/>
      <w:sz w:val="18"/>
      <w:szCs w:val="18"/>
    </w:rPr>
  </w:style>
  <w:style w:type="paragraph" w:styleId="19">
    <w:name w:val="Body Text Indent 2"/>
    <w:basedOn w:val="1"/>
    <w:next w:val="1"/>
    <w:qFormat/>
    <w:uiPriority w:val="0"/>
    <w:pPr>
      <w:keepNext w:val="0"/>
      <w:keepLines w:val="0"/>
      <w:widowControl w:val="0"/>
      <w:suppressLineNumbers w:val="0"/>
      <w:spacing w:after="120" w:afterLines="0" w:afterAutospacing="0" w:line="480" w:lineRule="auto"/>
      <w:ind w:left="420" w:leftChars="200"/>
      <w:jc w:val="both"/>
    </w:pPr>
    <w:rPr>
      <w:rFonts w:hint="default" w:ascii="Times New Roman" w:hAnsi="Times New Roman" w:cs="Times New Roman"/>
      <w:kern w:val="2"/>
      <w:sz w:val="21"/>
      <w:szCs w:val="21"/>
      <w:lang w:val="en-US" w:eastAsia="zh-CN" w:bidi="ar"/>
    </w:rPr>
  </w:style>
  <w:style w:type="paragraph" w:styleId="20">
    <w:name w:val="endnote text"/>
    <w:basedOn w:val="1"/>
    <w:unhideWhenUsed/>
    <w:qFormat/>
    <w:uiPriority w:val="99"/>
    <w:pPr>
      <w:snapToGrid w:val="0"/>
    </w:pPr>
  </w:style>
  <w:style w:type="paragraph" w:styleId="21">
    <w:name w:val="footer"/>
    <w:basedOn w:val="1"/>
    <w:link w:val="34"/>
    <w:autoRedefine/>
    <w:unhideWhenUsed/>
    <w:qFormat/>
    <w:uiPriority w:val="99"/>
    <w:pPr>
      <w:tabs>
        <w:tab w:val="center" w:pos="4153"/>
        <w:tab w:val="right" w:pos="8306"/>
      </w:tabs>
    </w:pPr>
    <w:rPr>
      <w:sz w:val="18"/>
      <w:szCs w:val="18"/>
    </w:rPr>
  </w:style>
  <w:style w:type="paragraph" w:styleId="22">
    <w:name w:val="Subtitle"/>
    <w:basedOn w:val="1"/>
    <w:next w:val="1"/>
    <w:link w:val="45"/>
    <w:autoRedefine/>
    <w:qFormat/>
    <w:uiPriority w:val="11"/>
    <w:rPr>
      <w:color w:val="595959" w:themeColor="text1" w:themeTint="A6"/>
      <w:spacing w:val="15"/>
      <w14:textFill>
        <w14:solidFill>
          <w14:schemeClr w14:val="tx1">
            <w14:lumMod w14:val="65000"/>
            <w14:lumOff w14:val="35000"/>
          </w14:schemeClr>
        </w14:solidFill>
      </w14:textFill>
    </w:rPr>
  </w:style>
  <w:style w:type="paragraph" w:styleId="23">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4">
    <w:name w:val="Title"/>
    <w:basedOn w:val="1"/>
    <w:next w:val="1"/>
    <w:link w:val="44"/>
    <w:autoRedefine/>
    <w:qFormat/>
    <w:uiPriority w:val="10"/>
    <w:pPr>
      <w:spacing w:line="240" w:lineRule="auto"/>
      <w:contextualSpacing/>
    </w:pPr>
    <w:rPr>
      <w:rFonts w:asciiTheme="majorHAnsi" w:hAnsiTheme="majorHAnsi" w:eastAsiaTheme="majorEastAsia" w:cstheme="majorBidi"/>
      <w:spacing w:val="-10"/>
      <w:sz w:val="56"/>
      <w:szCs w:val="56"/>
    </w:rPr>
  </w:style>
  <w:style w:type="table" w:styleId="26">
    <w:name w:val="Table Grid"/>
    <w:basedOn w:val="25"/>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0"/>
    <w:rPr>
      <w:b/>
    </w:rPr>
  </w:style>
  <w:style w:type="character" w:styleId="29">
    <w:name w:val="annotation reference"/>
    <w:semiHidden/>
    <w:qFormat/>
    <w:uiPriority w:val="0"/>
    <w:rPr>
      <w:sz w:val="21"/>
    </w:rPr>
  </w:style>
  <w:style w:type="paragraph" w:customStyle="1" w:styleId="30">
    <w:name w:val="Default"/>
    <w:basedOn w:val="31"/>
    <w:next w:val="1"/>
    <w:autoRedefine/>
    <w:qFormat/>
    <w:uiPriority w:val="0"/>
    <w:pPr>
      <w:widowControl w:val="0"/>
      <w:autoSpaceDE w:val="0"/>
      <w:autoSpaceDN w:val="0"/>
      <w:adjustRightInd w:val="0"/>
    </w:pPr>
    <w:rPr>
      <w:rFonts w:ascii="Times" w:hAnsi="Times" w:eastAsia="宋体" w:cs="Times New Roman"/>
      <w:color w:val="000000"/>
      <w:sz w:val="24"/>
      <w:szCs w:val="24"/>
      <w:lang w:val="en-US" w:eastAsia="zh-CN" w:bidi="ar-SA"/>
    </w:rPr>
  </w:style>
  <w:style w:type="paragraph" w:customStyle="1" w:styleId="31">
    <w:name w:val="文本"/>
    <w:basedOn w:val="1"/>
    <w:next w:val="1"/>
    <w:qFormat/>
    <w:uiPriority w:val="0"/>
    <w:pPr>
      <w:adjustRightInd/>
      <w:snapToGrid/>
      <w:spacing w:line="500" w:lineRule="exact"/>
    </w:pPr>
    <w:rPr>
      <w:rFonts w:cs="Times New Roman"/>
      <w:szCs w:val="24"/>
    </w:rPr>
  </w:style>
  <w:style w:type="paragraph" w:customStyle="1" w:styleId="32">
    <w:name w:val="表格文字"/>
    <w:basedOn w:val="16"/>
    <w:next w:val="16"/>
    <w:qFormat/>
    <w:uiPriority w:val="0"/>
    <w:pPr>
      <w:adjustRightInd w:val="0"/>
      <w:snapToGrid w:val="0"/>
      <w:spacing w:before="0" w:after="0" w:line="240" w:lineRule="atLeast"/>
      <w:ind w:left="-80" w:leftChars="-38" w:right="-84" w:rightChars="-40"/>
    </w:pPr>
    <w:rPr>
      <w:rFonts w:ascii="Times New Roman" w:hAnsi="Times New Roman"/>
      <w:color w:val="FF0000"/>
      <w:sz w:val="21"/>
      <w:szCs w:val="21"/>
    </w:rPr>
  </w:style>
  <w:style w:type="character" w:customStyle="1" w:styleId="33">
    <w:name w:val="标题 5 字符"/>
    <w:basedOn w:val="27"/>
    <w:link w:val="6"/>
    <w:autoRedefine/>
    <w:semiHidden/>
    <w:qFormat/>
    <w:uiPriority w:val="9"/>
    <w:rPr>
      <w:color w:val="2F5597" w:themeColor="accent1" w:themeShade="BF"/>
    </w:rPr>
  </w:style>
  <w:style w:type="character" w:customStyle="1" w:styleId="34">
    <w:name w:val="页脚 字符"/>
    <w:basedOn w:val="27"/>
    <w:link w:val="21"/>
    <w:autoRedefine/>
    <w:qFormat/>
    <w:uiPriority w:val="99"/>
    <w:rPr>
      <w:sz w:val="18"/>
      <w:szCs w:val="18"/>
    </w:rPr>
  </w:style>
  <w:style w:type="character" w:customStyle="1" w:styleId="35">
    <w:name w:val="标题 1 字符"/>
    <w:basedOn w:val="27"/>
    <w:link w:val="2"/>
    <w:autoRedefine/>
    <w:qFormat/>
    <w:uiPriority w:val="9"/>
    <w:rPr>
      <w:rFonts w:ascii="Times New Roman" w:hAnsi="Times New Roman" w:eastAsia="宋体" w:cstheme="majorBidi"/>
      <w:b/>
      <w:sz w:val="32"/>
      <w:szCs w:val="32"/>
    </w:rPr>
  </w:style>
  <w:style w:type="character" w:customStyle="1" w:styleId="36">
    <w:name w:val="标题 2 字符"/>
    <w:basedOn w:val="27"/>
    <w:link w:val="3"/>
    <w:autoRedefine/>
    <w:qFormat/>
    <w:uiPriority w:val="9"/>
    <w:rPr>
      <w:rFonts w:cstheme="majorBidi"/>
      <w:b/>
      <w:sz w:val="24"/>
      <w:szCs w:val="28"/>
    </w:rPr>
  </w:style>
  <w:style w:type="paragraph" w:customStyle="1" w:styleId="37">
    <w:name w:val="表头"/>
    <w:basedOn w:val="1"/>
    <w:link w:val="50"/>
    <w:autoRedefine/>
    <w:qFormat/>
    <w:uiPriority w:val="0"/>
    <w:pPr>
      <w:spacing w:line="240" w:lineRule="auto"/>
      <w:ind w:firstLine="0" w:firstLineChars="0"/>
      <w:jc w:val="center"/>
    </w:pPr>
    <w:rPr>
      <w:b/>
      <w:sz w:val="21"/>
    </w:rPr>
  </w:style>
  <w:style w:type="character" w:customStyle="1" w:styleId="38">
    <w:name w:val="标题 3 字符"/>
    <w:basedOn w:val="27"/>
    <w:link w:val="4"/>
    <w:autoRedefine/>
    <w:qFormat/>
    <w:uiPriority w:val="9"/>
    <w:rPr>
      <w:rFonts w:ascii="Times New Roman" w:hAnsi="Times New Roman" w:eastAsia="宋体" w:cstheme="majorBidi"/>
      <w:color w:val="203864" w:themeColor="accent1" w:themeShade="80"/>
      <w:sz w:val="21"/>
      <w:szCs w:val="24"/>
    </w:rPr>
  </w:style>
  <w:style w:type="character" w:customStyle="1" w:styleId="39">
    <w:name w:val="标题 4 字符"/>
    <w:basedOn w:val="27"/>
    <w:link w:val="5"/>
    <w:autoRedefine/>
    <w:semiHidden/>
    <w:qFormat/>
    <w:uiPriority w:val="9"/>
    <w:rPr>
      <w:i/>
      <w:iCs/>
    </w:rPr>
  </w:style>
  <w:style w:type="character" w:customStyle="1" w:styleId="40">
    <w:name w:val="标题 6 字符"/>
    <w:basedOn w:val="27"/>
    <w:link w:val="7"/>
    <w:autoRedefine/>
    <w:semiHidden/>
    <w:qFormat/>
    <w:uiPriority w:val="9"/>
    <w:rPr>
      <w:color w:val="203864" w:themeColor="accent1" w:themeShade="80"/>
    </w:rPr>
  </w:style>
  <w:style w:type="character" w:customStyle="1" w:styleId="41">
    <w:name w:val="标题 7 字符"/>
    <w:basedOn w:val="27"/>
    <w:link w:val="8"/>
    <w:autoRedefine/>
    <w:semiHidden/>
    <w:qFormat/>
    <w:uiPriority w:val="9"/>
    <w:rPr>
      <w:rFonts w:asciiTheme="majorHAnsi" w:hAnsiTheme="majorHAnsi" w:eastAsiaTheme="majorEastAsia" w:cstheme="majorBidi"/>
      <w:i/>
      <w:iCs/>
      <w:color w:val="203864" w:themeColor="accent1" w:themeShade="80"/>
    </w:rPr>
  </w:style>
  <w:style w:type="character" w:customStyle="1" w:styleId="42">
    <w:name w:val="标题 8 字符"/>
    <w:basedOn w:val="27"/>
    <w:link w:val="9"/>
    <w:autoRedefine/>
    <w:semiHidden/>
    <w:qFormat/>
    <w:uiPriority w:val="9"/>
    <w:rPr>
      <w:color w:val="262626" w:themeColor="text1" w:themeTint="D9"/>
      <w:sz w:val="21"/>
      <w:szCs w:val="21"/>
      <w14:textFill>
        <w14:solidFill>
          <w14:schemeClr w14:val="tx1">
            <w14:lumMod w14:val="85000"/>
            <w14:lumOff w14:val="15000"/>
          </w14:schemeClr>
        </w14:solidFill>
      </w14:textFill>
    </w:rPr>
  </w:style>
  <w:style w:type="character" w:customStyle="1" w:styleId="43">
    <w:name w:val="标题 9 字符"/>
    <w:basedOn w:val="27"/>
    <w:link w:val="10"/>
    <w:autoRedefine/>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44">
    <w:name w:val="标题 字符"/>
    <w:basedOn w:val="27"/>
    <w:link w:val="24"/>
    <w:autoRedefine/>
    <w:qFormat/>
    <w:uiPriority w:val="10"/>
    <w:rPr>
      <w:rFonts w:asciiTheme="majorHAnsi" w:hAnsiTheme="majorHAnsi" w:eastAsiaTheme="majorEastAsia" w:cstheme="majorBidi"/>
      <w:spacing w:val="-10"/>
      <w:sz w:val="56"/>
      <w:szCs w:val="56"/>
    </w:rPr>
  </w:style>
  <w:style w:type="character" w:customStyle="1" w:styleId="45">
    <w:name w:val="副标题 字符"/>
    <w:basedOn w:val="27"/>
    <w:link w:val="22"/>
    <w:autoRedefine/>
    <w:qFormat/>
    <w:uiPriority w:val="11"/>
    <w:rPr>
      <w:color w:val="595959" w:themeColor="text1" w:themeTint="A6"/>
      <w:spacing w:val="15"/>
      <w14:textFill>
        <w14:solidFill>
          <w14:schemeClr w14:val="tx1">
            <w14:lumMod w14:val="65000"/>
            <w14:lumOff w14:val="35000"/>
          </w14:schemeClr>
        </w14:solidFill>
      </w14:textFill>
    </w:rPr>
  </w:style>
  <w:style w:type="table" w:customStyle="1" w:styleId="46">
    <w:name w:val="Table Normal"/>
    <w:autoRedefine/>
    <w:unhideWhenUsed/>
    <w:qFormat/>
    <w:uiPriority w:val="2"/>
    <w:pPr>
      <w:widowControl w:val="0"/>
    </w:pPr>
    <w:rPr>
      <w:lang w:eastAsia="en-US"/>
    </w:rPr>
    <w:tblPr>
      <w:tblCellMar>
        <w:top w:w="0" w:type="dxa"/>
        <w:left w:w="0" w:type="dxa"/>
        <w:bottom w:w="0" w:type="dxa"/>
        <w:right w:w="0" w:type="dxa"/>
      </w:tblCellMar>
    </w:tblPr>
  </w:style>
  <w:style w:type="paragraph" w:customStyle="1" w:styleId="47">
    <w:name w:val="修订1"/>
    <w:autoRedefine/>
    <w:hidden/>
    <w:semiHidden/>
    <w:qFormat/>
    <w:uiPriority w:val="99"/>
    <w:rPr>
      <w:rFonts w:ascii="Times New Roman" w:hAnsi="Times New Roman" w:eastAsia="宋体" w:cstheme="minorBidi"/>
      <w:sz w:val="24"/>
      <w:szCs w:val="22"/>
      <w:lang w:val="en-US" w:eastAsia="zh-CN" w:bidi="ar-SA"/>
    </w:rPr>
  </w:style>
  <w:style w:type="table" w:customStyle="1" w:styleId="48">
    <w:name w:val="网格型1"/>
    <w:basedOn w:val="2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9">
    <w:name w:val="修订2"/>
    <w:autoRedefine/>
    <w:hidden/>
    <w:semiHidden/>
    <w:qFormat/>
    <w:uiPriority w:val="99"/>
    <w:rPr>
      <w:rFonts w:ascii="Times New Roman" w:hAnsi="Times New Roman" w:eastAsia="宋体" w:cstheme="minorBidi"/>
      <w:sz w:val="24"/>
      <w:szCs w:val="22"/>
      <w:lang w:val="en-US" w:eastAsia="zh-CN" w:bidi="ar-SA"/>
    </w:rPr>
  </w:style>
  <w:style w:type="character" w:customStyle="1" w:styleId="50">
    <w:name w:val="表头 Char"/>
    <w:link w:val="37"/>
    <w:autoRedefine/>
    <w:qFormat/>
    <w:uiPriority w:val="0"/>
    <w:rPr>
      <w:rFonts w:ascii="Times New Roman" w:hAnsi="Times New Roman" w:eastAsia="宋体"/>
      <w:b/>
      <w:sz w:val="21"/>
      <w:szCs w:val="22"/>
    </w:rPr>
  </w:style>
  <w:style w:type="paragraph" w:customStyle="1" w:styleId="51">
    <w:name w:val="表格内容"/>
    <w:basedOn w:val="1"/>
    <w:autoRedefine/>
    <w:qFormat/>
    <w:uiPriority w:val="0"/>
    <w:pPr>
      <w:tabs>
        <w:tab w:val="left" w:pos="1435"/>
      </w:tabs>
      <w:spacing w:line="240" w:lineRule="auto"/>
      <w:ind w:firstLine="0" w:firstLineChars="0"/>
      <w:jc w:val="center"/>
    </w:pPr>
    <w:rPr>
      <w:sz w:val="21"/>
    </w:rPr>
  </w:style>
  <w:style w:type="paragraph" w:customStyle="1" w:styleId="52">
    <w:name w:val="表内容"/>
    <w:basedOn w:val="1"/>
    <w:qFormat/>
    <w:uiPriority w:val="0"/>
    <w:pPr>
      <w:spacing w:line="240" w:lineRule="auto"/>
      <w:ind w:firstLine="0" w:firstLineChars="0"/>
      <w:jc w:val="center"/>
    </w:pPr>
    <w:rPr>
      <w:sz w:val="21"/>
    </w:rPr>
  </w:style>
  <w:style w:type="paragraph" w:customStyle="1" w:styleId="53">
    <w:name w:val="表内"/>
    <w:basedOn w:val="1"/>
    <w:qFormat/>
    <w:uiPriority w:val="0"/>
    <w:pPr>
      <w:spacing w:line="240" w:lineRule="auto"/>
      <w:ind w:firstLine="0" w:firstLineChars="0"/>
      <w:jc w:val="center"/>
    </w:pPr>
    <w:rPr>
      <w:kern w:val="44"/>
      <w:sz w:val="21"/>
      <w:szCs w:val="20"/>
    </w:rPr>
  </w:style>
  <w:style w:type="paragraph" w:customStyle="1" w:styleId="54">
    <w:name w:val="正文样式"/>
    <w:basedOn w:val="1"/>
    <w:qFormat/>
    <w:uiPriority w:val="0"/>
    <w:pPr>
      <w:spacing w:line="520" w:lineRule="exact"/>
      <w:ind w:firstLine="562"/>
    </w:pPr>
    <w:rPr>
      <w:rFonts w:cs="宋体"/>
      <w:sz w:val="28"/>
      <w:szCs w:val="28"/>
    </w:rPr>
  </w:style>
  <w:style w:type="paragraph" w:customStyle="1" w:styleId="55">
    <w:name w:val="HP 正文"/>
    <w:basedOn w:val="1"/>
    <w:qFormat/>
    <w:uiPriority w:val="0"/>
    <w:pPr>
      <w:autoSpaceDE w:val="0"/>
      <w:autoSpaceDN w:val="0"/>
      <w:adjustRightInd w:val="0"/>
      <w:spacing w:line="440" w:lineRule="exact"/>
      <w:ind w:firstLine="200" w:firstLineChars="200"/>
    </w:pPr>
    <w:rPr>
      <w:sz w:val="24"/>
    </w:rPr>
  </w:style>
  <w:style w:type="paragraph" w:customStyle="1" w:styleId="56">
    <w:name w:val="新正文"/>
    <w:basedOn w:val="1"/>
    <w:qFormat/>
    <w:uiPriority w:val="0"/>
    <w:pPr>
      <w:topLinePunct/>
      <w:spacing w:line="360" w:lineRule="auto"/>
      <w:ind w:firstLine="200" w:firstLineChars="200"/>
    </w:pPr>
    <w:rPr>
      <w:kern w:val="0"/>
      <w:sz w:val="24"/>
      <w:szCs w:val="20"/>
      <w:lang w:val="zh-CN"/>
    </w:rPr>
  </w:style>
  <w:style w:type="paragraph" w:customStyle="1" w:styleId="57">
    <w:name w:val="样式 正明正文 + (符号) 宋体"/>
    <w:basedOn w:val="58"/>
    <w:qFormat/>
    <w:uiPriority w:val="0"/>
    <w:pPr>
      <w:tabs>
        <w:tab w:val="left" w:pos="360"/>
        <w:tab w:val="left" w:pos="1440"/>
        <w:tab w:val="left" w:pos="2340"/>
        <w:tab w:val="left" w:pos="7200"/>
      </w:tabs>
    </w:pPr>
    <w:rPr>
      <w:szCs w:val="20"/>
    </w:rPr>
  </w:style>
  <w:style w:type="paragraph" w:customStyle="1" w:styleId="58">
    <w:name w:val="正明正文"/>
    <w:basedOn w:val="1"/>
    <w:qFormat/>
    <w:uiPriority w:val="0"/>
    <w:pPr>
      <w:tabs>
        <w:tab w:val="left" w:pos="360"/>
        <w:tab w:val="left" w:pos="1440"/>
        <w:tab w:val="left" w:pos="2340"/>
        <w:tab w:val="left" w:pos="7200"/>
      </w:tabs>
      <w:ind w:firstLine="200"/>
    </w:pPr>
    <w:rPr>
      <w:rFonts w:ascii="宋体"/>
      <w:color w:val="000000"/>
    </w:rPr>
  </w:style>
  <w:style w:type="paragraph" w:customStyle="1" w:styleId="59">
    <w:name w:val="表文字xxxxxxxx"/>
    <w:basedOn w:val="1"/>
    <w:qFormat/>
    <w:uiPriority w:val="0"/>
    <w:pPr>
      <w:topLinePunct/>
      <w:adjustRightInd w:val="0"/>
      <w:spacing w:line="360" w:lineRule="exact"/>
      <w:jc w:val="center"/>
      <w:textAlignment w:val="baseline"/>
    </w:pPr>
    <w:rPr>
      <w:kern w:val="0"/>
      <w:szCs w:val="20"/>
    </w:rPr>
  </w:style>
  <w:style w:type="paragraph" w:customStyle="1" w:styleId="60">
    <w:name w:val="论文正文"/>
    <w:basedOn w:val="1"/>
    <w:qFormat/>
    <w:uiPriority w:val="0"/>
    <w:pPr>
      <w:spacing w:line="440" w:lineRule="exact"/>
      <w:ind w:firstLine="200"/>
    </w:pPr>
    <w:rPr>
      <w:color w:val="000000"/>
      <w:kern w:val="0"/>
    </w:rPr>
  </w:style>
  <w:style w:type="paragraph" w:customStyle="1" w:styleId="61">
    <w:name w:val="Table Text"/>
    <w:basedOn w:val="1"/>
    <w:semiHidden/>
    <w:qFormat/>
    <w:uiPriority w:val="0"/>
    <w:rPr>
      <w:rFonts w:ascii="宋体" w:hAnsi="宋体" w:eastAsia="宋体" w:cs="宋体"/>
      <w:sz w:val="18"/>
      <w:szCs w:val="18"/>
      <w:lang w:val="en-US" w:eastAsia="en-US" w:bidi="ar-SA"/>
    </w:rPr>
  </w:style>
  <w:style w:type="paragraph" w:customStyle="1" w:styleId="62">
    <w:name w:val="hdy"/>
    <w:basedOn w:val="1"/>
    <w:qFormat/>
    <w:uiPriority w:val="0"/>
    <w:pPr>
      <w:adjustRightInd w:val="0"/>
      <w:snapToGrid w:val="0"/>
      <w:ind w:firstLine="200"/>
    </w:pPr>
    <w:rPr>
      <w:rFonts w:ascii="MS Serif" w:hAnsi="MS Serif" w:cs="MS Serif"/>
      <w:bCs/>
      <w:color w:val="0000FF"/>
      <w:lang w:val="zh-CN"/>
    </w:rPr>
  </w:style>
  <w:style w:type="paragraph" w:customStyle="1" w:styleId="63">
    <w:name w:val="xl26"/>
    <w:basedOn w:val="1"/>
    <w:qFormat/>
    <w:uiPriority w:val="0"/>
    <w:pPr>
      <w:widowControl/>
      <w:pBdr>
        <w:bottom w:val="single" w:color="auto" w:sz="4" w:space="0"/>
        <w:right w:val="single" w:color="auto" w:sz="4" w:space="0"/>
      </w:pBdr>
      <w:adjustRightInd/>
      <w:snapToGrid/>
      <w:spacing w:before="100" w:after="100"/>
      <w:ind w:firstLine="720" w:firstLineChars="200"/>
      <w:jc w:val="center"/>
      <w:textAlignment w:val="top"/>
    </w:pPr>
    <w:rPr>
      <w:rFonts w:ascii="宋体" w:hAnsi="宋体"/>
      <w:kern w:val="0"/>
      <w:szCs w:val="20"/>
    </w:rPr>
  </w:style>
  <w:style w:type="character" w:customStyle="1" w:styleId="64">
    <w:name w:val="font11"/>
    <w:basedOn w:val="27"/>
    <w:qFormat/>
    <w:uiPriority w:val="0"/>
    <w:rPr>
      <w:rFonts w:hint="eastAsia" w:ascii="宋体" w:hAnsi="宋体" w:eastAsia="宋体" w:cs="宋体"/>
      <w:color w:val="000000"/>
      <w:sz w:val="21"/>
      <w:szCs w:val="21"/>
      <w:u w:val="none"/>
    </w:rPr>
  </w:style>
  <w:style w:type="character" w:customStyle="1" w:styleId="65">
    <w:name w:val="font21"/>
    <w:basedOn w:val="27"/>
    <w:qFormat/>
    <w:uiPriority w:val="0"/>
    <w:rPr>
      <w:rFonts w:hint="default" w:ascii="Times New Roman" w:hAnsi="Times New Roman" w:cs="Times New Roman"/>
      <w:color w:val="000000"/>
      <w:sz w:val="21"/>
      <w:szCs w:val="21"/>
      <w:u w:val="none"/>
    </w:rPr>
  </w:style>
  <w:style w:type="character" w:customStyle="1" w:styleId="66">
    <w:name w:val="font31"/>
    <w:basedOn w:val="27"/>
    <w:qFormat/>
    <w:uiPriority w:val="0"/>
    <w:rPr>
      <w:rFonts w:hint="default" w:ascii="Times New Roman" w:hAnsi="Times New Roman" w:cs="Times New Roman"/>
      <w:color w:val="000000"/>
      <w:sz w:val="21"/>
      <w:szCs w:val="21"/>
      <w:u w:val="none"/>
      <w:vertAlign w:val="superscript"/>
    </w:rPr>
  </w:style>
  <w:style w:type="character" w:customStyle="1" w:styleId="67">
    <w:name w:val="Body text + Palatino Linotype"/>
    <w:qFormat/>
    <w:uiPriority w:val="0"/>
    <w:rPr>
      <w:rFonts w:ascii="Palatino Linotype" w:hAnsi="Palatino Linotype" w:eastAsia="Palatino Linotype" w:cs="Palatino Linotype"/>
      <w:spacing w:val="0"/>
      <w:sz w:val="22"/>
      <w:szCs w:val="22"/>
    </w:rPr>
  </w:style>
  <w:style w:type="character" w:customStyle="1" w:styleId="68">
    <w:name w:val="font51"/>
    <w:basedOn w:val="27"/>
    <w:qFormat/>
    <w:uiPriority w:val="0"/>
    <w:rPr>
      <w:rFonts w:hint="default" w:ascii="Times New Roman" w:hAnsi="Times New Roman" w:cs="Times New Roman"/>
      <w:color w:val="000000"/>
      <w:sz w:val="20"/>
      <w:szCs w:val="20"/>
      <w:u w:val="none"/>
    </w:rPr>
  </w:style>
  <w:style w:type="character" w:customStyle="1" w:styleId="69">
    <w:name w:val="font81"/>
    <w:basedOn w:val="27"/>
    <w:qFormat/>
    <w:uiPriority w:val="0"/>
    <w:rPr>
      <w:rFonts w:hint="default" w:ascii="Times New Roman" w:hAnsi="Times New Roman" w:cs="Times New Roman"/>
      <w:color w:val="000000"/>
      <w:sz w:val="20"/>
      <w:szCs w:val="20"/>
      <w:u w:val="none"/>
    </w:rPr>
  </w:style>
  <w:style w:type="paragraph" w:customStyle="1" w:styleId="70">
    <w:name w:val="0表格格式"/>
    <w:basedOn w:val="1"/>
    <w:qFormat/>
    <w:uiPriority w:val="0"/>
    <w:pPr>
      <w:jc w:val="center"/>
    </w:pPr>
    <w:rPr>
      <w:rFonts w:ascii="Times New Roman" w:hAnsi="Times New Roman" w:eastAsia="宋体"/>
      <w:kern w:val="0"/>
      <w:sz w:val="20"/>
      <w:szCs w:val="21"/>
    </w:rPr>
  </w:style>
  <w:style w:type="character" w:customStyle="1" w:styleId="71">
    <w:name w:val="font41"/>
    <w:basedOn w:val="27"/>
    <w:qFormat/>
    <w:uiPriority w:val="0"/>
    <w:rPr>
      <w:rFonts w:hint="default" w:ascii="Times New Roman" w:hAnsi="Times New Roman" w:cs="Times New Roman"/>
      <w:color w:val="000000"/>
      <w:sz w:val="21"/>
      <w:szCs w:val="21"/>
      <w:u w:val="none"/>
      <w:vertAlign w:val="subscript"/>
    </w:rPr>
  </w:style>
  <w:style w:type="paragraph" w:customStyle="1" w:styleId="72">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73">
    <w:name w:val="u图标题"/>
    <w:basedOn w:val="1"/>
    <w:next w:val="1"/>
    <w:qFormat/>
    <w:uiPriority w:val="0"/>
    <w:pPr>
      <w:spacing w:after="120"/>
      <w:jc w:val="center"/>
    </w:pPr>
    <w:rPr>
      <w:rFonts w:ascii="Calibri" w:hAnsi="Calibri" w:eastAsia="黑体" w:cs="Times New Roman"/>
      <w:szCs w:val="20"/>
    </w:rPr>
  </w:style>
  <w:style w:type="paragraph" w:customStyle="1" w:styleId="74">
    <w:name w:val="样式3"/>
    <w:basedOn w:val="1"/>
    <w:qFormat/>
    <w:uiPriority w:val="0"/>
    <w:pPr>
      <w:tabs>
        <w:tab w:val="left" w:pos="2160"/>
        <w:tab w:val="left" w:pos="5040"/>
      </w:tabs>
      <w:spacing w:line="500" w:lineRule="exact"/>
      <w:ind w:firstLine="200" w:firstLineChars="200"/>
    </w:pPr>
    <w:rPr>
      <w:rFonts w:ascii="Arial Narrow" w:hAnsi="Arial Narrow" w:eastAsia="宋体" w:cs="Times New Roman"/>
      <w:sz w:val="24"/>
      <w:szCs w:val="24"/>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78.png"/><Relationship Id="rId98" Type="http://schemas.openxmlformats.org/officeDocument/2006/relationships/image" Target="media/image77.png"/><Relationship Id="rId97" Type="http://schemas.openxmlformats.org/officeDocument/2006/relationships/image" Target="media/image76.png"/><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png"/><Relationship Id="rId92" Type="http://schemas.openxmlformats.org/officeDocument/2006/relationships/image" Target="media/image71.png"/><Relationship Id="rId91" Type="http://schemas.openxmlformats.org/officeDocument/2006/relationships/image" Target="media/image70.png"/><Relationship Id="rId90" Type="http://schemas.openxmlformats.org/officeDocument/2006/relationships/image" Target="media/image69.png"/><Relationship Id="rId9" Type="http://schemas.openxmlformats.org/officeDocument/2006/relationships/header" Target="header3.xml"/><Relationship Id="rId89" Type="http://schemas.openxmlformats.org/officeDocument/2006/relationships/image" Target="media/image68.png"/><Relationship Id="rId88" Type="http://schemas.openxmlformats.org/officeDocument/2006/relationships/image" Target="media/image67.png"/><Relationship Id="rId87" Type="http://schemas.openxmlformats.org/officeDocument/2006/relationships/image" Target="media/image66.png"/><Relationship Id="rId86" Type="http://schemas.openxmlformats.org/officeDocument/2006/relationships/image" Target="media/image65.png"/><Relationship Id="rId85" Type="http://schemas.openxmlformats.org/officeDocument/2006/relationships/image" Target="media/image64.png"/><Relationship Id="rId84" Type="http://schemas.openxmlformats.org/officeDocument/2006/relationships/image" Target="media/image63.png"/><Relationship Id="rId83" Type="http://schemas.openxmlformats.org/officeDocument/2006/relationships/image" Target="media/image62.png"/><Relationship Id="rId82" Type="http://schemas.openxmlformats.org/officeDocument/2006/relationships/image" Target="media/image61.png"/><Relationship Id="rId81" Type="http://schemas.openxmlformats.org/officeDocument/2006/relationships/image" Target="media/image60.png"/><Relationship Id="rId80" Type="http://schemas.openxmlformats.org/officeDocument/2006/relationships/image" Target="media/image59.png"/><Relationship Id="rId8" Type="http://schemas.openxmlformats.org/officeDocument/2006/relationships/footer" Target="footer2.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jpeg"/><Relationship Id="rId76" Type="http://schemas.openxmlformats.org/officeDocument/2006/relationships/image" Target="media/image55.jpeg"/><Relationship Id="rId75" Type="http://schemas.openxmlformats.org/officeDocument/2006/relationships/image" Target="media/image54.jpeg"/><Relationship Id="rId74" Type="http://schemas.openxmlformats.org/officeDocument/2006/relationships/image" Target="media/image53.png"/><Relationship Id="rId73" Type="http://schemas.openxmlformats.org/officeDocument/2006/relationships/image" Target="media/image52.emf"/><Relationship Id="rId72" Type="http://schemas.openxmlformats.org/officeDocument/2006/relationships/oleObject" Target="embeddings/oleObject10.bin"/><Relationship Id="rId71" Type="http://schemas.openxmlformats.org/officeDocument/2006/relationships/image" Target="media/image51.emf"/><Relationship Id="rId70" Type="http://schemas.openxmlformats.org/officeDocument/2006/relationships/oleObject" Target="embeddings/oleObject9.bin"/><Relationship Id="rId7" Type="http://schemas.openxmlformats.org/officeDocument/2006/relationships/footer" Target="footer1.xml"/><Relationship Id="rId69" Type="http://schemas.openxmlformats.org/officeDocument/2006/relationships/image" Target="media/image50.png"/><Relationship Id="rId68" Type="http://schemas.openxmlformats.org/officeDocument/2006/relationships/image" Target="media/image49.emf"/><Relationship Id="rId67" Type="http://schemas.openxmlformats.org/officeDocument/2006/relationships/oleObject" Target="embeddings/oleObject8.bin"/><Relationship Id="rId66" Type="http://schemas.openxmlformats.org/officeDocument/2006/relationships/image" Target="media/image48.png"/><Relationship Id="rId65" Type="http://schemas.openxmlformats.org/officeDocument/2006/relationships/image" Target="media/image47.jpe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wmf"/><Relationship Id="rId61" Type="http://schemas.openxmlformats.org/officeDocument/2006/relationships/image" Target="media/image43.wmf"/><Relationship Id="rId60" Type="http://schemas.openxmlformats.org/officeDocument/2006/relationships/image" Target="media/image42.wmf"/><Relationship Id="rId6" Type="http://schemas.openxmlformats.org/officeDocument/2006/relationships/header" Target="header2.xml"/><Relationship Id="rId59" Type="http://schemas.openxmlformats.org/officeDocument/2006/relationships/image" Target="media/image41.wmf"/><Relationship Id="rId58" Type="http://schemas.openxmlformats.org/officeDocument/2006/relationships/image" Target="media/image40.wmf"/><Relationship Id="rId57" Type="http://schemas.openxmlformats.org/officeDocument/2006/relationships/image" Target="media/image39.wmf"/><Relationship Id="rId56" Type="http://schemas.openxmlformats.org/officeDocument/2006/relationships/image" Target="media/image38.wmf"/><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jpeg"/><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emf"/><Relationship Id="rId48" Type="http://schemas.openxmlformats.org/officeDocument/2006/relationships/oleObject" Target="embeddings/oleObject7.bin"/><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emf"/><Relationship Id="rId43" Type="http://schemas.openxmlformats.org/officeDocument/2006/relationships/oleObject" Target="embeddings/oleObject6.bin"/><Relationship Id="rId42" Type="http://schemas.openxmlformats.org/officeDocument/2006/relationships/image" Target="media/image26.emf"/><Relationship Id="rId41" Type="http://schemas.openxmlformats.org/officeDocument/2006/relationships/oleObject" Target="embeddings/oleObject5.bin"/><Relationship Id="rId40" Type="http://schemas.openxmlformats.org/officeDocument/2006/relationships/image" Target="media/image25.jpeg"/><Relationship Id="rId4" Type="http://schemas.openxmlformats.org/officeDocument/2006/relationships/endnotes" Target="endnotes.xml"/><Relationship Id="rId39" Type="http://schemas.openxmlformats.org/officeDocument/2006/relationships/image" Target="media/image24.emf"/><Relationship Id="rId38" Type="http://schemas.openxmlformats.org/officeDocument/2006/relationships/oleObject" Target="embeddings/oleObject4.bin"/><Relationship Id="rId37" Type="http://schemas.openxmlformats.org/officeDocument/2006/relationships/image" Target="media/image23.jpeg"/><Relationship Id="rId36" Type="http://schemas.openxmlformats.org/officeDocument/2006/relationships/image" Target="media/image22.png"/><Relationship Id="rId35" Type="http://schemas.openxmlformats.org/officeDocument/2006/relationships/image" Target="media/image21.jpeg"/><Relationship Id="rId34" Type="http://schemas.openxmlformats.org/officeDocument/2006/relationships/image" Target="media/image20.emf"/><Relationship Id="rId33" Type="http://schemas.openxmlformats.org/officeDocument/2006/relationships/oleObject" Target="embeddings/oleObject3.bin"/><Relationship Id="rId32" Type="http://schemas.openxmlformats.org/officeDocument/2006/relationships/image" Target="media/image19.jpe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emf"/><Relationship Id="rId25" Type="http://schemas.openxmlformats.org/officeDocument/2006/relationships/oleObject" Target="embeddings/oleObject2.bin"/><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emf"/><Relationship Id="rId21" Type="http://schemas.openxmlformats.org/officeDocument/2006/relationships/oleObject" Target="embeddings/oleObject1.bin"/><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jpe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jpeg"/><Relationship Id="rId12" Type="http://schemas.openxmlformats.org/officeDocument/2006/relationships/image" Target="media/image1.jpeg"/><Relationship Id="rId110" Type="http://schemas.openxmlformats.org/officeDocument/2006/relationships/fontTable" Target="fontTable.xml"/><Relationship Id="rId11" Type="http://schemas.openxmlformats.org/officeDocument/2006/relationships/theme" Target="theme/theme1.xml"/><Relationship Id="rId109" Type="http://schemas.openxmlformats.org/officeDocument/2006/relationships/customXml" Target="../customXml/item2.xml"/><Relationship Id="rId108" Type="http://schemas.openxmlformats.org/officeDocument/2006/relationships/numbering" Target="numbering.xml"/><Relationship Id="rId107" Type="http://schemas.openxmlformats.org/officeDocument/2006/relationships/customXml" Target="../customXml/item1.xml"/><Relationship Id="rId106" Type="http://schemas.openxmlformats.org/officeDocument/2006/relationships/image" Target="media/image85.png"/><Relationship Id="rId105" Type="http://schemas.openxmlformats.org/officeDocument/2006/relationships/image" Target="media/image84.png"/><Relationship Id="rId104" Type="http://schemas.openxmlformats.org/officeDocument/2006/relationships/image" Target="media/image83.png"/><Relationship Id="rId103" Type="http://schemas.openxmlformats.org/officeDocument/2006/relationships/image" Target="media/image82.png"/><Relationship Id="rId102" Type="http://schemas.openxmlformats.org/officeDocument/2006/relationships/image" Target="media/image81.png"/><Relationship Id="rId101" Type="http://schemas.openxmlformats.org/officeDocument/2006/relationships/image" Target="media/image80.png"/><Relationship Id="rId100" Type="http://schemas.openxmlformats.org/officeDocument/2006/relationships/image" Target="media/image79.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47"/>
  </customShpExts>
</s:customData>
</file>

<file path=customXml/item2.xml><?xml version="1.0" encoding="utf-8"?>
<contractReview xmlns="http://schemas.wps.cn/vas-ai-hub/contract-review">
  <reviewItems>
    <reviewItem>
      <errorID>532ea18d-470c-4a61-93c8-73cd1a2476b8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6BA14E14</paraID>
      <start>0</start>
      <end>2</end>
      <status>unmodified</status>
      <modifiedWord/>
      <trackRevisions>false</trackRevisions>
    </reviewItem>
    <reviewItem>
      <errorID>175905bc-3ca3-48af-870f-e17ac17cec27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6B427AB6</paraID>
      <start>0</start>
      <end>2</end>
      <status>unmodified</status>
      <modifiedWord/>
      <trackRevisions>false</trackRevisions>
    </reviewItem>
    <reviewItem>
      <errorID>6fb68c8c-cf65-4b83-9398-de02dd602b4c</errorID>
      <errorWord>现场勘察</errorWord>
      <group>L1_Word</group>
      <groupName>字词问题</groupName>
      <ability>L2_Typo</ability>
      <abilityName>字词错误</abilityName>
      <candidateList>
        <item>现场勘查</item>
      </candidateList>
      <explain/>
      <paraID>6B35DCB0</paraID>
      <start>146</start>
      <end>150</end>
      <status>unmodified</status>
      <modifiedWord/>
      <trackRevisions>false</trackRevisions>
    </reviewItem>
    <reviewItem>
      <errorID>e228b1b7-1daf-4326-9d15-31a8d256f3f6</errorID>
      <errorWord>公家</errorWord>
      <group>L1_Word</group>
      <groupName>字词问题</groupName>
      <ability>L2_Typo</ability>
      <abilityName>字词错误</abilityName>
      <candidateList>
        <item>国家</item>
      </candidateList>
      <explain/>
      <paraID>78D1FFAF</paraID>
      <start>124</start>
      <end>126</end>
      <status>modified</status>
      <modifiedWord>国家</modifiedWord>
      <trackRevisions>false</trackRevisions>
    </reviewItem>
    <reviewItem>
      <errorID>4b957eda-6320-478f-99cd-d93f996a1c2f</errorID>
      <errorWord>》</errorWord>
      <group>L1_Punc</group>
      <groupName>标点问题</groupName>
      <ability>L2_Punc</ability>
      <abilityName>标点符号检查</abilityName>
      <candidateList/>
      <explain/>
      <paraID>3965C531</paraID>
      <start>49</start>
      <end>50</end>
      <status>ignored</status>
      <modifiedWord/>
      <trackRevisions>false</trackRevisions>
    </reviewItem>
    <reviewItem>
      <errorID>b33d6e20-1c14-4627-b45f-35d7adbf7c39</errorID>
      <errorWord>，即</errorWord>
      <group>L1_Word</group>
      <groupName>字词问题</groupName>
      <ability>L2_Typo</ability>
      <abilityName>字词错误</abilityName>
      <candidateList>
        <item>，</item>
      </candidateList>
      <explain/>
      <paraID>2544E296</paraID>
      <start>50</start>
      <end>52</end>
      <status>unmodified</status>
      <modifiedWord/>
      <trackRevisions>false</trackRevisions>
    </reviewItem>
    <reviewItem>
      <errorID>8532a970-2a4a-4f7b-a8a0-3af64dd12c47</errorID>
      <errorWord>己有</errorWord>
      <group>L1_Word</group>
      <groupName>字词问题</groupName>
      <ability>L2_Typo</ability>
      <abilityName>字词错误</abilityName>
      <candidateList>
        <item>已有</item>
      </candidateList>
      <explain>存在字形相近字词的误用。</explain>
      <paraID>4E24B5AD</paraID>
      <start>34</start>
      <end>36</end>
      <status>modified</status>
      <modifiedWord>已有</modifiedWord>
      <trackRevisions>false</trackRevisions>
    </reviewItem>
    <reviewItem>
      <errorID>de127c22-810d-4f6c-a28f-0bd02d9d935b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702A495F</paraID>
      <start>0</start>
      <end>2</end>
      <status>unmodified</status>
      <modifiedWord/>
      <trackRevisions>false</trackRevisions>
    </reviewItem>
    <reviewItem>
      <errorID>07de6d34-d226-4dac-9014-d0313c79ec6e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3FF50A5D</paraID>
      <start>0</start>
      <end>2</end>
      <status>unmodified</status>
      <modifiedWord/>
      <trackRevisions>false</trackRevisions>
    </reviewItem>
    <reviewItem>
      <errorID>d278e202-745c-42d2-8129-81d6010e2f3f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6F2FF23F</paraID>
      <start>0</start>
      <end>2</end>
      <status>unmodified</status>
      <modifiedWord/>
      <trackRevisions>false</trackRevisions>
    </reviewItem>
    <reviewItem>
      <errorID>70a5f62e-29e3-454c-b733-3735662f445a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21544DB2</paraID>
      <start>0</start>
      <end>2</end>
      <status>unmodified</status>
      <modifiedWord/>
      <trackRevisions>false</trackRevisions>
    </reviewItem>
    <reviewItem>
      <errorID>6c908807-965f-4d32-8905-54ed3ade6db4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4DF0F20</paraID>
      <start>0</start>
      <end>2</end>
      <status>unmodified</status>
      <modifiedWord/>
      <trackRevisions>false</trackRevisions>
    </reviewItem>
    <reviewItem>
      <errorID>c81080e5-f2fa-46d6-86e3-3991ad6bb5b4</errorID>
      <errorWord>上线</errorWord>
      <group>L1_Word</group>
      <groupName>字词问题</groupName>
      <ability>L2_Typo</ability>
      <abilityName>字词错误</abilityName>
      <candidateList>
        <item>上限</item>
      </candidateList>
      <explain/>
      <paraID>3216E4FB</paraID>
      <start>75</start>
      <end>77</end>
      <status>unmodified</status>
      <modifiedWord/>
      <trackRevisions>false</trackRevisions>
    </reviewItem>
    <reviewItem>
      <errorID>c41bb45f-232c-463e-81f3-321dc6c2ca3e</errorID>
      <errorWord>砂金</errorWord>
      <group>L1_Word</group>
      <groupName>字词问题</groupName>
      <ability>L2_Typo</ability>
      <abilityName>字词错误</abilityName>
      <candidateList>
        <item>沙金</item>
      </candidateList>
      <explain/>
      <paraID>11E34499</paraID>
      <start>20</start>
      <end>22</end>
      <status>unmodified</status>
      <modifiedWord/>
      <trackRevisions>false</trackRevisions>
    </reviewItem>
    <reviewItem>
      <errorID>57bf4448-43fa-4d63-ba12-ee20dd073670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D4761B</paraID>
      <start>0</start>
      <end>2</end>
      <status>unmodified</status>
      <modifiedWord/>
      <trackRevisions>false</trackRevisions>
    </reviewItem>
    <reviewItem>
      <errorID>f37362ca-c6df-44cf-b893-11e4c4cf3cf8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D4761B</paraID>
      <start>35</start>
      <end>36</end>
      <status>unmodified</status>
      <modifiedWord/>
      <trackRevisions>false</trackRevisions>
    </reviewItem>
    <reviewItem>
      <errorID>f507f9ac-3452-4fbd-9625-6a0ce25cfa4d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78428864</paraID>
      <start>0</start>
      <end>2</end>
      <status>unmodified</status>
      <modifiedWord/>
      <trackRevisions>false</trackRevisions>
    </reviewItem>
    <reviewItem>
      <errorID>a7b243f6-1496-4014-8dc3-1206bd1e51bb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6F1B5C1B</paraID>
      <start>0</start>
      <end>2</end>
      <status>unmodified</status>
      <modifiedWord/>
      <trackRevisions>false</trackRevisions>
    </reviewItem>
    <reviewItem>
      <errorID>89e3a1cf-93de-41f2-b593-bfe2a5feff97</errorID>
      <errorWord>采用采用</errorWord>
      <group>L1_Word</group>
      <groupName>字词问题</groupName>
      <ability>L2_Typo</ability>
      <abilityName>字词错误</abilityName>
      <candidateList>
        <item>采用</item>
      </candidateList>
      <explain>〈动〉认为合适而使用：～新工艺｜～举手表决方式｜那篇稿子已被编辑部～。</explain>
      <paraID>6F1B5C1B</paraID>
      <start>7</start>
      <end>9</end>
      <status>modified</status>
      <modifiedWord>采用</modifiedWord>
      <trackRevisions>false</trackRevisions>
    </reviewItem>
    <reviewItem>
      <errorID>27d14128-1a24-48c3-a21f-d8093efbf466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5B404288</paraID>
      <start>0</start>
      <end>2</end>
      <status>unmodified</status>
      <modifiedWord/>
      <trackRevisions>false</trackRevisions>
    </reviewItem>
    <reviewItem>
      <errorID>367654c9-9e54-4ce0-a04a-6c5f2795f1ee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468C05DC</paraID>
      <start>0</start>
      <end>2</end>
      <status>unmodified</status>
      <modifiedWord/>
      <trackRevisions>false</trackRevisions>
    </reviewItem>
    <reviewItem>
      <errorID>6a18e564-1d41-44a0-b90f-1bbd8a02a10a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139FB92</paraID>
      <start>0</start>
      <end>2</end>
      <status>unmodified</status>
      <modifiedWord/>
      <trackRevisions>false</trackRevisions>
    </reviewItem>
    <reviewItem>
      <errorID>36d3f237-8507-4c96-b2ff-3390fa23e6b0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58405B27</paraID>
      <start>0</start>
      <end>2</end>
      <status>unmodified</status>
      <modifiedWord/>
      <trackRevisions>false</trackRevisions>
    </reviewItem>
    <reviewItem>
      <errorID>103b8f27-7bbb-4772-afc9-00816d07b633</errorID>
      <errorWord>本项目本项目</errorWord>
      <group>L1_Word</group>
      <groupName>字词问题</groupName>
      <ability>L2_Typo</ability>
      <abilityName>字词错误</abilityName>
      <candidateList>
        <item>本项目</item>
      </candidateList>
      <explain/>
      <paraID>58405B27</paraID>
      <start>2</start>
      <end>5</end>
      <status>modified</status>
      <modifiedWord>本项目</modifiedWord>
      <trackRevisions>false</trackRevisions>
    </reviewItem>
    <reviewItem>
      <errorID>291a16bc-4cbe-4730-8780-7f1a4305f683</errorID>
      <errorWord>改</errorWord>
      <group>L1_Word</group>
      <groupName>字词问题</groupName>
      <ability>L2_Typo</ability>
      <abilityName>字词错误</abilityName>
      <candidateList>
        <item>改造</item>
      </candidateList>
      <explain/>
      <paraID>179A5C63</paraID>
      <start>40</start>
      <end>42</end>
      <status>modified</status>
      <modifiedWord>改造</modifiedWord>
      <trackRevisions>false</trackRevisions>
    </reviewItem>
    <reviewItem>
      <errorID>1c1d3de5-1eaa-46d0-9373-0313b37e1ddb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5DB5BE9F</paraID>
      <start>0</start>
      <end>2</end>
      <status>unmodified</status>
      <modifiedWord/>
      <trackRevisions>false</trackRevisions>
    </reviewItem>
    <reviewItem>
      <errorID>9eb6d3eb-9410-4ae1-bc95-2d38f854ee83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3F084501</paraID>
      <start>0</start>
      <end>2</end>
      <status>unmodified</status>
      <modifiedWord/>
      <trackRevisions>false</trackRevisions>
    </reviewItem>
    <reviewItem>
      <errorID>289f4411-15be-4947-abaa-27828f12652d</errorID>
      <errorWord>《内蒙古自治区人民政府关于印发自治区国家重点生态功能区产业准入负面清单》（试行）</errorWord>
      <group>L1_Knowledge</group>
      <groupName>知识性问题</groupName>
      <ability>L2_Knowledge</ability>
      <abilityName>其他知识</abilityName>
      <candidateList>
        <item>《内蒙古自治区人民政府关于印发自治区国家重点生态功能区产业准入负面清单（试行）》</item>
      </candidateList>
      <explain>疑似政策文件、法律法规名称等书写不规范，请注意检查。</explain>
      <paraID>661A9F0B</paraID>
      <start>24</start>
      <end>64</end>
      <status>unmodified</status>
      <modifiedWord/>
      <trackRevisions>false</trackRevisions>
    </reviewItem>
    <reviewItem>
      <errorID>af28804a-2877-4052-8a01-993f8ac58e86</errorID>
      <errorWord>[2018]11号</errorWord>
      <group>L1_Knowledge</group>
      <groupName>知识性问题</groupName>
      <ability>L2_Knowledge</ability>
      <abilityName>其他知识</abilityName>
      <candidateList>
        <item>〔2018〕11号</item>
      </candidateList>
      <explain>发文字号格式错误。</explain>
      <paraID>661A9F0B</paraID>
      <start>74</start>
      <end>83</end>
      <status>modified</status>
      <modifiedWord>〔2018〕11号</modifiedWord>
      <trackRevisions>false</trackRevisions>
    </reviewItem>
    <reviewItem>
      <errorID>15303fe4-931e-419a-b491-2eb9adb7fffd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2F0D0149</paraID>
      <start>0</start>
      <end>2</end>
      <status>unmodified</status>
      <modifiedWord/>
      <trackRevisions>false</trackRevisions>
    </reviewItem>
    <reviewItem>
      <errorID>3321c580-7ae7-4f39-ba84-47a508e312f7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52DE1FEA</paraID>
      <start>0</start>
      <end>2</end>
      <status>unmodified</status>
      <modifiedWord/>
      <trackRevisions>false</trackRevisions>
    </reviewItem>
    <reviewItem>
      <errorID>19843513-f538-4fe9-946e-e79497f79e78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3B837385</paraID>
      <start>0</start>
      <end>2</end>
      <status>unmodified</status>
      <modifiedWord/>
      <trackRevisions>false</trackRevisions>
    </reviewItem>
    <reviewItem>
      <errorID>b866f60d-ae7d-41e1-a5ba-276841219f68</errorID>
      <errorWord>鄂尔多斯市大气污染防治条例</errorWord>
      <group>L1_Knowledge</group>
      <groupName>知识性问题</groupName>
      <ability>L2_Knowledge</ability>
      <abilityName>其他知识</abilityName>
      <candidateList>
        <item>《鄂尔多斯市大气污染防治条例》</item>
      </candidateList>
      <explain>完整法律法规名称需要加书名号，请注意检查。</explain>
      <paraID>34CC2D4F</paraID>
      <start>0</start>
      <end>13</end>
      <status>unmodified</status>
      <modifiedWord/>
      <trackRevisions>false</trackRevisions>
    </reviewItem>
    <reviewItem>
      <errorID>f650c1d9-e3f5-40d3-be64-d7059420c3f9</errorID>
      <errorWord>，</errorWord>
      <group>L1_Word</group>
      <groupName>字词问题</groupName>
      <ability>L2_Typo</ability>
      <abilityName>字词错误</abilityName>
      <candidateList>
        <item>，有</item>
      </candidateList>
      <explain/>
      <paraID>3201CD0F</paraID>
      <start>28</start>
      <end>30</end>
      <status>modified</status>
      <modifiedWord>，有</modifiedWord>
      <trackRevisions>false</trackRevisions>
    </reviewItem>
    <reviewItem>
      <errorID>3a2520c9-5cda-4fb6-bff1-c81c31055548</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2D147691</paraID>
      <start>0</start>
      <end>2</end>
      <status>unmodified</status>
      <modifiedWord/>
      <trackRevisions>false</trackRevisions>
    </reviewItem>
    <reviewItem>
      <errorID>ba435ecc-b39e-48ce-994a-33e6744f3e49</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50942044</paraID>
      <start>0</start>
      <end>2</end>
      <status>unmodified</status>
      <modifiedWord/>
      <trackRevisions>false</trackRevisions>
    </reviewItem>
    <reviewItem>
      <errorID>1a9f8116-7014-481b-9802-c71b184cbc48</errorID>
      <errorWord>鄂尔多斯市绿色矿山建设管理条例</errorWord>
      <group>L1_Knowledge</group>
      <groupName>知识性问题</groupName>
      <ability>L2_Knowledge</ability>
      <abilityName>其他知识</abilityName>
      <candidateList>
        <item>《鄂尔多斯市绿色矿山建设管理条例》</item>
      </candidateList>
      <explain>完整法律法规名称需要加书名号，请注意检查。</explain>
      <paraID>27A4F3C8</paraID>
      <start>0</start>
      <end>15</end>
      <status>unmodified</status>
      <modifiedWord/>
      <trackRevisions>false</trackRevisions>
    </reviewItem>
    <reviewItem>
      <errorID>c0f07fe0-b68c-49c3-b3da-3edcd3af65d2</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54D83160</paraID>
      <start>0</start>
      <end>2</end>
      <status>unmodified</status>
      <modifiedWord/>
      <trackRevisions>false</trackRevisions>
    </reviewItem>
    <reviewItem>
      <errorID>05e8f975-847d-4e9d-aa0e-4df595bdf509</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707C6A42</paraID>
      <start>0</start>
      <end>3</end>
      <status>unmodified</status>
      <modifiedWord/>
      <trackRevisions>false</trackRevisions>
    </reviewItem>
    <reviewItem>
      <errorID>e8d1bf1c-80c1-4baf-aa68-e25aceeac972</errorID>
      <errorWord>设</errorWord>
      <group>L1_Word</group>
      <groupName>字词问题</groupName>
      <ability>L2_Typo</ability>
      <abilityName>字词错误</abilityName>
      <candidateList>
        <item>设置</item>
      </candidateList>
      <explain>〈动〉❶设立：这座剧院是为儿童～的。❷安放；安装：～障碍。</explain>
      <paraID>418720B7</paraID>
      <start>313</start>
      <end>315</end>
      <status>modified</status>
      <modifiedWord>设置</modifiedWord>
      <trackRevisions>false</trackRevisions>
    </reviewItem>
    <reviewItem>
      <errorID>4a776b20-5e7d-4b51-bf6f-fab47977a7ec</errorID>
      <errorWord>最大优点是井上下</errorWord>
      <group>L1_Word</group>
      <groupName>字词问题</groupName>
      <ability>L2_Typo</ability>
      <abilityName>字词错误</abilityName>
      <candidateList>
        <item>最大优点是井</item>
      </candidateList>
      <explain/>
      <paraID>418720B7</paraID>
      <start>533</start>
      <end>541</end>
      <status>unmodified</status>
      <modifiedWord/>
      <trackRevisions>false</trackRevisions>
    </reviewItem>
    <reviewItem>
      <errorID>b0cfc919-6fb5-437e-8837-a7632be47f5f</errorID>
      <errorWord>其它</errorWord>
      <group>L1_Word</group>
      <groupName>字词问题</groupName>
      <ability>L2_Alias</ability>
      <abilityName>也作/曾用词</abilityName>
      <candidateList>
        <item>其他</item>
      </candidateList>
      <explain>词汇[其它]为不规范表述或旧称，其规范书面表述为[其他]。</explain>
      <paraID>418720B7</paraID>
      <start>578</start>
      <end>580</end>
      <status>modified</status>
      <modifiedWord>其他</modifiedWord>
      <trackRevisions>false</trackRevisions>
    </reviewItem>
    <reviewItem>
      <errorID>af638686-de22-48b8-84c0-0dda0a8e90a0</errorID>
      <errorWord>矿并</errorWord>
      <group>L1_Word</group>
      <groupName>字词问题</groupName>
      <ability>L2_Typo</ability>
      <abilityName>字词错误</abilityName>
      <candidateList>
        <item>矿井</item>
      </candidateList>
      <explain>存在字形相近字词的误用。</explain>
      <paraID>418720B7</paraID>
      <start>850</start>
      <end>852</end>
      <status>modified</status>
      <modifiedWord>矿井</modifiedWord>
      <trackRevisions>false</trackRevisions>
    </reviewItem>
    <reviewItem>
      <errorID>3e9ecd7d-263d-4124-b945-702c9b710793</errorID>
      <errorWord>地层条件</errorWord>
      <group>L1_Knowledge</group>
      <groupName>知识性问题</groupName>
      <ability>L2_Term</ability>
      <abilityName>专业术语</abilityName>
      <candidateList>
        <item>地质条件</item>
      </candidateList>
      <explain/>
      <paraID>418720B7</paraID>
      <start>857</start>
      <end>861</end>
      <status>unmodified</status>
      <modifiedWord/>
      <trackRevisions>false</trackRevisions>
    </reviewItem>
    <reviewItem>
      <errorID>788aa596-d376-48ce-b36d-bc9ce36defe7</errorID>
      <errorWord>矿并</errorWord>
      <group>L1_Word</group>
      <groupName>字词问题</groupName>
      <ability>L2_Typo</ability>
      <abilityName>字词错误</abilityName>
      <candidateList>
        <item>矿井</item>
      </candidateList>
      <explain/>
      <paraID>418720B7</paraID>
      <start>875</start>
      <end>877</end>
      <status>modified</status>
      <modifiedWord>矿井</modifiedWord>
      <trackRevisions>false</trackRevisions>
    </reviewItem>
    <reviewItem>
      <errorID>74ba218a-43c9-48b1-a110-04f42d540eac</errorID>
      <errorWord>不在</errorWord>
      <group>L1_Word</group>
      <groupName>字词问题</groupName>
      <ability>L2_Typo</ability>
      <abilityName>字词错误</abilityName>
      <candidateList>
        <item>不再</item>
      </candidateList>
      <explain>存在发音相同字词的误用。</explain>
      <paraID>12F2E4DB</paraID>
      <start>71</start>
      <end>73</end>
      <status>modified</status>
      <modifiedWord>不再</modifiedWord>
      <trackRevisions>false</trackRevisions>
    </reviewItem>
    <reviewItem>
      <errorID>6e8c93e7-525e-4259-99f9-b4ab8ff8f6a6</errorID>
      <errorWord>~</errorWord>
      <group>L1_Format</group>
      <groupName>格式问题</groupName>
      <ability>L2_HalfPunc</ability>
      <abilityName>全半角检查</abilityName>
      <candidateList>
        <item>～</item>
      </candidateList>
      <explain>文本全半角错误。</explain>
      <paraID>2879E285</paraID>
      <start>27</start>
      <end>28</end>
      <status>unmodified</status>
      <modifiedWord/>
      <trackRevisions>false</trackRevisions>
    </reviewItem>
    <reviewItem>
      <errorID>53c0f508-8cbe-4069-bf2e-d53ffbeedd5b</errorID>
      <errorWord>采用采用</errorWord>
      <group>L1_Word</group>
      <groupName>字词问题</groupName>
      <ability>L2_Typo</ability>
      <abilityName>字词错误</abilityName>
      <candidateList>
        <item>采用</item>
      </candidateList>
      <explain>〈动〉认为合适而使用：～新工艺｜～举手表决方式｜那篇稿子已被编辑部～。</explain>
      <paraID>1F2F2566</paraID>
      <start>4</start>
      <end>6</end>
      <status>modified</status>
      <modifiedWord>采用</modifiedWord>
      <trackRevisions>false</trackRevisions>
    </reviewItem>
    <reviewItem>
      <errorID>ecca6f50-560e-4f1e-8168-8e4f8ef4e0a9</errorID>
      <errorWord>试压试压</errorWord>
      <group>L1_Word</group>
      <groupName>字词问题</groupName>
      <ability>L2_Typo</ability>
      <abilityName>字词错误</abilityName>
      <candidateList>
        <item>试压</item>
      </candidateList>
      <explain/>
      <paraID>5618F760</paraID>
      <start>20</start>
      <end>22</end>
      <status>modified</status>
      <modifiedWord>试压</modifiedWord>
      <trackRevisions>false</trackRevisions>
    </reviewItem>
    <reviewItem>
      <errorID>1a62c17f-d51d-4544-a0a9-cd23cd3af836</errorID>
      <errorWord>)</errorWord>
      <group>L1_Format</group>
      <groupName>格式问题</groupName>
      <ability>L2_HalfPunc</ability>
      <abilityName>全半角检查</abilityName>
      <candidateList>
        <item>）</item>
      </candidateList>
      <explain>文本全半角错误。</explain>
      <paraID>19615BA6</paraID>
      <start>71</start>
      <end>72</end>
      <status>unmodified</status>
      <modifiedWord/>
      <trackRevisions>false</trackRevisions>
    </reviewItem>
    <reviewItem>
      <errorID>8b9cb7db-6eb6-4012-bac1-efe49b57ad58</errorID>
      <errorWord>切屑</errorWord>
      <group>L1_Word</group>
      <groupName>字词问题</groupName>
      <ability>L2_Typo</ability>
      <abilityName>字词错误</abilityName>
      <candidateList>
        <item>切碎</item>
      </candidateList>
      <explain/>
      <paraID>22CDE16B</paraID>
      <start>12</start>
      <end>14</end>
      <status>unmodified</status>
      <modifiedWord/>
      <trackRevisions>false</trackRevisions>
    </reviewItem>
    <reviewItem>
      <errorID>2f4a8638-194b-4b4a-9e4e-94428abd3051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207E92B2</paraID>
      <start>45</start>
      <end>46</end>
      <status>unmodified</status>
      <modifiedWord/>
      <trackRevisions>false</trackRevisions>
    </reviewItem>
    <reviewItem>
      <errorID>32cd5ccd-6f1e-40b2-bfa1-2640c5d490d0</errorID>
      <errorWord>“</errorWord>
      <group>L1_Punc</group>
      <groupName>标点问题</groupName>
      <ability>L2_Punc</ability>
      <abilityName>标点符号检查</abilityName>
      <candidateList/>
      <explain/>
      <paraID>68EAE916</paraID>
      <start>40</start>
      <end>41</end>
      <status>unmodified</status>
      <modifiedWord/>
      <trackRevisions>false</trackRevisions>
    </reviewItem>
    <reviewItem>
      <errorID>4a8cb1a6-92fd-4518-add7-0dea8e64ab4c</errorID>
      <errorWord>"</errorWord>
      <group>L1_Format</group>
      <groupName>格式问题</groupName>
      <ability>L2_HalfPunc</ability>
      <abilityName>全半角检查</abilityName>
      <candidateList>
        <item>”</item>
      </candidateList>
      <explain>文本全半角错误。</explain>
      <paraID>68EAE916</paraID>
      <start>50</start>
      <end>51</end>
      <status>unmodified</status>
      <modifiedWord/>
      <trackRevisions>false</trackRevisions>
    </reviewItem>
    <reviewItem>
      <errorID>3bc16fd3-082a-4815-8e4e-545e0d505a76</errorID>
      <errorWord>)</errorWord>
      <group>L1_Format</group>
      <groupName>格式问题</groupName>
      <ability>L2_HalfPunc</ability>
      <abilityName>全半角检查</abilityName>
      <candidateList>
        <item>）</item>
      </candidateList>
      <explain>文本全半角错误。</explain>
      <paraID>68EAE916</paraID>
      <start>138</start>
      <end>139</end>
      <status>unmodified</status>
      <modifiedWord/>
      <trackRevisions>false</trackRevisions>
    </reviewItem>
    <reviewItem>
      <errorID>3a1dbb44-dd34-43a3-8424-a6f24c1ef108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347E05E1</paraID>
      <start>0</start>
      <end>2</end>
      <status>unmodified</status>
      <modifiedWord/>
      <trackRevisions>false</trackRevisions>
    </reviewItem>
    <reviewItem>
      <errorID>a3ad7ef0-b878-4140-be07-421f9f83e7ab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16880E3E</paraID>
      <start>0</start>
      <end>2</end>
      <status>unmodified</status>
      <modifiedWord/>
      <trackRevisions>false</trackRevisions>
    </reviewItem>
    <reviewItem>
      <errorID>71d937c3-7418-4a0b-bd21-0a77fd3d5bd8</errorID>
      <errorWord>采见</errorWord>
      <group>L1_Word</group>
      <groupName>字词问题</groupName>
      <ability>L2_Typo</ability>
      <abilityName>字词错误</abilityName>
      <candidateList>
        <item>采</item>
      </candidateList>
      <explain/>
      <paraID>10A8ADC8</paraID>
      <start>212</start>
      <end>214</end>
      <status>unmodified</status>
      <modifiedWord/>
      <trackRevisions>false</trackRevisions>
    </reviewItem>
    <reviewItem>
      <errorID>5fccebb4-f204-4200-b6b3-802e296aa3b0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7725170B</paraID>
      <start>0</start>
      <end>2</end>
      <status>unmodified</status>
      <modifiedWord/>
      <trackRevisions>false</trackRevisions>
    </reviewItem>
    <reviewItem>
      <errorID>52943f66-83d7-483c-848f-dd09c21721c5</errorID>
      <errorWord>体碎胀</errorWord>
      <group>L1_Word</group>
      <groupName>字词问题</groupName>
      <ability>L2_Typo</ability>
      <abilityName>字词错误</abilityName>
      <candidateList>
        <item>体膨胀</item>
      </candidateList>
      <explain/>
      <paraID>6D64A814</paraID>
      <start>205</start>
      <end>208</end>
      <status>unmodified</status>
      <modifiedWord/>
      <trackRevisions>false</trackRevisions>
    </reviewItem>
    <reviewItem>
      <errorID>487181e2-895a-4a76-9302-4784f6ce3d3f</errorID>
      <errorWord>~</errorWord>
      <group>L1_Format</group>
      <groupName>格式问题</groupName>
      <ability>L2_HalfPunc</ability>
      <abilityName>全半角检查</abilityName>
      <candidateList>
        <item>～</item>
      </candidateList>
      <explain>文本全半角错误。</explain>
      <paraID> 53AEFFF</paraID>
      <start>106</start>
      <end>107</end>
      <status>unmodified</status>
      <modifiedWord/>
      <trackRevisions>false</trackRevisions>
    </reviewItem>
    <reviewItem>
      <errorID>caa010bd-8976-4c69-80ce-9d5a06b10b35</errorID>
      <errorWord>21、</errorWord>
      <group>L1_Format</group>
      <groupName>格式问题</groupName>
      <ability>L2_Ordinal</ability>
      <abilityName>序号格式</abilityName>
      <candidateList>
        <item>21.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50CDD1D5</paraID>
      <start>0</start>
      <end>3</end>
      <status>unmodified</status>
      <modifiedWord/>
      <trackRevisions>false</trackRevisions>
    </reviewItem>
    <reviewItem>
      <errorID>4b241ede-e1e0-4c11-9e1d-06ae8c25d53e</errorID>
      <errorWord>~</errorWord>
      <group>L1_Format</group>
      <groupName>格式问题</groupName>
      <ability>L2_HalfPunc</ability>
      <abilityName>全半角检查</abilityName>
      <candidateList>
        <item>～</item>
      </candidateList>
      <explain>文本全半角错误。</explain>
      <paraID>547C767D</paraID>
      <start>32</start>
      <end>33</end>
      <status>unmodified</status>
      <modifiedWord/>
      <trackRevisions>false</trackRevisions>
    </reviewItem>
    <reviewItem>
      <errorID>c491832e-f4e8-4ee7-bcf1-78cb09837acf</errorID>
      <errorWord>~</errorWord>
      <group>L1_Format</group>
      <groupName>格式问题</groupName>
      <ability>L2_HalfPunc</ability>
      <abilityName>全半角检查</abilityName>
      <candidateList>
        <item>～</item>
      </candidateList>
      <explain>文本全半角错误。</explain>
      <paraID>547C767D</paraID>
      <start>125</start>
      <end>126</end>
      <status>unmodified</status>
      <modifiedWord/>
      <trackRevisions>false</trackRevisions>
    </reviewItem>
    <reviewItem>
      <errorID>19ee7cda-8f64-4547-b910-20b846b7b00a</errorID>
      <errorWord>实验校核</errorWord>
      <group>L1_Word</group>
      <groupName>字词问题</groupName>
      <ability>L2_Typo</ability>
      <abilityName>字词错误</abilityName>
      <candidateList>
        <item>试验校核</item>
      </candidateList>
      <explain/>
      <paraID>3F36F3B6</paraID>
      <start>161</start>
      <end>165</end>
      <status>unmodified</status>
      <modifiedWord/>
      <trackRevisions>false</trackRevisions>
    </reviewItem>
    <reviewItem>
      <errorID>e7c8b272-daf8-4bb4-b1ad-b0f1c7ecd088</errorID>
      <errorWord>~</errorWord>
      <group>L1_Format</group>
      <groupName>格式问题</groupName>
      <ability>L2_HalfPunc</ability>
      <abilityName>全半角检查</abilityName>
      <candidateList>
        <item>～</item>
      </candidateList>
      <explain>文本全半角错误。</explain>
      <paraID>6B693851</paraID>
      <start>21</start>
      <end>22</end>
      <status>unmodified</status>
      <modifiedWord/>
      <trackRevisions>false</trackRevisions>
    </reviewItem>
    <reviewItem>
      <errorID>55d73a9e-f32e-48b7-ba1c-992414ac9d8b</errorID>
      <errorWord>，</errorWord>
      <group>L1_Format</group>
      <groupName>格式问题</groupName>
      <ability>L2_HalfPunc</ability>
      <abilityName>全半角检查</abilityName>
      <candidateList>
        <item>, </item>
      </candidateList>
      <explain>文本全半角错误。</explain>
      <paraID>1213F81C</paraID>
      <start>7</start>
      <end>8</end>
      <status>unmodified</status>
      <modifiedWord/>
      <trackRevisions>false</trackRevisions>
    </reviewItem>
    <reviewItem>
      <errorID>78a2878f-e62f-4c61-bbf0-3da658f9e5ff</errorID>
      <errorWord>，</errorWord>
      <group>L1_Format</group>
      <groupName>格式问题</groupName>
      <ability>L2_HalfPunc</ability>
      <abilityName>全半角检查</abilityName>
      <candidateList>
        <item>, </item>
      </candidateList>
      <explain>文本全半角错误。</explain>
      <paraID>54A6545F</paraID>
      <start>7</start>
      <end>8</end>
      <status>unmodified</status>
      <modifiedWord/>
      <trackRevisions>false</trackRevisions>
    </reviewItem>
    <reviewItem>
      <errorID>dcd6ad9e-b688-47ab-92ce-caa0f0b35b92</errorID>
      <errorWord>，</errorWord>
      <group>L1_Format</group>
      <groupName>格式问题</groupName>
      <ability>L2_HalfPunc</ability>
      <abilityName>全半角检查</abilityName>
      <candidateList>
        <item>, </item>
      </candidateList>
      <explain>文本全半角错误。</explain>
      <paraID>79CF9AA5</paraID>
      <start>7</start>
      <end>8</end>
      <status>unmodified</status>
      <modifiedWord/>
      <trackRevisions>false</trackRevisions>
    </reviewItem>
    <reviewItem>
      <errorID>27ee904e-94cb-47f5-a96b-47df9a41b18e</errorID>
      <errorWord>，</errorWord>
      <group>L1_Format</group>
      <groupName>格式问题</groupName>
      <ability>L2_HalfPunc</ability>
      <abilityName>全半角检查</abilityName>
      <candidateList>
        <item>,</item>
      </candidateList>
      <explain>文本全半角错误。</explain>
      <paraID>583DB942</paraID>
      <start>8</start>
      <end>9</end>
      <status>unmodified</status>
      <modifiedWord/>
      <trackRevisions>false</trackRevisions>
    </reviewItem>
    <reviewItem>
      <errorID>6b5ed5ba-0438-4429-bc7e-0cb222878bfe</errorID>
      <errorWord>JB</errorWord>
      <group>L1_Sensitive</group>
      <groupName>敏感问题</groupName>
      <ability>L2_Abuse</ability>
      <abilityName>侮辱言辞</abilityName>
      <candidateList/>
      <explain>【侮辱言辞】句中涉及侮辱性的敏感内容，请注意甄别。</explain>
      <paraID>5ED4BA8B</paraID>
      <start>0</start>
      <end>2</end>
      <status>unmodified</status>
      <modifiedWord/>
      <trackRevisions>false</trackRevisions>
    </reviewItem>
    <reviewItem>
      <errorID>c34adafc-4035-4e95-8611-4a5c4a9f9a72</errorID>
      <errorWord>，</errorWord>
      <group>L1_Format</group>
      <groupName>格式问题</groupName>
      <ability>L2_HalfPunc</ability>
      <abilityName>全半角检查</abilityName>
      <candidateList>
        <item>,</item>
      </candidateList>
      <explain>文本全半角错误。</explain>
      <paraID>5B684CDE</paraID>
      <start>12</start>
      <end>13</end>
      <status>unmodified</status>
      <modifiedWord/>
      <trackRevisions>false</trackRevisions>
    </reviewItem>
    <reviewItem>
      <errorID>f3cef0f2-e324-4771-a842-46d81fc6d119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39EC6F70</paraID>
      <start>0</start>
      <end>2</end>
      <status>unmodified</status>
      <modifiedWord/>
      <trackRevisions>false</trackRevisions>
    </reviewItem>
    <reviewItem>
      <errorID>aea19a8a-9ec4-46fa-83ab-212713b74e48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27A20F0A</paraID>
      <start>0</start>
      <end>2</end>
      <status>unmodified</status>
      <modifiedWord/>
      <trackRevisions>false</trackRevisions>
    </reviewItem>
    <reviewItem>
      <errorID>588408e6-7101-4ed7-8477-518054079e9a</errorID>
      <errorWord>成份</errorWord>
      <group>L1_Word</group>
      <groupName>字词问题</groupName>
      <ability>L2_Variant</ability>
      <abilityName>异形词</abilityName>
      <candidateList>
        <item>成分</item>
      </candidateList>
      <explain>词汇[成份]的规范词形写作[成分]。</explain>
      <paraID>27A20F0A</paraID>
      <start>6</start>
      <end>8</end>
      <status>modified</status>
      <modifiedWord>成分</modifiedWord>
      <trackRevisions>false</trackRevisions>
    </reviewItem>
    <reviewItem>
      <errorID>13c9b8ed-4060-4148-a348-98318c3d1388</errorID>
      <errorWord>成份及</errorWord>
      <group>L1_Word</group>
      <groupName>字词问题</groupName>
      <ability>L2_Variant</ability>
      <abilityName>异形词</abilityName>
      <candidateList>
        <item>成分及</item>
      </candidateList>
      <explain>词汇[成份及]的规范词形写作[成分及]。</explain>
      <paraID>5979D906</paraID>
      <start>6</start>
      <end>9</end>
      <status>modified</status>
      <modifiedWord>成分及</modifiedWord>
      <trackRevisions>false</trackRevisions>
    </reviewItem>
    <reviewItem>
      <errorID>e7f8a715-15c5-40a6-a108-110f8c135f11</errorID>
      <errorWord>(</errorWord>
      <group>L1_Format</group>
      <groupName>格式问题</groupName>
      <ability>L2_HalfPunc</ability>
      <abilityName>全半角检查</abilityName>
      <candidateList>
        <item>（</item>
      </candidateList>
      <explain>文本全半角错误。</explain>
      <paraID>2F2002B7</paraID>
      <start>170</start>
      <end>171</end>
      <status>modified</status>
      <modifiedWord>（</modifiedWord>
      <trackRevisions>false</trackRevisions>
    </reviewItem>
    <reviewItem>
      <errorID>c5bbb2d6-4e4f-4462-9c6e-70df20fbeb3e</errorID>
      <errorWord>)</errorWord>
      <group>L1_Format</group>
      <groupName>格式问题</groupName>
      <ability>L2_HalfPunc</ability>
      <abilityName>全半角检查</abilityName>
      <candidateList>
        <item>）</item>
      </candidateList>
      <explain>文本全半角错误。</explain>
      <paraID>2F2002B7</paraID>
      <start>177</start>
      <end>178</end>
      <status>modified</status>
      <modifiedWord>）</modifiedWord>
      <trackRevisions>false</trackRevisions>
    </reviewItem>
    <reviewItem>
      <errorID>c5cabc3a-1d7d-4d27-8b9f-328932c4037e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75A47E66</paraID>
      <start>91</start>
      <end>92</end>
      <status>unmodified</status>
      <modifiedWord/>
      <trackRevisions>false</trackRevisions>
    </reviewItem>
    <reviewItem>
      <errorID>2dee5ca0-ff09-46f8-8afa-37ed3d2eed75</errorID>
      <errorWord>~</errorWord>
      <group>L1_Format</group>
      <groupName>格式问题</groupName>
      <ability>L2_HalfPunc</ability>
      <abilityName>全半角检查</abilityName>
      <candidateList>
        <item>～</item>
      </candidateList>
      <explain>文本全半角错误。</explain>
      <paraID>2429CD05</paraID>
      <start>125</start>
      <end>126</end>
      <status>unmodified</status>
      <modifiedWord/>
      <trackRevisions>false</trackRevisions>
    </reviewItem>
    <reviewItem>
      <errorID>385afb55-90ff-4f8c-ad9a-59e27d277730</errorID>
      <errorWord>2.0%~6.0%</errorWord>
      <group>L1_Knowledge</group>
      <groupName>知识性问题</groupName>
      <ability>L2_Knowledge</ability>
      <abilityName>其他知识</abilityName>
      <candidateList>
        <item>2.0%～6.0%</item>
      </candidateList>
      <explain>1. “2.0%~6.0%”中的单位“%”仅出现在后一个数字上，容易引起歧义；根据《现代汉语标点符号数字用法规范手册》，数字表示范围两边需要使用统一的格式。2. 根据标点国标 4.13 中的规则，数字、时间或地域连接符应使用（视觉上更长的）“—”或“～”。</explain>
      <paraID>12B02A70</paraID>
      <start>69</start>
      <end>78</end>
      <status>unmodified</status>
      <modifiedWord/>
      <trackRevisions>false</trackRevisions>
    </reviewItem>
    <reviewItem>
      <errorID>1d1e2c8f-a6be-4104-8882-2ad1b66fb7f2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3F0C6FB6</paraID>
      <start>0</start>
      <end>2</end>
      <status>unmodified</status>
      <modifiedWord/>
      <trackRevisions>false</trackRevisions>
    </reviewItem>
    <reviewItem>
      <errorID>42143a18-f5bf-4fb9-a6ca-f0e35432de3e</errorID>
      <errorWord>采用采用</errorWord>
      <group>L1_Word</group>
      <groupName>字词问题</groupName>
      <ability>L2_Typo</ability>
      <abilityName>字词错误</abilityName>
      <candidateList>
        <item>采用</item>
      </candidateList>
      <explain>〈动〉认为合适而使用：～新工艺｜～举手表决方式｜那篇稿子已被编辑部～。</explain>
      <paraID>565B28DC</paraID>
      <start>51</start>
      <end>53</end>
      <status>modified</status>
      <modifiedWord>采用</modifiedWord>
      <trackRevisions>false</trackRevisions>
    </reviewItem>
    <reviewItem>
      <errorID>468dbc5d-1e0a-4dbc-896f-e1636a1e8616</errorID>
      <errorWord>共为</errorWord>
      <group>L1_Word</group>
      <groupName>字词问题</groupName>
      <ability>L2_Typo</ability>
      <abilityName>字词错误</abilityName>
      <candidateList>
        <item>共</item>
      </candidateList>
      <explain/>
      <paraID>565B28DC</paraID>
      <start>106</start>
      <end>107</end>
      <status>modified</status>
      <modifiedWord>共</modifiedWord>
      <trackRevisions>false</trackRevisions>
    </reviewItem>
    <reviewItem>
      <errorID>3ec29860-4593-44ca-a5d6-80462460de00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34807D56</paraID>
      <start>0</start>
      <end>2</end>
      <status>unmodified</status>
      <modifiedWord/>
      <trackRevisions>false</trackRevisions>
    </reviewItem>
    <reviewItem>
      <errorID>8668d4f6-1223-493e-86ad-c966ad128be9</errorID>
      <errorWord>供水含水层</errorWord>
      <group>L1_Knowledge</group>
      <groupName>知识性问题</groupName>
      <ability>L2_Term</ability>
      <abilityName>专业术语</abilityName>
      <candidateList>
        <item>潜水含水层</item>
      </candidateList>
      <explain/>
      <paraID>1E948926</paraID>
      <start>65</start>
      <end>70</end>
      <status>unmodified</status>
      <modifiedWord/>
      <trackRevisions>false</trackRevisions>
    </reviewItem>
    <reviewItem>
      <errorID>b59cab39-919d-497c-a60f-063f3efb9c81</errorID>
      <errorWord>水份</errorWord>
      <group>L1_Word</group>
      <groupName>字词问题</groupName>
      <ability>L2_Typo</ability>
      <abilityName>字词错误</abilityName>
      <candidateList>
        <item>水分</item>
      </candidateList>
      <explain>存在发音相同字词的误用。</explain>
      <paraID>1E948926</paraID>
      <start>179</start>
      <end>181</end>
      <status>modified</status>
      <modifiedWord>水分</modifiedWord>
      <trackRevisions>false</trackRevisions>
    </reviewItem>
    <reviewItem>
      <errorID>ed580b94-6e1f-4f22-8106-bae73f2bddf2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549947FC</paraID>
      <start>0</start>
      <end>2</end>
      <status>unmodified</status>
      <modifiedWord/>
      <trackRevisions>false</trackRevisions>
    </reviewItem>
    <reviewItem>
      <errorID>8b153e3d-24b7-4073-bc40-c18c7a245cd5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57FDE960</paraID>
      <start>0</start>
      <end>2</end>
      <status>unmodified</status>
      <modifiedWord/>
      <trackRevisions>false</trackRevisions>
    </reviewItem>
    <reviewItem>
      <errorID>42254793-e20e-4631-9b7e-f50c96c0a3a8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3C333681</paraID>
      <start>0</start>
      <end>2</end>
      <status>unmodified</status>
      <modifiedWord/>
      <trackRevisions>false</trackRevisions>
    </reviewItem>
    <reviewItem>
      <errorID>d7581f05-35f2-4cab-9241-69d0bc0e8210</errorID>
      <errorWord>III类</errorWord>
      <group>L1_Knowledge</group>
      <groupName>知识性问题</groupName>
      <ability>L2_Knowledge</ability>
      <abilityName>其他知识</abilityName>
      <candidateList>
        <item>Ⅲ类</item>
      </candidateList>
      <explain/>
      <paraID>24A7CAB8</paraID>
      <start>100</start>
      <end>102</end>
      <status>modified</status>
      <modifiedWord>Ⅲ类</modifiedWord>
      <trackRevisions>false</trackRevisions>
    </reviewItem>
    <reviewItem>
      <errorID>e5ef0531-68f8-4489-847e-0bc6366bf1f1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5FDAC23</paraID>
      <start>0</start>
      <end>2</end>
      <status>unmodified</status>
      <modifiedWord/>
      <trackRevisions>false</trackRevisions>
    </reviewItem>
    <reviewItem>
      <errorID>ac8c7f09-ee84-429a-93fd-12bbc2f924ef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79E46067</paraID>
      <start>0</start>
      <end>2</end>
      <status>unmodified</status>
      <modifiedWord/>
      <trackRevisions>false</trackRevisions>
    </reviewItem>
    <reviewItem>
      <errorID>c4cd4048-bb55-4385-b8b9-30ceb1f2a916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5E67FA35</paraID>
      <start>0</start>
      <end>2</end>
      <status>unmodified</status>
      <modifiedWord/>
      <trackRevisions>false</trackRevisions>
    </reviewItem>
    <reviewItem>
      <errorID>36a398be-3f5f-4848-9cc4-0a4e2a56432a</errorID>
      <errorWord>建</errorWord>
      <group>L1_Word</group>
      <groupName>字词问题</groupName>
      <ability>L2_Typo</ability>
      <abilityName>字词错误</abilityName>
      <candidateList>
        <item>建设</item>
      </candidateList>
      <explain>〈动〉创立新事业；增加新设施：经济～｜～家园｜～现代化强国◇组织～｜思想～。</explain>
      <paraID> 1F534DC</paraID>
      <start>2</start>
      <end>4</end>
      <status>modified</status>
      <modifiedWord>建设</modifiedWord>
      <trackRevisions>false</trackRevisions>
    </reviewItem>
    <reviewItem>
      <errorID>d5132c22-00b8-4a06-9f61-2d2694d7e3d7</errorID>
      <errorWord>（</errorWord>
      <group>L1_Punc</group>
      <groupName>标点问题</groupName>
      <ability>L2_Punc</ability>
      <abilityName>标点符号检查</abilityName>
      <candidateList/>
      <explain/>
      <paraID> 1F534DC</paraID>
      <start>33</start>
      <end>34</end>
      <status>unmodified</status>
      <modifiedWord/>
      <trackRevisions>false</trackRevisions>
    </reviewItem>
    <reviewItem>
      <errorID>5939e4a5-f441-4022-be98-eca382a21358</errorID>
      <errorWord>纳纳</errorWord>
      <group>L1_Word</group>
      <groupName>字词问题</groupName>
      <ability>L2_Typo</ability>
      <abilityName>字词错误</abilityName>
      <candidateList>
        <item>纳</item>
      </candidateList>
      <explain/>
      <paraID>7F61887C</paraID>
      <start>8</start>
      <end>9</end>
      <status>modified</status>
      <modifiedWord>纳</modifiedWord>
      <trackRevisions>false</trackRevisions>
    </reviewItem>
    <reviewItem>
      <errorID>6118a55c-bc95-46b4-94ab-1dc969d28dd5</errorID>
      <errorWord>纳纳</errorWord>
      <group>L1_Word</group>
      <groupName>字词问题</groupName>
      <ability>L2_Typo</ability>
      <abilityName>字词错误</abilityName>
      <candidateList>
        <item>纳</item>
      </candidateList>
      <explain/>
      <paraID>7BE0F106</paraID>
      <start>7</start>
      <end>8</end>
      <status>modified</status>
      <modifiedWord>纳</modifiedWord>
      <trackRevisions>false</trackRevisions>
    </reviewItem>
    <reviewItem>
      <errorID>5f1c89c4-2f27-4769-a202-d5c63d39e106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1FA89709</paraID>
      <start>0</start>
      <end>2</end>
      <status>unmodified</status>
      <modifiedWord/>
      <trackRevisions>false</trackRevisions>
    </reviewItem>
    <reviewItem>
      <errorID>d5e43067-478c-430f-839a-51212e2a9290</errorID>
      <errorWord>施工期</errorWord>
      <group>L1_Word</group>
      <groupName>字词问题</groupName>
      <ability>L2_Typo</ability>
      <abilityName>字词错误</abilityName>
      <candidateList>
        <item>施工</item>
      </candidateList>
      <explain>〈动〉按照设计的规格和要求建筑房屋、桥梁、道路、水利工程等。</explain>
      <paraID>1FA89709</paraID>
      <start>4</start>
      <end>7</end>
      <status>unmodified</status>
      <modifiedWord/>
      <trackRevisions>false</trackRevisions>
    </reviewItem>
    <reviewItem>
      <errorID>7959a665-ad4a-4e6c-9a4a-4ad0e5214830</errorID>
      <errorWord>基础开挖</errorWord>
      <group>L1_Knowledge</group>
      <groupName>知识性问题</groupName>
      <ability>L2_Term</ability>
      <abilityName>专业术语</abilityName>
      <candidateList>
        <item>基坑开挖</item>
      </candidateList>
      <explain/>
      <paraID>66AF34B7</paraID>
      <start>8</start>
      <end>12</end>
      <status>unmodified</status>
      <modifiedWord/>
      <trackRevisions>false</trackRevisions>
    </reviewItem>
    <reviewItem>
      <errorID>033e465f-a3c3-419e-9fed-5298cc89d374</errorID>
      <errorWord>经验</errorWord>
      <group>L1_Word</group>
      <groupName>字词问题</groupName>
      <ability>L2_Typo</ability>
      <abilityName>字词错误</abilityName>
      <candidateList>
        <item>验</item>
      </candidateList>
      <explain/>
      <paraID>5C3043D6</paraID>
      <start>10</start>
      <end>12</end>
      <status>unmodified</status>
      <modifiedWord/>
      <trackRevisions>false</trackRevisions>
    </reviewItem>
    <reviewItem>
      <errorID>3630526c-cb16-4878-860d-a9ce0702e0ef</errorID>
      <errorWord>腐植土</errorWord>
      <group>L1_Word</group>
      <groupName>字词问题</groupName>
      <ability>L2_Typo</ability>
      <abilityName>字词错误</abilityName>
      <candidateList>
        <item>腐殖土</item>
      </candidateList>
      <explain/>
      <paraID>63707648</paraID>
      <start>14</start>
      <end>17</end>
      <status>modified</status>
      <modifiedWord>腐殖土</modifiedWord>
      <trackRevisions>false</trackRevisions>
    </reviewItem>
    <reviewItem>
      <errorID>c2509786-5f35-4d36-bce7-ba543eecd9ed</errorID>
      <errorWord>产污</errorWord>
      <group>L1_Word</group>
      <groupName>字词问题</groupName>
      <ability>L2_Typo</ability>
      <abilityName>字词错误</abilityName>
      <candidateList>
        <item>产物</item>
      </candidateList>
      <explain>存在发音相同字词的误用。</explain>
      <paraID>72F63EE0</paraID>
      <start>11</start>
      <end>13</end>
      <status>unmodified</status>
      <modifiedWord/>
      <trackRevisions>false</trackRevisions>
    </reviewItem>
    <reviewItem>
      <errorID>edef9c76-efab-4528-a516-df1b54d1480d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C1B051A</paraID>
      <start>0</start>
      <end>2</end>
      <status>unmodified</status>
      <modifiedWord/>
      <trackRevisions>false</trackRevisions>
    </reviewItem>
    <reviewItem>
      <errorID>ab3ea0ad-517c-43a0-ad73-3283f2e1dfb4</errorID>
      <errorWord>将要</errorWord>
      <group>L1_Word</group>
      <groupName>字词问题</groupName>
      <ability>L2_Typo</ability>
      <abilityName>字词错误</abilityName>
      <candidateList>
        <item>将</item>
      </candidateList>
      <explain>（jiāng）将要；（jiàng）勇将、上将、游泳健将；（qiāng）请求，将子无怒。</explain>
      <paraID>7074BB52</paraID>
      <start>176</start>
      <end>177</end>
      <status>modified</status>
      <modifiedWord>将</modifiedWord>
      <trackRevisions>false</trackRevisions>
    </reviewItem>
    <reviewItem>
      <errorID>c379e2a4-4266-40b3-96f4-df6372ffac25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301596CC</paraID>
      <start>0</start>
      <end>2</end>
      <status>unmodified</status>
      <modifiedWord/>
      <trackRevisions>false</trackRevisions>
    </reviewItem>
    <reviewItem>
      <errorID>a53d83f7-6308-4dce-80d9-763cee54004c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58A9990B</paraID>
      <start>0</start>
      <end>2</end>
      <status>unmodified</status>
      <modifiedWord/>
      <trackRevisions>false</trackRevisions>
    </reviewItem>
    <reviewItem>
      <errorID>a7fd1205-1ccf-44f5-a6c8-ae38bd895393</errorID>
      <errorWord>JB</errorWord>
      <group>L1_Sensitive</group>
      <groupName>敏感问题</groupName>
      <ability>L2_Abuse</ability>
      <abilityName>侮辱言辞</abilityName>
      <candidateList/>
      <explain>【侮辱言辞】句中涉及侮辱性的敏感内容，请注意甄别。</explain>
      <paraID>1832A521</paraID>
      <start>11</start>
      <end>13</end>
      <status>unmodified</status>
      <modifiedWord/>
      <trackRevisions>false</trackRevisions>
    </reviewItem>
    <reviewItem>
      <errorID>070c9f32-2a7e-4adb-9878-47e4f3a2b51a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4D0BBB87</paraID>
      <start>0</start>
      <end>2</end>
      <status>unmodified</status>
      <modifiedWord/>
      <trackRevisions>false</trackRevisions>
    </reviewItem>
    <reviewItem>
      <errorID>057ac690-d236-4e0e-a819-ef97e1f1882d</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4055C052</paraID>
      <start>41</start>
      <end>42</end>
      <status>unmodified</status>
      <modifiedWord/>
      <trackRevisions>false</trackRevisions>
    </reviewItem>
    <reviewItem>
      <errorID>aacb295e-124c-4ef8-8aaa-2179b2682612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4F7ECB8D</paraID>
      <start>0</start>
      <end>2</end>
      <status>unmodified</status>
      <modifiedWord/>
      <trackRevisions>false</trackRevisions>
    </reviewItem>
    <reviewItem>
      <errorID>ae86ee7f-7a2b-4957-a467-33cf57403183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38C93A3B</paraID>
      <start>0</start>
      <end>2</end>
      <status>unmodified</status>
      <modifiedWord/>
      <trackRevisions>false</trackRevisions>
    </reviewItem>
    <reviewItem>
      <errorID>a0e8122b-b305-4ea1-8248-df496d76ae1d</errorID>
      <errorWord>减震</errorWord>
      <group>L1_Word</group>
      <groupName>字词问题</groupName>
      <ability>L2_Typo</ability>
      <abilityName>字词错误</abilityName>
      <candidateList>
        <item>减振</item>
      </candidateList>
      <explain>存在发音相同字词的误用。</explain>
      <paraID>167AC7E2</paraID>
      <start>8</start>
      <end>10</end>
      <status>unmodified</status>
      <modifiedWord/>
      <trackRevisions>false</trackRevisions>
    </reviewItem>
    <reviewItem>
      <errorID>19322f32-5c14-43c8-9395-73395390d16c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76A58B01</paraID>
      <start>0</start>
      <end>2</end>
      <status>unmodified</status>
      <modifiedWord/>
      <trackRevisions>false</trackRevisions>
    </reviewItem>
    <reviewItem>
      <errorID>c62cb1d8-e9d5-49c7-ae9f-d712698ba432</errorID>
      <errorWord>检测</errorWord>
      <group>L1_Word</group>
      <groupName>字词问题</groupName>
      <ability>L2_Typo</ability>
      <abilityName>字词错误</abilityName>
      <candidateList>
        <item>监测</item>
      </candidateList>
      <explain/>
      <paraID>4AA114CE</paraID>
      <start>14</start>
      <end>16</end>
      <status>unmodified</status>
      <modifiedWord/>
      <trackRevisions>false</trackRevisions>
    </reviewItem>
    <reviewItem>
      <errorID>a9d5ca96-9249-4909-a7e7-8a2c9a5296dd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AB14129</paraID>
      <start>0</start>
      <end>2</end>
      <status>unmodified</status>
      <modifiedWord/>
      <trackRevisions>false</trackRevisions>
    </reviewItem>
    <reviewItem>
      <errorID>f35845ea-0580-4f5c-982e-c65dd53276b9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10222889</paraID>
      <start>0</start>
      <end>2</end>
      <status>unmodified</status>
      <modifiedWord/>
      <trackRevisions>false</trackRevisions>
    </reviewItem>
    <reviewItem>
      <errorID>da96c14a-3796-4b06-a542-fbe978f84745</errorID>
      <errorWord>年</errorWord>
      <group>L1_Word</group>
      <groupName>字词问题</groupName>
      <ability>L2_Typo</ability>
      <abilityName>字词错误</abilityName>
      <candidateList>
        <item>年来</item>
      </candidateList>
      <explain/>
      <paraID>42FE4B4A</paraID>
      <start>31</start>
      <end>32</end>
      <status>unmodified</status>
      <modifiedWord/>
      <trackRevisions>false</trackRevisions>
    </reviewItem>
    <reviewItem>
      <errorID>931345b7-f34c-4375-9019-ed2a308a3744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54CC7E64</paraID>
      <start>0</start>
      <end>2</end>
      <status>unmodified</status>
      <modifiedWord/>
      <trackRevisions>false</trackRevisions>
    </reviewItem>
    <reviewItem>
      <errorID>3a806f2e-df32-47b1-a1c0-d2358c3a1e14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7183F23E</paraID>
      <start>0</start>
      <end>2</end>
      <status>unmodified</status>
      <modifiedWord/>
      <trackRevisions>false</trackRevisions>
    </reviewItem>
    <reviewItem>
      <errorID>c27134df-05a9-4ba0-a259-68ee379e2723</errorID>
      <errorWord>主要植被类型为沙蒿群落为主</errorWord>
      <group>L1_Word</group>
      <groupName>字词问题</groupName>
      <ability>L2_Typo</ability>
      <abilityName>字词错误</abilityName>
      <candidateList>
        <item>植被类型为沙蒿群落为主</item>
      </candidateList>
      <explain/>
      <paraID>44295F1E</paraID>
      <start>131</start>
      <end>144</end>
      <status>unmodified</status>
      <modifiedWord/>
      <trackRevisions>false</trackRevisions>
    </reviewItem>
    <reviewItem>
      <errorID>74cf51e2-15cb-41b6-93d2-507f8f86151c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5160DB1B</paraID>
      <start>0</start>
      <end>2</end>
      <status>unmodified</status>
      <modifiedWord/>
      <trackRevisions>false</trackRevisions>
    </reviewItem>
    <reviewItem>
      <errorID>9e239db5-1013-4575-818c-9a5558218612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6379AD74</paraID>
      <start>0</start>
      <end>2</end>
      <status>unmodified</status>
      <modifiedWord/>
      <trackRevisions>false</trackRevisions>
    </reviewItem>
    <reviewItem>
      <errorID>1279f134-7f3b-4b65-b027-6e32bfbf5cd0</errorID>
      <errorWord>(</errorWord>
      <group>L1_Format</group>
      <groupName>格式问题</groupName>
      <ability>L2_HalfPunc</ability>
      <abilityName>全半角检查</abilityName>
      <candidateList>
        <item>（</item>
      </candidateList>
      <explain>文本全半角错误。</explain>
      <paraID>1DAE01BC</paraID>
      <start>29</start>
      <end>30</end>
      <status>unmodified</status>
      <modifiedWord/>
      <trackRevisions>false</trackRevisions>
    </reviewItem>
    <reviewItem>
      <errorID>23534b54-a3f2-45f7-b34f-e799518c9980</errorID>
      <errorWord>)</errorWord>
      <group>L1_Format</group>
      <groupName>格式问题</groupName>
      <ability>L2_HalfPunc</ability>
      <abilityName>全半角检查</abilityName>
      <candidateList>
        <item>）</item>
      </candidateList>
      <explain>文本全半角错误。</explain>
      <paraID>1DAE01BC</paraID>
      <start>42</start>
      <end>43</end>
      <status>unmodified</status>
      <modifiedWord/>
      <trackRevisions>false</trackRevisions>
    </reviewItem>
    <reviewItem>
      <errorID>936275cb-f7a5-481c-a006-a5f7f65f43ed</errorID>
      <errorWord>(</errorWord>
      <group>L1_Format</group>
      <groupName>格式问题</groupName>
      <ability>L2_HalfPunc</ability>
      <abilityName>全半角检查</abilityName>
      <candidateList>
        <item>（</item>
      </candidateList>
      <explain>文本全半角错误。</explain>
      <paraID>1DAE01BC</paraID>
      <start>79</start>
      <end>80</end>
      <status>unmodified</status>
      <modifiedWord/>
      <trackRevisions>false</trackRevisions>
    </reviewItem>
    <reviewItem>
      <errorID>7795a365-4d11-406a-9555-5a6c06b7211d</errorID>
      <errorWord>)</errorWord>
      <group>L1_Format</group>
      <groupName>格式问题</groupName>
      <ability>L2_HalfPunc</ability>
      <abilityName>全半角检查</abilityName>
      <candidateList>
        <item>）</item>
      </candidateList>
      <explain>文本全半角错误。</explain>
      <paraID>1DAE01BC</paraID>
      <start>92</start>
      <end>93</end>
      <status>unmodified</status>
      <modifiedWord/>
      <trackRevisions>false</trackRevisions>
    </reviewItem>
    <reviewItem>
      <errorID>7612093f-a58b-44fc-b138-88c9ac59e95c</errorID>
      <errorWord>(</errorWord>
      <group>L1_Format</group>
      <groupName>格式问题</groupName>
      <ability>L2_HalfPunc</ability>
      <abilityName>全半角检查</abilityName>
      <candidateList>
        <item>（</item>
      </candidateList>
      <explain>文本全半角错误。</explain>
      <paraID>4A0FF081</paraID>
      <start>16</start>
      <end>17</end>
      <status>unmodified</status>
      <modifiedWord/>
      <trackRevisions>false</trackRevisions>
    </reviewItem>
    <reviewItem>
      <errorID>4f763d0d-76dd-4618-8ff0-89358343659e</errorID>
      <errorWord>(</errorWord>
      <group>L1_Format</group>
      <groupName>格式问题</groupName>
      <ability>L2_HalfPunc</ability>
      <abilityName>全半角检查</abilityName>
      <candidateList>
        <item>（</item>
      </candidateList>
      <explain>文本全半角错误。</explain>
      <paraID>22A9CD75</paraID>
      <start>16</start>
      <end>17</end>
      <status>unmodified</status>
      <modifiedWord/>
      <trackRevisions>false</trackRevisions>
    </reviewItem>
    <reviewItem>
      <errorID>1f3691d8-76d8-475f-ac29-78275234bb79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653334CD</paraID>
      <start>0</start>
      <end>2</end>
      <status>unmodified</status>
      <modifiedWord/>
      <trackRevisions>false</trackRevisions>
    </reviewItem>
    <reviewItem>
      <errorID>ad7fc184-595e-40e7-b67c-1a8060b70e21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41715201</paraID>
      <start>0</start>
      <end>2</end>
      <status>unmodified</status>
      <modifiedWord/>
      <trackRevisions>false</trackRevisions>
    </reviewItem>
    <reviewItem>
      <errorID>4e6d1fbd-57e3-4ce1-b9ca-1508919283ab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4117DD39</paraID>
      <start>0</start>
      <end>2</end>
      <status>unmodified</status>
      <modifiedWord/>
      <trackRevisions>false</trackRevisions>
    </reviewItem>
    <reviewItem>
      <errorID>b1bcada8-7b9d-4b41-a04b-c46624d6721d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25C9BC37</paraID>
      <start>0</start>
      <end>2</end>
      <status>unmodified</status>
      <modifiedWord/>
      <trackRevisions>false</trackRevisions>
    </reviewItem>
    <reviewItem>
      <errorID>725cad37-6a91-4fda-b715-f2fdbf73fe04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5C5040C8</paraID>
      <start>0</start>
      <end>2</end>
      <status>unmodified</status>
      <modifiedWord/>
      <trackRevisions>false</trackRevisions>
    </reviewItem>
    <reviewItem>
      <errorID>3c0bb718-2527-4c44-b374-7fcc08ff942a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5CF8349C</paraID>
      <start>0</start>
      <end>2</end>
      <status>unmodified</status>
      <modifiedWord/>
      <trackRevisions>false</trackRevisions>
    </reviewItem>
    <reviewItem>
      <errorID>d991ca53-69f8-4c6a-a2b8-55fabafca2c9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7C074D93</paraID>
      <start>0</start>
      <end>2</end>
      <status>unmodified</status>
      <modifiedWord/>
      <trackRevisions>false</trackRevisions>
    </reviewItem>
    <reviewItem>
      <errorID>bb84b226-2437-4f3a-833d-713540ae777e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5ABC722D</paraID>
      <start>0</start>
      <end>2</end>
      <status>unmodified</status>
      <modifiedWord/>
      <trackRevisions>false</trackRevisions>
    </reviewItem>
    <reviewItem>
      <errorID>e065cb17-9601-4b78-96fd-2e2117d26ccd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491D1A4B</paraID>
      <start>0</start>
      <end>2</end>
      <status>unmodified</status>
      <modifiedWord/>
      <trackRevisions>false</trackRevisions>
    </reviewItem>
    <reviewItem>
      <errorID>c53cf8f3-aeca-4b0e-8edb-0e7c6e5477b6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B066239</paraID>
      <start>0</start>
      <end>2</end>
      <status>unmodified</status>
      <modifiedWord/>
      <trackRevisions>false</trackRevisions>
    </reviewItem>
    <reviewItem>
      <errorID>38ad6455-bc45-4bb0-a611-eaff690eb972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76B21775</paraID>
      <start>0</start>
      <end>2</end>
      <status>unmodified</status>
      <modifiedWord/>
      <trackRevisions>false</trackRevisions>
    </reviewItem>
    <reviewItem>
      <errorID>dd7e4c2b-9c79-45f3-868a-5e28f681ce0a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2635C715</paraID>
      <start>0</start>
      <end>2</end>
      <status>unmodified</status>
      <modifiedWord/>
      <trackRevisions>false</trackRevisions>
    </reviewItem>
    <reviewItem>
      <errorID>211a06a0-8d05-48f9-80d6-60ec8ed48b06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3E66067C</paraID>
      <start>0</start>
      <end>2</end>
      <status>unmodified</status>
      <modifiedWord/>
      <trackRevisions>false</trackRevisions>
    </reviewItem>
    <reviewItem>
      <errorID>074cb55b-9f3d-4423-aada-8714ac1bb945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4EA49F2C</paraID>
      <start>0</start>
      <end>2</end>
      <status>unmodified</status>
      <modifiedWord/>
      <trackRevisions>false</trackRevisions>
    </reviewItem>
    <reviewItem>
      <errorID>d5a944fc-3367-4261-bedf-561278a8acad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2D940DB2</paraID>
      <start>0</start>
      <end>2</end>
      <status>unmodified</status>
      <modifiedWord/>
      <trackRevisions>false</trackRevisions>
    </reviewItem>
    <reviewItem>
      <errorID>5a0ead3c-a75c-4e5a-8483-6d184fee3ed3</errorID>
      <errorWord>消音器</errorWord>
      <group>L1_Word</group>
      <groupName>字词问题</groupName>
      <ability>L2_Typo</ability>
      <abilityName>字词错误</abilityName>
      <candidateList>
        <item>消声器</item>
      </candidateList>
      <explain/>
      <paraID>2D940DB2</paraID>
      <start>29</start>
      <end>32</end>
      <status>unmodified</status>
      <modifiedWord/>
      <trackRevisions>false</trackRevisions>
    </reviewItem>
    <reviewItem>
      <errorID>4c47f1ba-11ec-45f6-94a3-72a3e7f1ae46</errorID>
      <errorWord>程</errorWord>
      <group>L1_Word</group>
      <groupName>字词问题</groupName>
      <ability>L2_Typo</ability>
      <abilityName>字词错误</abilityName>
      <candidateList>
        <item>程中</item>
      </candidateList>
      <explain/>
      <paraID>2D940DB2</paraID>
      <start>50</start>
      <end>52</end>
      <status>modified</status>
      <modifiedWord>程中</modifiedWord>
      <trackRevisions>false</trackRevisions>
    </reviewItem>
    <reviewItem>
      <errorID>f4de80b3-2efc-490d-bbd7-8fe73fa33920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3C836025</paraID>
      <start>0</start>
      <end>2</end>
      <status>unmodified</status>
      <modifiedWord/>
      <trackRevisions>false</trackRevisions>
    </reviewItem>
    <reviewItem>
      <errorID>210ade4e-f593-423d-8317-753cc392d6ed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6BE430C3</paraID>
      <start>0</start>
      <end>2</end>
      <status>unmodified</status>
      <modifiedWord/>
      <trackRevisions>false</trackRevisions>
    </reviewItem>
    <reviewItem>
      <errorID>e9ce8b33-c045-4ca6-910f-4c7d1e4fef8c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23EF1ADA</paraID>
      <start>0</start>
      <end>2</end>
      <status>unmodified</status>
      <modifiedWord/>
      <trackRevisions>false</trackRevisions>
    </reviewItem>
    <reviewItem>
      <errorID>8c6963c3-f3bd-4e9d-9316-55c38e064eb9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19246E59</paraID>
      <start>0</start>
      <end>3</end>
      <status>modified</status>
      <modifiedWord>（1）</modifiedWord>
      <trackRevisions>false</trackRevisions>
    </reviewItem>
    <reviewItem>
      <errorID>a2cf24de-e779-429c-b849-ced4bd12a454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189380DE</paraID>
      <start>0</start>
      <end>3</end>
      <status>modified</status>
      <modifiedWord>（2）</modifiedWord>
      <trackRevisions>false</trackRevisions>
    </reviewItem>
    <reviewItem>
      <errorID>7170d38f-6236-4e52-82f9-f58443e3548f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2C74C838</paraID>
      <start>0</start>
      <end>3</end>
      <status>modified</status>
      <modifiedWord>（3）</modifiedWord>
      <trackRevisions>false</trackRevisions>
    </reviewItem>
    <reviewItem>
      <errorID>dcf9d4fe-509c-4f4e-a960-684795cd892b</errorID>
      <errorWord>由相</errorWord>
      <group>L1_Word</group>
      <groupName>字词问题</groupName>
      <ability>L2_Typo</ability>
      <abilityName>字词错误</abilityName>
      <candidateList>
        <item>经相</item>
      </candidateList>
      <explain/>
      <paraID>2C74C838</paraID>
      <start>30</start>
      <end>32</end>
      <status>unmodified</status>
      <modifiedWord/>
      <trackRevisions>false</trackRevisions>
    </reviewItem>
    <reviewItem>
      <errorID>799a888d-aa2b-4c2c-b8d9-e81d2a58164c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28C06DCF</paraID>
      <start>0</start>
      <end>3</end>
      <status>modified</status>
      <modifiedWord>（4）</modifiedWord>
      <trackRevisions>false</trackRevisions>
    </reviewItem>
    <reviewItem>
      <errorID>bc599d78-92f0-4a7b-8cf5-bd36cc90171f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7DC1C55</paraID>
      <start>0</start>
      <end>3</end>
      <status>modified</status>
      <modifiedWord>（5）</modifiedWord>
      <trackRevisions>false</trackRevisions>
    </reviewItem>
    <reviewItem>
      <errorID>91a4deea-46c6-4b6d-9be6-ce6fe463ea93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1C7AB821</paraID>
      <start>0</start>
      <end>3</end>
      <status>modified</status>
      <modifiedWord>（6）</modifiedWord>
      <trackRevisions>false</trackRevisions>
    </reviewItem>
    <reviewItem>
      <errorID>e4919155-58d2-4db0-8f6a-e8e76f2eafef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BB2D5EA</paraID>
      <start>0</start>
      <end>3</end>
      <status>modified</status>
      <modifiedWord>（7）</modifiedWord>
      <trackRevisions>false</trackRevisions>
    </reviewItem>
    <reviewItem>
      <errorID>5ed30142-6c16-4d6c-b7b3-5784eda5dd23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2F619DCB</paraID>
      <start>0</start>
      <end>3</end>
      <status>modified</status>
      <modifiedWord>（8）</modifiedWord>
      <trackRevisions>false</trackRevisions>
    </reviewItem>
    <reviewItem>
      <errorID>4800c4ea-fdd8-4044-95e4-70b76d66a3cb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E48A27F</paraID>
      <start>0</start>
      <end>2</end>
      <status>unmodified</status>
      <modifiedWord/>
      <trackRevisions>false</trackRevisions>
    </reviewItem>
    <reviewItem>
      <errorID>551c66a5-23d2-4cb8-af3e-22bba27d2abd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4A963178</paraID>
      <start>0</start>
      <end>3</end>
      <status>modified</status>
      <modifiedWord>（1）</modifiedWord>
      <trackRevisions>false</trackRevisions>
    </reviewItem>
    <reviewItem>
      <errorID>a747902b-2610-48f1-ae96-11965e845605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4A363F5C</paraID>
      <start>0</start>
      <end>3</end>
      <status>modified</status>
      <modifiedWord>（2）</modifiedWord>
      <trackRevisions>false</trackRevisions>
    </reviewItem>
    <reviewItem>
      <errorID>5474df4f-08b9-4b36-9209-aad579123ee6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4451B48B</paraID>
      <start>0</start>
      <end>3</end>
      <status>modified</status>
      <modifiedWord>（3）</modifiedWord>
      <trackRevisions>false</trackRevisions>
    </reviewItem>
    <reviewItem>
      <errorID>2fc126b5-28d4-4476-bbf9-c0599ae39031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1323F06B</paraID>
      <start>0</start>
      <end>3</end>
      <status>modified</status>
      <modifiedWord>（4）</modifiedWord>
      <trackRevisions>false</trackRevisions>
    </reviewItem>
    <reviewItem>
      <errorID>9b4ec9e6-eb06-4d4b-828d-761ac52d31c6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45ADCF7F</paraID>
      <start>0</start>
      <end>2</end>
      <status>unmodified</status>
      <modifiedWord/>
      <trackRevisions>false</trackRevisions>
    </reviewItem>
    <reviewItem>
      <errorID>31514240-95ad-46eb-85a3-bab26bf53f09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12C5D41F</paraID>
      <start>0</start>
      <end>3</end>
      <status>modified</status>
      <modifiedWord>（1）</modifiedWord>
      <trackRevisions>false</trackRevisions>
    </reviewItem>
    <reviewItem>
      <errorID>88abba8d-559e-47ef-87d0-447782588b08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2248A1C2</paraID>
      <start>0</start>
      <end>3</end>
      <status>modified</status>
      <modifiedWord>（2）</modifiedWord>
      <trackRevisions>false</trackRevisions>
    </reviewItem>
    <reviewItem>
      <errorID>676ba77b-6a73-4c07-a73b-69a3c24e7de1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604E93BA</paraID>
      <start>0</start>
      <end>3</end>
      <status>modified</status>
      <modifiedWord>（3）</modifiedWord>
      <trackRevisions>false</trackRevisions>
    </reviewItem>
    <reviewItem>
      <errorID>ace4a4da-e489-41ca-a5ed-f2801d738b99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1A5773E5</paraID>
      <start>0</start>
      <end>3</end>
      <status>modified</status>
      <modifiedWord>（4）</modifiedWord>
      <trackRevisions>false</trackRevisions>
    </reviewItem>
    <reviewItem>
      <errorID>07e0befa-2e90-484d-b71c-4522e1306416</errorID>
      <errorWord>提高</errorWord>
      <group>L1_Word</group>
      <groupName>字词问题</groupName>
      <ability>L2_Typo</ability>
      <abilityName>字词错误</abilityName>
      <candidateList>
        <item>增强</item>
      </candidateList>
      <explain>“提高～意识”搭配不当，建议修改为“增强～意识”。</explain>
      <paraID>1A5773E5</paraID>
      <start>57</start>
      <end>59</end>
      <status>unmodified</status>
      <modifiedWord/>
      <trackRevisions>false</trackRevisions>
    </reviewItem>
    <reviewItem>
      <errorID>f38ecf71-feab-46f2-bfaa-527296724239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41EEE02</paraID>
      <start>0</start>
      <end>3</end>
      <status>modified</status>
      <modifiedWord>（5）</modifiedWord>
      <trackRevisions>false</trackRevisions>
    </reviewItem>
    <reviewItem>
      <errorID>f77fb411-c8e8-4b89-9d93-c596afda8f1d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70768D4B</paraID>
      <start>0</start>
      <end>2</end>
      <status>unmodified</status>
      <modifiedWord/>
      <trackRevisions>false</trackRevisions>
    </reviewItem>
    <reviewItem>
      <errorID>7b0e0500-e38d-45b3-ad36-bd3eb8a328c1</errorID>
      <errorWord>车辆的</errorWord>
      <group>L1_Word</group>
      <groupName>字词问题</groupName>
      <ability>L2_Typo</ability>
      <abilityName>字词错误</abilityName>
      <candidateList>
        <item>车辆</item>
      </candidateList>
      <explain>〈名〉各种车的总称。</explain>
      <paraID>49D43D79</paraID>
      <start>47</start>
      <end>49</end>
      <status>modified</status>
      <modifiedWord>车辆</modifiedWord>
      <trackRevisions>false</trackRevisions>
    </reviewItem>
    <reviewItem>
      <errorID>eaa060c4-66e4-462f-a2ce-976f74653406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17721D12</paraID>
      <start>0</start>
      <end>2</end>
      <status>unmodified</status>
      <modifiedWord/>
      <trackRevisions>false</trackRevisions>
    </reviewItem>
    <reviewItem>
      <errorID>d94dfaeb-4570-4a1d-a522-e555ad2674a5</errorID>
      <errorWord>程</errorWord>
      <group>L1_Word</group>
      <groupName>字词问题</groupName>
      <ability>L2_Typo</ability>
      <abilityName>字词错误</abilityName>
      <candidateList>
        <item>程中</item>
      </candidateList>
      <explain/>
      <paraID>4F7BF777</paraID>
      <start>4</start>
      <end>5</end>
      <status>unmodified</status>
      <modifiedWord/>
      <trackRevisions>false</trackRevisions>
    </reviewItem>
    <reviewItem>
      <errorID>1bb638b2-d67c-4e1a-ae76-d14f9aa2d200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78FEAE0</paraID>
      <start>0</start>
      <end>2</end>
      <status>unmodified</status>
      <modifiedWord/>
      <trackRevisions>false</trackRevisions>
    </reviewItem>
    <reviewItem>
      <errorID>39f0c7d3-0643-437b-ba30-55df08d42d02</errorID>
      <errorWord>(</errorWord>
      <group>L1_Format</group>
      <groupName>格式问题</groupName>
      <ability>L2_HalfPunc</ability>
      <abilityName>全半角检查</abilityName>
      <candidateList>
        <item>（</item>
      </candidateList>
      <explain>文本全半角错误。</explain>
      <paraID>3F1E9FE2</paraID>
      <start>30</start>
      <end>31</end>
      <status>unmodified</status>
      <modifiedWord/>
      <trackRevisions>false</trackRevisions>
    </reviewItem>
    <reviewItem>
      <errorID>e47b26f6-ef70-42b9-9d0f-65d8755e2d87</errorID>
      <errorWord>)</errorWord>
      <group>L1_Format</group>
      <groupName>格式问题</groupName>
      <ability>L2_HalfPunc</ability>
      <abilityName>全半角检查</abilityName>
      <candidateList>
        <item>）</item>
      </candidateList>
      <explain>文本全半角错误。</explain>
      <paraID>3F1E9FE2</paraID>
      <start>78</start>
      <end>79</end>
      <status>unmodified</status>
      <modifiedWord/>
      <trackRevisions>false</trackRevisions>
    </reviewItem>
    <reviewItem>
      <errorID>235d1d85-3214-41cb-89a9-c9bfae3f2a99</errorID>
      <errorWord>点颗粒物</errorWord>
      <group>L1_Knowledge</group>
      <groupName>知识性问题</groupName>
      <ability>L2_Term</ability>
      <abilityName>专业术语</abilityName>
      <candidateList>
        <item>细颗粒物</item>
      </candidateList>
      <explain/>
      <paraID>3F1E9FE2</paraID>
      <start>114</start>
      <end>118</end>
      <status>unmodified</status>
      <modifiedWord/>
      <trackRevisions>false</trackRevisions>
    </reviewItem>
    <reviewItem>
      <errorID>842371c5-8f30-4ae2-9ab1-d5e8453ee4b6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1243C97C</paraID>
      <start>0</start>
      <end>2</end>
      <status>unmodified</status>
      <modifiedWord/>
      <trackRevisions>false</trackRevisions>
    </reviewItem>
    <reviewItem>
      <errorID>07fe298b-5b77-4cd6-a4ee-f86e7a70030a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3899ABB6</paraID>
      <start>0</start>
      <end>2</end>
      <status>unmodified</status>
      <modifiedWord/>
      <trackRevisions>false</trackRevisions>
    </reviewItem>
    <reviewItem>
      <errorID>4f390db9-a04a-4b1b-8949-8710aadf079e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43FCE16A</paraID>
      <start>0</start>
      <end>2</end>
      <status>unmodified</status>
      <modifiedWord/>
      <trackRevisions>false</trackRevisions>
    </reviewItem>
    <reviewItem>
      <errorID>31cc6ba4-c198-4daf-81d6-7d85f0c1f11d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2E8E140B</paraID>
      <start>0</start>
      <end>2</end>
      <status>unmodified</status>
      <modifiedWord/>
      <trackRevisions>false</trackRevisions>
    </reviewItem>
    <reviewItem>
      <errorID>a0df8c36-acea-4cbf-8d7f-f66ca661e055</errorID>
      <errorWord>(</errorWord>
      <group>L1_Format</group>
      <groupName>格式问题</groupName>
      <ability>L2_HalfPunc</ability>
      <abilityName>全半角检查</abilityName>
      <candidateList>
        <item>（</item>
      </candidateList>
      <explain>文本全半角错误。</explain>
      <paraID>2DBFA302</paraID>
      <start>72</start>
      <end>73</end>
      <status>unmodified</status>
      <modifiedWord/>
      <trackRevisions>false</trackRevisions>
    </reviewItem>
    <reviewItem>
      <errorID>0fcaffdf-9408-472d-b964-c4960f633bde</errorID>
      <errorWord>)</errorWord>
      <group>L1_Format</group>
      <groupName>格式问题</groupName>
      <ability>L2_HalfPunc</ability>
      <abilityName>全半角检查</abilityName>
      <candidateList>
        <item>）</item>
      </candidateList>
      <explain>文本全半角错误。</explain>
      <paraID>2DBFA302</paraID>
      <start>88</start>
      <end>89</end>
      <status>unmodified</status>
      <modifiedWord/>
      <trackRevisions>false</trackRevisions>
    </reviewItem>
    <reviewItem>
      <errorID>0eecfeb9-ae39-46f4-82d8-e73b90d55e9d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2ADE9B3</paraID>
      <start>0</start>
      <end>2</end>
      <status>unmodified</status>
      <modifiedWord/>
      <trackRevisions>false</trackRevisions>
    </reviewItem>
    <reviewItem>
      <errorID>d6ea898d-0155-48b2-a9c8-b4682b9cc699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6AEB2B28</paraID>
      <start>0</start>
      <end>2</end>
      <status>unmodified</status>
      <modifiedWord/>
      <trackRevisions>false</trackRevisions>
    </reviewItem>
    <reviewItem>
      <errorID>cadf5c45-857c-4142-9b6c-32e50f95b6ca</errorID>
      <errorWord>)</errorWord>
      <group>L1_Format</group>
      <groupName>格式问题</groupName>
      <ability>L2_HalfPunc</ability>
      <abilityName>全半角检查</abilityName>
      <candidateList>
        <item>）</item>
      </candidateList>
      <explain>文本全半角错误。</explain>
      <paraID>101B9A37</paraID>
      <start>32</start>
      <end>33</end>
      <status>unmodified</status>
      <modifiedWord/>
      <trackRevisions>false</trackRevisions>
    </reviewItem>
    <reviewItem>
      <errorID>2b44de8e-018f-4106-b859-8aece48e53f7</errorID>
      <errorWord>减震</errorWord>
      <group>L1_Word</group>
      <groupName>字词问题</groupName>
      <ability>L2_Typo</ability>
      <abilityName>字词错误</abilityName>
      <candidateList>
        <item>减振</item>
      </candidateList>
      <explain>存在发音相同字词的误用。</explain>
      <paraID>101B9A37</paraID>
      <start>40</start>
      <end>42</end>
      <status>modified</status>
      <modifiedWord>减振</modifiedWord>
      <trackRevisions>false</trackRevisions>
    </reviewItem>
    <reviewItem>
      <errorID>0bf7af55-0852-4105-8297-8634345c8d50</errorID>
      <errorWord>噪声源</errorWord>
      <group>L1_Word</group>
      <groupName>字词问题</groupName>
      <ability>L2_Typo</ability>
      <abilityName>字词错误</abilityName>
      <candidateList>
        <item>噪声</item>
      </candidateList>
      <explain/>
      <paraID>101B9A37</paraID>
      <start>69</start>
      <end>72</end>
      <status>unmodified</status>
      <modifiedWord/>
      <trackRevisions>false</trackRevisions>
    </reviewItem>
    <reviewItem>
      <errorID>1a23032c-f24b-4ea2-a3c3-bcce3fe84cd8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209C136B</paraID>
      <start>0</start>
      <end>2</end>
      <status>unmodified</status>
      <modifiedWord/>
      <trackRevisions>false</trackRevisions>
    </reviewItem>
    <reviewItem>
      <errorID>43007f09-9f8a-404b-be5a-8093bc2e82bb</errorID>
      <errorWord>产生的</errorWord>
      <group>L1_Word</group>
      <groupName>字词问题</groupName>
      <ability>L2_Typo</ability>
      <abilityName>字词错误</abilityName>
      <candidateList>
        <item>产生</item>
      </candidateList>
      <explain/>
      <paraID>530883CF</paraID>
      <start>50</start>
      <end>52</end>
      <status>modified</status>
      <modifiedWord>产生</modifiedWord>
      <trackRevisions>false</trackRevisions>
    </reviewItem>
    <reviewItem>
      <errorID>bb7018a2-ad06-445a-81aa-df119e504c52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5B96B5BE</paraID>
      <start>0</start>
      <end>2</end>
      <status>unmodified</status>
      <modifiedWord/>
      <trackRevisions>false</trackRevisions>
    </reviewItem>
    <reviewItem>
      <errorID>2c5c9d0f-2b00-4546-a04f-087cbc536683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2357FA1B</paraID>
      <start>0</start>
      <end>2</end>
      <status>unmodified</status>
      <modifiedWord/>
      <trackRevisions>false</trackRevisions>
    </reviewItem>
    <reviewItem>
      <errorID>f277dc89-7746-473b-954b-49ce73ea0eca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33ACF9A0</paraID>
      <start>0</start>
      <end>2</end>
      <status>unmodified</status>
      <modifiedWord/>
      <trackRevisions>false</trackRevisions>
    </reviewItem>
    <reviewItem>
      <errorID>40da87ee-af98-40d5-93e3-431633d93f78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40A593CC</paraID>
      <start>0</start>
      <end>2</end>
      <status>unmodified</status>
      <modifiedWord/>
      <trackRevisions>false</trackRevisions>
    </reviewItem>
    <reviewItem>
      <errorID>243e514a-fe86-4f30-b7d8-934a631d27fd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3CB8177D</paraID>
      <start>0</start>
      <end>2</end>
      <status>unmodified</status>
      <modifiedWord/>
      <trackRevisions>false</trackRevisions>
    </reviewItem>
    <reviewItem>
      <errorID>6a79301e-2bf4-496d-a247-1c680ce4bdb3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2CD851FB</paraID>
      <start>0</start>
      <end>2</end>
      <status>unmodified</status>
      <modifiedWord/>
      <trackRevisions>false</trackRevisions>
    </reviewItem>
    <reviewItem>
      <errorID>950304e7-f165-4994-a368-b98a2b338a8b</errorID>
      <errorWord>期</errorWord>
      <group>L1_Word</group>
      <groupName>字词问题</groupName>
      <ability>L2_Typo</ability>
      <abilityName>字词错误</abilityName>
      <candidateList>
        <item>期间</item>
      </candidateList>
      <explain>〈名〉某个时期里面：农忙～｜春节～｜抗战～。</explain>
      <paraID>3D72EBB6</paraID>
      <start>79</start>
      <end>80</end>
      <status>unmodified</status>
      <modifiedWord/>
      <trackRevisions>false</trackRevisions>
    </reviewItem>
    <reviewItem>
      <errorID>70664e2a-f660-4a12-917d-793401a99449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7D69C256</paraID>
      <start>17</start>
      <end>18</end>
      <status>unmodified</status>
      <modifiedWord/>
      <trackRevisions>false</trackRevisions>
    </reviewItem>
    <reviewItem>
      <errorID>1f78a173-2477-4091-9df8-fb0b4dbaee67</errorID>
      <errorWord>(</errorWord>
      <group>L1_Format</group>
      <groupName>格式问题</groupName>
      <ability>L2_HalfPunc</ability>
      <abilityName>全半角检查</abilityName>
      <candidateList>
        <item>（</item>
      </candidateList>
      <explain>文本全半角错误。</explain>
      <paraID>7D69C256</paraID>
      <start>37</start>
      <end>38</end>
      <status>unmodified</status>
      <modifiedWord/>
      <trackRevisions>false</trackRevisions>
    </reviewItem>
    <reviewItem>
      <errorID>5a46de99-5cde-48d6-bfcd-4be65c3ff1cb</errorID>
      <errorWord>)</errorWord>
      <group>L1_Format</group>
      <groupName>格式问题</groupName>
      <ability>L2_HalfPunc</ability>
      <abilityName>全半角检查</abilityName>
      <candidateList>
        <item>）</item>
      </candidateList>
      <explain>文本全半角错误。</explain>
      <paraID>7D69C256</paraID>
      <start>50</start>
      <end>51</end>
      <status>unmodified</status>
      <modifiedWord/>
      <trackRevisions>false</trackRevisions>
    </reviewItem>
    <reviewItem>
      <errorID>f0272374-58ff-48b5-af1e-41478102f1f1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6BD7DC29</paraID>
      <start>0</start>
      <end>2</end>
      <status>unmodified</status>
      <modifiedWord/>
      <trackRevisions>false</trackRevisions>
    </reviewItem>
    <reviewItem>
      <errorID>d7142c3f-70db-42bf-8f9d-46257e629852</errorID>
      <errorWord>泄露</errorWord>
      <group>L1_Word</group>
      <groupName>字词问题</groupName>
      <ability>L2_Typo</ability>
      <abilityName>字词错误</abilityName>
      <candidateList>
        <item>泄漏</item>
      </candidateList>
      <explain>存在发音相同字词的误用。</explain>
      <paraID>708AF42B</paraID>
      <start>82</start>
      <end>84</end>
      <status>modified</status>
      <modifiedWord>泄漏</modifiedWord>
      <trackRevisions>false</trackRevisions>
    </reviewItem>
    <reviewItem>
      <errorID>c0e3ab64-ff8e-48ef-99d9-50105d249d1c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60279F86</paraID>
      <start>166</start>
      <end>167</end>
      <status>unmodified</status>
      <modifiedWord/>
      <trackRevisions>false</trackRevisions>
    </reviewItem>
    <reviewItem>
      <errorID>11e12538-873c-4f4e-b78e-cfd7e3a45666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152E374F</paraID>
      <start>45</start>
      <end>46</end>
      <status>unmodified</status>
      <modifiedWord/>
      <trackRevisions>false</trackRevisions>
    </reviewItem>
    <reviewItem>
      <errorID>5c80d049-2359-4d7b-be3f-ada8e56b55a8</errorID>
      <errorWord>-</errorWord>
      <group>L1_Format</group>
      <groupName>格式问题</groupName>
      <ability>L2_HalfPunc</ability>
      <abilityName>全半角检查</abilityName>
      <candidateList>
        <item>－</item>
      </candidateList>
      <explain>文本全半角错误。</explain>
      <paraID>59C89165</paraID>
      <start>91</start>
      <end>92</end>
      <status>unmodified</status>
      <modifiedWord/>
      <trackRevisions>false</trackRevisions>
    </reviewItem>
    <reviewItem>
      <errorID>ecf25065-eb8b-4a78-b018-e3d821dde9fa</errorID>
      <errorWord>:</errorWord>
      <group>L1_Format</group>
      <groupName>格式问题</groupName>
      <ability>L2_HalfPunc</ability>
      <abilityName>全半角检查</abilityName>
      <candidateList>
        <item>：</item>
      </candidateList>
      <explain>文本全半角错误。</explain>
      <paraID>743CA197</paraID>
      <start>98</start>
      <end>99</end>
      <status>unmodified</status>
      <modifiedWord/>
      <trackRevisions>false</trackRevisions>
    </reviewItem>
    <reviewItem>
      <errorID>462c19c1-36bf-4e31-a27c-d538dada8113</errorID>
      <errorWord>)</errorWord>
      <group>L1_Format</group>
      <groupName>格式问题</groupName>
      <ability>L2_HalfPunc</ability>
      <abilityName>全半角检查</abilityName>
      <candidateList>
        <item>）</item>
      </candidateList>
      <explain>文本全半角错误。</explain>
      <paraID>2A3C7E82</paraID>
      <start>26</start>
      <end>27</end>
      <status>unmodified</status>
      <modifiedWord/>
      <trackRevisions>false</trackRevisions>
    </reviewItem>
    <reviewItem>
      <errorID>5a2e33c6-34eb-4e5a-9933-162b855f1b84</errorID>
      <errorWord>~</errorWord>
      <group>L1_Format</group>
      <groupName>格式问题</groupName>
      <ability>L2_HalfPunc</ability>
      <abilityName>全半角检查</abilityName>
      <candidateList>
        <item>～</item>
      </candidateList>
      <explain>文本全半角错误。</explain>
      <paraID>27B69F7A</paraID>
      <start>101</start>
      <end>102</end>
      <status>unmodified</status>
      <modifiedWord/>
      <trackRevisions>false</trackRevisions>
    </reviewItem>
    <reviewItem>
      <errorID>88d832fe-f4bb-4527-95f4-833681931376</errorID>
      <errorWord>"</errorWord>
      <group>L1_Format</group>
      <groupName>格式问题</groupName>
      <ability>L2_HalfPunc</ability>
      <abilityName>全半角检查</abilityName>
      <candidateList/>
      <explain>文本全半角错误。</explain>
      <paraID>19D1FBBC</paraID>
      <start>19</start>
      <end>20</end>
      <status>unmodified</status>
      <modifiedWord/>
      <trackRevisions>false</trackRevisions>
    </reviewItem>
    <reviewItem>
      <errorID>a5fa4604-4850-4c71-9b8b-68e3f7b62d40</errorID>
      <errorWord>~</errorWord>
      <group>L1_Format</group>
      <groupName>格式问题</groupName>
      <ability>L2_HalfPunc</ability>
      <abilityName>全半角检查</abilityName>
      <candidateList>
        <item>～</item>
      </candidateList>
      <explain>文本全半角错误。</explain>
      <paraID>6DE51B2F</paraID>
      <start>77</start>
      <end>78</end>
      <status>unmodified</status>
      <modifiedWord/>
      <trackRevisions>false</trackRevisions>
    </reviewItem>
    <reviewItem>
      <errorID>26bbb3ca-3a62-41f7-b3d6-bd3629d9e5be</errorID>
      <errorWord>~</errorWord>
      <group>L1_Format</group>
      <groupName>格式问题</groupName>
      <ability>L2_HalfPunc</ability>
      <abilityName>全半角检查</abilityName>
      <candidateList>
        <item>～</item>
      </candidateList>
      <explain>文本全半角错误。</explain>
      <paraID>22C74553</paraID>
      <start>125</start>
      <end>126</end>
      <status>unmodified</status>
      <modifiedWord/>
      <trackRevisions>false</trackRevisions>
    </reviewItem>
    <reviewItem>
      <errorID>2d5b267b-df2b-40d8-a41a-87ff5315e0dc</errorID>
      <errorWord>)</errorWord>
      <group>L1_Format</group>
      <groupName>格式问题</groupName>
      <ability>L2_HalfPunc</ability>
      <abilityName>全半角检查</abilityName>
      <candidateList>
        <item>）</item>
      </candidateList>
      <explain>文本全半角错误。</explain>
      <paraID>3EFB6480</paraID>
      <start>20</start>
      <end>21</end>
      <status>unmodified</status>
      <modifiedWord/>
      <trackRevisions>false</trackRevisions>
    </reviewItem>
    <reviewItem>
      <errorID>97c93522-349a-40d8-87bb-2198111a55fc</errorID>
      <errorWord>~</errorWord>
      <group>L1_Format</group>
      <groupName>格式问题</groupName>
      <ability>L2_HalfPunc</ability>
      <abilityName>全半角检查</abilityName>
      <candidateList>
        <item>～</item>
      </candidateList>
      <explain>文本全半角错误。</explain>
      <paraID>28D8EE92</paraID>
      <start>38</start>
      <end>39</end>
      <status>unmodified</status>
      <modifiedWord/>
      <trackRevisions>false</trackRevisions>
    </reviewItem>
    <reviewItem>
      <errorID>09a3cf3d-70a4-48f6-935f-c851a7716355</errorID>
      <errorWord>~</errorWord>
      <group>L1_Format</group>
      <groupName>格式问题</groupName>
      <ability>L2_HalfPunc</ability>
      <abilityName>全半角检查</abilityName>
      <candidateList>
        <item>～</item>
      </candidateList>
      <explain>文本全半角错误。</explain>
      <paraID>28D8EE92</paraID>
      <start>141</start>
      <end>142</end>
      <status>unmodified</status>
      <modifiedWord/>
      <trackRevisions>false</trackRevisions>
    </reviewItem>
    <reviewItem>
      <errorID>7bd1c129-aa07-437c-84f0-2063674f276c</errorID>
      <errorWord>,</errorWord>
      <group>L1_Format</group>
      <groupName>格式问题</groupName>
      <ability>L2_HalfPunc</ability>
      <abilityName>全半角检查</abilityName>
      <candidateList>
        <item>，</item>
      </candidateList>
      <explain>文本全半角错误。</explain>
      <paraID>5F77F091</paraID>
      <start>177</start>
      <end>178</end>
      <status>unmodified</status>
      <modifiedWord/>
      <trackRevisions>false</trackRevisions>
    </reviewItem>
    <reviewItem>
      <errorID>793a530e-cc8d-43e4-a567-70851670b3f9</errorID>
      <errorWord>~</errorWord>
      <group>L1_Format</group>
      <groupName>格式问题</groupName>
      <ability>L2_HalfPunc</ability>
      <abilityName>全半角检查</abilityName>
      <candidateList>
        <item>～</item>
      </candidateList>
      <explain>文本全半角错误。</explain>
      <paraID>5F77F091</paraID>
      <start>189</start>
      <end>190</end>
      <status>unmodified</status>
      <modifiedWord/>
      <trackRevisions>false</trackRevisions>
    </reviewItem>
    <reviewItem>
      <errorID>6375d51a-3e86-41ac-a2eb-5f6e1a5ecae9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48F1733A</paraID>
      <start>0</start>
      <end>2</end>
      <status>unmodified</status>
      <modifiedWord/>
      <trackRevisions>false</trackRevisions>
    </reviewItem>
    <reviewItem>
      <errorID>d8a2e67c-49fb-4545-b15f-938618f1151d</errorID>
      <errorWord>中的水份</errorWord>
      <group>L1_Word</group>
      <groupName>字词问题</groupName>
      <ability>L2_Alias</ability>
      <abilityName>也作/曾用词</abilityName>
      <candidateList>
        <item>中的水分</item>
      </candidateList>
      <explain>词汇[中的水份]为不规范表述或旧称，其规范书面表述为[中的水分]。</explain>
      <paraID>61B6D21A</paraID>
      <start>16</start>
      <end>20</end>
      <status>modified</status>
      <modifiedWord>中的水分</modifiedWord>
      <trackRevisions>false</trackRevisions>
    </reviewItem>
    <reviewItem>
      <errorID>2aa62637-dc9e-4db8-bb07-4eae3823bafb</errorID>
      <errorWord>其它</errorWord>
      <group>L1_Word</group>
      <groupName>字词问题</groupName>
      <ability>L2_Alias</ability>
      <abilityName>也作/曾用词</abilityName>
      <candidateList>
        <item>其他</item>
      </candidateList>
      <explain>词汇[其它]为不规范表述或旧称，其规范书面表述为[其他]。</explain>
      <paraID>61B6D21A</paraID>
      <start>132</start>
      <end>134</end>
      <status>modified</status>
      <modifiedWord>其他</modifiedWord>
      <trackRevisions>false</trackRevisions>
    </reviewItem>
    <reviewItem>
      <errorID>ff4a7c81-7616-4e44-b489-9b21dca054fc</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 F97A616</paraID>
      <start>5</start>
      <end>7</end>
      <status>modified</status>
      <modifiedWord>可以</modifiedWord>
      <trackRevisions>false</trackRevisions>
    </reviewItem>
    <reviewItem>
      <errorID>346e69a9-e5db-435f-b347-f046dc9ba3f1</errorID>
      <errorWord>无其它</errorWord>
      <group>L1_Word</group>
      <groupName>字词问题</groupName>
      <ability>L2_Alias</ability>
      <abilityName>也作/曾用词</abilityName>
      <candidateList>
        <item>无其他</item>
      </candidateList>
      <explain>词汇[无其它]为不规范表述或旧称，其规范书面表述为[无其他]。</explain>
      <paraID> F97A616</paraID>
      <start>36</start>
      <end>39</end>
      <status>unmodified</status>
      <modifiedWord/>
      <trackRevisions>false</trackRevisions>
    </reviewItem>
    <reviewItem>
      <errorID>71b639f6-d0ae-4714-b00d-b592875bfd94</errorID>
      <errorWord>属</errorWord>
      <group>L1_Word</group>
      <groupName>字词问题</groupName>
      <ability>L2_Typo</ability>
      <abilityName>字词错误</abilityName>
      <candidateList>
        <item>属于</item>
      </candidateList>
      <explain/>
      <paraID>7D5A7771</paraID>
      <start>158</start>
      <end>160</end>
      <status>modified</status>
      <modifiedWord>属于</modifiedWord>
      <trackRevisions>false</trackRevisions>
    </reviewItem>
    <reviewItem>
      <errorID>4d646e04-adc6-46eb-9346-f3f7d0bb6615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72C63AA4</paraID>
      <start>0</start>
      <end>2</end>
      <status>unmodified</status>
      <modifiedWord/>
      <trackRevisions>false</trackRevisions>
    </reviewItem>
    <reviewItem>
      <errorID>3797924e-7b8a-49ad-9652-a072d54977ad</errorID>
      <errorWord>(</errorWord>
      <group>L1_Format</group>
      <groupName>格式问题</groupName>
      <ability>L2_HalfPunc</ability>
      <abilityName>全半角检查</abilityName>
      <candidateList>
        <item>（</item>
      </candidateList>
      <explain>文本全半角错误。</explain>
      <paraID>513183A9</paraID>
      <start>64</start>
      <end>65</end>
      <status>modified</status>
      <modifiedWord>（</modifiedWord>
      <trackRevisions>false</trackRevisions>
    </reviewItem>
    <reviewItem>
      <errorID>d168d4c8-d705-4649-be2c-2b0b7b35e034</errorID>
      <errorWord>)</errorWord>
      <group>L1_Format</group>
      <groupName>格式问题</groupName>
      <ability>L2_HalfPunc</ability>
      <abilityName>全半角检查</abilityName>
      <candidateList>
        <item>）</item>
      </candidateList>
      <explain>文本全半角错误。</explain>
      <paraID>513183A9</paraID>
      <start>75</start>
      <end>76</end>
      <status>modified</status>
      <modifiedWord>）</modifiedWord>
      <trackRevisions>false</trackRevisions>
    </reviewItem>
    <reviewItem>
      <errorID>814eeead-81f3-4c06-9384-3d4c4287d2f1</errorID>
      <errorWord>(</errorWord>
      <group>L1_Format</group>
      <groupName>格式问题</groupName>
      <ability>L2_HalfPunc</ability>
      <abilityName>全半角检查</abilityName>
      <candidateList>
        <item>（</item>
      </candidateList>
      <explain>文本全半角错误。</explain>
      <paraID>513183A9</paraID>
      <start>91</start>
      <end>92</end>
      <status>modified</status>
      <modifiedWord>（</modifiedWord>
      <trackRevisions>false</trackRevisions>
    </reviewItem>
    <reviewItem>
      <errorID>290dfe1f-b54d-4707-b217-e5efd783e9eb</errorID>
      <errorWord>)</errorWord>
      <group>L1_Format</group>
      <groupName>格式问题</groupName>
      <ability>L2_HalfPunc</ability>
      <abilityName>全半角检查</abilityName>
      <candidateList>
        <item>）</item>
      </candidateList>
      <explain>文本全半角错误。</explain>
      <paraID>513183A9</paraID>
      <start>104</start>
      <end>105</end>
      <status>modified</status>
      <modifiedWord>）</modifiedWord>
      <trackRevisions>false</trackRevisions>
    </reviewItem>
    <reviewItem>
      <errorID>5715fcf5-ef37-4e58-9084-dc0706a5185e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7B8EFC2A</paraID>
      <start>0</start>
      <end>2</end>
      <status>unmodified</status>
      <modifiedWord/>
      <trackRevisions>false</trackRevisions>
    </reviewItem>
    <reviewItem>
      <errorID>7452febd-2b65-4d38-8d0a-15a85c41e900</errorID>
      <errorWord>警示的</errorWord>
      <group>L1_Word</group>
      <groupName>字词问题</groupName>
      <ability>L2_Typo</ability>
      <abilityName>字词错误</abilityName>
      <candidateList>
        <item>警示</item>
      </candidateList>
      <explain/>
      <paraID>629B85F6</paraID>
      <start>51</start>
      <end>54</end>
      <status>unmodified</status>
      <modifiedWord/>
      <trackRevisions>false</trackRevisions>
    </reviewItem>
    <reviewItem>
      <errorID>d2b2c36c-6942-4dbe-9c94-3e6f79a88b68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75AED793</paraID>
      <start>78</start>
      <end>79</end>
      <status>unmodified</status>
      <modifiedWord/>
      <trackRevisions>false</trackRevisions>
    </reviewItem>
    <reviewItem>
      <errorID>b2af9ee2-aa9f-4791-85c2-dfaef35bf3f8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37272C66</paraID>
      <start>0</start>
      <end>2</end>
      <status>unmodified</status>
      <modifiedWord/>
      <trackRevisions>false</trackRevisions>
    </reviewItem>
    <reviewItem>
      <errorID>beb2a8aa-23b6-4476-b1ee-9e4e32a6cd73</errorID>
      <errorWord>[2014]119号</errorWord>
      <group>L1_Knowledge</group>
      <groupName>知识性问题</groupName>
      <ability>L2_Knowledge</ability>
      <abilityName>其他知识</abilityName>
      <candidateList>
        <item>〔2014〕119号</item>
      </candidateList>
      <explain>发文字号格式错误。</explain>
      <paraID>34379C20</paraID>
      <start>110</start>
      <end>120</end>
      <status>modified</status>
      <modifiedWord>〔2014〕119号</modifiedWord>
      <trackRevisions>false</trackRevisions>
    </reviewItem>
    <reviewItem>
      <errorID>ba4f2866-6a81-4e3e-a8f8-66a49708ea7b</errorID>
      <errorWord>[2015]4号</errorWord>
      <group>L1_Knowledge</group>
      <groupName>知识性问题</groupName>
      <ability>L2_Knowledge</ability>
      <abilityName>其他知识</abilityName>
      <candidateList>
        <item>〔2015〕4号</item>
      </candidateList>
      <explain>发文字号格式错误。</explain>
      <paraID>34379C20</paraID>
      <start>153</start>
      <end>161</end>
      <status>modified</status>
      <modifiedWord>〔2015〕4号</modifiedWord>
      <trackRevisions>false</trackRevisions>
    </reviewItem>
    <reviewItem>
      <errorID>b3511d5a-3fe4-453d-bcc6-7935ed5e5eeb</errorID>
      <errorWord>(</errorWord>
      <group>L1_Format</group>
      <groupName>格式问题</groupName>
      <ability>L2_HalfPunc</ability>
      <abilityName>全半角检查</abilityName>
      <candidateList>
        <item>（</item>
      </candidateList>
      <explain>文本全半角错误。</explain>
      <paraID> C100368</paraID>
      <start>0</start>
      <end>1</end>
      <status>modified</status>
      <modifiedWord>（</modifiedWord>
      <trackRevisions>false</trackRevisions>
    </reviewItem>
    <reviewItem>
      <errorID>f9a85c7a-f94f-4f35-83d7-b825686cc4d5</errorID>
      <errorWord>)</errorWord>
      <group>L1_Format</group>
      <groupName>格式问题</groupName>
      <ability>L2_HalfPunc</ability>
      <abilityName>全半角检查</abilityName>
      <candidateList>
        <item>）</item>
      </candidateList>
      <explain>文本全半角错误。</explain>
      <paraID> C100368</paraID>
      <start>3</start>
      <end>4</end>
      <status>modified</status>
      <modifiedWord>）</modifiedWord>
      <trackRevisions>false</trackRevisions>
    </reviewItem>
    <reviewItem>
      <errorID>9f78db13-3d5a-4cb4-aecd-25c2f0c5d6f6</errorID>
      <errorWord>性</errorWord>
      <group>L1_Word</group>
      <groupName>字词问题</groupName>
      <ability>L2_Typo</ability>
      <abilityName>字词错误</abilityName>
      <candidateList>
        <item>型</item>
      </candidateList>
      <explain/>
      <paraID>50DDD538</paraID>
      <start>40</start>
      <end>40</end>
      <status>unmodified</status>
      <modifiedWord/>
      <trackRevisions>false</trackRevisions>
    </reviewItem>
    <reviewItem>
      <errorID>3e77fe4c-c5b4-4f39-a18a-e0ed8b21a720</errorID>
      <errorWord>消音器</errorWord>
      <group>L1_Word</group>
      <groupName>字词问题</groupName>
      <ability>L2_Typo</ability>
      <abilityName>字词错误</abilityName>
      <candidateList>
        <item>消声器</item>
      </candidateList>
      <explain/>
      <paraID>39969DDC</paraID>
      <start>61</start>
      <end>64</end>
      <status>unmodified</status>
      <modifiedWord/>
      <trackRevisions>false</trackRevisions>
    </reviewItem>
    <reviewItem>
      <errorID>b3dcdd11-8cb4-4cbd-808a-cee43e2d8a91</errorID>
      <errorWord>(</errorWord>
      <group>L1_Format</group>
      <groupName>格式问题</groupName>
      <ability>L2_HalfPunc</ability>
      <abilityName>全半角检查</abilityName>
      <candidateList>
        <item>（</item>
      </candidateList>
      <explain>文本全半角错误。</explain>
      <paraID>52218440</paraID>
      <start>18</start>
      <end>19</end>
      <status>modified</status>
      <modifiedWord>（</modifiedWord>
      <trackRevisions>false</trackRevisions>
    </reviewItem>
    <reviewItem>
      <errorID>b2f11544-f388-4921-9500-2bb4c668898d</errorID>
      <errorWord>)</errorWord>
      <group>L1_Format</group>
      <groupName>格式问题</groupName>
      <ability>L2_HalfPunc</ability>
      <abilityName>全半角检查</abilityName>
      <candidateList>
        <item>）</item>
      </candidateList>
      <explain>文本全半角错误。</explain>
      <paraID>52218440</paraID>
      <start>33</start>
      <end>34</end>
      <status>modified</status>
      <modifiedWord>）</modifiedWord>
      <trackRevisions>false</trackRevisions>
    </reviewItem>
    <reviewItem>
      <errorID>a8769be6-dbb3-424b-bec3-f702d0b3b903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CEB6FDA</paraID>
      <start>0</start>
      <end>2</end>
      <status>unmodified</status>
      <modifiedWord/>
      <trackRevisions>false</trackRevisions>
    </reviewItem>
    <reviewItem>
      <errorID>c5f5d6f4-7bbe-4a06-9e41-429922af42aa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1682F00C</paraID>
      <start>0</start>
      <end>2</end>
      <status>unmodified</status>
      <modifiedWord/>
      <trackRevisions>false</trackRevisions>
    </reviewItem>
    <reviewItem>
      <errorID>49ea75f5-aab6-4e83-89a9-b13d5d3afcfb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279093F</paraID>
      <start>0</start>
      <end>2</end>
      <status>unmodified</status>
      <modifiedWord/>
      <trackRevisions>false</trackRevisions>
    </reviewItem>
    <reviewItem>
      <errorID>41648928-d33b-416b-b44c-09ce27185cdf</errorID>
      <errorWord>(</errorWord>
      <group>L1_Format</group>
      <groupName>格式问题</groupName>
      <ability>L2_HalfPunc</ability>
      <abilityName>全半角检查</abilityName>
      <candidateList>
        <item>（</item>
      </candidateList>
      <explain>文本全半角错误。</explain>
      <paraID>3AA11A1F</paraID>
      <start>3</start>
      <end>4</end>
      <status>unmodified</status>
      <modifiedWord/>
      <trackRevisions>false</trackRevisions>
    </reviewItem>
    <reviewItem>
      <errorID>971d86a4-66a7-472a-a313-8fcfe5f990ce</errorID>
      <errorWord>)</errorWord>
      <group>L1_Format</group>
      <groupName>格式问题</groupName>
      <ability>L2_HalfPunc</ability>
      <abilityName>全半角检查</abilityName>
      <candidateList>
        <item>）</item>
      </candidateList>
      <explain>文本全半角错误。</explain>
      <paraID>3E72C489</paraID>
      <start>2</start>
      <end>3</end>
      <status>unmodified</status>
      <modifiedWord/>
      <trackRevisions>false</trackRevisions>
    </reviewItem>
    <reviewItem>
      <errorID>17b698af-0a64-4e3d-83b9-dd36fae6d0a7</errorID>
      <errorWord>（</errorWord>
      <group>L1_Punc</group>
      <groupName>标点问题</groupName>
      <ability>L2_Punc</ability>
      <abilityName>标点符号检查</abilityName>
      <candidateList/>
      <explain/>
      <paraID>4AF7AED0</paraID>
      <start>13</start>
      <end>14</end>
      <status>unmodified</status>
      <modifiedWord/>
      <trackRevisions>false</trackRevisions>
    </reviewItem>
    <reviewItem>
      <errorID>b93bb479-a2d4-4010-9dd8-7de068b24ad7</errorID>
      <errorWord>(</errorWord>
      <group>L1_Format</group>
      <groupName>格式问题</groupName>
      <ability>L2_HalfPunc</ability>
      <abilityName>全半角检查</abilityName>
      <candidateList>
        <item>（</item>
      </candidateList>
      <explain>文本全半角错误。</explain>
      <paraID>55697328</paraID>
      <start>17</start>
      <end>18</end>
      <status>unmodified</status>
      <modifiedWord/>
      <trackRevisions>false</trackRevisions>
    </reviewItem>
    <reviewItem>
      <errorID>4fa73309-0a0a-4d46-b46c-1d1d938a350d</errorID>
      <errorWord>)</errorWord>
      <group>L1_Format</group>
      <groupName>格式问题</groupName>
      <ability>L2_HalfPunc</ability>
      <abilityName>全半角检查</abilityName>
      <candidateList>
        <item>）</item>
      </candidateList>
      <explain>文本全半角错误。</explain>
      <paraID>55697328</paraID>
      <start>33</start>
      <end>34</end>
      <status>unmodified</status>
      <modifiedWord/>
      <trackRevisions>false</trackRevisions>
    </reviewItem>
    <reviewItem>
      <errorID>27643536-8e27-4761-89da-438b292840e1</errorID>
      <errorWord>警示的</errorWord>
      <group>L1_Word</group>
      <groupName>字词问题</groupName>
      <ability>L2_Typo</ability>
      <abilityName>字词错误</abilityName>
      <candidateList>
        <item>警示</item>
      </candidateList>
      <explain/>
      <paraID>68B4F1CC</paraID>
      <start>85</start>
      <end>88</end>
      <status>unmodified</status>
      <modifiedWord/>
      <trackRevisions>false</trackRevisions>
    </reviewItem>
    <reviewItem>
      <errorID>514c1531-3876-41b2-bdf2-a979a4884c95</errorID>
      <errorWord>监测报告</errorWord>
      <group>L1_Word</group>
      <groupName>字词问题</groupName>
      <ability>L2_Typo</ability>
      <abilityName>字词错误</abilityName>
      <candidateList>
        <item>检测报告</item>
      </candidateList>
      <explain/>
      <paraID>2C014A6B</paraID>
      <start>7</start>
      <end>11</end>
      <status>modified</status>
      <modifiedWord>检测报告</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8182f50-b842-4b61-84d8-4231d5dff9d1}">
  <ds:schemaRefs/>
</ds:datastoreItem>
</file>

<file path=docProps/app.xml><?xml version="1.0" encoding="utf-8"?>
<Properties xmlns="http://schemas.openxmlformats.org/officeDocument/2006/extended-properties" xmlns:vt="http://schemas.openxmlformats.org/officeDocument/2006/docPropsVTypes">
  <Template>Normal</Template>
  <Pages>153</Pages>
  <Words>27072</Words>
  <Characters>30456</Characters>
  <Lines>207</Lines>
  <Paragraphs>58</Paragraphs>
  <TotalTime>0</TotalTime>
  <ScaleCrop>false</ScaleCrop>
  <LinksUpToDate>false</LinksUpToDate>
  <CharactersWithSpaces>30626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2023-03-16T09:04:00Z</dcterms:created>
  <dc:creator>Micorosoft</dc:creator>
  <cp:lastModifiedBy>Danica~</cp:lastModifiedBy>
  <cp:lastPrinted>2024-05-09T07:34:00Z</cp:lastPrinted>
  <dcterms:modified xsi:type="dcterms:W3CDTF">2025-12-08T02:26:12Z</dcterms:modified>
  <cp:revision>73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07E171E5E4F44B8DA6712427E02922DB_13</vt:lpwstr>
  </property>
  <property fmtid="{D5CDD505-2E9C-101B-9397-08002B2CF9AE}" pid="4" name="KSOTemplateDocerSaveRecord">
    <vt:lpwstr>eyJoZGlkIjoiNmJkNTBlODE5ZDU2MzhmNjNkOGNlYWZjNjFjMjcxZTQiLCJ1c2VySWQiOiIzNzA5NDY5NzcifQ==</vt:lpwstr>
  </property>
</Properties>
</file>